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B437706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8D97F11" w14:textId="77777777" w:rsidR="002D5AAC" w:rsidRDefault="002D5AAC" w:rsidP="001D2B4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AEC66D8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0A326B1A" w14:textId="6FE65258" w:rsidR="002D5AAC" w:rsidRDefault="001D2B43" w:rsidP="001D2B43">
            <w:pPr>
              <w:jc w:val="right"/>
            </w:pPr>
            <w:r w:rsidRPr="001D2B43">
              <w:rPr>
                <w:sz w:val="40"/>
              </w:rPr>
              <w:t>A</w:t>
            </w:r>
            <w:r>
              <w:t>/HRC/RES/60/7</w:t>
            </w:r>
          </w:p>
        </w:tc>
      </w:tr>
      <w:tr w:rsidR="002D5AAC" w:rsidRPr="001D2B43" w14:paraId="7BA1F1CF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639EBF5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C6273EE" wp14:editId="0806373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71DFA7C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A87D88F" w14:textId="5D916F73" w:rsidR="002D5AAC" w:rsidRDefault="001D2B43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654A285" w14:textId="1AE0D365" w:rsidR="001D2B43" w:rsidRDefault="001D2B43" w:rsidP="001D2B4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7 October 2025</w:t>
            </w:r>
          </w:p>
          <w:p w14:paraId="492F45C5" w14:textId="77777777" w:rsidR="001D2B43" w:rsidRDefault="001D2B43" w:rsidP="001D2B4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41F30DA" w14:textId="19FF7F16" w:rsidR="001D2B43" w:rsidRPr="00E71476" w:rsidRDefault="001D2B43" w:rsidP="001D2B4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EC69181" w14:textId="77777777" w:rsidR="00DF71B9" w:rsidRPr="001D2B43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155BBBAE" w14:textId="77777777" w:rsidR="001D2B43" w:rsidRPr="00C5157A" w:rsidRDefault="001D2B43" w:rsidP="001D2B43">
      <w:pPr>
        <w:rPr>
          <w:b/>
          <w:bCs/>
          <w:color w:val="000000"/>
        </w:rPr>
      </w:pPr>
      <w:r>
        <w:rPr>
          <w:b/>
          <w:bCs/>
        </w:rPr>
        <w:t>Шестидесятая сессия</w:t>
      </w:r>
    </w:p>
    <w:p w14:paraId="7B3BAF77" w14:textId="77777777" w:rsidR="001D2B43" w:rsidRPr="00C5157A" w:rsidRDefault="001D2B43" w:rsidP="001D2B43">
      <w:pPr>
        <w:rPr>
          <w:color w:val="000000"/>
        </w:rPr>
      </w:pPr>
      <w:r>
        <w:t>8 сентября — 8 октября 2025 года</w:t>
      </w:r>
    </w:p>
    <w:p w14:paraId="3BC75D58" w14:textId="77777777" w:rsidR="001D2B43" w:rsidRPr="00C5157A" w:rsidRDefault="001D2B43" w:rsidP="001D2B43">
      <w:r>
        <w:t>Пункт 3 повестки дня</w:t>
      </w:r>
    </w:p>
    <w:p w14:paraId="6A54CF35" w14:textId="77777777" w:rsidR="001D2B43" w:rsidRPr="00C5157A" w:rsidRDefault="001D2B43" w:rsidP="001D2B43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 w:rsidRPr="00A35649">
        <w:rPr>
          <w:b/>
          <w:bCs/>
        </w:rPr>
        <w:br/>
      </w:r>
      <w:r>
        <w:rPr>
          <w:b/>
          <w:bCs/>
        </w:rPr>
        <w:t xml:space="preserve">гражданских, политических, экономических, </w:t>
      </w:r>
      <w:r w:rsidRPr="00A35649"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 w:rsidRPr="00A35649"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14533FFC" w14:textId="45CC879E" w:rsidR="001D2B43" w:rsidRPr="00C5157A" w:rsidRDefault="001D2B43" w:rsidP="001D2B43">
      <w:pPr>
        <w:pStyle w:val="HChG"/>
      </w:pPr>
      <w:r>
        <w:tab/>
      </w:r>
      <w:r>
        <w:tab/>
        <w:t>Резолюция, принятая Советом по правам человека</w:t>
      </w:r>
      <w:r w:rsidR="000F7708">
        <w:t xml:space="preserve"> 6 октября 2025 года</w:t>
      </w:r>
    </w:p>
    <w:p w14:paraId="58CA6902" w14:textId="61C4FEBD" w:rsidR="001D2B43" w:rsidRPr="00C5157A" w:rsidRDefault="001D2B43" w:rsidP="001D2B43">
      <w:pPr>
        <w:pStyle w:val="H1G"/>
      </w:pPr>
      <w:r w:rsidRPr="00A35649">
        <w:tab/>
      </w:r>
      <w:r>
        <w:t>60/7.</w:t>
      </w:r>
      <w:r>
        <w:tab/>
        <w:t>Право на развитие</w:t>
      </w:r>
    </w:p>
    <w:p w14:paraId="682B4FFC" w14:textId="77777777" w:rsidR="001D2B43" w:rsidRPr="00C5157A" w:rsidRDefault="001D2B43" w:rsidP="001D2B43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человека,</w:t>
      </w:r>
    </w:p>
    <w:p w14:paraId="60A863B7" w14:textId="77777777" w:rsidR="001D2B43" w:rsidRPr="00C5157A" w:rsidRDefault="001D2B43" w:rsidP="001D2B43">
      <w:pPr>
        <w:pStyle w:val="SingleTxtG"/>
        <w:ind w:firstLine="567"/>
      </w:pPr>
      <w:r>
        <w:rPr>
          <w:i/>
          <w:iCs/>
        </w:rPr>
        <w:t xml:space="preserve">ссылаясь </w:t>
      </w:r>
      <w:r>
        <w:t>на Устав Организации Объединенных Наций и основные договоры по правам человека,</w:t>
      </w:r>
    </w:p>
    <w:p w14:paraId="37065645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>вновь подтверждая</w:t>
      </w:r>
      <w:r>
        <w:t xml:space="preserve"> Декларацию о праве на развитие, принятую Генеральной Ассамблеей в ее резолюции 41/128 от 4 декабря 1986 года,</w:t>
      </w:r>
    </w:p>
    <w:p w14:paraId="09287966" w14:textId="77777777" w:rsidR="001D2B43" w:rsidRPr="00C5157A" w:rsidRDefault="001D2B43" w:rsidP="001D2B43">
      <w:pPr>
        <w:pStyle w:val="SingleTxtG"/>
      </w:pPr>
      <w:r>
        <w:tab/>
      </w:r>
      <w:r w:rsidRPr="00B958A5">
        <w:rPr>
          <w:i/>
          <w:iCs/>
        </w:rPr>
        <w:t>в</w:t>
      </w:r>
      <w:r>
        <w:rPr>
          <w:i/>
          <w:iCs/>
        </w:rPr>
        <w:t>новь напоминая</w:t>
      </w:r>
      <w:r>
        <w:t xml:space="preserve"> о Венской декларации и Программе действий, в которой подтверждается право на развитие в качестве универсального и неотъемлемого права и составной части основных прав человека,</w:t>
      </w:r>
    </w:p>
    <w:p w14:paraId="70C5F9D8" w14:textId="77777777" w:rsidR="001D2B43" w:rsidRPr="00C5157A" w:rsidRDefault="001D2B43" w:rsidP="001D2B43">
      <w:pPr>
        <w:pStyle w:val="SingleTxtG"/>
        <w:rPr>
          <w:bCs/>
        </w:rPr>
      </w:pPr>
      <w:r>
        <w:tab/>
      </w:r>
      <w:r>
        <w:rPr>
          <w:i/>
          <w:iCs/>
        </w:rPr>
        <w:t>вновь подтверждая</w:t>
      </w:r>
      <w:r>
        <w:t xml:space="preserve"> резолюции Совета по правам человека 4/4 от 30 марта 2007</w:t>
      </w:r>
      <w:r>
        <w:rPr>
          <w:lang w:val="en-US"/>
        </w:rPr>
        <w:t> </w:t>
      </w:r>
      <w:r>
        <w:t>года и 9/3 от 17 сентября 2008 года, ссылаясь на все резолюции Комиссии по правам человека по вопросу о праве на развитие, включая резолюции 1998/72 от 22</w:t>
      </w:r>
      <w:r>
        <w:rPr>
          <w:lang w:val="en-US"/>
        </w:rPr>
        <w:t> </w:t>
      </w:r>
      <w:r>
        <w:t>апреля 1998 года и 2004/7 от 13 апреля 2004 года в поддержку осуществления права на развитие, и ссылаясь также на все резолюции Генеральной Ассамблеи и Совета по вопросу о праве на развитие, самыми последними из которых являются резолюция</w:t>
      </w:r>
      <w:r>
        <w:rPr>
          <w:lang w:val="en-US"/>
        </w:rPr>
        <w:t> </w:t>
      </w:r>
      <w:r>
        <w:t>79/170 Ассамблеи от 19 декабря 2024 года и резолюция 57/19 Совета от 10 октября 2024 года,</w:t>
      </w:r>
    </w:p>
    <w:p w14:paraId="760ED1B8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>напоминая</w:t>
      </w:r>
      <w:r>
        <w:t xml:space="preserve"> о принятии резолюции 49/8 Совета по правам человека от 31 марта 2022 года о мероприятиях в ознаменование тридцать пятой годовщины принятия Декларации о праве на развитие,</w:t>
      </w:r>
    </w:p>
    <w:p w14:paraId="31908298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 xml:space="preserve">ссылаясь </w:t>
      </w:r>
      <w:r>
        <w:t>на итоговый документ второй Конференции Организации Объединенных Наций на высоком уровне по сотрудничеству Юг — Юг, состоявшейся 20–22 марта 2019 года в Буэнос-Айресе</w:t>
      </w:r>
      <w:r>
        <w:rPr>
          <w:rStyle w:val="aa"/>
        </w:rPr>
        <w:footnoteReference w:id="1"/>
      </w:r>
      <w:r>
        <w:t>,</w:t>
      </w:r>
      <w:bookmarkStart w:id="0" w:name="_Hlk45663835"/>
      <w:bookmarkStart w:id="1" w:name="OLE_LINK1"/>
      <w:bookmarkEnd w:id="0"/>
      <w:bookmarkEnd w:id="1"/>
    </w:p>
    <w:p w14:paraId="0FEED9B6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>ссылаясь также</w:t>
      </w:r>
      <w:r>
        <w:t xml:space="preserve"> на заключительный итоговый документ, принятый на девятнадцатом Саммите глав государств и правительств Движения неприсоединившихся стран, состоявшемся в Кампале 19 и 20 января 2024 года, в котором государства — члены Движения неприсоединившихся стран подчеркнули </w:t>
      </w:r>
      <w:r>
        <w:lastRenderedPageBreak/>
        <w:t>необходимость в первоочередном порядке обеспечить на практике право на развитие, в том числе посредством разработки соответствующими механизмами юридически обязывающего документа о праве на развитие с учетом рекомендаций, представленных в рамках соответствующих инициатив,</w:t>
      </w:r>
    </w:p>
    <w:p w14:paraId="5922E273" w14:textId="77777777" w:rsidR="001D2B43" w:rsidRPr="00C5157A" w:rsidRDefault="001D2B43" w:rsidP="001D2B43">
      <w:pPr>
        <w:pStyle w:val="SingleTxtG"/>
        <w:rPr>
          <w:bCs/>
        </w:rPr>
      </w:pPr>
      <w:r>
        <w:tab/>
      </w:r>
      <w:r>
        <w:rPr>
          <w:i/>
          <w:iCs/>
        </w:rPr>
        <w:t>ссылаясь далее</w:t>
      </w:r>
      <w:r>
        <w:t xml:space="preserve"> на заключительный итоговый документ, принятый на Совещании Координационного бюро Движения неприсоединившихся стран на уровне министров, состоявшемся в Кампале 17 и 18 января 2024 года, в котором министры иностранных дел государств — участников Движения неприсоединившихся стран настоятельно рекомендовали продолжать оказывать поддержку представлению проекта юридически обязывающего документа на рассмотрение Генеральной Ассамблеи,</w:t>
      </w:r>
      <w:bookmarkStart w:id="2" w:name="OLE_LINK120"/>
      <w:bookmarkStart w:id="3" w:name="OLE_LINK121"/>
      <w:bookmarkStart w:id="4" w:name="OLE_LINK4"/>
      <w:bookmarkEnd w:id="2"/>
      <w:bookmarkEnd w:id="3"/>
      <w:bookmarkEnd w:id="4"/>
    </w:p>
    <w:p w14:paraId="2A562C9F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 xml:space="preserve">особо отмечая </w:t>
      </w:r>
      <w:r>
        <w:t>настоятельную необходимость превращения права на развитие в реальность для каждого,</w:t>
      </w:r>
    </w:p>
    <w:p w14:paraId="46FA973E" w14:textId="77777777" w:rsidR="001D2B43" w:rsidRPr="00C5157A" w:rsidRDefault="001D2B43" w:rsidP="001D2B43">
      <w:pPr>
        <w:pStyle w:val="SingleTxtG"/>
        <w:ind w:firstLine="567"/>
      </w:pPr>
      <w:r>
        <w:rPr>
          <w:i/>
          <w:iCs/>
        </w:rPr>
        <w:t>подчеркивая</w:t>
      </w:r>
      <w:r>
        <w:t>, что сотрудничество Юг — Юг дополняет сотрудничество Север</w:t>
      </w:r>
      <w:r>
        <w:rPr>
          <w:lang w:val="en-US"/>
        </w:rPr>
        <w:t> </w:t>
      </w:r>
      <w:r>
        <w:t>— Юг и поэтому не должно приводить к сокращению сотрудничества Север — Юг или препятствовать прогрессу в выполнении существующих обязательств по оказанию официальной помощи в целях развития,</w:t>
      </w:r>
    </w:p>
    <w:p w14:paraId="16890A4E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>особо отмечая</w:t>
      </w:r>
      <w:r>
        <w:t>, что все права человека и основные свободы, включая право на развитие, являются универсальными, неделимыми, взаимозависимыми, взаимосвязанными и взаимоподкрепляющими,</w:t>
      </w:r>
    </w:p>
    <w:p w14:paraId="225D1194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>особо отмечая также</w:t>
      </w:r>
      <w:r>
        <w:t>, что всеми правами человека и основными свободами, включая право на развитие, можно пользоваться лишь в доступных для всех и совместных рамках на международном, региональном и национальном уровнях, и в этой связи обращая особое внимание на важность вовлечения в обсуждение вопроса о праве на развитие системы Организации Объединенных Наций, включая специализированные учреждения, фонды и программы Организации Объединенных Наций, согласно возложенным на них мандатам, соответствующих международных организаций, в том числе финансовых и торговых организаций, и соответствующих заинтересованных сторон, включая организации гражданского общества, специалистов, занимающихся вопросами развития на практике, экспертов по правам человека и представителей общественности на всех уровнях,</w:t>
      </w:r>
    </w:p>
    <w:p w14:paraId="677819EE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>принимая во внимание</w:t>
      </w:r>
      <w:r>
        <w:t xml:space="preserve"> взятое на себя рядом специализированных учреждений, фондов и программ Организации Объединенных Наций и других международных организаций обязательство превратить право на развитие в реальность для всех и в этой связи настоятельно призывая все соответствующие органы системы Организации Объединенных Наций и другие международные организации учитывать право на развитие наряду со всеми другими правами человека в своих целях, стратегиях, программах и оперативной деятельности, а также в процессе развития и связанных с ним процессах,</w:t>
      </w:r>
    </w:p>
    <w:p w14:paraId="05879E06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>отмечая</w:t>
      </w:r>
      <w:r>
        <w:t xml:space="preserve"> необходимость применения комплексного подхода к поощрению и защите всех прав человека и важность учета на более систематической основе аспектов, связанных с правом на развитие, во всех соответствующих направлениях деятельности системы Организации Объединенных Наций, включая договорные органы и Совет по правам человека и его механизмы,</w:t>
      </w:r>
    </w:p>
    <w:p w14:paraId="3EC6087F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>подчеркивая</w:t>
      </w:r>
      <w:r>
        <w:t>, что ответственность за решение общемировых экономических и социальных проблем и устранение угроз международному миру и безопасности должна разделяться между государствами — членами Организации Объединенных Наций и осуществляться на многосторонней основе и что центральную роль в этом должна играть Организация Объединенных Наций как наиболее универсальная и самая представительная международная организация в мире,</w:t>
      </w:r>
    </w:p>
    <w:p w14:paraId="4E40D271" w14:textId="1E1FEFB4" w:rsidR="001D2B43" w:rsidRPr="00C5157A" w:rsidRDefault="001D2B43" w:rsidP="001D2B43">
      <w:pPr>
        <w:pStyle w:val="SingleTxtG"/>
        <w:ind w:firstLine="567"/>
      </w:pPr>
      <w:r>
        <w:rPr>
          <w:i/>
          <w:iCs/>
        </w:rPr>
        <w:t>особо отмечая</w:t>
      </w:r>
      <w:r>
        <w:t xml:space="preserve">, что мир и безопасность являются непосредственной основой осуществления всех прав человека и основных свобод, включая право на развитие, </w:t>
      </w:r>
      <w:r>
        <w:br/>
      </w:r>
      <w:r>
        <w:t>и что потому нападения на центры исследований и разработок препятствуют национальному прогрессу в создании условий для осуществления права на развитие и обеспечении его осуществления,</w:t>
      </w:r>
    </w:p>
    <w:p w14:paraId="27D61EE1" w14:textId="77777777" w:rsidR="001D2B43" w:rsidRPr="00C5157A" w:rsidRDefault="001D2B43" w:rsidP="001D2B43">
      <w:pPr>
        <w:pStyle w:val="SingleTxtG"/>
      </w:pPr>
      <w:r>
        <w:lastRenderedPageBreak/>
        <w:tab/>
      </w:r>
      <w:r>
        <w:rPr>
          <w:i/>
          <w:iCs/>
        </w:rPr>
        <w:t>подчеркивая</w:t>
      </w:r>
      <w:r>
        <w:t xml:space="preserve"> важность Повестки дня в области устойчивого развития на период до 2030 года и средств ее осуществления и особо отмечая, что Повестка дня на период до 2030 года основывается на Декларации о праве на развитие и что право на развитие имеет жизненно важное значение для полной реализации Повестки дня на период до 2030 года и должно занимать центральное место в ее осуществлении,</w:t>
      </w:r>
    </w:p>
    <w:p w14:paraId="5C6B71CE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>признавая</w:t>
      </w:r>
      <w:r>
        <w:t>, что достижение согласованных на международном уровне целей в области развития, включая цели в области устойчивого развития, требует эффективной согласованности и координации политики,</w:t>
      </w:r>
    </w:p>
    <w:p w14:paraId="20F9E466" w14:textId="77777777" w:rsidR="001D2B43" w:rsidRPr="00C5157A" w:rsidRDefault="001D2B43" w:rsidP="001D2B43">
      <w:pPr>
        <w:pStyle w:val="SingleTxtG"/>
        <w:ind w:firstLine="567"/>
      </w:pPr>
      <w:r>
        <w:rPr>
          <w:i/>
          <w:iCs/>
        </w:rPr>
        <w:t>особо отмечая</w:t>
      </w:r>
      <w:r>
        <w:t>, что многие страны испытывают серьезные трудности в мобилизации ресурсов, необходимых для содействия достижению целей в области устойчивого развития на национальном уровне и претворения в жизнь полного осуществления всех прав человека, или получении доступа к таким ресурсам и что разрыв между стремлением к устойчивому развитию и финансированием его обеспечения продолжает увеличиваться, особенно в развивающихся странах,</w:t>
      </w:r>
    </w:p>
    <w:p w14:paraId="2DBBDA7F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>признавая</w:t>
      </w:r>
      <w:r>
        <w:t>, что голод и крайняя нищета во всех их формах и проявлениях являются серьезнейшими глобальными вызовами и что для их искоренения необходима коллективная приверженность международного сообщества, и в этой связи призывая международное сообщество способствовать достижению этой цели в соответствии с целями в области устойчивого развития,</w:t>
      </w:r>
    </w:p>
    <w:p w14:paraId="1ABA11E1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>признавая также</w:t>
      </w:r>
      <w:r>
        <w:t>, что искоренение нищеты во всех ее формах и проявлениях, включая крайнюю нищету, является одной из важнейших составляющих деятельности по поощрению и реализации права на развитие, одним из серьезнейших глобальных вызовов и необходимым условием инклюзивного и устойчивого развития, которое требует многогранного и комплексного подхода, и вновь заявляя о необходимости добиваться устойчивого развития в трех его компонентах — экономическом, социальном и экологическом — сбалансированным и комплексным образом,</w:t>
      </w:r>
    </w:p>
    <w:p w14:paraId="6F4CB31C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>признавая далее</w:t>
      </w:r>
      <w:r>
        <w:t>, что одним из основных препятствий на пути реализации права на развитие как внутри стран, так и между странами является неравенство,</w:t>
      </w:r>
    </w:p>
    <w:p w14:paraId="6C803939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>выражая обеспокоенность</w:t>
      </w:r>
      <w:r>
        <w:t xml:space="preserve"> в связи с увеличением числа случаев нарушения и ущемления прав человека транснациональными корпорациями и другими коммерческими предприятиями, обращая особое внимание на необходимость обеспечения надлежащей защиты, в том числе судебной и правовой, для тех, чьи права человека были нарушены или ущемлены в результате деятельности таких структур, и особо указывая на тот факт, что транснациональные корпорации и другие коммерческие предприятия должны способствовать обеспечению средств осуществления для реализации права на развитие,</w:t>
      </w:r>
    </w:p>
    <w:p w14:paraId="0E2029E2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>принимая во внимание</w:t>
      </w:r>
      <w:r>
        <w:t xml:space="preserve"> продолжающиеся переговоры по проекту юридически обязывающего документа для регулирования в рамках международного права прав человека деятельности транснациональных корпораций и других коммерческих предприятий и важность завершения процесса переговоров с перспективой последующего принятия этого документа,</w:t>
      </w:r>
    </w:p>
    <w:p w14:paraId="02F3856B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>обращая особое внимание</w:t>
      </w:r>
      <w:r>
        <w:t xml:space="preserve"> на то, что успешное достижение целей в области устойчивого развития потребует укрепления нового, более справедливого социального и международного порядка, при котором права и свободы, изложенные во Всеобщей декларации прав человека, могут быть полностью реализованы, как это предусмотрено в ее статье 28,</w:t>
      </w:r>
    </w:p>
    <w:p w14:paraId="535203D5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>подчеркивая</w:t>
      </w:r>
      <w:r>
        <w:t xml:space="preserve"> главную ответственность государств за создание на национальном и международном уровнях условий, благоприятствующих реализации права на развитие,</w:t>
      </w:r>
    </w:p>
    <w:p w14:paraId="0C69D16F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>признавая</w:t>
      </w:r>
      <w:r>
        <w:t xml:space="preserve">, что государствам следует сотрудничать друг с другом в обеспечении развития и устранении сохраняющихся препятствий на пути к развитию, что международному сообществу следует содействовать эффективному международному сотрудничеству, в частности глобальному партнерству в интересах развития, в деле реализации права на развитие и что для долговременного прогресса в осуществлении </w:t>
      </w:r>
      <w:r>
        <w:lastRenderedPageBreak/>
        <w:t>права на развитие требуются, в частности, эффективные стратегии развития на национальном уровне, справедливые экономические отношения и благоприятный экономический климат на международном уровне,</w:t>
      </w:r>
    </w:p>
    <w:p w14:paraId="52944BA4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>настоятельно призывая</w:t>
      </w:r>
      <w:r>
        <w:t xml:space="preserve"> все государства принимать конструктивное участие в обсуждениях на тему полного осуществления Декларации о праве на развитие в рамках Рабочей группы по праву на развитие с целью обеспечить своевременное выполнение ею своего мандата, возложенного на нее Комиссией по правам человека в ее резолюции 1998/72 и Советом по правам человека в его резолюции 4/4,</w:t>
      </w:r>
    </w:p>
    <w:p w14:paraId="1E26B4E3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>подчеркивая</w:t>
      </w:r>
      <w:r>
        <w:t>, что в своей резолюции 48/141 от 20 декабря 1993 года Генеральная Ассамблея постановила, что обязанности Верховного комиссара Организации Объединенных Наций по правам человека заключаются, в частности, в поощрении и защите реализации права на развитие и в усилении для этого поддержки со стороны соответствующих органов системы Организации Объединенных Наций, и что в своей ежегодной резолюции о праве на развитие Ассамблея вновь обращается с просьбой к Верховному комиссару в контексте актуализации права на развитие эффективно осуществлять мероприятия, направленные на укрепление глобального партнерства в целях развития между государствами-членами, учреждениями, занимающимися вопросами развития, и международными структурами, занимающимися вопросами развития, финансирования и торговли,</w:t>
      </w:r>
    </w:p>
    <w:p w14:paraId="4DF627EE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>признавая</w:t>
      </w:r>
      <w:r>
        <w:t xml:space="preserve"> потребность в независимых взглядах и экспертных рекомендациях, укрепляющих деятельность Рабочей группы и поддерживающих усилия государств по реализации в полном объеме права на развитие, в том числе в контексте достижения целей в области устойчивого развития,</w:t>
      </w:r>
    </w:p>
    <w:p w14:paraId="7766A987" w14:textId="77777777" w:rsidR="001D2B43" w:rsidRPr="00C5157A" w:rsidRDefault="001D2B43" w:rsidP="001D2B43">
      <w:pPr>
        <w:pStyle w:val="SingleTxtG"/>
        <w:rPr>
          <w:bCs/>
        </w:rPr>
      </w:pPr>
      <w:r>
        <w:tab/>
      </w:r>
      <w:r>
        <w:rPr>
          <w:i/>
          <w:iCs/>
        </w:rPr>
        <w:t>ссылаясь</w:t>
      </w:r>
      <w:r>
        <w:t xml:space="preserve"> на доклад Консультативного комитета Совета по правам человека о важности принятия юридически обязывающего документа о праве на развитие</w:t>
      </w:r>
      <w:r>
        <w:rPr>
          <w:rStyle w:val="aa"/>
          <w:bCs/>
        </w:rPr>
        <w:footnoteReference w:id="2"/>
      </w:r>
      <w:r>
        <w:t>, представленный Совету по правам человека на его сорок пятой сессии во исполнение резолюции 39/9 Совета от 27 сентября 2018 года,</w:t>
      </w:r>
    </w:p>
    <w:p w14:paraId="3882989A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>приветствуя</w:t>
      </w:r>
      <w:r>
        <w:t xml:space="preserve"> состоявшиеся на предыдущих сессиях Рабочей группы обсуждения по вопросу о том, каким образом юридически обязывающий документ позволит превратить право на развитие в реальность для всех путем создания на национальном и международном уровнях условий, благоприятствующих его реализации, и путем отмены любых мер, которые могут негативно сказаться на осуществлении права на развитие, согласно Уставу, Декларации о праве на развитие и другим соответствующим международным договорам и документам,</w:t>
      </w:r>
    </w:p>
    <w:p w14:paraId="05252FD4" w14:textId="77777777" w:rsidR="001D2B43" w:rsidRPr="00C5157A" w:rsidRDefault="001D2B43" w:rsidP="001D2B43">
      <w:pPr>
        <w:pStyle w:val="SingleTxtG"/>
      </w:pPr>
      <w:r>
        <w:tab/>
      </w:r>
      <w:r>
        <w:rPr>
          <w:i/>
          <w:iCs/>
        </w:rPr>
        <w:t>ссылаясь</w:t>
      </w:r>
      <w:r>
        <w:t xml:space="preserve"> на резолюцию 54/18 Совета по правам человека от 12 октября 2023 года, в которой Совет представил Генеральной Ассамблее проект международного пакта о праве на развитие для рассмотрения, обсуждения и последующего принятия,</w:t>
      </w:r>
    </w:p>
    <w:p w14:paraId="7EA8905C" w14:textId="77777777" w:rsidR="001D2B43" w:rsidRPr="00C5157A" w:rsidRDefault="001D2B43" w:rsidP="001D2B43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резолюции Совета по правам человека 5/1 об институциональном строительстве Совета и 5/2 о Кодексе поведения мандатариев специальных процедур Совета по правам человека от 18 июня 2007 года и подчеркивая, что мандатарии должны выполнять свои обязанности в соответствии с этими резолюциями и приложениями к ним,</w:t>
      </w:r>
    </w:p>
    <w:p w14:paraId="23B70A0B" w14:textId="77777777" w:rsidR="001D2B43" w:rsidRPr="00C5157A" w:rsidRDefault="001D2B43" w:rsidP="001D2B43">
      <w:pPr>
        <w:pStyle w:val="SingleTxtG"/>
      </w:pPr>
      <w:r w:rsidRPr="00A35649">
        <w:tab/>
      </w:r>
      <w:r>
        <w:t>1.</w:t>
      </w:r>
      <w:r>
        <w:tab/>
      </w:r>
      <w:r>
        <w:rPr>
          <w:i/>
          <w:iCs/>
        </w:rPr>
        <w:t>вновь подтверждает</w:t>
      </w:r>
      <w:r>
        <w:t xml:space="preserve"> свою приверженность делу обеспечения эффективного учета права на развитие в своей работе и работе своих механизмов на систематической и прозрачной основе;</w:t>
      </w:r>
    </w:p>
    <w:p w14:paraId="4008FBC6" w14:textId="77777777" w:rsidR="001D2B43" w:rsidRPr="00C5157A" w:rsidRDefault="001D2B43" w:rsidP="001D2B43">
      <w:pPr>
        <w:pStyle w:val="SingleTxtG"/>
      </w:pPr>
      <w:r w:rsidRPr="00A35649">
        <w:tab/>
      </w:r>
      <w:r>
        <w:t>2.</w:t>
      </w:r>
      <w:r>
        <w:tab/>
      </w:r>
      <w:r>
        <w:rPr>
          <w:i/>
          <w:iCs/>
        </w:rPr>
        <w:t>отмечает</w:t>
      </w:r>
      <w:r>
        <w:t xml:space="preserve"> насущную необходимость добиваться более широкого признания, обеспечения на практике и реализации права на развитие на международном уровне, настоятельно призывая все государства разрабатывать на национальном уровне необходимую политику и принимать меры, необходимые для осуществления права на развитие как неотъемлемой части всех прав человека и основных свобод;</w:t>
      </w:r>
    </w:p>
    <w:p w14:paraId="33AFA21D" w14:textId="77777777" w:rsidR="001D2B43" w:rsidRPr="00C5157A" w:rsidRDefault="001D2B43" w:rsidP="001D2B43">
      <w:pPr>
        <w:pStyle w:val="SingleTxtG"/>
        <w:rPr>
          <w:bCs/>
          <w:iCs/>
        </w:rPr>
      </w:pPr>
      <w:r w:rsidRPr="00A35649">
        <w:lastRenderedPageBreak/>
        <w:tab/>
      </w:r>
      <w:r>
        <w:t>3.</w:t>
      </w:r>
      <w:r>
        <w:tab/>
      </w:r>
      <w:r>
        <w:rPr>
          <w:i/>
          <w:iCs/>
        </w:rPr>
        <w:t>отмечает также</w:t>
      </w:r>
      <w:r>
        <w:t xml:space="preserve"> вклад субъектов гражданского общества и других заинтересованных сторон в осуществление права на развитие, особенно на низовом уровне;</w:t>
      </w:r>
    </w:p>
    <w:p w14:paraId="73EAFB70" w14:textId="77777777" w:rsidR="001D2B43" w:rsidRPr="00C5157A" w:rsidRDefault="001D2B43" w:rsidP="001D2B43">
      <w:pPr>
        <w:pStyle w:val="SingleTxtG"/>
      </w:pPr>
      <w:r w:rsidRPr="00A35649">
        <w:tab/>
      </w:r>
      <w:r>
        <w:t>4.</w:t>
      </w:r>
      <w:r>
        <w:tab/>
      </w:r>
      <w:r>
        <w:rPr>
          <w:i/>
          <w:iCs/>
        </w:rPr>
        <w:t>призывает</w:t>
      </w:r>
      <w:r>
        <w:t xml:space="preserve"> государства и другие соответствующие заинтересованные стороны обеспечивать учет права на развитие при разработке, финансировании и осуществлении процессов сотрудничества;</w:t>
      </w:r>
    </w:p>
    <w:p w14:paraId="18BCEDC7" w14:textId="77777777" w:rsidR="001D2B43" w:rsidRPr="00C5157A" w:rsidRDefault="001D2B43" w:rsidP="001D2B43">
      <w:pPr>
        <w:pStyle w:val="SingleTxtG"/>
      </w:pPr>
      <w:r w:rsidRPr="00A35649">
        <w:tab/>
      </w:r>
      <w:r>
        <w:t>5.</w:t>
      </w:r>
      <w:r>
        <w:tab/>
      </w:r>
      <w:r>
        <w:rPr>
          <w:i/>
          <w:iCs/>
        </w:rPr>
        <w:t>ссылается</w:t>
      </w:r>
      <w:r>
        <w:t xml:space="preserve"> на объединенный доклад Генерального секретаря и Верховного комиссара Организации Объединенных Наций по правам человека по вопросу о праве на развитие</w:t>
      </w:r>
      <w:r>
        <w:rPr>
          <w:rStyle w:val="aa"/>
        </w:rPr>
        <w:footnoteReference w:id="3"/>
      </w:r>
      <w:r>
        <w:t>;</w:t>
      </w:r>
    </w:p>
    <w:p w14:paraId="22FAA8F6" w14:textId="77777777" w:rsidR="001D2B43" w:rsidRPr="00C5157A" w:rsidRDefault="001D2B43" w:rsidP="001D2B43">
      <w:pPr>
        <w:pStyle w:val="SingleTxtG"/>
      </w:pPr>
      <w:r w:rsidRPr="00A35649">
        <w:tab/>
      </w:r>
      <w:r>
        <w:t>6.</w:t>
      </w:r>
      <w:r>
        <w:tab/>
      </w:r>
      <w:r>
        <w:rPr>
          <w:i/>
          <w:iCs/>
        </w:rPr>
        <w:t>признает</w:t>
      </w:r>
      <w:r>
        <w:t>, что полнодневное заседание высокого уровня по вопросам поощрения и защиты права на развитие в рамках празднования тридцать пятой годовщины принятия Декларации о праве на развитие, которое состоялось на пятьдесят второй сессии Совета по правам человека, предоставило важную возможность для международного сообщества продемонстрировать и подтвердить свою безоговорочную приверженность праву на развитие, признав то важное место, которое оно заслуженно занимает, и удвоив свои усилия по осуществлению этого права;</w:t>
      </w:r>
    </w:p>
    <w:p w14:paraId="0530ABA7" w14:textId="77777777" w:rsidR="001D2B43" w:rsidRPr="00C5157A" w:rsidRDefault="001D2B43" w:rsidP="001D2B43">
      <w:pPr>
        <w:pStyle w:val="SingleTxtG"/>
      </w:pPr>
      <w:r w:rsidRPr="00A35649">
        <w:tab/>
      </w:r>
      <w:r>
        <w:t>7.</w:t>
      </w:r>
      <w:r>
        <w:tab/>
      </w:r>
      <w:r>
        <w:rPr>
          <w:i/>
          <w:iCs/>
        </w:rPr>
        <w:t>ссылается</w:t>
      </w:r>
      <w:r>
        <w:t xml:space="preserve"> на доклад Управления Верховного комиссара Организации Объединенных Наций по правам человека о заседании высокого уровня, посвященном тридцать пятой годовщине принятия Декларации о праве на развитие</w:t>
      </w:r>
      <w:r>
        <w:rPr>
          <w:rStyle w:val="aa"/>
        </w:rPr>
        <w:footnoteReference w:id="4"/>
      </w:r>
      <w:r>
        <w:t>;</w:t>
      </w:r>
    </w:p>
    <w:p w14:paraId="3735E7AE" w14:textId="77777777" w:rsidR="001D2B43" w:rsidRPr="00C5157A" w:rsidRDefault="001D2B43" w:rsidP="001D2B43">
      <w:pPr>
        <w:pStyle w:val="SingleTxtG"/>
      </w:pPr>
      <w:r w:rsidRPr="00A35649">
        <w:tab/>
      </w:r>
      <w:r>
        <w:t>8.</w:t>
      </w:r>
      <w:r>
        <w:tab/>
      </w:r>
      <w:r>
        <w:rPr>
          <w:i/>
          <w:iCs/>
        </w:rPr>
        <w:t>просит</w:t>
      </w:r>
      <w:r>
        <w:t xml:space="preserve"> Верховного комиссара продолжать представлять Совету по правам человека ежегодный доклад о деятельности Управления Верховного комиссара, в том числе о межучрежденческой координации в рамках системы Организации Объединенных Наций, которая имеет непосредственное отношение к реализации права на развитие, давать свой анализ, принимая во внимание существующие вызовы в деле реализации права на развитие, выносить рекомендации в отношении того, как на них отвечать, и вносить конкретные предложения в поддержку усилий Рабочей группы по праву на развитие по выполнению возложенного на нее мандата;</w:t>
      </w:r>
    </w:p>
    <w:p w14:paraId="2A05D907" w14:textId="77777777" w:rsidR="001D2B43" w:rsidRPr="00C5157A" w:rsidRDefault="001D2B43" w:rsidP="001D2B43">
      <w:pPr>
        <w:pStyle w:val="SingleTxtG"/>
      </w:pPr>
      <w:r w:rsidRPr="00A35649">
        <w:tab/>
      </w:r>
      <w:r>
        <w:t>9.</w:t>
      </w:r>
      <w:r>
        <w:tab/>
      </w:r>
      <w:r>
        <w:rPr>
          <w:i/>
          <w:iCs/>
        </w:rPr>
        <w:t>просит также</w:t>
      </w:r>
      <w:r>
        <w:t xml:space="preserve"> Верховного комиссара принимать конкретные меры по выполнению возложенных на него обязанностей, в том числе посредством информационно-пропагандистской работы, проведения исследований, оказания технической поддержки в регионах, наращивания потенциала на региональном уровне и укрепления партнерств, и активизировать поддержку усилий по поощрению и защите права на развитие с учетом Декларации о праве на развитие, всех резолюций Генеральной Ассамблеи, Комиссии по правам человека и Совета по правам человека по вопросу о праве на развитие и согласованных выводов и рекомендаций Рабочей группы;</w:t>
      </w:r>
    </w:p>
    <w:p w14:paraId="3D639AB7" w14:textId="77777777" w:rsidR="001D2B43" w:rsidRPr="00C5157A" w:rsidRDefault="001D2B43" w:rsidP="001D2B43">
      <w:pPr>
        <w:pStyle w:val="SingleTxtG"/>
      </w:pPr>
      <w:r w:rsidRPr="00A35649">
        <w:tab/>
      </w:r>
      <w:r>
        <w:t>10.</w:t>
      </w:r>
      <w:r>
        <w:tab/>
      </w:r>
      <w:r>
        <w:rPr>
          <w:i/>
          <w:iCs/>
        </w:rPr>
        <w:t>настоятельно призывает</w:t>
      </w:r>
      <w:r>
        <w:t xml:space="preserve"> Управление Верховного комиссара при осуществлении Декларации о праве на развитие обеспечивать сбалансированное, эффективное и заметное выделение как финансовых, так и людских ресурсов существующим в Управлении механизмам, включая Экспертный механизм по праву на развитие и Специального докладчика по вопросу о праве на развитие, для реализации права на развитие, а также обеспечивать повышение информированности о праве на развитие путем определения и осуществления значимых проектов, посвященных праву на развитие, в сотрудничестве с Экспертным механизмом и Специальным докладчиком и регулярно представлять Совету по правам человека обновленную информацию по этому вопросу;</w:t>
      </w:r>
    </w:p>
    <w:p w14:paraId="313328A9" w14:textId="77777777" w:rsidR="001D2B43" w:rsidRPr="00C5157A" w:rsidRDefault="001D2B43" w:rsidP="001D2B43">
      <w:pPr>
        <w:pStyle w:val="SingleTxtG"/>
      </w:pPr>
      <w:r w:rsidRPr="00A35649">
        <w:tab/>
      </w:r>
      <w:r>
        <w:t>11.</w:t>
      </w:r>
      <w:r>
        <w:tab/>
      </w:r>
      <w:r>
        <w:rPr>
          <w:i/>
          <w:iCs/>
        </w:rPr>
        <w:t>вновь просит</w:t>
      </w:r>
      <w:r>
        <w:t xml:space="preserve"> Управление Верховного комиссара укрепить свою работу по поощрению права на развитие на региональном уровне и просит Генерального секретаря усилить целевой потенциал Управления на региональном уровне;</w:t>
      </w:r>
    </w:p>
    <w:p w14:paraId="12ABAE7E" w14:textId="77777777" w:rsidR="001D2B43" w:rsidRPr="00C5157A" w:rsidRDefault="001D2B43" w:rsidP="001D2B43">
      <w:pPr>
        <w:pStyle w:val="SingleTxtG"/>
      </w:pPr>
      <w:r w:rsidRPr="00A35649">
        <w:lastRenderedPageBreak/>
        <w:tab/>
      </w:r>
      <w:r>
        <w:t>12.</w:t>
      </w:r>
      <w:r>
        <w:tab/>
      </w:r>
      <w:r>
        <w:rPr>
          <w:i/>
          <w:iCs/>
        </w:rPr>
        <w:t>просит</w:t>
      </w:r>
      <w:r>
        <w:t xml:space="preserve"> Верховного комиссара содействовать участию соответствующих экспертов, включая представителей Управления Верховного комиссара, в заседаниях Экспертного механизма, с тем чтобы представители соответствующих международных организаций, а также соответствующие мандатарии Совета по правам человека могли вносить вклад в дискуссии, проводимые на его заседаниях, сообразно обстоятельствам;</w:t>
      </w:r>
    </w:p>
    <w:p w14:paraId="5F51DC1B" w14:textId="77777777" w:rsidR="001D2B43" w:rsidRPr="00C5157A" w:rsidRDefault="001D2B43" w:rsidP="001D2B43">
      <w:pPr>
        <w:pStyle w:val="SingleTxtG"/>
      </w:pPr>
      <w:r w:rsidRPr="00A35649">
        <w:tab/>
      </w:r>
      <w:r>
        <w:t>13.</w:t>
      </w:r>
      <w:r>
        <w:tab/>
      </w:r>
      <w:r>
        <w:rPr>
          <w:i/>
          <w:iCs/>
        </w:rPr>
        <w:t>вновь заявляет</w:t>
      </w:r>
      <w:r>
        <w:t>, что ключевые принципы, изложенные в выводах, принятых Рабочей группой на ее третьей сессии</w:t>
      </w:r>
      <w:r>
        <w:rPr>
          <w:rStyle w:val="aa"/>
        </w:rPr>
        <w:footnoteReference w:id="5"/>
      </w:r>
      <w:r>
        <w:t>, которые созвучны таким целям международных договоров по правам человека, как равенство, недискриминация, подотчетность, участие и международное сотрудничество, представляют собой критически значимые элементы с точки зрения обеспечения учета права на развитие на национальном и международном уровнях, и особо указывает на важность принципов справедливости и прозрачности;</w:t>
      </w:r>
    </w:p>
    <w:p w14:paraId="6275EAD2" w14:textId="77777777" w:rsidR="001D2B43" w:rsidRPr="00C5157A" w:rsidRDefault="001D2B43" w:rsidP="001D2B43">
      <w:pPr>
        <w:pStyle w:val="SingleTxtG"/>
      </w:pPr>
      <w:r w:rsidRPr="00A35649">
        <w:tab/>
      </w:r>
      <w:r>
        <w:t>14.</w:t>
      </w:r>
      <w:r>
        <w:tab/>
      </w:r>
      <w:r>
        <w:rPr>
          <w:i/>
          <w:iCs/>
        </w:rPr>
        <w:t>подчеркивает</w:t>
      </w:r>
      <w:r>
        <w:t xml:space="preserve"> важность выполнения мандата Рабочей группы и признает необходимость возобновления усилий в рамках Рабочей группы с целью обеспечить своевременное выполнение ею мандата, возложенного на нее Комиссией по правам человека в ее резолюции 1998/72 и Советом по правам человека в его резолюциях 4/4 и 39/9;</w:t>
      </w:r>
    </w:p>
    <w:p w14:paraId="60BE7385" w14:textId="77777777" w:rsidR="001D2B43" w:rsidRPr="00C5157A" w:rsidRDefault="001D2B43" w:rsidP="001D2B43">
      <w:pPr>
        <w:pStyle w:val="SingleTxtG"/>
      </w:pPr>
      <w:r w:rsidRPr="00A35649">
        <w:tab/>
      </w:r>
      <w:r>
        <w:t>15.</w:t>
      </w:r>
      <w:r>
        <w:tab/>
      </w:r>
      <w:r>
        <w:rPr>
          <w:i/>
          <w:iCs/>
        </w:rPr>
        <w:t>принимает к сведению</w:t>
      </w:r>
      <w:r>
        <w:t xml:space="preserve"> доклад Рабочей группы о работе ее двадцать шестой сессии</w:t>
      </w:r>
      <w:r>
        <w:rPr>
          <w:rStyle w:val="aa"/>
        </w:rPr>
        <w:footnoteReference w:id="6"/>
      </w:r>
      <w:r>
        <w:t xml:space="preserve"> и просит Управление Верховного комиссара рассмотреть вопрос о выполнении рекомендаций в отношении Управления, вынесенных Рабочей группой в ее докладе;</w:t>
      </w:r>
    </w:p>
    <w:p w14:paraId="0562B17A" w14:textId="77777777" w:rsidR="001D2B43" w:rsidRPr="00C5157A" w:rsidRDefault="001D2B43" w:rsidP="001D2B43">
      <w:pPr>
        <w:pStyle w:val="SingleTxtG"/>
        <w:rPr>
          <w:bCs/>
        </w:rPr>
      </w:pPr>
      <w:r w:rsidRPr="00A35649">
        <w:tab/>
      </w:r>
      <w:r>
        <w:t>16.</w:t>
      </w:r>
      <w:r>
        <w:tab/>
      </w:r>
      <w:r>
        <w:rPr>
          <w:i/>
          <w:iCs/>
        </w:rPr>
        <w:t>подчеркивает</w:t>
      </w:r>
      <w:r>
        <w:t>, что Рабочая группа будет принимать во внимание все резолюции о праве на развитие, в частности резолюции Совета по правам человека 9/3 и 42/23 от 27 сентября 2019 года;</w:t>
      </w:r>
    </w:p>
    <w:p w14:paraId="363F47F9" w14:textId="77777777" w:rsidR="001D2B43" w:rsidRPr="00C5157A" w:rsidRDefault="001D2B43" w:rsidP="001D2B43">
      <w:pPr>
        <w:pStyle w:val="SingleTxtG"/>
        <w:rPr>
          <w:bCs/>
        </w:rPr>
      </w:pPr>
      <w:r w:rsidRPr="00A35649">
        <w:tab/>
      </w:r>
      <w:r>
        <w:t>17.</w:t>
      </w:r>
      <w:r>
        <w:tab/>
      </w:r>
      <w:r>
        <w:rPr>
          <w:i/>
          <w:iCs/>
        </w:rPr>
        <w:t>просит</w:t>
      </w:r>
      <w:r>
        <w:t xml:space="preserve"> Верховного комиссара привлечь экспертов для дальнейшего предоставления необходимых консультаций, материалов и экспертных знаний Председателю-Докладчику Рабочей группы в рамках выполнения его мандата, а также содействовать участию экспертов в работе будущих сессий Рабочей группы и предоставлять консультации с целью внесения вклада в обсуждения в рамках осуществления и реализации права на развитие;</w:t>
      </w:r>
    </w:p>
    <w:p w14:paraId="34B8ED34" w14:textId="77777777" w:rsidR="001D2B43" w:rsidRPr="00C5157A" w:rsidRDefault="001D2B43" w:rsidP="001D2B43">
      <w:pPr>
        <w:pStyle w:val="SingleTxtG"/>
      </w:pPr>
      <w:r w:rsidRPr="00A35649">
        <w:tab/>
      </w:r>
      <w:r>
        <w:t>18.</w:t>
      </w:r>
      <w:r>
        <w:tab/>
      </w:r>
      <w:r>
        <w:rPr>
          <w:i/>
          <w:iCs/>
        </w:rPr>
        <w:t>приветствует</w:t>
      </w:r>
      <w:r>
        <w:t xml:space="preserve"> ежегодный доклад Экспертного механизма</w:t>
      </w:r>
      <w:r>
        <w:rPr>
          <w:rStyle w:val="aa"/>
        </w:rPr>
        <w:footnoteReference w:id="7"/>
      </w:r>
      <w:r>
        <w:t xml:space="preserve"> и его тематические исследования</w:t>
      </w:r>
      <w:r>
        <w:rPr>
          <w:rStyle w:val="aa"/>
        </w:rPr>
        <w:footnoteReference w:id="8"/>
      </w:r>
      <w:r>
        <w:t xml:space="preserve"> и вновь просит Управление Верховного комиссара усилить секретариатскую поддержку Экспертного механизма;</w:t>
      </w:r>
    </w:p>
    <w:p w14:paraId="3570C440" w14:textId="77777777" w:rsidR="001D2B43" w:rsidRPr="00C5157A" w:rsidRDefault="001D2B43" w:rsidP="001D2B43">
      <w:pPr>
        <w:pStyle w:val="SingleTxtG"/>
      </w:pPr>
      <w:r w:rsidRPr="00A35649">
        <w:tab/>
      </w:r>
      <w:r>
        <w:t>19.</w:t>
      </w:r>
      <w:r>
        <w:tab/>
      </w:r>
      <w:r>
        <w:rPr>
          <w:i/>
          <w:iCs/>
        </w:rPr>
        <w:t>просит</w:t>
      </w:r>
      <w:r>
        <w:t xml:space="preserve"> Экспертный механизм и далее уделять особое внимание международному аспекту права на развитие и тому, каким образом этот аспект позволит на практике обеспечить эффективное осуществление права на развитие на международном, региональном и национальном уровнях;</w:t>
      </w:r>
    </w:p>
    <w:p w14:paraId="4225955B" w14:textId="77777777" w:rsidR="001D2B43" w:rsidRPr="00C5157A" w:rsidRDefault="001D2B43" w:rsidP="001D2B43">
      <w:pPr>
        <w:pStyle w:val="SingleTxtG"/>
      </w:pPr>
      <w:r w:rsidRPr="00A35649">
        <w:tab/>
      </w:r>
      <w:r>
        <w:t>20.</w:t>
      </w:r>
      <w:r>
        <w:tab/>
      </w:r>
      <w:r>
        <w:rPr>
          <w:i/>
          <w:iCs/>
        </w:rPr>
        <w:t>приветствует</w:t>
      </w:r>
      <w:r>
        <w:t xml:space="preserve"> доклад Специального докладчика</w:t>
      </w:r>
      <w:r>
        <w:rPr>
          <w:rStyle w:val="aa"/>
        </w:rPr>
        <w:footnoteReference w:id="9"/>
      </w:r>
      <w:r>
        <w:t xml:space="preserve"> и просит этого мандатария и впредь уделять особое внимание реализации права на развитие, которое способствует полному осуществлению прав человека, в соответствии с мандатом;</w:t>
      </w:r>
    </w:p>
    <w:p w14:paraId="36DF9030" w14:textId="77777777" w:rsidR="001D2B43" w:rsidRPr="00C5157A" w:rsidRDefault="001D2B43" w:rsidP="001D2B43">
      <w:pPr>
        <w:pStyle w:val="SingleTxtG"/>
      </w:pPr>
      <w:r w:rsidRPr="00A35649">
        <w:tab/>
      </w:r>
      <w:r>
        <w:t>21.</w:t>
      </w:r>
      <w:r>
        <w:tab/>
      </w:r>
      <w:r>
        <w:rPr>
          <w:i/>
          <w:iCs/>
        </w:rPr>
        <w:t>постановляет</w:t>
      </w:r>
      <w:r>
        <w:t xml:space="preserve"> продлить на три года мандат Специального докладчика по вопросу о праве на развитие в соответствии с положениями, изложенными в резолюции 33/14 Совета по правам человека от 29 сентября 2016 года;</w:t>
      </w:r>
    </w:p>
    <w:p w14:paraId="39AB49E5" w14:textId="77777777" w:rsidR="001D2B43" w:rsidRPr="00C5157A" w:rsidRDefault="001D2B43" w:rsidP="001D2B43">
      <w:pPr>
        <w:pStyle w:val="SingleTxtG"/>
      </w:pPr>
      <w:r w:rsidRPr="00A35649">
        <w:tab/>
      </w:r>
      <w:r>
        <w:t>22.</w:t>
      </w:r>
      <w:r>
        <w:tab/>
      </w:r>
      <w:r w:rsidRPr="003629D9">
        <w:rPr>
          <w:i/>
          <w:iCs/>
        </w:rPr>
        <w:t>просит</w:t>
      </w:r>
      <w:r>
        <w:t xml:space="preserve"> Специального докладчика и членов Экспертного механизма участвовать в соответствующих международных диалогах и форумах по вопросам политики, касающихся осуществления Повестки дня в области устойчивого развития на период до 2030 года, включая политический форум высокого уровня по вопросам </w:t>
      </w:r>
      <w:r>
        <w:lastRenderedPageBreak/>
        <w:t>устойчивого развития, финансирования в целях развития, изменения климата и снижения риска бедствий, в целях обеспечения более полного учета права на развитие в рамках этих форумов и диалогов и просит государства, международные организации, учреждения Организации Объединенных Наций, региональные экономические комиссии и другие соответствующие организации содействовать значимому участию Специального докладчика и членов Экспертного механизма в этих форумах и диалогах;</w:t>
      </w:r>
    </w:p>
    <w:p w14:paraId="7B3EA277" w14:textId="77777777" w:rsidR="001D2B43" w:rsidRPr="00C5157A" w:rsidRDefault="001D2B43" w:rsidP="001D2B43">
      <w:pPr>
        <w:pStyle w:val="SingleTxtG"/>
      </w:pPr>
      <w:r w:rsidRPr="00A35649">
        <w:tab/>
      </w:r>
      <w:r>
        <w:t>23.</w:t>
      </w:r>
      <w:r>
        <w:tab/>
      </w:r>
      <w:r>
        <w:rPr>
          <w:i/>
          <w:iCs/>
        </w:rPr>
        <w:t>предлагает</w:t>
      </w:r>
      <w:r>
        <w:t xml:space="preserve"> Специальному докладчику оказывать государствам, международным финансовым и экономическим учреждениям и другим соответствующим структурам, корпоративному сектору и гражданскому обществу консультационную помощь в вопросах, касающихся мер по достижению целей и задач в связи со средствами осуществления Повестки дня на период до 2030 года, в интересах полной реализации права на развитие;</w:t>
      </w:r>
      <w:bookmarkStart w:id="5" w:name="_Hlk115343976"/>
      <w:bookmarkEnd w:id="5"/>
    </w:p>
    <w:p w14:paraId="2CEBABFD" w14:textId="77777777" w:rsidR="001D2B43" w:rsidRPr="00C5157A" w:rsidRDefault="001D2B43" w:rsidP="001D2B43">
      <w:pPr>
        <w:pStyle w:val="SingleTxtG"/>
      </w:pPr>
      <w:r w:rsidRPr="00A35649">
        <w:tab/>
      </w:r>
      <w:r>
        <w:t>24.</w:t>
      </w:r>
      <w:r>
        <w:tab/>
      </w:r>
      <w:r>
        <w:rPr>
          <w:i/>
          <w:iCs/>
        </w:rPr>
        <w:t>вновь подтверждает</w:t>
      </w:r>
      <w:r>
        <w:t xml:space="preserve"> свое решение продолжать принимать меры к тому, чтобы его повестка дня способствовала и благоприятствовала устойчивому развитию и достижению целей в области устойчивого развития и в этом отношении вела к тому, чтобы право на развитие, закрепленное в пунктах 5 и 10 Венской декларации и Программы действий, заняло свое место на том же уровне и в том же ряду, что и все другие права человека и основные свободы;</w:t>
      </w:r>
    </w:p>
    <w:p w14:paraId="6831CD05" w14:textId="77777777" w:rsidR="001D2B43" w:rsidRPr="00C5157A" w:rsidRDefault="001D2B43" w:rsidP="001D2B43">
      <w:pPr>
        <w:pStyle w:val="SingleTxtG"/>
      </w:pPr>
      <w:r w:rsidRPr="00A35649">
        <w:tab/>
      </w:r>
      <w:r>
        <w:t>25.</w:t>
      </w:r>
      <w:r>
        <w:tab/>
      </w:r>
      <w:r>
        <w:rPr>
          <w:i/>
          <w:iCs/>
        </w:rPr>
        <w:t>просит</w:t>
      </w:r>
      <w:r>
        <w:t xml:space="preserve"> Управление Верховного комиссара и далее сохранять вопрос о праве на развитие в числе первоочередных вопросов своей повестки дня, продолжать работу в этой области при всестороннем сотрудничестве со Специальным докладчиком по вопросу о праве на развитие и Экспертным механизмом по праву на развитие в их деятельности и оказывать им всю необходимую помощь для эффективного выполнения их мандатов;</w:t>
      </w:r>
    </w:p>
    <w:p w14:paraId="599316ED" w14:textId="77777777" w:rsidR="001D2B43" w:rsidRPr="00C5157A" w:rsidRDefault="001D2B43" w:rsidP="001D2B43">
      <w:pPr>
        <w:pStyle w:val="SingleTxtG"/>
      </w:pPr>
      <w:r w:rsidRPr="00A35649">
        <w:tab/>
      </w:r>
      <w:r>
        <w:t>26.</w:t>
      </w:r>
      <w:r>
        <w:tab/>
      </w:r>
      <w:r>
        <w:rPr>
          <w:i/>
          <w:iCs/>
        </w:rPr>
        <w:t>ссылается</w:t>
      </w:r>
      <w:r>
        <w:t xml:space="preserve"> на организуемое раз в два года обсуждение в рамках дискуссионной группы по вопросу о праве на развитие и доклад Управления Верховного комиссара об этом обсуждении, представленный Совету по правам человека на его пятьдесят восьмой сессии</w:t>
      </w:r>
      <w:r>
        <w:rPr>
          <w:rStyle w:val="aa"/>
        </w:rPr>
        <w:footnoteReference w:id="10"/>
      </w:r>
      <w:r>
        <w:t>, и просит Управление в соответствии с пунктом 27 своей резолюции 42/23 провести следующее организуемое раз в два года обсуждение в рамках дискуссионной группы по вопросу о праве на развитие, которое должно состояться на его шестьдесят третьей сессии, в формате, полностью доступном для инвалидов, в том числе с обеспечением перевода на жестовый язык, а также просит Управление подготовить доклад об этом обсуждении в рамках дискуссионной группы и представить его Совету на его шестьдесят шестой сессии;</w:t>
      </w:r>
    </w:p>
    <w:p w14:paraId="7AE36154" w14:textId="77777777" w:rsidR="001D2B43" w:rsidRPr="00C5157A" w:rsidRDefault="001D2B43" w:rsidP="001D2B43">
      <w:pPr>
        <w:pStyle w:val="SingleTxtG"/>
      </w:pPr>
      <w:r w:rsidRPr="00816DAF">
        <w:tab/>
      </w:r>
      <w:r>
        <w:t>27.</w:t>
      </w:r>
      <w:r>
        <w:tab/>
      </w:r>
      <w:r>
        <w:rPr>
          <w:i/>
          <w:iCs/>
        </w:rPr>
        <w:t>призывает</w:t>
      </w:r>
      <w:r>
        <w:t xml:space="preserve"> все государства сотрудничать со Специальным докладчиком и Экспертным механизмом и оказывать им содействие в выполнении их задач, а также предоставлять всю запрашиваемую ими необходимую информацию, если таковая имеется, для выполнения возложенных на них мандатов;</w:t>
      </w:r>
    </w:p>
    <w:p w14:paraId="0019CE8D" w14:textId="77777777" w:rsidR="001D2B43" w:rsidRPr="00C5157A" w:rsidRDefault="001D2B43" w:rsidP="001D2B43">
      <w:pPr>
        <w:pStyle w:val="SingleTxtG"/>
      </w:pPr>
      <w:r w:rsidRPr="00A35649">
        <w:tab/>
      </w:r>
      <w:r>
        <w:t>28.</w:t>
      </w:r>
      <w:r>
        <w:tab/>
      </w:r>
      <w:r>
        <w:rPr>
          <w:i/>
          <w:iCs/>
        </w:rPr>
        <w:t>просит</w:t>
      </w:r>
      <w:r>
        <w:t xml:space="preserve"> всех мандатариев специальных процедур и другие правозащитные механизмы Совета по правам человека регулярно и систематически учитывать при выполнении их мандатов соображения, связанные с правом на развитие;</w:t>
      </w:r>
    </w:p>
    <w:p w14:paraId="7915B496" w14:textId="77777777" w:rsidR="001D2B43" w:rsidRPr="00C5157A" w:rsidRDefault="001D2B43" w:rsidP="001D2B43">
      <w:pPr>
        <w:pStyle w:val="SingleTxtG"/>
      </w:pPr>
      <w:r w:rsidRPr="00A35649">
        <w:tab/>
      </w:r>
      <w:r>
        <w:t>29.</w:t>
      </w:r>
      <w:r>
        <w:tab/>
      </w:r>
      <w:r>
        <w:rPr>
          <w:i/>
          <w:iCs/>
        </w:rPr>
        <w:t>призывает</w:t>
      </w:r>
      <w:r>
        <w:t xml:space="preserve"> соответствующие органы системы Организации Объединенных Наций, включая специализированные учреждения, фонды и программы Организации Объединенных Наций, согласно их соответствующим мандатам, соответствующие международные организации, включая Всемирную торговую организацию, и соответствующие заинтересованные стороны, в том числе организации гражданского общества, уделять должное внимание праву на развитие при осуществлении Повестки дня на период до 2030 года, вносить дальнейший вклад в деятельность Рабочей группы и сотрудничать с Верховным комиссаром, Специальным докладчиком и Экспертным механизмом в деле выполнения их мандатов в части поощрения и осуществления права на развитие;</w:t>
      </w:r>
    </w:p>
    <w:p w14:paraId="50BDD5A1" w14:textId="77777777" w:rsidR="001D2B43" w:rsidRDefault="001D2B43" w:rsidP="001D2B43">
      <w:pPr>
        <w:pStyle w:val="SingleTxtG"/>
      </w:pPr>
      <w:r w:rsidRPr="00A35649">
        <w:lastRenderedPageBreak/>
        <w:tab/>
      </w:r>
      <w:r>
        <w:t>30.</w:t>
      </w:r>
      <w:r>
        <w:tab/>
      </w:r>
      <w:r>
        <w:rPr>
          <w:i/>
          <w:iCs/>
        </w:rPr>
        <w:t>постановляет</w:t>
      </w:r>
      <w:r>
        <w:t xml:space="preserve"> рассматривать вопрос о ходе осуществления настоящей резолюции в качестве приоритетного на своих будущих сессиях.</w:t>
      </w:r>
    </w:p>
    <w:p w14:paraId="1DB961C6" w14:textId="77777777" w:rsidR="001D2B43" w:rsidRPr="002B0F0F" w:rsidRDefault="001D2B43" w:rsidP="001D2B43">
      <w:pPr>
        <w:pStyle w:val="SingleTxtG"/>
        <w:ind w:left="1118"/>
        <w:jc w:val="right"/>
        <w:rPr>
          <w:i/>
          <w:iCs/>
        </w:rPr>
      </w:pPr>
      <w:r w:rsidRPr="002B0F0F">
        <w:rPr>
          <w:i/>
          <w:iCs/>
        </w:rPr>
        <w:t>42-</w:t>
      </w:r>
      <w:r>
        <w:rPr>
          <w:i/>
          <w:iCs/>
        </w:rPr>
        <w:t>е</w:t>
      </w:r>
      <w:r w:rsidRPr="002B0F0F">
        <w:rPr>
          <w:i/>
          <w:iCs/>
        </w:rPr>
        <w:t xml:space="preserve"> </w:t>
      </w:r>
      <w:r>
        <w:rPr>
          <w:i/>
          <w:iCs/>
        </w:rPr>
        <w:t>заседание</w:t>
      </w:r>
      <w:r w:rsidRPr="002B0F0F">
        <w:rPr>
          <w:i/>
          <w:iCs/>
        </w:rPr>
        <w:br/>
        <w:t xml:space="preserve">6 </w:t>
      </w:r>
      <w:r>
        <w:rPr>
          <w:i/>
          <w:iCs/>
        </w:rPr>
        <w:t>октября</w:t>
      </w:r>
      <w:r w:rsidRPr="002B0F0F">
        <w:rPr>
          <w:i/>
          <w:iCs/>
        </w:rPr>
        <w:t xml:space="preserve"> 2025 </w:t>
      </w:r>
      <w:r>
        <w:rPr>
          <w:i/>
          <w:iCs/>
        </w:rPr>
        <w:t>года</w:t>
      </w:r>
    </w:p>
    <w:p w14:paraId="6BE8AC10" w14:textId="77777777" w:rsidR="001D2B43" w:rsidRPr="009A08EE" w:rsidRDefault="001D2B43" w:rsidP="001D2B43">
      <w:pPr>
        <w:pStyle w:val="SingleTxtG"/>
        <w:ind w:left="1118"/>
      </w:pPr>
      <w:r w:rsidRPr="00805F63">
        <w:t>[</w:t>
      </w:r>
      <w:r>
        <w:t>Принята</w:t>
      </w:r>
      <w:r w:rsidRPr="00805F63">
        <w:t xml:space="preserve"> </w:t>
      </w:r>
      <w:r>
        <w:t>в</w:t>
      </w:r>
      <w:r w:rsidRPr="00805F63">
        <w:t xml:space="preserve"> </w:t>
      </w:r>
      <w:r>
        <w:t>результате</w:t>
      </w:r>
      <w:r w:rsidRPr="00805F63">
        <w:t xml:space="preserve"> </w:t>
      </w:r>
      <w:r>
        <w:t>з</w:t>
      </w:r>
      <w:r w:rsidRPr="00805F63">
        <w:t>аносимого в отчет о заседании голосования</w:t>
      </w:r>
      <w:r w:rsidRPr="00B878D0">
        <w:t xml:space="preserve"> </w:t>
      </w:r>
      <w:r w:rsidRPr="00805F63">
        <w:t xml:space="preserve">28 </w:t>
      </w:r>
      <w:r>
        <w:t>голосами против</w:t>
      </w:r>
      <w:r w:rsidRPr="00805F63">
        <w:t xml:space="preserve"> 14</w:t>
      </w:r>
      <w:r>
        <w:t xml:space="preserve"> при</w:t>
      </w:r>
      <w:r w:rsidRPr="00805F63">
        <w:t xml:space="preserve"> 5 </w:t>
      </w:r>
      <w:r>
        <w:t>воздержавшихся</w:t>
      </w:r>
      <w:r w:rsidRPr="00805F63">
        <w:t>. Голоса распределились следующим образом</w:t>
      </w:r>
      <w:r w:rsidRPr="009A08EE">
        <w:t>:</w:t>
      </w:r>
    </w:p>
    <w:p w14:paraId="581DD86C" w14:textId="77777777" w:rsidR="001D2B43" w:rsidRPr="009A08EE" w:rsidRDefault="001D2B43" w:rsidP="001D2B43">
      <w:pPr>
        <w:pStyle w:val="SingleTxtG"/>
        <w:spacing w:after="0"/>
        <w:ind w:left="1701"/>
      </w:pPr>
      <w:r w:rsidRPr="00233D29">
        <w:rPr>
          <w:i/>
          <w:iCs/>
        </w:rPr>
        <w:t>Голосовали за</w:t>
      </w:r>
      <w:r w:rsidRPr="009A08EE">
        <w:t xml:space="preserve">: </w:t>
      </w:r>
    </w:p>
    <w:p w14:paraId="0C0495C2" w14:textId="49A97F00" w:rsidR="001D2B43" w:rsidRPr="001D2B43" w:rsidRDefault="001D2B43" w:rsidP="001D2B43">
      <w:pPr>
        <w:pStyle w:val="SingleTxtG"/>
        <w:ind w:left="2268"/>
      </w:pPr>
      <w:r>
        <w:t>Алжир</w:t>
      </w:r>
      <w:r w:rsidRPr="006B451F">
        <w:t xml:space="preserve">, </w:t>
      </w:r>
      <w:r>
        <w:t>Бангладеш</w:t>
      </w:r>
      <w:r w:rsidRPr="006B451F">
        <w:t xml:space="preserve">, </w:t>
      </w:r>
      <w:r>
        <w:t>Бенин</w:t>
      </w:r>
      <w:r w:rsidRPr="006B451F">
        <w:t xml:space="preserve">, </w:t>
      </w:r>
      <w:r>
        <w:t>Боливия</w:t>
      </w:r>
      <w:r w:rsidRPr="006B451F">
        <w:t xml:space="preserve"> (</w:t>
      </w:r>
      <w:r>
        <w:t>Многонациональное Государство</w:t>
      </w:r>
      <w:r w:rsidRPr="006B451F">
        <w:t xml:space="preserve">), </w:t>
      </w:r>
      <w:r>
        <w:t>Бразилия</w:t>
      </w:r>
      <w:r w:rsidRPr="006B451F">
        <w:t xml:space="preserve">, </w:t>
      </w:r>
      <w:r>
        <w:t>Бурунди</w:t>
      </w:r>
      <w:r w:rsidRPr="006B451F">
        <w:t xml:space="preserve">, </w:t>
      </w:r>
      <w:r>
        <w:t>Вьетнам, Гамбия</w:t>
      </w:r>
      <w:r w:rsidRPr="006B451F">
        <w:t xml:space="preserve">, </w:t>
      </w:r>
      <w:r>
        <w:t>Гана</w:t>
      </w:r>
      <w:r w:rsidRPr="006B451F">
        <w:t xml:space="preserve">, </w:t>
      </w:r>
      <w:r>
        <w:t>Демократическая Республика Конго</w:t>
      </w:r>
      <w:r w:rsidRPr="006B451F">
        <w:t xml:space="preserve">, </w:t>
      </w:r>
      <w:r>
        <w:t>Доминиканская Республика</w:t>
      </w:r>
      <w:r w:rsidRPr="006B451F">
        <w:t xml:space="preserve">, </w:t>
      </w:r>
      <w:r>
        <w:t>Индонезия</w:t>
      </w:r>
      <w:r w:rsidRPr="006B451F">
        <w:t xml:space="preserve">, </w:t>
      </w:r>
      <w:r>
        <w:t>Катар</w:t>
      </w:r>
      <w:r w:rsidRPr="006B451F">
        <w:t xml:space="preserve">, </w:t>
      </w:r>
      <w:r>
        <w:t>Кения</w:t>
      </w:r>
      <w:r w:rsidRPr="006B451F">
        <w:t xml:space="preserve">, </w:t>
      </w:r>
      <w:r>
        <w:t>Китай</w:t>
      </w:r>
      <w:r w:rsidRPr="006B451F">
        <w:t xml:space="preserve">, </w:t>
      </w:r>
      <w:r>
        <w:t>Колумбия</w:t>
      </w:r>
      <w:r w:rsidRPr="006B451F">
        <w:t>, Кот</w:t>
      </w:r>
      <w:r>
        <w:t>-</w:t>
      </w:r>
      <w:r w:rsidRPr="006B451F">
        <w:t xml:space="preserve">д’Ивуар, </w:t>
      </w:r>
      <w:r>
        <w:t>Куба</w:t>
      </w:r>
      <w:r w:rsidRPr="006B451F">
        <w:t xml:space="preserve">, </w:t>
      </w:r>
      <w:r>
        <w:t>Кувейт</w:t>
      </w:r>
      <w:r w:rsidRPr="006B451F">
        <w:t xml:space="preserve">, </w:t>
      </w:r>
      <w:r>
        <w:t>Кыргызстан</w:t>
      </w:r>
      <w:r w:rsidRPr="006B451F">
        <w:t xml:space="preserve">, </w:t>
      </w:r>
      <w:r>
        <w:t>Малави</w:t>
      </w:r>
      <w:r w:rsidRPr="006B451F">
        <w:t xml:space="preserve">, </w:t>
      </w:r>
      <w:r>
        <w:t>Мальдивские Острова</w:t>
      </w:r>
      <w:r w:rsidRPr="006B451F">
        <w:t xml:space="preserve">, </w:t>
      </w:r>
      <w:r>
        <w:t>Марокко</w:t>
      </w:r>
      <w:r w:rsidRPr="006B451F">
        <w:t xml:space="preserve">, </w:t>
      </w:r>
      <w:r>
        <w:t>Мексика</w:t>
      </w:r>
      <w:r w:rsidRPr="006B451F">
        <w:t xml:space="preserve">, </w:t>
      </w:r>
      <w:r>
        <w:t>Судан</w:t>
      </w:r>
      <w:r w:rsidRPr="006B451F">
        <w:t xml:space="preserve">, </w:t>
      </w:r>
      <w:r>
        <w:t>Таиланд</w:t>
      </w:r>
      <w:r w:rsidRPr="006B451F">
        <w:t xml:space="preserve">, </w:t>
      </w:r>
      <w:r>
        <w:t>Эфиопия, Южная Африка</w:t>
      </w:r>
      <w:r w:rsidRPr="001D2B43">
        <w:t>.</w:t>
      </w:r>
    </w:p>
    <w:p w14:paraId="26F1E3E2" w14:textId="77777777" w:rsidR="001D2B43" w:rsidRPr="002B0F0F" w:rsidRDefault="001D2B43" w:rsidP="001D2B43">
      <w:pPr>
        <w:pStyle w:val="SingleTxtG"/>
        <w:spacing w:after="0"/>
        <w:ind w:left="1701"/>
      </w:pPr>
      <w:r w:rsidRPr="00233D29">
        <w:rPr>
          <w:i/>
          <w:iCs/>
        </w:rPr>
        <w:t>Голосовали</w:t>
      </w:r>
      <w:r w:rsidRPr="002B0F0F">
        <w:rPr>
          <w:i/>
          <w:iCs/>
        </w:rPr>
        <w:t xml:space="preserve"> </w:t>
      </w:r>
      <w:r w:rsidRPr="00233D29">
        <w:rPr>
          <w:i/>
          <w:iCs/>
        </w:rPr>
        <w:t>против</w:t>
      </w:r>
      <w:r w:rsidRPr="002B0F0F">
        <w:t xml:space="preserve">: </w:t>
      </w:r>
    </w:p>
    <w:p w14:paraId="28C0159E" w14:textId="151CACBB" w:rsidR="001D2B43" w:rsidRPr="00FE288B" w:rsidRDefault="001D2B43" w:rsidP="001D2B43">
      <w:pPr>
        <w:pStyle w:val="SingleTxtG"/>
        <w:ind w:left="2268"/>
        <w:rPr>
          <w:i/>
          <w:iCs/>
        </w:rPr>
      </w:pPr>
      <w:r>
        <w:t>Албания</w:t>
      </w:r>
      <w:r w:rsidRPr="00FE288B">
        <w:t xml:space="preserve">, </w:t>
      </w:r>
      <w:r>
        <w:t>Бельгия</w:t>
      </w:r>
      <w:r w:rsidRPr="00FE288B">
        <w:t xml:space="preserve">, </w:t>
      </w:r>
      <w:r>
        <w:t>Болгария</w:t>
      </w:r>
      <w:r w:rsidRPr="00FE288B">
        <w:t xml:space="preserve">, </w:t>
      </w:r>
      <w:r>
        <w:t>Германия</w:t>
      </w:r>
      <w:r w:rsidRPr="00FE288B">
        <w:t xml:space="preserve">, </w:t>
      </w:r>
      <w:r>
        <w:t>Грузия</w:t>
      </w:r>
      <w:r w:rsidRPr="00FE288B">
        <w:t xml:space="preserve">, </w:t>
      </w:r>
      <w:r>
        <w:t>Испания</w:t>
      </w:r>
      <w:r w:rsidRPr="00FE288B">
        <w:t xml:space="preserve">, </w:t>
      </w:r>
      <w:r>
        <w:t>Кипр</w:t>
      </w:r>
      <w:r w:rsidRPr="00FE288B">
        <w:t xml:space="preserve">, </w:t>
      </w:r>
      <w:r>
        <w:t>Нидерланды</w:t>
      </w:r>
      <w:r w:rsidRPr="00FE288B">
        <w:t xml:space="preserve"> (</w:t>
      </w:r>
      <w:r>
        <w:t>Королевство</w:t>
      </w:r>
      <w:r w:rsidRPr="00FE288B">
        <w:t xml:space="preserve">), </w:t>
      </w:r>
      <w:r>
        <w:t>Румыния</w:t>
      </w:r>
      <w:r w:rsidRPr="00FE288B">
        <w:t xml:space="preserve">, </w:t>
      </w:r>
      <w:r>
        <w:t>Северная Македония</w:t>
      </w:r>
      <w:r w:rsidRPr="00FE288B">
        <w:t xml:space="preserve">, </w:t>
      </w:r>
      <w:r>
        <w:t>Франция</w:t>
      </w:r>
      <w:r w:rsidRPr="00FE288B">
        <w:t xml:space="preserve">, </w:t>
      </w:r>
      <w:r>
        <w:t>Чехия</w:t>
      </w:r>
      <w:r w:rsidRPr="00FE288B">
        <w:t xml:space="preserve">, </w:t>
      </w:r>
      <w:r>
        <w:t>Швейцария, Япония</w:t>
      </w:r>
      <w:r>
        <w:t>.</w:t>
      </w:r>
    </w:p>
    <w:p w14:paraId="6C0A10EF" w14:textId="77777777" w:rsidR="001D2B43" w:rsidRPr="002B0F0F" w:rsidRDefault="001D2B43" w:rsidP="001D2B43">
      <w:pPr>
        <w:pStyle w:val="SingleTxtG"/>
        <w:spacing w:after="0"/>
        <w:ind w:left="1701"/>
      </w:pPr>
      <w:r w:rsidRPr="00185B91">
        <w:rPr>
          <w:i/>
          <w:iCs/>
        </w:rPr>
        <w:t>Воздержались</w:t>
      </w:r>
      <w:r w:rsidRPr="002B0F0F">
        <w:t xml:space="preserve">: </w:t>
      </w:r>
    </w:p>
    <w:p w14:paraId="5938860D" w14:textId="081B3184" w:rsidR="001D2B43" w:rsidRPr="008B4DDC" w:rsidRDefault="001D2B43" w:rsidP="001D2B43">
      <w:pPr>
        <w:pStyle w:val="SingleTxtG"/>
        <w:ind w:left="1701" w:firstLine="567"/>
      </w:pPr>
      <w:r>
        <w:t>Исландия</w:t>
      </w:r>
      <w:r w:rsidRPr="008B4DDC">
        <w:t xml:space="preserve">, </w:t>
      </w:r>
      <w:r>
        <w:t>Коста</w:t>
      </w:r>
      <w:r w:rsidRPr="008B4DDC">
        <w:t>-</w:t>
      </w:r>
      <w:r>
        <w:t>Рика</w:t>
      </w:r>
      <w:r w:rsidRPr="008B4DDC">
        <w:t xml:space="preserve">, </w:t>
      </w:r>
      <w:r>
        <w:t>Маршалловы Острова</w:t>
      </w:r>
      <w:r w:rsidRPr="008B4DDC">
        <w:t xml:space="preserve">, </w:t>
      </w:r>
      <w:r>
        <w:t>Республика Корея, Чили</w:t>
      </w:r>
      <w:r>
        <w:t>.</w:t>
      </w:r>
      <w:r w:rsidRPr="008B4DDC">
        <w:t>]</w:t>
      </w:r>
    </w:p>
    <w:p w14:paraId="5757E569" w14:textId="4799E46E" w:rsidR="001D2B43" w:rsidRPr="001D2B43" w:rsidRDefault="001D2B43" w:rsidP="001D2B43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D2B43" w:rsidRPr="001D2B43" w:rsidSect="001D2B4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31993" w14:textId="77777777" w:rsidR="002F54A8" w:rsidRPr="00A312BC" w:rsidRDefault="002F54A8" w:rsidP="00A312BC"/>
  </w:endnote>
  <w:endnote w:type="continuationSeparator" w:id="0">
    <w:p w14:paraId="1173C8F1" w14:textId="77777777" w:rsidR="002F54A8" w:rsidRPr="00A312BC" w:rsidRDefault="002F54A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1EB19" w14:textId="0221B8B6" w:rsidR="001D2B43" w:rsidRPr="001D2B43" w:rsidRDefault="001D2B43">
    <w:pPr>
      <w:pStyle w:val="a8"/>
    </w:pPr>
    <w:r w:rsidRPr="001D2B43">
      <w:rPr>
        <w:b/>
        <w:sz w:val="18"/>
      </w:rPr>
      <w:fldChar w:fldCharType="begin"/>
    </w:r>
    <w:r w:rsidRPr="001D2B43">
      <w:rPr>
        <w:b/>
        <w:sz w:val="18"/>
      </w:rPr>
      <w:instrText xml:space="preserve"> PAGE  \* MERGEFORMAT </w:instrText>
    </w:r>
    <w:r w:rsidRPr="001D2B43">
      <w:rPr>
        <w:b/>
        <w:sz w:val="18"/>
      </w:rPr>
      <w:fldChar w:fldCharType="separate"/>
    </w:r>
    <w:r w:rsidRPr="001D2B43">
      <w:rPr>
        <w:b/>
        <w:noProof/>
        <w:sz w:val="18"/>
      </w:rPr>
      <w:t>2</w:t>
    </w:r>
    <w:r w:rsidRPr="001D2B43">
      <w:rPr>
        <w:b/>
        <w:sz w:val="18"/>
      </w:rPr>
      <w:fldChar w:fldCharType="end"/>
    </w:r>
    <w:r>
      <w:rPr>
        <w:b/>
        <w:sz w:val="18"/>
      </w:rPr>
      <w:tab/>
    </w:r>
    <w:r>
      <w:t>GE.25-15966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10FF82" w14:textId="2BBA4304" w:rsidR="001D2B43" w:rsidRPr="001D2B43" w:rsidRDefault="001D2B43" w:rsidP="001D2B43">
    <w:pPr>
      <w:pStyle w:val="a8"/>
      <w:tabs>
        <w:tab w:val="clear" w:pos="9639"/>
        <w:tab w:val="right" w:pos="9638"/>
      </w:tabs>
      <w:rPr>
        <w:b/>
        <w:sz w:val="18"/>
      </w:rPr>
    </w:pPr>
    <w:r>
      <w:t>GE.25-15966</w:t>
    </w:r>
    <w:r>
      <w:tab/>
    </w:r>
    <w:r w:rsidRPr="001D2B43">
      <w:rPr>
        <w:b/>
        <w:sz w:val="18"/>
      </w:rPr>
      <w:fldChar w:fldCharType="begin"/>
    </w:r>
    <w:r w:rsidRPr="001D2B43">
      <w:rPr>
        <w:b/>
        <w:sz w:val="18"/>
      </w:rPr>
      <w:instrText xml:space="preserve"> PAGE  \* MERGEFORMAT </w:instrText>
    </w:r>
    <w:r w:rsidRPr="001D2B43">
      <w:rPr>
        <w:b/>
        <w:sz w:val="18"/>
      </w:rPr>
      <w:fldChar w:fldCharType="separate"/>
    </w:r>
    <w:r w:rsidRPr="001D2B43">
      <w:rPr>
        <w:b/>
        <w:noProof/>
        <w:sz w:val="18"/>
      </w:rPr>
      <w:t>3</w:t>
    </w:r>
    <w:r w:rsidRPr="001D2B4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8C3B3" w14:textId="68A5F09C" w:rsidR="00042B72" w:rsidRPr="001D2B43" w:rsidRDefault="001D2B43" w:rsidP="001D2B4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E1DE2B0" wp14:editId="33837C8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25-15966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8D07EC9" wp14:editId="7254BEF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081025  081025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19AAA3" w14:textId="77777777" w:rsidR="002F54A8" w:rsidRPr="001075E9" w:rsidRDefault="002F54A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D852C8B" w14:textId="77777777" w:rsidR="002F54A8" w:rsidRDefault="002F54A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87B89D8" w14:textId="73F19FDA" w:rsidR="001D2B43" w:rsidRPr="00C5157A" w:rsidRDefault="001D2B43" w:rsidP="001D2B43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>
        <w:tab/>
        <w:t xml:space="preserve">Резолюция </w:t>
      </w:r>
      <w:hyperlink r:id="rId1" w:history="1">
        <w:r w:rsidRPr="001D2B43">
          <w:rPr>
            <w:rStyle w:val="af1"/>
          </w:rPr>
          <w:t>73/291</w:t>
        </w:r>
      </w:hyperlink>
      <w:r>
        <w:t xml:space="preserve"> Генеральной Ассамблеи.</w:t>
      </w:r>
    </w:p>
  </w:footnote>
  <w:footnote w:id="2">
    <w:p w14:paraId="66641D9A" w14:textId="0E82A349" w:rsidR="001D2B43" w:rsidRPr="000F7708" w:rsidRDefault="001D2B43" w:rsidP="001D2B43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 w:rsidRPr="000F7708">
        <w:tab/>
      </w:r>
      <w:hyperlink r:id="rId2" w:history="1">
        <w:r w:rsidRPr="001D2B43">
          <w:rPr>
            <w:rStyle w:val="af1"/>
            <w:lang w:val="en-US"/>
          </w:rPr>
          <w:t>A</w:t>
        </w:r>
        <w:r w:rsidRPr="000F7708">
          <w:rPr>
            <w:rStyle w:val="af1"/>
          </w:rPr>
          <w:t>/</w:t>
        </w:r>
        <w:proofErr w:type="spellStart"/>
        <w:r w:rsidRPr="001D2B43">
          <w:rPr>
            <w:rStyle w:val="af1"/>
            <w:lang w:val="en-US"/>
          </w:rPr>
          <w:t>HRC</w:t>
        </w:r>
        <w:proofErr w:type="spellEnd"/>
        <w:r w:rsidRPr="000F7708">
          <w:rPr>
            <w:rStyle w:val="af1"/>
          </w:rPr>
          <w:t>/45/40</w:t>
        </w:r>
      </w:hyperlink>
      <w:r w:rsidRPr="000F7708">
        <w:t>.</w:t>
      </w:r>
    </w:p>
  </w:footnote>
  <w:footnote w:id="3">
    <w:p w14:paraId="29D079A2" w14:textId="7F8BBF90" w:rsidR="001D2B43" w:rsidRPr="001D2B43" w:rsidRDefault="001D2B43" w:rsidP="001D2B43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0F7708">
        <w:tab/>
      </w:r>
      <w:r>
        <w:rPr>
          <w:rStyle w:val="aa"/>
        </w:rPr>
        <w:footnoteRef/>
      </w:r>
      <w:r w:rsidRPr="001D2B43">
        <w:rPr>
          <w:lang w:val="en-US"/>
        </w:rPr>
        <w:tab/>
      </w:r>
      <w:hyperlink r:id="rId3" w:history="1">
        <w:r w:rsidRPr="001D2B43">
          <w:rPr>
            <w:rStyle w:val="af1"/>
            <w:lang w:val="en-US"/>
          </w:rPr>
          <w:t>A/</w:t>
        </w:r>
        <w:proofErr w:type="spellStart"/>
        <w:r w:rsidRPr="001D2B43">
          <w:rPr>
            <w:rStyle w:val="af1"/>
            <w:lang w:val="en-US"/>
          </w:rPr>
          <w:t>HRC</w:t>
        </w:r>
        <w:proofErr w:type="spellEnd"/>
        <w:r w:rsidRPr="001D2B43">
          <w:rPr>
            <w:rStyle w:val="af1"/>
            <w:lang w:val="en-US"/>
          </w:rPr>
          <w:t>/54/38</w:t>
        </w:r>
      </w:hyperlink>
      <w:r w:rsidRPr="001D2B43">
        <w:rPr>
          <w:lang w:val="en-US"/>
        </w:rPr>
        <w:t>.</w:t>
      </w:r>
    </w:p>
  </w:footnote>
  <w:footnote w:id="4">
    <w:p w14:paraId="3DD709C7" w14:textId="0DB21F15" w:rsidR="001D2B43" w:rsidRPr="001D2B43" w:rsidRDefault="001D2B43" w:rsidP="001D2B43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1D2B43">
        <w:rPr>
          <w:lang w:val="en-US"/>
        </w:rPr>
        <w:tab/>
      </w:r>
      <w:r>
        <w:rPr>
          <w:rStyle w:val="aa"/>
        </w:rPr>
        <w:footnoteRef/>
      </w:r>
      <w:r w:rsidRPr="001D2B43">
        <w:rPr>
          <w:lang w:val="en-US"/>
        </w:rPr>
        <w:tab/>
      </w:r>
      <w:hyperlink r:id="rId4" w:history="1">
        <w:r w:rsidRPr="001D2B43">
          <w:rPr>
            <w:rStyle w:val="af1"/>
            <w:lang w:val="en-US"/>
          </w:rPr>
          <w:t>A/</w:t>
        </w:r>
        <w:proofErr w:type="spellStart"/>
        <w:r w:rsidRPr="001D2B43">
          <w:rPr>
            <w:rStyle w:val="af1"/>
            <w:lang w:val="en-US"/>
          </w:rPr>
          <w:t>HRC</w:t>
        </w:r>
        <w:proofErr w:type="spellEnd"/>
        <w:r w:rsidRPr="001D2B43">
          <w:rPr>
            <w:rStyle w:val="af1"/>
            <w:lang w:val="en-US"/>
          </w:rPr>
          <w:t>/54/45</w:t>
        </w:r>
      </w:hyperlink>
      <w:r w:rsidRPr="001D2B43">
        <w:rPr>
          <w:lang w:val="en-US"/>
        </w:rPr>
        <w:t>.</w:t>
      </w:r>
    </w:p>
  </w:footnote>
  <w:footnote w:id="5">
    <w:p w14:paraId="7D9EED88" w14:textId="47A3FCBD" w:rsidR="001D2B43" w:rsidRPr="00C5157A" w:rsidRDefault="001D2B43" w:rsidP="001D2B43">
      <w:pPr>
        <w:pStyle w:val="ad"/>
        <w:widowControl w:val="0"/>
        <w:tabs>
          <w:tab w:val="clear" w:pos="1021"/>
          <w:tab w:val="right" w:pos="1020"/>
        </w:tabs>
      </w:pPr>
      <w:r w:rsidRPr="001D2B43">
        <w:rPr>
          <w:lang w:val="en-US"/>
        </w:rPr>
        <w:tab/>
      </w:r>
      <w:r>
        <w:rPr>
          <w:rStyle w:val="aa"/>
        </w:rPr>
        <w:footnoteRef/>
      </w:r>
      <w:r>
        <w:tab/>
      </w:r>
      <w:hyperlink r:id="rId5" w:history="1">
        <w:r w:rsidRPr="001D2B43">
          <w:rPr>
            <w:rStyle w:val="af1"/>
          </w:rPr>
          <w:t>E/CN.4/2002/28/Rev.1</w:t>
        </w:r>
      </w:hyperlink>
      <w:r>
        <w:t>, разд. VIII.A.</w:t>
      </w:r>
    </w:p>
  </w:footnote>
  <w:footnote w:id="6">
    <w:p w14:paraId="550B7D3B" w14:textId="0831EBE6" w:rsidR="001D2B43" w:rsidRPr="001D2B43" w:rsidRDefault="001D2B43" w:rsidP="001D2B43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>
        <w:tab/>
      </w:r>
      <w:r>
        <w:rPr>
          <w:rStyle w:val="aa"/>
        </w:rPr>
        <w:footnoteRef/>
      </w:r>
      <w:r w:rsidRPr="001D2B43">
        <w:rPr>
          <w:lang w:val="en-US"/>
        </w:rPr>
        <w:tab/>
      </w:r>
      <w:hyperlink r:id="rId6" w:history="1">
        <w:r w:rsidRPr="001D2B43">
          <w:rPr>
            <w:rStyle w:val="af1"/>
            <w:lang w:val="en-US"/>
          </w:rPr>
          <w:t>A/</w:t>
        </w:r>
        <w:proofErr w:type="spellStart"/>
        <w:r w:rsidRPr="001D2B43">
          <w:rPr>
            <w:rStyle w:val="af1"/>
            <w:lang w:val="en-US"/>
          </w:rPr>
          <w:t>HRC</w:t>
        </w:r>
        <w:proofErr w:type="spellEnd"/>
        <w:r w:rsidRPr="001D2B43">
          <w:rPr>
            <w:rStyle w:val="af1"/>
            <w:lang w:val="en-US"/>
          </w:rPr>
          <w:t>/60/37</w:t>
        </w:r>
      </w:hyperlink>
      <w:r w:rsidRPr="001D2B43">
        <w:rPr>
          <w:lang w:val="en-US"/>
        </w:rPr>
        <w:t>.</w:t>
      </w:r>
    </w:p>
  </w:footnote>
  <w:footnote w:id="7">
    <w:p w14:paraId="34D01FF8" w14:textId="37B3A7AF" w:rsidR="001D2B43" w:rsidRPr="001D2B43" w:rsidRDefault="001D2B43" w:rsidP="001D2B43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1D2B43">
        <w:rPr>
          <w:lang w:val="en-US"/>
        </w:rPr>
        <w:tab/>
      </w:r>
      <w:r>
        <w:rPr>
          <w:rStyle w:val="aa"/>
        </w:rPr>
        <w:footnoteRef/>
      </w:r>
      <w:r w:rsidRPr="001D2B43">
        <w:rPr>
          <w:lang w:val="en-US"/>
        </w:rPr>
        <w:tab/>
      </w:r>
      <w:hyperlink r:id="rId7" w:history="1">
        <w:r w:rsidRPr="001D2B43">
          <w:rPr>
            <w:rStyle w:val="af1"/>
            <w:lang w:val="en-US"/>
          </w:rPr>
          <w:t>A/</w:t>
        </w:r>
        <w:proofErr w:type="spellStart"/>
        <w:r w:rsidRPr="001D2B43">
          <w:rPr>
            <w:rStyle w:val="af1"/>
            <w:lang w:val="en-US"/>
          </w:rPr>
          <w:t>HRC</w:t>
        </w:r>
        <w:proofErr w:type="spellEnd"/>
        <w:r w:rsidRPr="001D2B43">
          <w:rPr>
            <w:rStyle w:val="af1"/>
            <w:lang w:val="en-US"/>
          </w:rPr>
          <w:t>/60/38</w:t>
        </w:r>
      </w:hyperlink>
      <w:r w:rsidRPr="001D2B43">
        <w:rPr>
          <w:lang w:val="en-US"/>
        </w:rPr>
        <w:t>.</w:t>
      </w:r>
    </w:p>
  </w:footnote>
  <w:footnote w:id="8">
    <w:p w14:paraId="2F673746" w14:textId="68204240" w:rsidR="001D2B43" w:rsidRPr="001D2B43" w:rsidRDefault="001D2B43" w:rsidP="001D2B43">
      <w:pPr>
        <w:pStyle w:val="ad"/>
        <w:widowControl w:val="0"/>
        <w:tabs>
          <w:tab w:val="clear" w:pos="1021"/>
          <w:tab w:val="right" w:pos="1020"/>
        </w:tabs>
        <w:rPr>
          <w:lang w:val="en-US"/>
        </w:rPr>
      </w:pPr>
      <w:r w:rsidRPr="001D2B43">
        <w:rPr>
          <w:lang w:val="en-US"/>
        </w:rPr>
        <w:tab/>
      </w:r>
      <w:r>
        <w:rPr>
          <w:rStyle w:val="aa"/>
        </w:rPr>
        <w:footnoteRef/>
      </w:r>
      <w:r w:rsidRPr="001D2B43">
        <w:rPr>
          <w:lang w:val="en-US"/>
        </w:rPr>
        <w:tab/>
      </w:r>
      <w:hyperlink r:id="rId8" w:history="1">
        <w:r w:rsidRPr="001D2B43">
          <w:rPr>
            <w:rStyle w:val="af1"/>
            <w:lang w:val="en-US"/>
          </w:rPr>
          <w:t>A/</w:t>
        </w:r>
        <w:proofErr w:type="spellStart"/>
        <w:r w:rsidRPr="001D2B43">
          <w:rPr>
            <w:rStyle w:val="af1"/>
            <w:lang w:val="en-US"/>
          </w:rPr>
          <w:t>HRC</w:t>
        </w:r>
        <w:proofErr w:type="spellEnd"/>
        <w:r w:rsidRPr="001D2B43">
          <w:rPr>
            <w:rStyle w:val="af1"/>
            <w:lang w:val="en-US"/>
          </w:rPr>
          <w:t>/60/94</w:t>
        </w:r>
      </w:hyperlink>
      <w:r w:rsidRPr="001D2B43">
        <w:rPr>
          <w:lang w:val="en-US"/>
        </w:rPr>
        <w:t xml:space="preserve"> </w:t>
      </w:r>
      <w:r>
        <w:t>и</w:t>
      </w:r>
      <w:r w:rsidRPr="001D2B43">
        <w:rPr>
          <w:lang w:val="en-US"/>
        </w:rPr>
        <w:t xml:space="preserve"> </w:t>
      </w:r>
      <w:hyperlink r:id="rId9" w:history="1">
        <w:r w:rsidRPr="001D2B43">
          <w:rPr>
            <w:rStyle w:val="af1"/>
            <w:lang w:val="en-US"/>
          </w:rPr>
          <w:t>A/</w:t>
        </w:r>
        <w:proofErr w:type="spellStart"/>
        <w:r w:rsidRPr="001D2B43">
          <w:rPr>
            <w:rStyle w:val="af1"/>
            <w:lang w:val="en-US"/>
          </w:rPr>
          <w:t>HRC</w:t>
        </w:r>
        <w:proofErr w:type="spellEnd"/>
        <w:r w:rsidRPr="001D2B43">
          <w:rPr>
            <w:rStyle w:val="af1"/>
            <w:lang w:val="en-US"/>
          </w:rPr>
          <w:t>/60/95</w:t>
        </w:r>
      </w:hyperlink>
      <w:r w:rsidRPr="001D2B43">
        <w:rPr>
          <w:lang w:val="en-US"/>
        </w:rPr>
        <w:t>.</w:t>
      </w:r>
    </w:p>
  </w:footnote>
  <w:footnote w:id="9">
    <w:p w14:paraId="25C04B87" w14:textId="0F043C7D" w:rsidR="001D2B43" w:rsidRPr="00C5157A" w:rsidRDefault="001D2B43" w:rsidP="001D2B43">
      <w:pPr>
        <w:pStyle w:val="ad"/>
        <w:widowControl w:val="0"/>
        <w:tabs>
          <w:tab w:val="clear" w:pos="1021"/>
          <w:tab w:val="right" w:pos="1020"/>
        </w:tabs>
      </w:pPr>
      <w:r w:rsidRPr="001D2B43">
        <w:rPr>
          <w:lang w:val="en-US"/>
        </w:rPr>
        <w:tab/>
      </w:r>
      <w:r>
        <w:rPr>
          <w:rStyle w:val="aa"/>
        </w:rPr>
        <w:footnoteRef/>
      </w:r>
      <w:r>
        <w:tab/>
      </w:r>
      <w:hyperlink r:id="rId10" w:history="1">
        <w:r w:rsidRPr="001D2B43">
          <w:rPr>
            <w:rStyle w:val="af1"/>
          </w:rPr>
          <w:t>A/</w:t>
        </w:r>
        <w:proofErr w:type="spellStart"/>
        <w:r w:rsidRPr="001D2B43">
          <w:rPr>
            <w:rStyle w:val="af1"/>
          </w:rPr>
          <w:t>HRC</w:t>
        </w:r>
        <w:proofErr w:type="spellEnd"/>
        <w:r w:rsidRPr="001D2B43">
          <w:rPr>
            <w:rStyle w:val="af1"/>
          </w:rPr>
          <w:t>/60/25</w:t>
        </w:r>
      </w:hyperlink>
      <w:r>
        <w:t>.</w:t>
      </w:r>
    </w:p>
  </w:footnote>
  <w:footnote w:id="10">
    <w:p w14:paraId="5D1E3E60" w14:textId="41312D64" w:rsidR="001D2B43" w:rsidRPr="00E60282" w:rsidRDefault="001D2B43" w:rsidP="001D2B43">
      <w:pPr>
        <w:pStyle w:val="ad"/>
      </w:pPr>
      <w:r>
        <w:tab/>
      </w:r>
      <w:r>
        <w:rPr>
          <w:rStyle w:val="aa"/>
        </w:rPr>
        <w:footnoteRef/>
      </w:r>
      <w:r>
        <w:t xml:space="preserve"> </w:t>
      </w:r>
      <w:r>
        <w:tab/>
      </w:r>
      <w:hyperlink r:id="rId11" w:history="1">
        <w:r w:rsidRPr="001D2B43">
          <w:rPr>
            <w:rStyle w:val="af1"/>
          </w:rPr>
          <w:t>A/</w:t>
        </w:r>
        <w:proofErr w:type="spellStart"/>
        <w:r w:rsidRPr="001D2B43">
          <w:rPr>
            <w:rStyle w:val="af1"/>
          </w:rPr>
          <w:t>HRC</w:t>
        </w:r>
        <w:proofErr w:type="spellEnd"/>
        <w:r w:rsidRPr="001D2B43">
          <w:rPr>
            <w:rStyle w:val="af1"/>
          </w:rPr>
          <w:t>/58/45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0B3B1" w14:textId="548F3858" w:rsidR="001D2B43" w:rsidRPr="001D2B43" w:rsidRDefault="001D2B4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E45B8A">
      <w:t>A/</w:t>
    </w:r>
    <w:proofErr w:type="spellStart"/>
    <w:r w:rsidR="00E45B8A">
      <w:t>HRC</w:t>
    </w:r>
    <w:proofErr w:type="spellEnd"/>
    <w:r w:rsidR="00E45B8A">
      <w:t>/RES/60/7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EAB68" w14:textId="3B6B80BB" w:rsidR="001D2B43" w:rsidRPr="001D2B43" w:rsidRDefault="001D2B43" w:rsidP="001D2B43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E45B8A">
      <w:t>A/</w:t>
    </w:r>
    <w:proofErr w:type="spellStart"/>
    <w:r w:rsidR="00E45B8A">
      <w:t>HRC</w:t>
    </w:r>
    <w:proofErr w:type="spellEnd"/>
    <w:r w:rsidR="00E45B8A">
      <w:t>/RES/60/7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487939654">
    <w:abstractNumId w:val="16"/>
  </w:num>
  <w:num w:numId="2" w16cid:durableId="11490686">
    <w:abstractNumId w:val="11"/>
  </w:num>
  <w:num w:numId="3" w16cid:durableId="1677228837">
    <w:abstractNumId w:val="10"/>
  </w:num>
  <w:num w:numId="4" w16cid:durableId="973560460">
    <w:abstractNumId w:val="17"/>
  </w:num>
  <w:num w:numId="5" w16cid:durableId="287129934">
    <w:abstractNumId w:val="13"/>
  </w:num>
  <w:num w:numId="6" w16cid:durableId="100730004">
    <w:abstractNumId w:val="8"/>
  </w:num>
  <w:num w:numId="7" w16cid:durableId="117796546">
    <w:abstractNumId w:val="3"/>
  </w:num>
  <w:num w:numId="8" w16cid:durableId="1195535970">
    <w:abstractNumId w:val="2"/>
  </w:num>
  <w:num w:numId="9" w16cid:durableId="1170173739">
    <w:abstractNumId w:val="1"/>
  </w:num>
  <w:num w:numId="10" w16cid:durableId="385881518">
    <w:abstractNumId w:val="0"/>
  </w:num>
  <w:num w:numId="11" w16cid:durableId="1681618439">
    <w:abstractNumId w:val="9"/>
  </w:num>
  <w:num w:numId="12" w16cid:durableId="157767324">
    <w:abstractNumId w:val="7"/>
  </w:num>
  <w:num w:numId="13" w16cid:durableId="1858764145">
    <w:abstractNumId w:val="6"/>
  </w:num>
  <w:num w:numId="14" w16cid:durableId="789982031">
    <w:abstractNumId w:val="5"/>
  </w:num>
  <w:num w:numId="15" w16cid:durableId="820729325">
    <w:abstractNumId w:val="4"/>
  </w:num>
  <w:num w:numId="16" w16cid:durableId="28268199">
    <w:abstractNumId w:val="15"/>
  </w:num>
  <w:num w:numId="17" w16cid:durableId="1312825980">
    <w:abstractNumId w:val="12"/>
  </w:num>
  <w:num w:numId="18" w16cid:durableId="432822351">
    <w:abstractNumId w:val="14"/>
  </w:num>
  <w:num w:numId="19" w16cid:durableId="675303489">
    <w:abstractNumId w:val="15"/>
  </w:num>
  <w:num w:numId="20" w16cid:durableId="1332676858">
    <w:abstractNumId w:val="12"/>
  </w:num>
  <w:num w:numId="21" w16cid:durableId="142923110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4A8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0F7708"/>
    <w:rsid w:val="001075E9"/>
    <w:rsid w:val="00122E6F"/>
    <w:rsid w:val="00180183"/>
    <w:rsid w:val="0018024D"/>
    <w:rsid w:val="0018649F"/>
    <w:rsid w:val="00196389"/>
    <w:rsid w:val="001B3EF6"/>
    <w:rsid w:val="001C4427"/>
    <w:rsid w:val="001C7A89"/>
    <w:rsid w:val="001D2B43"/>
    <w:rsid w:val="002501D7"/>
    <w:rsid w:val="00272A35"/>
    <w:rsid w:val="00295BB1"/>
    <w:rsid w:val="002A2EFC"/>
    <w:rsid w:val="002C0E18"/>
    <w:rsid w:val="002D3563"/>
    <w:rsid w:val="002D5AAC"/>
    <w:rsid w:val="002E5067"/>
    <w:rsid w:val="002F405F"/>
    <w:rsid w:val="002F54A8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629D9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96D95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4F49"/>
    <w:rsid w:val="00CE5A1A"/>
    <w:rsid w:val="00CF55F6"/>
    <w:rsid w:val="00D33D63"/>
    <w:rsid w:val="00D90028"/>
    <w:rsid w:val="00D90138"/>
    <w:rsid w:val="00DC2121"/>
    <w:rsid w:val="00DD78D1"/>
    <w:rsid w:val="00DF71B9"/>
    <w:rsid w:val="00E45B8A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259C84"/>
  <w15:docId w15:val="{EE55A855-811F-43F2-AF16-9F6D36B7B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customStyle="1" w:styleId="SingleTxtGChar">
    <w:name w:val="_ Single Txt_G Char"/>
    <w:link w:val="SingleTxtG"/>
    <w:qFormat/>
    <w:locked/>
    <w:rsid w:val="001D2B43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1D2B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HRC/60/94" TargetMode="External"/><Relationship Id="rId3" Type="http://schemas.openxmlformats.org/officeDocument/2006/relationships/hyperlink" Target="https://docs.un.org/ru/A/HRC/54/38" TargetMode="External"/><Relationship Id="rId7" Type="http://schemas.openxmlformats.org/officeDocument/2006/relationships/hyperlink" Target="https://docs.un.org/ru/A/HRC/60/38" TargetMode="External"/><Relationship Id="rId2" Type="http://schemas.openxmlformats.org/officeDocument/2006/relationships/hyperlink" Target="https://docs.un.org/ru/A/HRC/45/40" TargetMode="External"/><Relationship Id="rId1" Type="http://schemas.openxmlformats.org/officeDocument/2006/relationships/hyperlink" Target="https://docs.un.org/ru/A/RES/73/291" TargetMode="External"/><Relationship Id="rId6" Type="http://schemas.openxmlformats.org/officeDocument/2006/relationships/hyperlink" Target="https://docs.un.org/ru/A/HRC/60/37" TargetMode="External"/><Relationship Id="rId11" Type="http://schemas.openxmlformats.org/officeDocument/2006/relationships/hyperlink" Target="https://docs.un.org/ru/A/HRC/58/45" TargetMode="External"/><Relationship Id="rId5" Type="http://schemas.openxmlformats.org/officeDocument/2006/relationships/hyperlink" Target="https://docs.un.org/ru/E/CN.4/2002/28/Rev.1" TargetMode="External"/><Relationship Id="rId10" Type="http://schemas.openxmlformats.org/officeDocument/2006/relationships/hyperlink" Target="https://docs.un.org/ru/A/HRC/60/25" TargetMode="External"/><Relationship Id="rId4" Type="http://schemas.openxmlformats.org/officeDocument/2006/relationships/hyperlink" Target="https://docs.un.org/ru/A/HRC/54/45" TargetMode="External"/><Relationship Id="rId9" Type="http://schemas.openxmlformats.org/officeDocument/2006/relationships/hyperlink" Target="https://docs.un.org/ru/A/HRC/60/9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8</Pages>
  <Words>3160</Words>
  <Characters>21214</Characters>
  <Application>Microsoft Office Word</Application>
  <DocSecurity>0</DocSecurity>
  <Lines>385</Lines>
  <Paragraphs>100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A/HRC/RES/60/7</vt:lpstr>
      <vt:lpstr>A/</vt:lpstr>
      <vt:lpstr>A/</vt:lpstr>
      <vt:lpstr>A/</vt:lpstr>
    </vt:vector>
  </TitlesOfParts>
  <Company>DCM</Company>
  <LinksUpToDate>false</LinksUpToDate>
  <CharactersWithSpaces>24274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A/HRC/RES/60/7</dc:title>
  <dc:subject/>
  <dc:creator>Anna PETELINA</dc:creator>
  <cp:keywords/>
  <cp:lastModifiedBy>Anna Taillandier</cp:lastModifiedBy>
  <cp:revision>3</cp:revision>
  <cp:lastPrinted>2025-10-08T08:29:00Z</cp:lastPrinted>
  <dcterms:created xsi:type="dcterms:W3CDTF">2025-10-08T08:29:00Z</dcterms:created>
  <dcterms:modified xsi:type="dcterms:W3CDTF">2025-10-08T08:30:00Z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