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B61F8" w14:textId="77777777" w:rsidR="00970B21" w:rsidRPr="009C09CE" w:rsidRDefault="00970B21" w:rsidP="00970B21">
      <w:pPr>
        <w:spacing w:line="240" w:lineRule="auto"/>
        <w:rPr>
          <w:sz w:val="2"/>
        </w:rPr>
        <w:sectPr w:rsidR="00970B21" w:rsidRPr="009C09CE" w:rsidSect="0068023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C09CE">
        <w:rPr>
          <w:rStyle w:val="CommentReference"/>
        </w:rPr>
        <w:commentReference w:id="0"/>
      </w:r>
    </w:p>
    <w:p w14:paraId="4A546462" w14:textId="77777777" w:rsidR="000F4F89" w:rsidRPr="0061569B" w:rsidRDefault="000F4F89" w:rsidP="000F4F89">
      <w:pPr>
        <w:pStyle w:val="H1"/>
        <w:ind w:left="0" w:right="4080" w:firstLine="0"/>
      </w:pPr>
      <w:r w:rsidRPr="0061569B">
        <w:t>Committee on the Elimination of Discrimination against Women</w:t>
      </w:r>
    </w:p>
    <w:p w14:paraId="229BD81F" w14:textId="77777777" w:rsidR="000F4F89" w:rsidRPr="0061569B" w:rsidRDefault="000F4F89" w:rsidP="000F4F89">
      <w:pPr>
        <w:rPr>
          <w:b/>
          <w:bCs/>
        </w:rPr>
      </w:pPr>
      <w:r w:rsidRPr="0061569B">
        <w:rPr>
          <w:b/>
          <w:bCs/>
        </w:rPr>
        <w:t>Pre-sessional working group</w:t>
      </w:r>
    </w:p>
    <w:p w14:paraId="4FBEF2E7" w14:textId="77777777" w:rsidR="000F4F89" w:rsidRPr="0061569B" w:rsidRDefault="000F4F89" w:rsidP="000F4F89">
      <w:pPr>
        <w:pStyle w:val="Session"/>
      </w:pPr>
      <w:r w:rsidRPr="0061569B">
        <w:t>Eighty-</w:t>
      </w:r>
      <w:r w:rsidRPr="000E43CB">
        <w:t>ninth</w:t>
      </w:r>
      <w:r w:rsidRPr="0061569B">
        <w:t xml:space="preserve"> session</w:t>
      </w:r>
    </w:p>
    <w:p w14:paraId="6B79795B" w14:textId="77777777" w:rsidR="000F4F89" w:rsidRPr="0061569B" w:rsidRDefault="000F4F89" w:rsidP="000F4F89">
      <w:r w:rsidRPr="0061569B">
        <w:t xml:space="preserve">Geneva, </w:t>
      </w:r>
      <w:r w:rsidRPr="000E43CB">
        <w:t>19–23 February</w:t>
      </w:r>
      <w:r w:rsidRPr="0061569B">
        <w:t xml:space="preserve"> 2024</w:t>
      </w:r>
    </w:p>
    <w:p w14:paraId="2E31986A" w14:textId="77777777" w:rsidR="000F4F89" w:rsidRPr="0061569B" w:rsidRDefault="000F4F89" w:rsidP="000F4F89">
      <w:pPr>
        <w:pStyle w:val="SingleTxt"/>
        <w:spacing w:after="0" w:line="120" w:lineRule="exact"/>
        <w:rPr>
          <w:sz w:val="10"/>
        </w:rPr>
      </w:pPr>
    </w:p>
    <w:p w14:paraId="3FB0D3D4" w14:textId="77777777" w:rsidR="000F4F89" w:rsidRPr="0061569B" w:rsidRDefault="000F4F89" w:rsidP="000F4F89">
      <w:pPr>
        <w:pStyle w:val="SingleTxt"/>
        <w:spacing w:after="0" w:line="120" w:lineRule="exact"/>
        <w:rPr>
          <w:sz w:val="10"/>
        </w:rPr>
      </w:pPr>
    </w:p>
    <w:p w14:paraId="7DBB4421" w14:textId="77777777" w:rsidR="000F4F89" w:rsidRPr="0061569B" w:rsidRDefault="000F4F89" w:rsidP="000F4F89">
      <w:pPr>
        <w:pStyle w:val="SingleTxt"/>
        <w:spacing w:after="0" w:line="120" w:lineRule="exact"/>
        <w:rPr>
          <w:sz w:val="10"/>
        </w:rPr>
      </w:pPr>
    </w:p>
    <w:p w14:paraId="14319735" w14:textId="77777777" w:rsidR="000F4F89" w:rsidRPr="0061569B" w:rsidRDefault="000F4F89" w:rsidP="000F4F89">
      <w:pPr>
        <w:pStyle w:val="TitleHCH"/>
        <w:ind w:left="1267" w:right="1260" w:hanging="1267"/>
      </w:pPr>
      <w:r w:rsidRPr="0061569B">
        <w:tab/>
      </w:r>
      <w:r w:rsidRPr="0061569B">
        <w:tab/>
        <w:t>Consideration of reports submitted by States parties under article 18 of the Convention on the Elimination of All Forms of Discrimination against Women</w:t>
      </w:r>
    </w:p>
    <w:p w14:paraId="4D82916A" w14:textId="77777777" w:rsidR="000F4F89" w:rsidRPr="0061569B" w:rsidRDefault="000F4F89" w:rsidP="000F4F89">
      <w:pPr>
        <w:pStyle w:val="SingleTxt"/>
        <w:spacing w:after="0" w:line="120" w:lineRule="exact"/>
        <w:rPr>
          <w:sz w:val="10"/>
        </w:rPr>
      </w:pPr>
    </w:p>
    <w:p w14:paraId="25115C16" w14:textId="77777777" w:rsidR="000F4F89" w:rsidRPr="0061569B" w:rsidRDefault="000F4F89" w:rsidP="000F4F89">
      <w:pPr>
        <w:pStyle w:val="SingleTxt"/>
        <w:spacing w:after="0" w:line="120" w:lineRule="exact"/>
        <w:rPr>
          <w:sz w:val="10"/>
        </w:rPr>
      </w:pPr>
    </w:p>
    <w:p w14:paraId="260683E5" w14:textId="77777777" w:rsidR="000F4F89" w:rsidRPr="0061569B" w:rsidRDefault="000F4F89" w:rsidP="000F4F8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1569B">
        <w:tab/>
      </w:r>
      <w:r w:rsidRPr="0061569B">
        <w:tab/>
        <w:t>Report of the pre-sessional working group</w:t>
      </w:r>
    </w:p>
    <w:p w14:paraId="62FEC21B" w14:textId="77777777" w:rsidR="000F4F89" w:rsidRPr="0061569B" w:rsidRDefault="000F4F89" w:rsidP="000F4F89">
      <w:pPr>
        <w:pStyle w:val="SingleTxt"/>
        <w:spacing w:after="0" w:line="120" w:lineRule="exact"/>
        <w:rPr>
          <w:sz w:val="10"/>
        </w:rPr>
      </w:pPr>
    </w:p>
    <w:p w14:paraId="62695E72" w14:textId="77777777" w:rsidR="000F4F89" w:rsidRPr="0061569B" w:rsidRDefault="000F4F89" w:rsidP="000F4F89">
      <w:pPr>
        <w:pStyle w:val="SingleTxt"/>
        <w:spacing w:after="0" w:line="120" w:lineRule="exact"/>
        <w:rPr>
          <w:sz w:val="10"/>
        </w:rPr>
      </w:pPr>
    </w:p>
    <w:p w14:paraId="7F59370B" w14:textId="77777777" w:rsidR="000F4F89" w:rsidRPr="0061569B" w:rsidRDefault="000F4F89" w:rsidP="000F4F89">
      <w:pPr>
        <w:pStyle w:val="SingleTxt"/>
      </w:pPr>
      <w:r w:rsidRPr="0061569B">
        <w:t>1.</w:t>
      </w:r>
      <w:r w:rsidRPr="0061569B">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1CA195F6" w14:textId="77777777" w:rsidR="000F4F89" w:rsidRPr="0061569B" w:rsidRDefault="000F4F89" w:rsidP="000F4F89">
      <w:pPr>
        <w:pStyle w:val="SingleTxt"/>
      </w:pPr>
      <w:r w:rsidRPr="0061569B">
        <w:t>2.</w:t>
      </w:r>
      <w:r w:rsidRPr="0061569B">
        <w:tab/>
        <w:t>The Committee decided that the pre-sessional working group for its eighty-</w:t>
      </w:r>
      <w:r w:rsidRPr="000E43CB">
        <w:t>ninth</w:t>
      </w:r>
      <w:r w:rsidRPr="0061569B">
        <w:t xml:space="preserve"> session would meet from </w:t>
      </w:r>
      <w:r w:rsidRPr="000E43CB">
        <w:t>19 to 23 February</w:t>
      </w:r>
      <w:r w:rsidRPr="0061569B">
        <w:t xml:space="preserve"> 2024, immediately after the eighty-</w:t>
      </w:r>
      <w:r w:rsidRPr="000E43CB">
        <w:t>seventh</w:t>
      </w:r>
      <w:r w:rsidRPr="0061569B">
        <w:t xml:space="preserve"> session, in order to ensure that sufficient time would be available to States parties to submit their written replies to the lists of issues and questions and to ensure their timely translation.</w:t>
      </w:r>
    </w:p>
    <w:p w14:paraId="7E02C6AB" w14:textId="77777777" w:rsidR="000F4F89" w:rsidRPr="0061569B" w:rsidRDefault="000F4F89" w:rsidP="000F4F89">
      <w:pPr>
        <w:pStyle w:val="SingleTxt"/>
      </w:pPr>
      <w:r w:rsidRPr="0061569B">
        <w:t>3.</w:t>
      </w:r>
      <w:r w:rsidRPr="0061569B">
        <w:tab/>
        <w:t>The following experts were designated as members of the pre-sessional working group and attended the session:</w:t>
      </w:r>
    </w:p>
    <w:p w14:paraId="4B8C9930" w14:textId="77777777" w:rsidR="000F4F89" w:rsidRPr="000E43CB" w:rsidRDefault="000F4F89" w:rsidP="000F4F89">
      <w:pPr>
        <w:pStyle w:val="SingleTxt"/>
        <w:spacing w:after="0"/>
      </w:pPr>
      <w:r w:rsidRPr="0061569B">
        <w:tab/>
      </w:r>
      <w:r w:rsidRPr="000E43CB">
        <w:t>Hiroko Akizuki</w:t>
      </w:r>
    </w:p>
    <w:p w14:paraId="6BDDA512" w14:textId="77777777" w:rsidR="000F4F89" w:rsidRPr="000E43CB" w:rsidRDefault="000F4F89" w:rsidP="000F4F89">
      <w:pPr>
        <w:pStyle w:val="SingleTxt"/>
        <w:spacing w:after="0"/>
      </w:pPr>
      <w:r w:rsidRPr="000E43CB">
        <w:tab/>
        <w:t>Leticia Bonifaz Alfonzo</w:t>
      </w:r>
    </w:p>
    <w:p w14:paraId="31128D30" w14:textId="77777777" w:rsidR="000F4F89" w:rsidRPr="000E43CB" w:rsidRDefault="000F4F89" w:rsidP="000F4F89">
      <w:pPr>
        <w:pStyle w:val="SingleTxt"/>
        <w:spacing w:after="0"/>
      </w:pPr>
      <w:r w:rsidRPr="000E43CB">
        <w:tab/>
        <w:t>Corinne Dettmeijer-Vermeulen</w:t>
      </w:r>
    </w:p>
    <w:p w14:paraId="2FBF48C6" w14:textId="77777777" w:rsidR="000F4F89" w:rsidRPr="000E43CB" w:rsidRDefault="000F4F89" w:rsidP="000F4F89">
      <w:pPr>
        <w:pStyle w:val="SingleTxt"/>
        <w:spacing w:after="0"/>
        <w:rPr>
          <w:lang w:val="en-US"/>
        </w:rPr>
      </w:pPr>
      <w:r w:rsidRPr="000E43CB">
        <w:tab/>
      </w:r>
      <w:r w:rsidRPr="000E43CB">
        <w:rPr>
          <w:lang w:val="en-US"/>
        </w:rPr>
        <w:t>Esther Eghobamien-Mshelia</w:t>
      </w:r>
    </w:p>
    <w:p w14:paraId="5857A1B4" w14:textId="7BCFB02F" w:rsidR="000F4F89" w:rsidRPr="0061569B" w:rsidRDefault="000F4F89" w:rsidP="000F4F89">
      <w:pPr>
        <w:pStyle w:val="SingleTxt"/>
      </w:pPr>
      <w:r w:rsidRPr="000E43CB">
        <w:rPr>
          <w:lang w:val="en-US"/>
        </w:rPr>
        <w:tab/>
      </w:r>
      <w:r w:rsidRPr="0061569B">
        <w:t>Genoveva Tisheva</w:t>
      </w:r>
    </w:p>
    <w:p w14:paraId="34E36510" w14:textId="77777777" w:rsidR="000F4F89" w:rsidRPr="0061569B" w:rsidRDefault="000F4F89" w:rsidP="000F4F89">
      <w:pPr>
        <w:pStyle w:val="SingleTxt"/>
      </w:pPr>
      <w:r w:rsidRPr="0061569B">
        <w:t>4.</w:t>
      </w:r>
      <w:r w:rsidRPr="0061569B">
        <w:tab/>
        <w:t>The pre-sessional working group elected Ms. Bonifaz Alfonzo as its Chair.</w:t>
      </w:r>
    </w:p>
    <w:p w14:paraId="12A8D528" w14:textId="77777777" w:rsidR="000F4F89" w:rsidRPr="0061569B" w:rsidRDefault="000F4F89" w:rsidP="000F4F89">
      <w:pPr>
        <w:pStyle w:val="SingleTxt"/>
      </w:pPr>
      <w:r w:rsidRPr="0061569B">
        <w:t>5.</w:t>
      </w:r>
      <w:r w:rsidRPr="0061569B">
        <w:tab/>
        <w:t xml:space="preserve">The pre-sessional working group prepared lists of issues and questions in </w:t>
      </w:r>
      <w:r w:rsidRPr="009155CB">
        <w:rPr>
          <w:spacing w:val="2"/>
        </w:rPr>
        <w:t>relation to the reports of Belize, Chad, the Congo, Nepal and Viet Nam, in addition to lists of issues and questions prior to the submission of the reports of Cyprus and Saint Lucia under the simplified reporting procedure. The pre-sessional working group did not adopt a list of issues and questions prior to the submission of the eighth periodic report of the Bahamas, as initially scheduled, as the State party had informed the Committee that it would submit its report under the traditional reporting</w:t>
      </w:r>
      <w:r w:rsidRPr="0061569B">
        <w:t xml:space="preserve"> </w:t>
      </w:r>
      <w:r w:rsidRPr="0061569B">
        <w:lastRenderedPageBreak/>
        <w:t xml:space="preserve">procedure. The pre-sessional working group was guided by Committee decisions 49/IX, 59/IV and 64/II, according to which the Committee decided to limit lists of issues and questions </w:t>
      </w:r>
      <w:r w:rsidRPr="009155CB">
        <w:rPr>
          <w:spacing w:val="2"/>
        </w:rPr>
        <w:t>and lists of issues and questions prior to reporting to 20 and 25 paragraphs, respectively. However, in practice and exceptionally, some lists of issues and questions contain a maximum of 23 paragraphs</w:t>
      </w:r>
      <w:r w:rsidRPr="0061569B">
        <w:t>.</w:t>
      </w:r>
      <w:bookmarkStart w:id="1" w:name="BeginPage"/>
      <w:bookmarkEnd w:id="1"/>
    </w:p>
    <w:p w14:paraId="720617CD" w14:textId="77777777" w:rsidR="000F4F89" w:rsidRPr="0061569B" w:rsidRDefault="000F4F89" w:rsidP="000F4F89">
      <w:pPr>
        <w:pStyle w:val="SingleTxt"/>
      </w:pPr>
      <w:r w:rsidRPr="0061569B">
        <w:t>6.</w:t>
      </w:r>
      <w:r w:rsidRPr="0061569B">
        <w:tab/>
        <w:t>To assist in the preparation of the lists of issues and questions, the pre-sessional working group had at its disposal electronic versions of the core documents of the States parties listed above, with the exception of Belize, Saint Lucia and Viet Nam. It also had at its disposal the reports of the States parties listed above, with the exception of Cyprus and Saint Lucia, which will submit their periodic reports in response to the lists of issues and questions prior to reporting. It further had before it the general recommendations adopted by the Committee; draft lists of issues and questions and lists of issues and questions prior to reporting prepared by the secretariat; and other pertinent information, including concluding observations of the Committee and other treaty bodies, as relevant. In preparing the lists, the pre</w:t>
      </w:r>
      <w:r w:rsidRPr="0061569B">
        <w:noBreakHyphen/>
        <w:t>sessional working group paid particular attention to the States parties’ follow-up to the concluding observations of the Committee on their previous reports.</w:t>
      </w:r>
    </w:p>
    <w:p w14:paraId="6ECBFD1E" w14:textId="77777777" w:rsidR="000F4F89" w:rsidRPr="0061569B" w:rsidRDefault="000F4F89" w:rsidP="000F4F89">
      <w:pPr>
        <w:pStyle w:val="SingleTxt"/>
      </w:pPr>
      <w:r w:rsidRPr="0061569B">
        <w:t>7.</w:t>
      </w:r>
      <w:r w:rsidRPr="0061569B">
        <w:tab/>
        <w:t>The pre-sessional working group benefited from written and oral information submitted by entities of the United Nations system, national human rights institutions and non-governmental organizations with regard to the States parties listed above.</w:t>
      </w:r>
    </w:p>
    <w:p w14:paraId="22BA6C99" w14:textId="77777777" w:rsidR="000F4F89" w:rsidRPr="0061569B" w:rsidRDefault="000F4F89" w:rsidP="000F4F89">
      <w:pPr>
        <w:pStyle w:val="SingleTxt"/>
      </w:pPr>
      <w:r w:rsidRPr="0061569B">
        <w:t>9.</w:t>
      </w:r>
      <w:r w:rsidRPr="0061569B">
        <w:tab/>
        <w:t>The lists of issues and questions and lists of issues and questions prior to reporting adopted by the pre-sessional working group were transmitted to the States parties concerned and are contained in the following documents:</w:t>
      </w:r>
    </w:p>
    <w:p w14:paraId="64E4F76E" w14:textId="61F233BB" w:rsidR="000F4F89" w:rsidRPr="0061569B" w:rsidRDefault="000F4F89" w:rsidP="000F4F89">
      <w:pPr>
        <w:pStyle w:val="SingleTxt"/>
      </w:pPr>
      <w:r w:rsidRPr="0061569B">
        <w:tab/>
        <w:t>(a)</w:t>
      </w:r>
      <w:r w:rsidRPr="0061569B">
        <w:tab/>
        <w:t>List of issues and questions in relation to the combined fifth and sixth periodic reports of Belize (</w:t>
      </w:r>
      <w:hyperlink r:id="rId19" w:history="1">
        <w:r w:rsidRPr="000F4F89">
          <w:rPr>
            <w:rStyle w:val="Hyperlink"/>
          </w:rPr>
          <w:t>CEDAW/C/BLZ/Q/5-6</w:t>
        </w:r>
      </w:hyperlink>
      <w:r w:rsidRPr="0061569B">
        <w:t>);</w:t>
      </w:r>
    </w:p>
    <w:p w14:paraId="3EF52C99" w14:textId="50ABEC0C" w:rsidR="000F4F89" w:rsidRPr="0061569B" w:rsidRDefault="000F4F89" w:rsidP="000F4F89">
      <w:pPr>
        <w:pStyle w:val="SingleTxt"/>
      </w:pPr>
      <w:r w:rsidRPr="0061569B">
        <w:tab/>
        <w:t>(b)</w:t>
      </w:r>
      <w:r w:rsidRPr="0061569B">
        <w:tab/>
        <w:t>List of issues and questions in relation to the fifth periodic report of Chad (</w:t>
      </w:r>
      <w:hyperlink r:id="rId20" w:history="1">
        <w:r w:rsidRPr="000F4F89">
          <w:rPr>
            <w:rStyle w:val="Hyperlink"/>
          </w:rPr>
          <w:t>CEDAW/C/TCD/Q/5</w:t>
        </w:r>
      </w:hyperlink>
      <w:r w:rsidRPr="0061569B">
        <w:t>);</w:t>
      </w:r>
    </w:p>
    <w:p w14:paraId="5EBCCA2A" w14:textId="72FB5EF1" w:rsidR="000F4F89" w:rsidRPr="0061569B" w:rsidRDefault="000F4F89" w:rsidP="000F4F89">
      <w:pPr>
        <w:pStyle w:val="SingleTxt"/>
      </w:pPr>
      <w:r w:rsidRPr="0061569B">
        <w:tab/>
        <w:t>(c)</w:t>
      </w:r>
      <w:r w:rsidRPr="0061569B">
        <w:tab/>
        <w:t>List of issues and questions in relation to the eighth periodic report of Congo (</w:t>
      </w:r>
      <w:hyperlink r:id="rId21" w:history="1">
        <w:r w:rsidRPr="000F4F89">
          <w:rPr>
            <w:rStyle w:val="Hyperlink"/>
          </w:rPr>
          <w:t>CEDAW/C/COG/Q/8</w:t>
        </w:r>
      </w:hyperlink>
      <w:r w:rsidRPr="0061569B">
        <w:t>);</w:t>
      </w:r>
    </w:p>
    <w:p w14:paraId="0BA48C45" w14:textId="3FAB478E" w:rsidR="000F4F89" w:rsidRPr="0061569B" w:rsidRDefault="000F4F89" w:rsidP="000F4F89">
      <w:pPr>
        <w:pStyle w:val="SingleTxt"/>
      </w:pPr>
      <w:r w:rsidRPr="0061569B">
        <w:tab/>
        <w:t>(d)</w:t>
      </w:r>
      <w:r w:rsidRPr="0061569B">
        <w:tab/>
        <w:t>List of issues and questions prior to the submission of the ninth periodic report of Cyprus (</w:t>
      </w:r>
      <w:hyperlink r:id="rId22" w:history="1">
        <w:r w:rsidRPr="000F4F89">
          <w:rPr>
            <w:rStyle w:val="Hyperlink"/>
          </w:rPr>
          <w:t>CEDAW/C/CYP/QPR/9</w:t>
        </w:r>
      </w:hyperlink>
      <w:r w:rsidRPr="0061569B">
        <w:t>);</w:t>
      </w:r>
    </w:p>
    <w:p w14:paraId="42A5F2D5" w14:textId="72E9F0C6" w:rsidR="000F4F89" w:rsidRPr="0061569B" w:rsidRDefault="000F4F89" w:rsidP="000F4F89">
      <w:pPr>
        <w:pStyle w:val="SingleTxt"/>
      </w:pPr>
      <w:r w:rsidRPr="0061569B">
        <w:tab/>
        <w:t>(e)</w:t>
      </w:r>
      <w:r w:rsidRPr="0061569B">
        <w:tab/>
        <w:t>List of issues and questions in relation to the seventh periodic report of Nepal (</w:t>
      </w:r>
      <w:hyperlink r:id="rId23" w:history="1">
        <w:r w:rsidRPr="000F4F89">
          <w:rPr>
            <w:rStyle w:val="Hyperlink"/>
          </w:rPr>
          <w:t>CEDAW/C/NPL/Q/7</w:t>
        </w:r>
      </w:hyperlink>
      <w:r w:rsidRPr="0061569B">
        <w:t>);</w:t>
      </w:r>
    </w:p>
    <w:p w14:paraId="73619EF5" w14:textId="4CD2CEB9" w:rsidR="000F4F89" w:rsidRPr="0061569B" w:rsidRDefault="000F4F89" w:rsidP="000F4F89">
      <w:pPr>
        <w:pStyle w:val="SingleTxt"/>
      </w:pPr>
      <w:r w:rsidRPr="0061569B">
        <w:tab/>
        <w:t>(f)</w:t>
      </w:r>
      <w:r w:rsidRPr="0061569B">
        <w:tab/>
        <w:t>List of issues and questions prior to the submission of the combined seventh to eleventh periodic reports of Saint Lucia (</w:t>
      </w:r>
      <w:hyperlink r:id="rId24" w:history="1">
        <w:r w:rsidRPr="000F4F89">
          <w:rPr>
            <w:rStyle w:val="Hyperlink"/>
          </w:rPr>
          <w:t>CEDAW/C/LCA/QPR/7-11</w:t>
        </w:r>
      </w:hyperlink>
      <w:r w:rsidRPr="0061569B">
        <w:t>);</w:t>
      </w:r>
    </w:p>
    <w:p w14:paraId="031C0515" w14:textId="2720418A" w:rsidR="000F4F89" w:rsidRPr="0061569B" w:rsidRDefault="000F4F89" w:rsidP="000F4F89">
      <w:pPr>
        <w:pStyle w:val="SingleTxt"/>
      </w:pPr>
      <w:r w:rsidRPr="0061569B">
        <w:tab/>
        <w:t>(g)</w:t>
      </w:r>
      <w:r w:rsidRPr="0061569B">
        <w:tab/>
        <w:t>List of issues and questions in relation to the ninth periodic report of Viet Nam (</w:t>
      </w:r>
      <w:hyperlink r:id="rId25" w:history="1">
        <w:r w:rsidRPr="000F4F89">
          <w:rPr>
            <w:rStyle w:val="Hyperlink"/>
          </w:rPr>
          <w:t>CEDAW/C/VNM/Q/9</w:t>
        </w:r>
      </w:hyperlink>
      <w:r w:rsidRPr="0061569B">
        <w:t>).</w:t>
      </w:r>
    </w:p>
    <w:p w14:paraId="64FBB5A4" w14:textId="77777777" w:rsidR="000F4F89" w:rsidRPr="0061569B" w:rsidRDefault="000F4F89" w:rsidP="000F4F89">
      <w:pPr>
        <w:pStyle w:val="SingleTxt"/>
      </w:pPr>
      <w:r w:rsidRPr="0061569B">
        <w:t>10.</w:t>
      </w:r>
      <w:r w:rsidRPr="0061569B">
        <w:tab/>
        <w:t xml:space="preserve">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discriminatory laws and the definition of discrimination against women; the visibility of the Convention; women’s rights and gender equality in relation to the coronavirus disease (COVID-19) pandemic, recovery efforts and global crises; women’s access to justice; national machineries for the advancement of women; national human rights institutions; women human rights defenders; temporary special measures for the advancement of women; stereotypes; harmful practices; gender-based violence against women and girls; female genital mutilation; trafficking in women and girls and exploitation of prostitution; the equal participation of women in political and public life; women and peace and security; nationality; education; employment; women migrant domestic workers; health; economic empowerment and social benefits; rural women; climate change and disaster risk reduction; equality in marriage and family relations; and intersecting forms of discrimination faced by disadvantaged groups of women, such as older women, </w:t>
      </w:r>
      <w:r w:rsidRPr="000F4F89">
        <w:t>widows, women living with HIV/AIDS, women with disabilities, Indigenous women, nomadic women, Dalit women, women belonging to ethnic and religious minority groups, women who</w:t>
      </w:r>
      <w:r w:rsidRPr="0061569B">
        <w:t xml:space="preserve"> use drugs, women in detention, internally displaced women, asylum-seeking and refugee women, migrant women and lesbian, bisexual, transgender and intersex women.</w:t>
      </w:r>
    </w:p>
    <w:p w14:paraId="6A21DD7E" w14:textId="674D96FF" w:rsidR="00970B21" w:rsidRPr="00680237" w:rsidRDefault="000F4F89" w:rsidP="00970B21">
      <w:pPr>
        <w:pStyle w:val="SingleTxt"/>
      </w:pPr>
      <w:r>
        <w:rPr>
          <w:noProof/>
          <w:w w:val="100"/>
        </w:rPr>
        <mc:AlternateContent>
          <mc:Choice Requires="wps">
            <w:drawing>
              <wp:anchor distT="0" distB="0" distL="114300" distR="114300" simplePos="0" relativeHeight="251659264" behindDoc="0" locked="0" layoutInCell="1" allowOverlap="1" wp14:anchorId="26A6B1D8" wp14:editId="05BEC10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92570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" strokecolor="#010000" strokeweight=".25pt">
                <v:stroke joinstyle="miter"/>
              </v:line>
            </w:pict>
          </mc:Fallback>
        </mc:AlternateContent>
      </w:r>
    </w:p>
    <w:sectPr w:rsidR="00970B21" w:rsidRPr="00680237" w:rsidSect="006802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7T11:16:00Z" w:initials="Start">
    <w:p w14:paraId="7E042C42" w14:textId="77777777" w:rsidR="00970B21" w:rsidRDefault="00970B21">
      <w:pPr>
        <w:pStyle w:val="CommentText"/>
      </w:pPr>
      <w:r>
        <w:rPr>
          <w:rStyle w:val="CommentReference"/>
        </w:rPr>
        <w:annotationRef/>
      </w:r>
      <w:r>
        <w:t>&lt;&lt;ODS JOB NO&gt;&gt;N2405158E&lt;&lt;ODS JOB NO&gt;&gt;</w:t>
      </w:r>
    </w:p>
    <w:p w14:paraId="0122E79A" w14:textId="77777777" w:rsidR="00970B21" w:rsidRDefault="00970B21">
      <w:pPr>
        <w:pStyle w:val="CommentText"/>
      </w:pPr>
      <w:r>
        <w:t>&lt;&lt;ODS DOC SYMBOL1&gt;&gt;CEDAW/C/PSWG/89/1&lt;&lt;ODS DOC SYMBOL1&gt;&gt;</w:t>
      </w:r>
    </w:p>
    <w:p w14:paraId="331BA9BB" w14:textId="77777777" w:rsidR="00970B21" w:rsidRDefault="00970B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1BA9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1BA9BB" w16cid:durableId="299420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B6E1E" w14:textId="77777777" w:rsidR="00467DBB" w:rsidRDefault="00467DBB" w:rsidP="00331D20">
      <w:r>
        <w:separator/>
      </w:r>
    </w:p>
  </w:endnote>
  <w:endnote w:type="continuationSeparator" w:id="0">
    <w:p w14:paraId="739952F5" w14:textId="77777777" w:rsidR="00467DBB" w:rsidRDefault="00467DB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0B21" w14:paraId="13F32DE2" w14:textId="77777777" w:rsidTr="00970B21">
      <w:tc>
        <w:tcPr>
          <w:tcW w:w="4920" w:type="dxa"/>
          <w:shd w:val="clear" w:color="auto" w:fill="auto"/>
        </w:tcPr>
        <w:p w14:paraId="72D6DDCA" w14:textId="1DBD1549" w:rsidR="00970B21" w:rsidRPr="00970B21" w:rsidRDefault="00970B21" w:rsidP="00970B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67B">
            <w:rPr>
              <w:b w:val="0"/>
              <w:w w:val="103"/>
              <w:sz w:val="14"/>
            </w:rPr>
            <w:t>24-03627</w:t>
          </w:r>
          <w:r>
            <w:rPr>
              <w:b w:val="0"/>
              <w:w w:val="103"/>
              <w:sz w:val="14"/>
            </w:rPr>
            <w:fldChar w:fldCharType="end"/>
          </w:r>
        </w:p>
      </w:tc>
      <w:tc>
        <w:tcPr>
          <w:tcW w:w="4920" w:type="dxa"/>
          <w:shd w:val="clear" w:color="auto" w:fill="auto"/>
        </w:tcPr>
        <w:p w14:paraId="380787D8" w14:textId="77777777" w:rsidR="00970B21" w:rsidRPr="00970B21" w:rsidRDefault="00970B21" w:rsidP="00970B2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33E45B" w14:textId="77777777" w:rsidR="00970B21" w:rsidRPr="00970B21" w:rsidRDefault="00970B21" w:rsidP="00970B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0B21" w14:paraId="55B8F3CA" w14:textId="77777777" w:rsidTr="00970B21">
      <w:tc>
        <w:tcPr>
          <w:tcW w:w="4920" w:type="dxa"/>
          <w:shd w:val="clear" w:color="auto" w:fill="auto"/>
        </w:tcPr>
        <w:p w14:paraId="455EAA3A" w14:textId="77777777" w:rsidR="00970B21" w:rsidRPr="00970B21" w:rsidRDefault="00970B21" w:rsidP="00970B2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BB54F88" w14:textId="117621DF" w:rsidR="00970B21" w:rsidRPr="00970B21" w:rsidRDefault="00970B21" w:rsidP="00970B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67B">
            <w:rPr>
              <w:b w:val="0"/>
              <w:w w:val="103"/>
              <w:sz w:val="14"/>
            </w:rPr>
            <w:t>24-03627</w:t>
          </w:r>
          <w:r>
            <w:rPr>
              <w:b w:val="0"/>
              <w:w w:val="103"/>
              <w:sz w:val="14"/>
            </w:rPr>
            <w:fldChar w:fldCharType="end"/>
          </w:r>
        </w:p>
      </w:tc>
    </w:tr>
  </w:tbl>
  <w:p w14:paraId="336D6EFD" w14:textId="77777777" w:rsidR="00970B21" w:rsidRPr="00970B21" w:rsidRDefault="00970B21" w:rsidP="00970B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70B21" w14:paraId="68222A3F" w14:textId="77777777" w:rsidTr="00970B21">
      <w:tc>
        <w:tcPr>
          <w:tcW w:w="3801" w:type="dxa"/>
        </w:tcPr>
        <w:p w14:paraId="05246B23" w14:textId="10C722C6" w:rsidR="00970B21" w:rsidRDefault="00970B21" w:rsidP="00970B21">
          <w:pPr>
            <w:pStyle w:val="ReleaseDate0"/>
          </w:pPr>
          <w:r>
            <w:rPr>
              <w:noProof/>
            </w:rPr>
            <w:drawing>
              <wp:anchor distT="0" distB="0" distL="114300" distR="114300" simplePos="0" relativeHeight="251658240" behindDoc="0" locked="0" layoutInCell="1" allowOverlap="1" wp14:anchorId="52E85F07" wp14:editId="37927BD1">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24-03627 (E)    </w:t>
          </w:r>
          <w:r w:rsidR="000F4F89">
            <w:t>11</w:t>
          </w:r>
          <w:r>
            <w:t>0324</w:t>
          </w:r>
        </w:p>
        <w:p w14:paraId="612EC859" w14:textId="77777777" w:rsidR="00970B21" w:rsidRPr="00970B21" w:rsidRDefault="00970B21" w:rsidP="00970B2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*2403627*</w:t>
          </w:r>
        </w:p>
      </w:tc>
      <w:tc>
        <w:tcPr>
          <w:tcW w:w="4920" w:type="dxa"/>
        </w:tcPr>
        <w:p w14:paraId="5AC8E5BB" w14:textId="77777777" w:rsidR="00970B21" w:rsidRDefault="00970B21" w:rsidP="00970B21">
          <w:pPr>
            <w:pStyle w:val="Footer"/>
            <w:jc w:val="right"/>
            <w:rPr>
              <w:b w:val="0"/>
              <w:sz w:val="20"/>
            </w:rPr>
          </w:pPr>
          <w:r>
            <w:rPr>
              <w:b w:val="0"/>
              <w:sz w:val="20"/>
            </w:rPr>
            <w:drawing>
              <wp:inline distT="0" distB="0" distL="0" distR="0" wp14:anchorId="09A4C676" wp14:editId="115E65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1BBA1A3" w14:textId="77777777" w:rsidR="00970B21" w:rsidRPr="00970B21" w:rsidRDefault="00970B21" w:rsidP="00970B2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96FDB" w14:textId="77777777" w:rsidR="00467DBB" w:rsidRDefault="00467DBB" w:rsidP="00331D20">
      <w:r>
        <w:separator/>
      </w:r>
    </w:p>
  </w:footnote>
  <w:footnote w:type="continuationSeparator" w:id="0">
    <w:p w14:paraId="4092C438" w14:textId="77777777" w:rsidR="00467DBB" w:rsidRDefault="00467DB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0B21" w14:paraId="4B45F1F8" w14:textId="77777777" w:rsidTr="00970B21">
      <w:trPr>
        <w:trHeight w:hRule="exact" w:val="864"/>
      </w:trPr>
      <w:tc>
        <w:tcPr>
          <w:tcW w:w="4920" w:type="dxa"/>
          <w:shd w:val="clear" w:color="auto" w:fill="auto"/>
          <w:vAlign w:val="bottom"/>
        </w:tcPr>
        <w:p w14:paraId="7F735FEC" w14:textId="7996312B" w:rsidR="00970B21" w:rsidRPr="00970B21" w:rsidRDefault="00970B21" w:rsidP="00970B21">
          <w:pPr>
            <w:pStyle w:val="Header"/>
            <w:spacing w:after="80"/>
            <w:rPr>
              <w:b/>
            </w:rPr>
          </w:pPr>
          <w:r>
            <w:rPr>
              <w:b/>
            </w:rPr>
            <w:fldChar w:fldCharType="begin"/>
          </w:r>
          <w:r>
            <w:rPr>
              <w:b/>
            </w:rPr>
            <w:instrText xml:space="preserve"> DOCVARIABLE "sss1" \* MERGEFORMAT </w:instrText>
          </w:r>
          <w:r>
            <w:rPr>
              <w:b/>
            </w:rPr>
            <w:fldChar w:fldCharType="separate"/>
          </w:r>
          <w:r w:rsidR="00BD267B">
            <w:rPr>
              <w:b/>
            </w:rPr>
            <w:t>CEDAW/C/PSWG/89/1</w:t>
          </w:r>
          <w:r>
            <w:rPr>
              <w:b/>
            </w:rPr>
            <w:fldChar w:fldCharType="end"/>
          </w:r>
        </w:p>
      </w:tc>
      <w:tc>
        <w:tcPr>
          <w:tcW w:w="4920" w:type="dxa"/>
          <w:shd w:val="clear" w:color="auto" w:fill="auto"/>
          <w:vAlign w:val="bottom"/>
        </w:tcPr>
        <w:p w14:paraId="0833EE34" w14:textId="77777777" w:rsidR="00970B21" w:rsidRDefault="00970B21" w:rsidP="00970B21">
          <w:pPr>
            <w:pStyle w:val="Header"/>
          </w:pPr>
        </w:p>
      </w:tc>
    </w:tr>
  </w:tbl>
  <w:p w14:paraId="55608FF5" w14:textId="77777777" w:rsidR="00970B21" w:rsidRPr="00970B21" w:rsidRDefault="00970B21" w:rsidP="00970B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0B21" w14:paraId="55AFDB05" w14:textId="77777777" w:rsidTr="00970B21">
      <w:trPr>
        <w:trHeight w:hRule="exact" w:val="864"/>
      </w:trPr>
      <w:tc>
        <w:tcPr>
          <w:tcW w:w="4920" w:type="dxa"/>
          <w:shd w:val="clear" w:color="auto" w:fill="auto"/>
          <w:vAlign w:val="bottom"/>
        </w:tcPr>
        <w:p w14:paraId="5D646AF2" w14:textId="77777777" w:rsidR="00970B21" w:rsidRDefault="00970B21" w:rsidP="00970B21">
          <w:pPr>
            <w:pStyle w:val="Header"/>
          </w:pPr>
        </w:p>
      </w:tc>
      <w:tc>
        <w:tcPr>
          <w:tcW w:w="4920" w:type="dxa"/>
          <w:shd w:val="clear" w:color="auto" w:fill="auto"/>
          <w:vAlign w:val="bottom"/>
        </w:tcPr>
        <w:p w14:paraId="7067B5A1" w14:textId="38C63CE2" w:rsidR="00970B21" w:rsidRPr="00970B21" w:rsidRDefault="00970B21" w:rsidP="00970B21">
          <w:pPr>
            <w:pStyle w:val="Header"/>
            <w:spacing w:after="80"/>
            <w:jc w:val="right"/>
            <w:rPr>
              <w:b/>
            </w:rPr>
          </w:pPr>
          <w:r>
            <w:rPr>
              <w:b/>
            </w:rPr>
            <w:fldChar w:fldCharType="begin"/>
          </w:r>
          <w:r>
            <w:rPr>
              <w:b/>
            </w:rPr>
            <w:instrText xml:space="preserve"> DOCVARIABLE "sss1" \* MERGEFORMAT </w:instrText>
          </w:r>
          <w:r>
            <w:rPr>
              <w:b/>
            </w:rPr>
            <w:fldChar w:fldCharType="separate"/>
          </w:r>
          <w:r w:rsidR="00BD267B">
            <w:rPr>
              <w:b/>
            </w:rPr>
            <w:t>CEDAW/C/PSWG/89/1</w:t>
          </w:r>
          <w:r>
            <w:rPr>
              <w:b/>
            </w:rPr>
            <w:fldChar w:fldCharType="end"/>
          </w:r>
        </w:p>
      </w:tc>
    </w:tr>
  </w:tbl>
  <w:p w14:paraId="567240A2" w14:textId="77777777" w:rsidR="00970B21" w:rsidRPr="00970B21" w:rsidRDefault="00970B21" w:rsidP="00970B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70B21" w14:paraId="5CA925E2" w14:textId="77777777" w:rsidTr="00970B21">
      <w:trPr>
        <w:trHeight w:hRule="exact" w:val="864"/>
      </w:trPr>
      <w:tc>
        <w:tcPr>
          <w:tcW w:w="1267" w:type="dxa"/>
          <w:tcBorders>
            <w:bottom w:val="single" w:sz="4" w:space="0" w:color="auto"/>
          </w:tcBorders>
          <w:shd w:val="clear" w:color="auto" w:fill="auto"/>
          <w:vAlign w:val="bottom"/>
        </w:tcPr>
        <w:p w14:paraId="42E749D6" w14:textId="77777777" w:rsidR="00970B21" w:rsidRDefault="00970B21" w:rsidP="00970B21">
          <w:pPr>
            <w:pStyle w:val="Header"/>
            <w:spacing w:after="120"/>
          </w:pPr>
        </w:p>
      </w:tc>
      <w:tc>
        <w:tcPr>
          <w:tcW w:w="1872" w:type="dxa"/>
          <w:tcBorders>
            <w:bottom w:val="single" w:sz="4" w:space="0" w:color="auto"/>
          </w:tcBorders>
          <w:shd w:val="clear" w:color="auto" w:fill="auto"/>
          <w:vAlign w:val="bottom"/>
        </w:tcPr>
        <w:p w14:paraId="3E086A70" w14:textId="77777777" w:rsidR="00970B21" w:rsidRPr="00970B21" w:rsidRDefault="00970B21" w:rsidP="00970B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3E82067" w14:textId="77777777" w:rsidR="00970B21" w:rsidRDefault="00970B21" w:rsidP="00970B21">
          <w:pPr>
            <w:pStyle w:val="Header"/>
            <w:spacing w:after="120"/>
          </w:pPr>
        </w:p>
      </w:tc>
      <w:tc>
        <w:tcPr>
          <w:tcW w:w="6466" w:type="dxa"/>
          <w:gridSpan w:val="4"/>
          <w:tcBorders>
            <w:bottom w:val="single" w:sz="4" w:space="0" w:color="auto"/>
          </w:tcBorders>
          <w:shd w:val="clear" w:color="auto" w:fill="auto"/>
          <w:vAlign w:val="bottom"/>
        </w:tcPr>
        <w:p w14:paraId="5B3007D4" w14:textId="77777777" w:rsidR="00970B21" w:rsidRPr="00970B21" w:rsidRDefault="00970B21" w:rsidP="00970B21">
          <w:pPr>
            <w:spacing w:after="80" w:line="240" w:lineRule="auto"/>
            <w:jc w:val="right"/>
            <w:rPr>
              <w:position w:val="-4"/>
            </w:rPr>
          </w:pPr>
          <w:r>
            <w:rPr>
              <w:position w:val="-4"/>
              <w:sz w:val="40"/>
            </w:rPr>
            <w:t>CEDAW</w:t>
          </w:r>
          <w:r>
            <w:rPr>
              <w:position w:val="-4"/>
            </w:rPr>
            <w:t>/C/PSWG/89/1</w:t>
          </w:r>
        </w:p>
      </w:tc>
    </w:tr>
    <w:tr w:rsidR="00970B21" w:rsidRPr="00970B21" w14:paraId="76A64BF1" w14:textId="77777777" w:rsidTr="00970B21">
      <w:trPr>
        <w:gridAfter w:val="1"/>
        <w:wAfter w:w="15" w:type="dxa"/>
        <w:trHeight w:hRule="exact" w:val="2880"/>
      </w:trPr>
      <w:tc>
        <w:tcPr>
          <w:tcW w:w="1267" w:type="dxa"/>
          <w:tcBorders>
            <w:top w:val="single" w:sz="4" w:space="0" w:color="auto"/>
            <w:bottom w:val="single" w:sz="12" w:space="0" w:color="auto"/>
          </w:tcBorders>
          <w:shd w:val="clear" w:color="auto" w:fill="auto"/>
        </w:tcPr>
        <w:p w14:paraId="601F2F15" w14:textId="77777777" w:rsidR="00970B21" w:rsidRPr="00970B21" w:rsidRDefault="00970B21" w:rsidP="00970B21">
          <w:pPr>
            <w:pStyle w:val="Header"/>
            <w:spacing w:before="120"/>
            <w:jc w:val="center"/>
          </w:pPr>
          <w:r>
            <w:t xml:space="preserve"> </w:t>
          </w:r>
          <w:r>
            <w:drawing>
              <wp:inline distT="0" distB="0" distL="0" distR="0" wp14:anchorId="4100DEA4" wp14:editId="596A02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5E2C9F" w14:textId="77777777" w:rsidR="00970B21" w:rsidRPr="00970B21" w:rsidRDefault="00970B21" w:rsidP="00970B2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2E28A21" w14:textId="77777777" w:rsidR="00970B21" w:rsidRPr="00970B21" w:rsidRDefault="00970B21" w:rsidP="00970B21">
          <w:pPr>
            <w:pStyle w:val="Header"/>
            <w:spacing w:before="109"/>
          </w:pPr>
        </w:p>
      </w:tc>
      <w:tc>
        <w:tcPr>
          <w:tcW w:w="3096" w:type="dxa"/>
          <w:tcBorders>
            <w:top w:val="single" w:sz="4" w:space="0" w:color="auto"/>
            <w:bottom w:val="single" w:sz="12" w:space="0" w:color="auto"/>
          </w:tcBorders>
          <w:shd w:val="clear" w:color="auto" w:fill="auto"/>
        </w:tcPr>
        <w:p w14:paraId="27DA00F0" w14:textId="77777777" w:rsidR="00970B21" w:rsidRDefault="00970B21" w:rsidP="00970B21">
          <w:pPr>
            <w:pStyle w:val="Publication"/>
            <w:spacing w:before="240"/>
            <w:rPr>
              <w:color w:val="010000"/>
            </w:rPr>
          </w:pPr>
          <w:r>
            <w:rPr>
              <w:color w:val="010000"/>
            </w:rPr>
            <w:t>Distr.: General</w:t>
          </w:r>
        </w:p>
        <w:p w14:paraId="7162AEB5" w14:textId="77777777" w:rsidR="00970B21" w:rsidRDefault="00970B21" w:rsidP="00970B21">
          <w:r>
            <w:t>26 February 2024</w:t>
          </w:r>
        </w:p>
        <w:p w14:paraId="71D54671" w14:textId="7BE5E07C" w:rsidR="00970B21" w:rsidRDefault="00970B21" w:rsidP="00970B21"/>
        <w:p w14:paraId="410523BF" w14:textId="77777777" w:rsidR="00970B21" w:rsidRDefault="00970B21" w:rsidP="00970B21">
          <w:r>
            <w:t>Original: English</w:t>
          </w:r>
        </w:p>
        <w:p w14:paraId="1DFC6473" w14:textId="0727B312" w:rsidR="000F4F89" w:rsidRPr="00970B21" w:rsidRDefault="000F4F89" w:rsidP="00970B21">
          <w:r w:rsidRPr="000F4F89">
            <w:t>English, French and Spanish only</w:t>
          </w:r>
        </w:p>
      </w:tc>
    </w:tr>
  </w:tbl>
  <w:p w14:paraId="64BC5748" w14:textId="77777777" w:rsidR="00970B21" w:rsidRPr="00970B21" w:rsidRDefault="00970B21" w:rsidP="00970B2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478157130">
    <w:abstractNumId w:val="7"/>
  </w:num>
  <w:num w:numId="2" w16cid:durableId="1109204891">
    <w:abstractNumId w:val="4"/>
  </w:num>
  <w:num w:numId="3" w16cid:durableId="305285235">
    <w:abstractNumId w:val="3"/>
  </w:num>
  <w:num w:numId="4" w16cid:durableId="980965501">
    <w:abstractNumId w:val="2"/>
  </w:num>
  <w:num w:numId="5" w16cid:durableId="1076126483">
    <w:abstractNumId w:val="1"/>
  </w:num>
  <w:num w:numId="6" w16cid:durableId="63534894">
    <w:abstractNumId w:val="0"/>
  </w:num>
  <w:num w:numId="7" w16cid:durableId="1841774016">
    <w:abstractNumId w:val="11"/>
  </w:num>
  <w:num w:numId="8" w16cid:durableId="1337732620">
    <w:abstractNumId w:val="5"/>
  </w:num>
  <w:num w:numId="9" w16cid:durableId="75983839">
    <w:abstractNumId w:val="10"/>
  </w:num>
  <w:num w:numId="10" w16cid:durableId="1568035601">
    <w:abstractNumId w:val="9"/>
  </w:num>
  <w:num w:numId="11" w16cid:durableId="1835218786">
    <w:abstractNumId w:val="8"/>
  </w:num>
  <w:num w:numId="12" w16cid:durableId="815952957">
    <w:abstractNumId w:val="11"/>
  </w:num>
  <w:num w:numId="13" w16cid:durableId="1644696992">
    <w:abstractNumId w:val="5"/>
  </w:num>
  <w:num w:numId="14" w16cid:durableId="1560020263">
    <w:abstractNumId w:val="10"/>
  </w:num>
  <w:num w:numId="15" w16cid:durableId="8680277">
    <w:abstractNumId w:val="8"/>
  </w:num>
  <w:num w:numId="16" w16cid:durableId="606501685">
    <w:abstractNumId w:val="8"/>
  </w:num>
  <w:num w:numId="17" w16cid:durableId="26373582">
    <w:abstractNumId w:val="8"/>
  </w:num>
  <w:num w:numId="18" w16cid:durableId="1961568574">
    <w:abstractNumId w:val="8"/>
  </w:num>
  <w:num w:numId="19" w16cid:durableId="783966956">
    <w:abstractNumId w:val="8"/>
  </w:num>
  <w:num w:numId="20" w16cid:durableId="1954094771">
    <w:abstractNumId w:val="8"/>
  </w:num>
  <w:num w:numId="21" w16cid:durableId="1059087226">
    <w:abstractNumId w:val="8"/>
  </w:num>
  <w:num w:numId="22" w16cid:durableId="1321545660">
    <w:abstractNumId w:val="8"/>
  </w:num>
  <w:num w:numId="23" w16cid:durableId="675041009">
    <w:abstractNumId w:val="8"/>
  </w:num>
  <w:num w:numId="24" w16cid:durableId="1254624575">
    <w:abstractNumId w:val="9"/>
  </w:num>
  <w:num w:numId="25" w16cid:durableId="1253393703">
    <w:abstractNumId w:val="8"/>
  </w:num>
  <w:num w:numId="26" w16cid:durableId="303043389">
    <w:abstractNumId w:val="12"/>
  </w:num>
  <w:num w:numId="27" w16cid:durableId="1344896189">
    <w:abstractNumId w:val="6"/>
  </w:num>
  <w:num w:numId="28" w16cid:durableId="883760408">
    <w:abstractNumId w:val="12"/>
  </w:num>
  <w:num w:numId="29" w16cid:durableId="189608683">
    <w:abstractNumId w:val="6"/>
  </w:num>
  <w:num w:numId="30" w16cid:durableId="1480806638">
    <w:abstractNumId w:val="12"/>
  </w:num>
  <w:num w:numId="31" w16cid:durableId="632372410">
    <w:abstractNumId w:val="6"/>
  </w:num>
  <w:num w:numId="32" w16cid:durableId="1698501090">
    <w:abstractNumId w:val="12"/>
  </w:num>
  <w:num w:numId="33" w16cid:durableId="79995771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formsDesign/>
  <w:defaultTabStop w:val="47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27*"/>
    <w:docVar w:name="CreationDt" w:val="07/03/2024 11:16 AM"/>
    <w:docVar w:name="DocCategory" w:val="Doc"/>
    <w:docVar w:name="DocType" w:val="Final"/>
    <w:docVar w:name="DutyStation" w:val="New York"/>
    <w:docVar w:name="FooterJN" w:val="24-03627"/>
    <w:docVar w:name="jobn" w:val="24-03627 (E)"/>
    <w:docVar w:name="jobnDT" w:val="24-03627 (E)   070324"/>
    <w:docVar w:name="jobnDTDT" w:val="24-03627 (E)   070324   070324"/>
    <w:docVar w:name="JobNo" w:val="2403627E"/>
    <w:docVar w:name="JobNo2" w:val="2405158E"/>
    <w:docVar w:name="LocalDrive" w:val="-1"/>
    <w:docVar w:name="OandT" w:val=" "/>
    <w:docVar w:name="Session1" w:val="Eighty-ninth session_x000d_"/>
    <w:docVar w:name="sss1" w:val="CEDAW/C/PSWG/89/1"/>
    <w:docVar w:name="sss2" w:val="-"/>
    <w:docVar w:name="Symbol1" w:val="CEDAW/C/PSWG/89/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467DBB"/>
    <w:rsid w:val="00001169"/>
    <w:rsid w:val="000F4F89"/>
    <w:rsid w:val="00101B6D"/>
    <w:rsid w:val="001167DA"/>
    <w:rsid w:val="0013302C"/>
    <w:rsid w:val="00247400"/>
    <w:rsid w:val="00331D20"/>
    <w:rsid w:val="00361DD3"/>
    <w:rsid w:val="00365FD7"/>
    <w:rsid w:val="003867C4"/>
    <w:rsid w:val="00467DBB"/>
    <w:rsid w:val="00495E7B"/>
    <w:rsid w:val="0049669D"/>
    <w:rsid w:val="004C7753"/>
    <w:rsid w:val="004F5722"/>
    <w:rsid w:val="0054211F"/>
    <w:rsid w:val="005610B1"/>
    <w:rsid w:val="00680237"/>
    <w:rsid w:val="008138CB"/>
    <w:rsid w:val="00863195"/>
    <w:rsid w:val="00877270"/>
    <w:rsid w:val="009155CB"/>
    <w:rsid w:val="00970B21"/>
    <w:rsid w:val="009C09CE"/>
    <w:rsid w:val="009C5632"/>
    <w:rsid w:val="009D56BA"/>
    <w:rsid w:val="00A32C65"/>
    <w:rsid w:val="00A451B0"/>
    <w:rsid w:val="00A675D3"/>
    <w:rsid w:val="00A96458"/>
    <w:rsid w:val="00AA29EE"/>
    <w:rsid w:val="00B06285"/>
    <w:rsid w:val="00B27698"/>
    <w:rsid w:val="00B901FD"/>
    <w:rsid w:val="00BC2C8A"/>
    <w:rsid w:val="00BD267B"/>
    <w:rsid w:val="00C46199"/>
    <w:rsid w:val="00C4776A"/>
    <w:rsid w:val="00CC2D86"/>
    <w:rsid w:val="00D23FFB"/>
    <w:rsid w:val="00D409D0"/>
    <w:rsid w:val="00D91A05"/>
    <w:rsid w:val="00DB0712"/>
    <w:rsid w:val="00E26243"/>
    <w:rsid w:val="00E548DF"/>
    <w:rsid w:val="00E8036E"/>
    <w:rsid w:val="00EA1709"/>
    <w:rsid w:val="00EC7936"/>
    <w:rsid w:val="00ED1AC3"/>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78EC64"/>
  <w15:chartTrackingRefBased/>
  <w15:docId w15:val="{97D7E041-0864-48AE-A110-669C9A72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970B21"/>
    <w:pPr>
      <w:spacing w:line="240" w:lineRule="auto"/>
    </w:pPr>
  </w:style>
  <w:style w:type="character" w:customStyle="1" w:styleId="CommentTextChar">
    <w:name w:val="Comment Text Char"/>
    <w:basedOn w:val="DefaultParagraphFont"/>
    <w:link w:val="CommentText"/>
    <w:uiPriority w:val="99"/>
    <w:semiHidden/>
    <w:rsid w:val="00970B2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70B21"/>
    <w:rPr>
      <w:b/>
      <w:bCs/>
    </w:rPr>
  </w:style>
  <w:style w:type="character" w:customStyle="1" w:styleId="CommentSubjectChar">
    <w:name w:val="Comment Subject Char"/>
    <w:basedOn w:val="CommentTextChar"/>
    <w:link w:val="CommentSubject"/>
    <w:uiPriority w:val="99"/>
    <w:semiHidden/>
    <w:rsid w:val="00970B21"/>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n/CEDAW/C/COG/Q/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VNM/Q/9"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CD/Q/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LCA/QPR/7-1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NPL/Q/7" TargetMode="External"/><Relationship Id="rId10" Type="http://schemas.openxmlformats.org/officeDocument/2006/relationships/header" Target="header1.xml"/><Relationship Id="rId19" Type="http://schemas.openxmlformats.org/officeDocument/2006/relationships/hyperlink" Target="https://undocs.org/en/CEDAW/C/BLZ/Q/5-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CYP/QPR/9"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www.w3.org/XML/1998/namespace"/>
    <ds:schemaRef ds:uri="985ec44e-1bab-4c0b-9df0-6ba128686fc9"/>
    <ds:schemaRef ds:uri="32aca14f-6975-493a-b86a-2ec1bd8de72a"/>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1c8501f-7554-4cfe-b76f-88ff51cf7baf"/>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2024-03-11T16:09:00Z</cp:lastPrinted>
  <dcterms:created xsi:type="dcterms:W3CDTF">2024-03-11T16:09:00Z</dcterms:created>
  <dcterms:modified xsi:type="dcterms:W3CDTF">2024-03-11T16:09:00Z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2403627</vt:lpwstr>
  </property>
  <property fmtid="{D5CDD505-2E9C-101B-9397-08002B2CF9AE}" pid="3" name="ODSRefJobNo">
    <vt:lpwstr>2405158E</vt:lpwstr>
  </property>
  <property fmtid="{D5CDD505-2E9C-101B-9397-08002B2CF9AE}" pid="4" name="Symbol1">
    <vt:lpwstr>CEDAW/C/PSWG/89/1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Eighty-ninth session_x000d_</vt:lpwstr>
  </property>
  <property fmtid="{D5CDD505-2E9C-101B-9397-08002B2CF9AE}" pid="14" name="Title1">
    <vt:lpwstr>Consideration of reports submitted by States parties under article 18 of the Convention on the Elimination of All Forms of Discrimination against Women</vt:lpwstr>
  </property>
  <property fmtid="{D5CDD505-2E9C-101B-9397-08002B2CF9AE}" pid="15" name="Title2">
    <vt:lpwstr>Report of the pre-sessional working group</vt:lpwstr>
  </property>
</Properties>
</file>