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5" w:tblpY="285"/>
        <w:tblOverlap w:val="never"/>
        <w:bidiVisual/>
        <w:tblW w:w="9639" w:type="dxa"/>
        <w:tblBorders>
          <w:bottom w:val="single" w:sz="4" w:space="0" w:color="auto"/>
          <w:insideH w:val="single" w:sz="4" w:space="0" w:color="auto"/>
        </w:tblBorders>
        <w:tblLayout w:type="fixed"/>
        <w:tblCellMar>
          <w:left w:w="0" w:type="dxa"/>
          <w:right w:w="0" w:type="dxa"/>
        </w:tblCellMar>
        <w:tblLook w:val="01E0" w:firstRow="1" w:lastRow="1" w:firstColumn="1" w:lastColumn="1" w:noHBand="0" w:noVBand="0"/>
      </w:tblPr>
      <w:tblGrid>
        <w:gridCol w:w="1274"/>
        <w:gridCol w:w="4963"/>
        <w:gridCol w:w="3402"/>
      </w:tblGrid>
      <w:tr w:rsidR="006B3E27" w:rsidRPr="00F51AD3" w14:paraId="32993DDE" w14:textId="77777777" w:rsidTr="00281242">
        <w:trPr>
          <w:trHeight w:hRule="exact" w:val="851"/>
        </w:trPr>
        <w:tc>
          <w:tcPr>
            <w:tcW w:w="1274" w:type="dxa"/>
            <w:tcBorders>
              <w:bottom w:val="single" w:sz="4" w:space="0" w:color="auto"/>
            </w:tcBorders>
          </w:tcPr>
          <w:p w14:paraId="2BD46033" w14:textId="77777777" w:rsidR="006B3E27" w:rsidRPr="00611DC0" w:rsidRDefault="006B3E27" w:rsidP="00F55F78">
            <w:pPr>
              <w:kinsoku w:val="0"/>
              <w:overflowPunct w:val="0"/>
              <w:autoSpaceDE w:val="0"/>
              <w:autoSpaceDN w:val="0"/>
              <w:adjustRightInd w:val="0"/>
              <w:snapToGrid w:val="0"/>
              <w:spacing w:after="80" w:line="480" w:lineRule="exact"/>
              <w:rPr>
                <w:rFonts w:hint="cs"/>
                <w:sz w:val="40"/>
                <w:szCs w:val="40"/>
                <w:rtl/>
                <w:lang w:eastAsia="zh-TW"/>
              </w:rPr>
            </w:pPr>
            <w:bookmarkStart w:id="0" w:name="_Hlk62896384"/>
          </w:p>
        </w:tc>
        <w:tc>
          <w:tcPr>
            <w:tcW w:w="4963" w:type="dxa"/>
            <w:tcBorders>
              <w:bottom w:val="single" w:sz="4" w:space="0" w:color="auto"/>
            </w:tcBorders>
            <w:vAlign w:val="bottom"/>
          </w:tcPr>
          <w:p w14:paraId="0D7B61AB" w14:textId="77777777" w:rsidR="006B3E27" w:rsidRPr="00F51AD3" w:rsidRDefault="006B3E27" w:rsidP="002F3D3A">
            <w:pPr>
              <w:spacing w:after="80" w:line="480" w:lineRule="exact"/>
              <w:ind w:left="57"/>
              <w:rPr>
                <w:sz w:val="30"/>
                <w:szCs w:val="30"/>
                <w:rtl/>
              </w:rPr>
            </w:pPr>
            <w:r w:rsidRPr="00F51AD3">
              <w:rPr>
                <w:rFonts w:hint="cs"/>
                <w:sz w:val="30"/>
                <w:szCs w:val="30"/>
                <w:rtl/>
              </w:rPr>
              <w:t>الأمم المتحدة</w:t>
            </w:r>
          </w:p>
        </w:tc>
        <w:tc>
          <w:tcPr>
            <w:tcW w:w="3402" w:type="dxa"/>
            <w:tcBorders>
              <w:bottom w:val="single" w:sz="4" w:space="0" w:color="auto"/>
            </w:tcBorders>
            <w:vAlign w:val="bottom"/>
          </w:tcPr>
          <w:p w14:paraId="515E8821" w14:textId="26D75931" w:rsidR="006B3E27" w:rsidRPr="00F51AD3" w:rsidRDefault="003951EB" w:rsidP="003951EB">
            <w:pPr>
              <w:bidi w:val="0"/>
              <w:rPr>
                <w:szCs w:val="20"/>
                <w:lang w:eastAsia="zh-TW"/>
              </w:rPr>
            </w:pPr>
            <w:r w:rsidRPr="00F51AD3">
              <w:rPr>
                <w:sz w:val="40"/>
                <w:szCs w:val="20"/>
                <w:lang w:eastAsia="zh-TW"/>
              </w:rPr>
              <w:t>A</w:t>
            </w:r>
            <w:r w:rsidRPr="00F51AD3">
              <w:rPr>
                <w:szCs w:val="20"/>
                <w:lang w:eastAsia="zh-TW"/>
              </w:rPr>
              <w:t>/HRC/RES/62/12</w:t>
            </w:r>
          </w:p>
        </w:tc>
      </w:tr>
      <w:tr w:rsidR="006B3E27" w:rsidRPr="00F51AD3" w14:paraId="4FF2A639" w14:textId="77777777" w:rsidTr="00281242">
        <w:trPr>
          <w:trHeight w:hRule="exact" w:val="2835"/>
        </w:trPr>
        <w:tc>
          <w:tcPr>
            <w:tcW w:w="1274" w:type="dxa"/>
            <w:tcBorders>
              <w:top w:val="single" w:sz="4" w:space="0" w:color="auto"/>
              <w:bottom w:val="single" w:sz="12" w:space="0" w:color="auto"/>
            </w:tcBorders>
          </w:tcPr>
          <w:p w14:paraId="3BE74C5C" w14:textId="77777777" w:rsidR="006B3E27" w:rsidRPr="00F51AD3" w:rsidRDefault="00655884" w:rsidP="0047152B">
            <w:pPr>
              <w:jc w:val="center"/>
              <w:rPr>
                <w:sz w:val="56"/>
                <w:szCs w:val="56"/>
              </w:rPr>
            </w:pPr>
            <w:r w:rsidRPr="00F51AD3">
              <w:rPr>
                <w:noProof/>
                <w:sz w:val="56"/>
                <w:szCs w:val="56"/>
              </w:rPr>
              <w:drawing>
                <wp:inline distT="0" distB="0" distL="0" distR="0" wp14:anchorId="6FB45D7D" wp14:editId="757385A9">
                  <wp:extent cx="628015" cy="614045"/>
                  <wp:effectExtent l="0" t="0" r="0" b="0"/>
                  <wp:docPr id="28" name="Picture 28"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شعار_الأمم_المتحدة"/>
                          <pic:cNvPicPr>
                            <a:picLocks noChangeAspect="1" noChangeArrowheads="1"/>
                          </pic:cNvPicPr>
                        </pic:nvPicPr>
                        <pic:blipFill>
                          <a:blip r:embed="rId8">
                            <a:extLst>
                              <a:ext uri="{28A0092B-C50C-407E-A947-70E740481C1C}">
                                <a14:useLocalDpi xmlns:a14="http://schemas.microsoft.com/office/drawing/2010/main" val="0"/>
                              </a:ext>
                            </a:extLst>
                          </a:blip>
                          <a:srcRect t="-1270" b="-1270"/>
                          <a:stretch>
                            <a:fillRect/>
                          </a:stretch>
                        </pic:blipFill>
                        <pic:spPr bwMode="auto">
                          <a:xfrm>
                            <a:off x="0" y="0"/>
                            <a:ext cx="628015" cy="614045"/>
                          </a:xfrm>
                          <a:prstGeom prst="rect">
                            <a:avLst/>
                          </a:prstGeom>
                          <a:noFill/>
                          <a:ln>
                            <a:noFill/>
                          </a:ln>
                        </pic:spPr>
                      </pic:pic>
                    </a:graphicData>
                  </a:graphic>
                </wp:inline>
              </w:drawing>
            </w:r>
          </w:p>
        </w:tc>
        <w:tc>
          <w:tcPr>
            <w:tcW w:w="4963" w:type="dxa"/>
            <w:tcBorders>
              <w:top w:val="single" w:sz="4" w:space="0" w:color="auto"/>
              <w:bottom w:val="single" w:sz="12" w:space="0" w:color="auto"/>
            </w:tcBorders>
          </w:tcPr>
          <w:p w14:paraId="33692FAD" w14:textId="77777777" w:rsidR="006B3E27" w:rsidRPr="00F51AD3" w:rsidRDefault="001773DB" w:rsidP="002F3D3A">
            <w:pPr>
              <w:spacing w:before="120" w:after="40" w:line="640" w:lineRule="exact"/>
              <w:ind w:left="57"/>
              <w:rPr>
                <w:b/>
                <w:bCs/>
                <w:sz w:val="50"/>
                <w:szCs w:val="50"/>
              </w:rPr>
            </w:pPr>
            <w:r w:rsidRPr="00F51AD3">
              <w:rPr>
                <w:rFonts w:hint="cs"/>
                <w:b/>
                <w:bCs/>
                <w:sz w:val="50"/>
                <w:szCs w:val="50"/>
                <w:rtl/>
              </w:rPr>
              <w:t>الجمعية العامة</w:t>
            </w:r>
          </w:p>
        </w:tc>
        <w:tc>
          <w:tcPr>
            <w:tcW w:w="3402" w:type="dxa"/>
            <w:tcBorders>
              <w:top w:val="single" w:sz="4" w:space="0" w:color="auto"/>
              <w:bottom w:val="single" w:sz="12" w:space="0" w:color="auto"/>
            </w:tcBorders>
          </w:tcPr>
          <w:p w14:paraId="41A4478B" w14:textId="77777777" w:rsidR="00611DC0" w:rsidRPr="00F51AD3" w:rsidRDefault="00611DC0" w:rsidP="00611DC0">
            <w:pPr>
              <w:bidi w:val="0"/>
              <w:spacing w:before="240" w:line="240" w:lineRule="exact"/>
            </w:pPr>
            <w:r w:rsidRPr="00F51AD3">
              <w:t>Distr.: General</w:t>
            </w:r>
          </w:p>
          <w:p w14:paraId="565971D7" w14:textId="77777777" w:rsidR="00611DC0" w:rsidRPr="00F51AD3" w:rsidRDefault="00611DC0" w:rsidP="00611DC0">
            <w:pPr>
              <w:bidi w:val="0"/>
              <w:spacing w:line="240" w:lineRule="exact"/>
            </w:pPr>
            <w:r w:rsidRPr="00F51AD3">
              <w:t>8 July 2026</w:t>
            </w:r>
          </w:p>
          <w:p w14:paraId="407136D9" w14:textId="72832ABF" w:rsidR="00611DC0" w:rsidRPr="00F51AD3" w:rsidRDefault="00611DC0" w:rsidP="00611DC0">
            <w:pPr>
              <w:bidi w:val="0"/>
              <w:spacing w:line="240" w:lineRule="exact"/>
            </w:pPr>
            <w:r w:rsidRPr="00F51AD3">
              <w:t>Arabic</w:t>
            </w:r>
          </w:p>
          <w:p w14:paraId="6556D9E9" w14:textId="5251F255" w:rsidR="006B3E27" w:rsidRPr="00F51AD3" w:rsidRDefault="00611DC0" w:rsidP="00611DC0">
            <w:pPr>
              <w:bidi w:val="0"/>
              <w:spacing w:line="240" w:lineRule="exact"/>
              <w:rPr>
                <w:szCs w:val="20"/>
              </w:rPr>
            </w:pPr>
            <w:r w:rsidRPr="00F51AD3">
              <w:t>Original: English</w:t>
            </w:r>
          </w:p>
        </w:tc>
      </w:tr>
    </w:tbl>
    <w:bookmarkEnd w:id="0"/>
    <w:p w14:paraId="2ADFA5BC" w14:textId="77777777" w:rsidR="00FF1E99" w:rsidRPr="00F51AD3" w:rsidRDefault="00F572D8" w:rsidP="00611DC0">
      <w:pPr>
        <w:pStyle w:val="SingleTxtGA"/>
        <w:spacing w:before="120" w:after="0"/>
        <w:ind w:left="0"/>
        <w:rPr>
          <w:rFonts w:ascii="Times New Roman Bold" w:hAnsi="Times New Roman Bold" w:hint="eastAsia"/>
          <w:b/>
          <w:bCs/>
          <w:sz w:val="26"/>
          <w:szCs w:val="26"/>
          <w:rtl/>
          <w:lang w:eastAsia="zh-TW"/>
        </w:rPr>
      </w:pPr>
      <w:r w:rsidRPr="00F51AD3">
        <w:rPr>
          <w:rFonts w:ascii="Times New Roman Bold" w:hAnsi="Times New Roman Bold" w:hint="cs"/>
          <w:b/>
          <w:bCs/>
          <w:sz w:val="26"/>
          <w:szCs w:val="26"/>
          <w:rtl/>
          <w:lang w:eastAsia="zh-TW"/>
        </w:rPr>
        <w:t>مجلس حقوق الإنسان</w:t>
      </w:r>
    </w:p>
    <w:p w14:paraId="076FB276" w14:textId="77777777" w:rsidR="00611DC0" w:rsidRPr="00F51AD3" w:rsidRDefault="00611DC0" w:rsidP="00611DC0">
      <w:pPr>
        <w:pStyle w:val="SingleTxtGA"/>
        <w:spacing w:after="0"/>
        <w:ind w:left="0"/>
        <w:rPr>
          <w:b/>
          <w:bCs/>
          <w:lang w:eastAsia="zh-TW"/>
        </w:rPr>
      </w:pPr>
      <w:r w:rsidRPr="00F51AD3">
        <w:rPr>
          <w:b/>
          <w:bCs/>
          <w:rtl/>
          <w:lang w:eastAsia="zh-TW"/>
        </w:rPr>
        <w:t>الدورة الثانية والستون</w:t>
      </w:r>
    </w:p>
    <w:p w14:paraId="631E0812" w14:textId="77777777" w:rsidR="00611DC0" w:rsidRPr="00F51AD3" w:rsidRDefault="00611DC0" w:rsidP="00611DC0">
      <w:pPr>
        <w:pStyle w:val="SingleTxtGA"/>
        <w:spacing w:after="0"/>
        <w:ind w:left="0"/>
        <w:rPr>
          <w:lang w:eastAsia="zh-TW"/>
        </w:rPr>
      </w:pPr>
      <w:r w:rsidRPr="00F51AD3">
        <w:rPr>
          <w:rtl/>
          <w:lang w:eastAsia="zh-TW"/>
        </w:rPr>
        <w:t xml:space="preserve">15 حزيران/يونيه – </w:t>
      </w:r>
      <w:r w:rsidRPr="00F51AD3">
        <w:rPr>
          <w:rFonts w:hint="cs"/>
          <w:rtl/>
          <w:lang w:eastAsia="zh-TW"/>
        </w:rPr>
        <w:t>8</w:t>
      </w:r>
      <w:r w:rsidRPr="00F51AD3">
        <w:rPr>
          <w:rtl/>
          <w:lang w:eastAsia="zh-TW"/>
        </w:rPr>
        <w:t xml:space="preserve"> تموز/يوليه 2026</w:t>
      </w:r>
    </w:p>
    <w:p w14:paraId="12288504" w14:textId="77777777" w:rsidR="00611DC0" w:rsidRPr="00F51AD3" w:rsidRDefault="00611DC0" w:rsidP="00611DC0">
      <w:pPr>
        <w:pStyle w:val="SingleTxtGA"/>
        <w:spacing w:after="0"/>
        <w:ind w:left="0"/>
        <w:rPr>
          <w:lang w:eastAsia="zh-TW"/>
        </w:rPr>
      </w:pPr>
      <w:r w:rsidRPr="00F51AD3">
        <w:rPr>
          <w:rtl/>
          <w:lang w:eastAsia="zh-TW"/>
        </w:rPr>
        <w:t>البند 3 من جدول الأعمال</w:t>
      </w:r>
    </w:p>
    <w:p w14:paraId="3783A233" w14:textId="77777777" w:rsidR="00611DC0" w:rsidRPr="00F51AD3" w:rsidRDefault="00611DC0" w:rsidP="00611DC0">
      <w:pPr>
        <w:pStyle w:val="SingleTxtGA"/>
        <w:spacing w:after="0"/>
        <w:ind w:left="0" w:right="4962"/>
        <w:rPr>
          <w:b/>
          <w:bCs/>
          <w:lang w:eastAsia="zh-TW"/>
        </w:rPr>
      </w:pPr>
      <w:r w:rsidRPr="00F51AD3">
        <w:rPr>
          <w:b/>
          <w:bCs/>
          <w:rtl/>
          <w:lang w:eastAsia="zh-TW"/>
        </w:rPr>
        <w:t>تعزيز وحماية جميع حقوق الإنسان، المدنية والسياسية والاقتصادية والاجتماعية والثقافية، بما في ذلك الحق في التنمية</w:t>
      </w:r>
    </w:p>
    <w:p w14:paraId="4FF25DC3" w14:textId="77777777" w:rsidR="00611DC0" w:rsidRPr="00F51AD3" w:rsidRDefault="00611DC0" w:rsidP="00611DC0">
      <w:pPr>
        <w:pStyle w:val="HChGA"/>
        <w:spacing w:before="480" w:after="360"/>
        <w:rPr>
          <w:lang w:val="en-US"/>
        </w:rPr>
      </w:pPr>
      <w:r w:rsidRPr="00F51AD3">
        <w:rPr>
          <w:rtl/>
          <w:lang w:val="en-US"/>
        </w:rPr>
        <w:tab/>
      </w:r>
      <w:r w:rsidRPr="00F51AD3">
        <w:rPr>
          <w:rtl/>
          <w:lang w:val="en-US"/>
        </w:rPr>
        <w:tab/>
        <w:t>قرار</w:t>
      </w:r>
      <w:r w:rsidRPr="00F51AD3">
        <w:rPr>
          <w:rFonts w:hint="cs"/>
          <w:rtl/>
          <w:lang w:val="en-US"/>
        </w:rPr>
        <w:t xml:space="preserve"> اعتمده مجلس حقوق الإنسان في 6 تموز/يوليه 2026</w:t>
      </w:r>
    </w:p>
    <w:p w14:paraId="2003D683" w14:textId="61D4014D" w:rsidR="00611DC0" w:rsidRPr="00F51AD3" w:rsidRDefault="00611DC0" w:rsidP="00611DC0">
      <w:pPr>
        <w:pStyle w:val="H1GA"/>
        <w:spacing w:before="360" w:after="360"/>
        <w:rPr>
          <w:lang w:val="en-US" w:eastAsia="zh-TW"/>
        </w:rPr>
      </w:pPr>
      <w:r w:rsidRPr="00F51AD3">
        <w:rPr>
          <w:rtl/>
          <w:lang w:val="en-US" w:eastAsia="zh-TW"/>
        </w:rPr>
        <w:tab/>
        <w:t>62/</w:t>
      </w:r>
      <w:r w:rsidRPr="00F51AD3">
        <w:rPr>
          <w:rFonts w:hint="cs"/>
          <w:rtl/>
          <w:lang w:val="en-US" w:eastAsia="zh-TW"/>
        </w:rPr>
        <w:t>12-</w:t>
      </w:r>
      <w:r w:rsidRPr="00F51AD3">
        <w:rPr>
          <w:rtl/>
          <w:lang w:val="en-US" w:eastAsia="zh-TW"/>
        </w:rPr>
        <w:tab/>
        <w:t>استقلال ونزاهة السلطة القضائية والمحلفين والخبراء القضائيين، واستقلال المحامين: ولاية المقررة الخاصة المعنية باستقلال القضاة والمحامين</w:t>
      </w:r>
    </w:p>
    <w:p w14:paraId="4E491CCE" w14:textId="77777777" w:rsidR="00611DC0" w:rsidRPr="00F51AD3" w:rsidRDefault="00611DC0" w:rsidP="00611DC0">
      <w:pPr>
        <w:pStyle w:val="SingleTxtGA"/>
        <w:spacing w:line="358" w:lineRule="exact"/>
        <w:rPr>
          <w:lang w:eastAsia="zh-TW"/>
        </w:rPr>
      </w:pPr>
      <w:r w:rsidRPr="00F51AD3">
        <w:rPr>
          <w:rtl/>
          <w:lang w:eastAsia="zh-TW"/>
        </w:rPr>
        <w:tab/>
      </w:r>
      <w:r w:rsidRPr="00F51AD3">
        <w:rPr>
          <w:i/>
          <w:iCs/>
          <w:rtl/>
          <w:lang w:eastAsia="zh-TW"/>
        </w:rPr>
        <w:t>إن مجلس حقوق الإنسان</w:t>
      </w:r>
      <w:r w:rsidRPr="00F51AD3">
        <w:rPr>
          <w:rtl/>
          <w:lang w:eastAsia="zh-TW"/>
        </w:rPr>
        <w:t>،</w:t>
      </w:r>
    </w:p>
    <w:p w14:paraId="65E2F409" w14:textId="77777777" w:rsidR="00611DC0" w:rsidRPr="00F51AD3" w:rsidRDefault="00611DC0" w:rsidP="00611DC0">
      <w:pPr>
        <w:pStyle w:val="SingleTxtGA"/>
        <w:spacing w:line="358" w:lineRule="exact"/>
        <w:rPr>
          <w:lang w:eastAsia="zh-TW"/>
        </w:rPr>
      </w:pPr>
      <w:r w:rsidRPr="00F51AD3">
        <w:rPr>
          <w:rtl/>
          <w:lang w:eastAsia="zh-TW"/>
        </w:rPr>
        <w:tab/>
      </w:r>
      <w:r w:rsidRPr="00F51AD3">
        <w:rPr>
          <w:i/>
          <w:iCs/>
          <w:rtl/>
          <w:lang w:eastAsia="zh-TW"/>
        </w:rPr>
        <w:t>إذ يسترشد</w:t>
      </w:r>
      <w:r w:rsidRPr="00F51AD3">
        <w:rPr>
          <w:rtl/>
          <w:lang w:eastAsia="zh-TW"/>
        </w:rPr>
        <w:t xml:space="preserve"> بمقاصد ميثاق الأمم المتحدة ومبادئه، وبالمواد 7 و8 و9 و10 و11 من الإعلان العالمي لحقوق الإنسان والمواد 2 و4 و9 و14 و26 من العهد الدولي الخاص بالحقوق المدنية والسياسية، وإذ يضع في اعتباره إعلان وبرنامج عمل فيينا وجميع صكوك حقوق الإنسان ذات الصلة،</w:t>
      </w:r>
    </w:p>
    <w:p w14:paraId="4EB8D802" w14:textId="77777777" w:rsidR="00611DC0" w:rsidRPr="00F51AD3" w:rsidRDefault="00611DC0" w:rsidP="00611DC0">
      <w:pPr>
        <w:pStyle w:val="SingleTxtGA"/>
        <w:spacing w:line="358" w:lineRule="exact"/>
        <w:rPr>
          <w:lang w:eastAsia="zh-TW"/>
        </w:rPr>
      </w:pPr>
      <w:r w:rsidRPr="00F51AD3">
        <w:rPr>
          <w:rtl/>
          <w:lang w:eastAsia="zh-TW"/>
        </w:rPr>
        <w:tab/>
      </w:r>
      <w:r w:rsidRPr="00F51AD3">
        <w:rPr>
          <w:i/>
          <w:iCs/>
          <w:rtl/>
          <w:lang w:eastAsia="zh-TW"/>
        </w:rPr>
        <w:t>وإذ يشير</w:t>
      </w:r>
      <w:r w:rsidRPr="00F51AD3">
        <w:rPr>
          <w:rtl/>
          <w:lang w:eastAsia="zh-TW"/>
        </w:rPr>
        <w:t xml:space="preserve"> إلى المبادئ الأساسية بشأن استقلال السلطة القضائية، والمبادئ الأساسية بشأن دور </w:t>
      </w:r>
      <w:r w:rsidRPr="00F51AD3">
        <w:rPr>
          <w:spacing w:val="-5"/>
          <w:rtl/>
          <w:lang w:eastAsia="zh-TW"/>
        </w:rPr>
        <w:t xml:space="preserve">المحامين، والمبادئ التوجيهية المتعلقة بدور أعضاء النيابة العامة، ومبادئ بنغالور بشأن سلوك الجهاز القضائي، </w:t>
      </w:r>
      <w:r w:rsidRPr="00F51AD3">
        <w:rPr>
          <w:rtl/>
          <w:lang w:eastAsia="zh-TW"/>
        </w:rPr>
        <w:t>ومبادئ الأمم المتحدة وتوجيهاتها بشأن سبل الحصول على المساعدة القانونية في نظم العدالة الجنائية،</w:t>
      </w:r>
    </w:p>
    <w:p w14:paraId="24439D4B" w14:textId="77777777" w:rsidR="00611DC0" w:rsidRPr="00F51AD3" w:rsidRDefault="00611DC0" w:rsidP="00611DC0">
      <w:pPr>
        <w:pStyle w:val="SingleTxtGA"/>
        <w:spacing w:line="358" w:lineRule="exact"/>
        <w:rPr>
          <w:lang w:eastAsia="zh-TW"/>
        </w:rPr>
      </w:pPr>
      <w:r w:rsidRPr="00F51AD3">
        <w:rPr>
          <w:rtl/>
          <w:lang w:eastAsia="zh-TW"/>
        </w:rPr>
        <w:tab/>
      </w:r>
      <w:r w:rsidRPr="00F51AD3">
        <w:rPr>
          <w:i/>
          <w:iCs/>
          <w:rtl/>
          <w:lang w:eastAsia="zh-TW"/>
        </w:rPr>
        <w:t>وإذ يشير أيضاً</w:t>
      </w:r>
      <w:r w:rsidRPr="00F51AD3">
        <w:rPr>
          <w:rtl/>
          <w:lang w:eastAsia="zh-TW"/>
        </w:rPr>
        <w:t xml:space="preserve"> إلى جميع القرارات والمقررات السابقة لمجلس حقوق الإنسان ولجنة حقوق الإنسان والجمعية العامة بشأن استقلال القضاء وتجرده ونزاهة النظام القضائي،</w:t>
      </w:r>
    </w:p>
    <w:p w14:paraId="50F6148C" w14:textId="77777777" w:rsidR="00611DC0" w:rsidRPr="00F51AD3" w:rsidRDefault="00611DC0" w:rsidP="00611DC0">
      <w:pPr>
        <w:pStyle w:val="SingleTxtGA"/>
        <w:spacing w:line="358" w:lineRule="exact"/>
        <w:rPr>
          <w:lang w:eastAsia="zh-TW"/>
        </w:rPr>
      </w:pPr>
      <w:r w:rsidRPr="00F51AD3">
        <w:rPr>
          <w:rtl/>
          <w:lang w:eastAsia="zh-TW"/>
        </w:rPr>
        <w:tab/>
      </w:r>
      <w:r w:rsidRPr="00F51AD3">
        <w:rPr>
          <w:i/>
          <w:iCs/>
          <w:rtl/>
          <w:lang w:eastAsia="zh-TW"/>
        </w:rPr>
        <w:t>وإذ يشير كذلك</w:t>
      </w:r>
      <w:r w:rsidRPr="00F51AD3">
        <w:rPr>
          <w:rtl/>
          <w:lang w:eastAsia="zh-TW"/>
        </w:rPr>
        <w:t xml:space="preserve"> إلى قراريه 5</w:t>
      </w:r>
      <w:r w:rsidRPr="00F51AD3">
        <w:rPr>
          <w:rFonts w:hint="cs"/>
          <w:rtl/>
          <w:lang w:eastAsia="zh-TW"/>
        </w:rPr>
        <w:t>/</w:t>
      </w:r>
      <w:r w:rsidRPr="00F51AD3">
        <w:rPr>
          <w:rtl/>
          <w:lang w:eastAsia="zh-TW"/>
        </w:rPr>
        <w:t>1 بشأن بناء مؤسسات مجلس حقوق الإنسان، و5</w:t>
      </w:r>
      <w:r w:rsidRPr="00F51AD3">
        <w:rPr>
          <w:rFonts w:hint="cs"/>
          <w:rtl/>
          <w:lang w:eastAsia="zh-TW"/>
        </w:rPr>
        <w:t>/</w:t>
      </w:r>
      <w:r w:rsidRPr="00F51AD3">
        <w:rPr>
          <w:rtl/>
          <w:lang w:eastAsia="zh-TW"/>
        </w:rPr>
        <w:t>2 بشأن مدونة قواعد السلوك للمكلّفين بولايات في إطار الإجراءات الخاصة لمجلس حقوق الإنسان، المؤرخين 18 حزيران/يونيه 2007، وإذ يشدد على أن يؤدي المكلف بالولاية هذه المهام وفقاً لهذين القرارين ومرفقيهما،</w:t>
      </w:r>
    </w:p>
    <w:p w14:paraId="0B7F1195" w14:textId="77777777" w:rsidR="00611DC0" w:rsidRPr="00F51AD3" w:rsidRDefault="00611DC0" w:rsidP="00611DC0">
      <w:pPr>
        <w:pStyle w:val="SingleTxtGA"/>
        <w:spacing w:line="358" w:lineRule="exact"/>
        <w:rPr>
          <w:lang w:eastAsia="zh-TW"/>
        </w:rPr>
      </w:pPr>
      <w:r w:rsidRPr="00F51AD3">
        <w:rPr>
          <w:rtl/>
          <w:lang w:eastAsia="zh-TW"/>
        </w:rPr>
        <w:tab/>
      </w:r>
      <w:r w:rsidRPr="00F51AD3">
        <w:rPr>
          <w:i/>
          <w:iCs/>
          <w:rtl/>
          <w:lang w:eastAsia="zh-TW"/>
        </w:rPr>
        <w:t>وإذ يحيط علماً</w:t>
      </w:r>
      <w:r w:rsidRPr="00F51AD3">
        <w:rPr>
          <w:rtl/>
          <w:lang w:eastAsia="zh-TW"/>
        </w:rPr>
        <w:t xml:space="preserve"> بتقريري المقررة الخاصة المعنية باستقلال القضاة والمحامين المقدمين إلى مجلس حقوق الإنسان</w:t>
      </w:r>
      <w:r w:rsidRPr="00F51AD3">
        <w:rPr>
          <w:vertAlign w:val="superscript"/>
          <w:rtl/>
          <w:lang w:eastAsia="zh-TW"/>
        </w:rPr>
        <w:t>(</w:t>
      </w:r>
      <w:r w:rsidRPr="00F51AD3">
        <w:rPr>
          <w:vertAlign w:val="superscript"/>
          <w:rtl/>
          <w:lang w:eastAsia="zh-TW"/>
        </w:rPr>
        <w:footnoteReference w:id="1"/>
      </w:r>
      <w:r w:rsidRPr="00F51AD3">
        <w:rPr>
          <w:vertAlign w:val="superscript"/>
          <w:rtl/>
          <w:lang w:eastAsia="zh-TW"/>
        </w:rPr>
        <w:t>)</w:t>
      </w:r>
      <w:r w:rsidRPr="00F51AD3">
        <w:rPr>
          <w:rtl/>
          <w:lang w:eastAsia="zh-TW"/>
        </w:rPr>
        <w:t>، وإلى الجمعية العامة</w:t>
      </w:r>
      <w:r w:rsidRPr="00F51AD3">
        <w:rPr>
          <w:vertAlign w:val="superscript"/>
          <w:rtl/>
          <w:lang w:eastAsia="zh-TW"/>
        </w:rPr>
        <w:t>(</w:t>
      </w:r>
      <w:r w:rsidRPr="00F51AD3">
        <w:rPr>
          <w:vertAlign w:val="superscript"/>
          <w:rtl/>
          <w:lang w:eastAsia="zh-TW"/>
        </w:rPr>
        <w:footnoteReference w:id="2"/>
      </w:r>
      <w:r w:rsidRPr="00F51AD3">
        <w:rPr>
          <w:vertAlign w:val="superscript"/>
          <w:rtl/>
          <w:lang w:eastAsia="zh-TW"/>
        </w:rPr>
        <w:t>)</w:t>
      </w:r>
      <w:r w:rsidRPr="00F51AD3">
        <w:rPr>
          <w:rtl/>
          <w:lang w:eastAsia="zh-TW"/>
        </w:rPr>
        <w:t>،</w:t>
      </w:r>
    </w:p>
    <w:p w14:paraId="24D248FD" w14:textId="77777777" w:rsidR="00611DC0" w:rsidRPr="00F51AD3" w:rsidRDefault="00611DC0" w:rsidP="00611DC0">
      <w:pPr>
        <w:pStyle w:val="SingleTxtGA"/>
        <w:rPr>
          <w:lang w:eastAsia="zh-TW"/>
        </w:rPr>
      </w:pPr>
      <w:r w:rsidRPr="00F51AD3">
        <w:rPr>
          <w:rtl/>
          <w:lang w:eastAsia="zh-TW"/>
        </w:rPr>
        <w:lastRenderedPageBreak/>
        <w:tab/>
      </w:r>
      <w:r w:rsidRPr="00F51AD3">
        <w:rPr>
          <w:i/>
          <w:iCs/>
          <w:rtl/>
          <w:lang w:eastAsia="zh-TW"/>
        </w:rPr>
        <w:t>وإذ يحيط علماً أيضاً</w:t>
      </w:r>
      <w:r w:rsidRPr="00F51AD3">
        <w:rPr>
          <w:rtl/>
          <w:lang w:eastAsia="zh-TW"/>
        </w:rPr>
        <w:t xml:space="preserve"> بجميع التوصيات العامة والتعليقات العامة ذات الصلة التي اعتمدتها هيئات المعاهدات،</w:t>
      </w:r>
    </w:p>
    <w:p w14:paraId="3246CCCE" w14:textId="77777777" w:rsidR="00611DC0" w:rsidRPr="00F51AD3" w:rsidRDefault="00611DC0" w:rsidP="00611DC0">
      <w:pPr>
        <w:pStyle w:val="SingleTxtGA"/>
        <w:rPr>
          <w:lang w:eastAsia="zh-TW"/>
        </w:rPr>
      </w:pPr>
      <w:r w:rsidRPr="00F51AD3">
        <w:rPr>
          <w:rtl/>
          <w:lang w:eastAsia="zh-TW"/>
        </w:rPr>
        <w:tab/>
      </w:r>
      <w:r w:rsidRPr="00F51AD3">
        <w:rPr>
          <w:rFonts w:hint="cs"/>
          <w:i/>
          <w:iCs/>
          <w:rtl/>
          <w:lang w:eastAsia="zh-TW"/>
        </w:rPr>
        <w:t>و</w:t>
      </w:r>
      <w:r w:rsidRPr="00F51AD3">
        <w:rPr>
          <w:i/>
          <w:iCs/>
          <w:rtl/>
          <w:lang w:eastAsia="zh-TW"/>
        </w:rPr>
        <w:t>إذ يؤكد من جديد</w:t>
      </w:r>
      <w:r w:rsidRPr="00F51AD3">
        <w:rPr>
          <w:rtl/>
          <w:lang w:eastAsia="zh-TW"/>
        </w:rPr>
        <w:t xml:space="preserve"> أن وجود سلطة قضائية مستقلة ومتجردة ومزودة بموارد كافية، ومهنة قانونية مستقلة، ووجود نيابة عامة موضوعية ومتجردة قادرة على أداء مهامها وفقاً لذلك، ونزاهة النظام القضائي، </w:t>
      </w:r>
      <w:r w:rsidRPr="00F51AD3">
        <w:rPr>
          <w:spacing w:val="-2"/>
          <w:rtl/>
          <w:lang w:eastAsia="zh-TW"/>
        </w:rPr>
        <w:t>هي ركائز أساسية لسيادة القانون والنُّظم الديمقراطية المعاصرة، وهي ضرورية لتحقيق الهدف 16 من أهداف</w:t>
      </w:r>
      <w:r w:rsidRPr="00F51AD3">
        <w:rPr>
          <w:rtl/>
          <w:lang w:eastAsia="zh-TW"/>
        </w:rPr>
        <w:t xml:space="preserve"> التنمية المستدامة الواردة في خطة التنمية المستدامة لعام 2030، وهي شروط مسبقة لحسن سير الحوكمة الحديثة ولحماية حقوق الإنسان، بما في ذلك ضمان المحاكمات العادلة وإقامة العدل دون أي تمييز،</w:t>
      </w:r>
    </w:p>
    <w:p w14:paraId="612BCBD5" w14:textId="6D013E1D" w:rsidR="00611DC0" w:rsidRPr="00F51AD3" w:rsidRDefault="00611DC0" w:rsidP="00611DC0">
      <w:pPr>
        <w:pStyle w:val="SingleTxtGA"/>
        <w:rPr>
          <w:rtl/>
          <w:lang w:eastAsia="zh-TW"/>
        </w:rPr>
      </w:pPr>
      <w:r w:rsidRPr="00F51AD3">
        <w:rPr>
          <w:rtl/>
          <w:lang w:eastAsia="zh-TW"/>
        </w:rPr>
        <w:tab/>
      </w:r>
      <w:r w:rsidRPr="00F51AD3">
        <w:rPr>
          <w:i/>
          <w:iCs/>
          <w:rtl/>
          <w:lang w:eastAsia="zh-TW"/>
        </w:rPr>
        <w:t>وإذ يشير</w:t>
      </w:r>
      <w:r w:rsidRPr="00F51AD3">
        <w:rPr>
          <w:rtl/>
          <w:lang w:eastAsia="zh-TW"/>
        </w:rPr>
        <w:t xml:space="preserve"> إلى أن أعضاء النيابة العامة ينبغي أن يؤدوا، وفقاً للقانون، مهامهم بطريقة عادلة ومتسقة وسريعة، وأن يحترموا كرامة الإنسان ويحموها، وأن يصونوا حقوق الإنسان، مما يسهم في مراعاة الأصول القانونية وفي سلاسة سير العمل في نظام العدالة الجنائية، وأن يتجنبوا ويكافحوا جميع أشكال التحيز والتمييز والوصم على أساس العرق أو اللون أو الجنس أو اللغة أو الدين أو الرأي السياسي أو</w:t>
      </w:r>
      <w:r w:rsidRPr="00F51AD3">
        <w:rPr>
          <w:rFonts w:hint="cs"/>
          <w:rtl/>
          <w:lang w:eastAsia="zh-TW"/>
        </w:rPr>
        <w:t> </w:t>
      </w:r>
      <w:r w:rsidRPr="00F51AD3">
        <w:rPr>
          <w:rtl/>
          <w:lang w:eastAsia="zh-TW"/>
        </w:rPr>
        <w:t>غيره من الآراء، أو</w:t>
      </w:r>
      <w:r w:rsidRPr="00F51AD3">
        <w:rPr>
          <w:rFonts w:hint="cs"/>
          <w:rtl/>
          <w:lang w:eastAsia="zh-TW"/>
        </w:rPr>
        <w:t> </w:t>
      </w:r>
      <w:r w:rsidRPr="00F51AD3">
        <w:rPr>
          <w:rtl/>
          <w:lang w:eastAsia="zh-TW"/>
        </w:rPr>
        <w:t>الأصل القومي أو الاجتماعي، أو الملكية، أو المولد أو أي وضع آخر،</w:t>
      </w:r>
    </w:p>
    <w:p w14:paraId="683791C7" w14:textId="77777777" w:rsidR="00611DC0" w:rsidRPr="00F51AD3" w:rsidRDefault="00611DC0" w:rsidP="00611DC0">
      <w:pPr>
        <w:pStyle w:val="SingleTxtGA"/>
        <w:rPr>
          <w:lang w:eastAsia="zh-TW"/>
        </w:rPr>
      </w:pPr>
      <w:r w:rsidRPr="00F51AD3">
        <w:rPr>
          <w:i/>
          <w:iCs/>
          <w:rtl/>
          <w:lang w:eastAsia="zh-TW"/>
        </w:rPr>
        <w:tab/>
        <w:t>وإذ يدرك</w:t>
      </w:r>
      <w:r w:rsidRPr="00F51AD3">
        <w:rPr>
          <w:rtl/>
          <w:lang w:eastAsia="zh-TW"/>
        </w:rPr>
        <w:t xml:space="preserve"> أن عمليات اختيار القضاة، تماشياً مع المبادئ الأساسية بشأن استقلال السلطة القضائية، ينبغي أن تستند إلى معايير موضوعية ومحددة مسبقاً، وأن تشتمل على إجراءات للتحري عن النزاهة وضمانات تكفل التجرد، وأن تُطبَّق بطريقة تقضي على التمييز والتحيز المباشرين وغير المباشرين على حد سواء، وتعزز في الوقت نفسه التنوع والمساواة بين الجنسين والتمثيل، بحيث تعبر السلطة القضائية عن المجتمع الذي تخدمه،</w:t>
      </w:r>
    </w:p>
    <w:p w14:paraId="36E0729C" w14:textId="77777777" w:rsidR="00611DC0" w:rsidRPr="00F51AD3" w:rsidRDefault="00611DC0" w:rsidP="00611DC0">
      <w:pPr>
        <w:pStyle w:val="SingleTxtGA"/>
        <w:rPr>
          <w:lang w:eastAsia="zh-TW"/>
        </w:rPr>
      </w:pPr>
      <w:r w:rsidRPr="00F51AD3">
        <w:rPr>
          <w:rtl/>
          <w:lang w:eastAsia="zh-TW"/>
        </w:rPr>
        <w:tab/>
      </w:r>
      <w:r w:rsidRPr="00F51AD3">
        <w:rPr>
          <w:i/>
          <w:iCs/>
          <w:rtl/>
          <w:lang w:eastAsia="zh-TW"/>
        </w:rPr>
        <w:t>وإذ يدين</w:t>
      </w:r>
      <w:r w:rsidRPr="00F51AD3">
        <w:rPr>
          <w:rtl/>
          <w:lang w:eastAsia="zh-TW"/>
        </w:rPr>
        <w:t xml:space="preserve"> الهجمات المتزايدة على استقلال القضاة والمحامين وأعضاء النيابة وموظفي المحاكم، بمن فيهم العاملون في المحاكم الدولية، ولا سيما التهديد والترهيب والإسكات والمضايقة، وأشكال الانتقام الأخرى، بما فيها تلك التي لها تأثير في الخارج، والتدخل في أداء مهامهم المهنية، فضلاً عن مؤاخذتهم بجريرة موكليهم أو قضايا موكليهم، مما يسهم في تقويض سيادة القانون،</w:t>
      </w:r>
    </w:p>
    <w:p w14:paraId="5B99930D" w14:textId="450F5860" w:rsidR="00611DC0" w:rsidRPr="00F51AD3" w:rsidRDefault="00611DC0" w:rsidP="00611DC0">
      <w:pPr>
        <w:pStyle w:val="SingleTxtGA"/>
        <w:rPr>
          <w:lang w:eastAsia="zh-TW"/>
        </w:rPr>
      </w:pPr>
      <w:r w:rsidRPr="00F51AD3">
        <w:rPr>
          <w:rtl/>
          <w:lang w:eastAsia="zh-TW"/>
        </w:rPr>
        <w:tab/>
      </w:r>
      <w:r w:rsidRPr="00F51AD3">
        <w:rPr>
          <w:i/>
          <w:iCs/>
          <w:rtl/>
          <w:lang w:eastAsia="zh-TW"/>
        </w:rPr>
        <w:t>وإذ يعرب عن قلقه الشديد</w:t>
      </w:r>
      <w:r w:rsidRPr="00F51AD3">
        <w:rPr>
          <w:rtl/>
          <w:lang w:eastAsia="zh-TW"/>
        </w:rPr>
        <w:t xml:space="preserve"> إزاء تزايد الدعاوى القضائية الاستراتيجية ضد المشاركة العامة، بما</w:t>
      </w:r>
      <w:r w:rsidRPr="00F51AD3">
        <w:rPr>
          <w:rFonts w:hint="cs"/>
          <w:rtl/>
          <w:lang w:eastAsia="zh-TW"/>
        </w:rPr>
        <w:t> </w:t>
      </w:r>
      <w:r w:rsidRPr="00F51AD3">
        <w:rPr>
          <w:rtl/>
          <w:lang w:eastAsia="zh-TW"/>
        </w:rPr>
        <w:t>يشمل تلك التي تقيمها كيانات الأعمال، التي تستخدم أساليب تقاض تعسفية من أجل ممارسة الضغط على المحامين أو تخويفهم أو استنزاف مواردهم والنيل من معنوياتهم، وبالتالي منعهم من أداء عملهم، بما</w:t>
      </w:r>
      <w:r w:rsidRPr="00F51AD3">
        <w:rPr>
          <w:rFonts w:hint="cs"/>
          <w:rtl/>
          <w:lang w:eastAsia="zh-TW"/>
        </w:rPr>
        <w:t> </w:t>
      </w:r>
      <w:r w:rsidRPr="00F51AD3">
        <w:rPr>
          <w:rtl/>
          <w:lang w:eastAsia="zh-TW"/>
        </w:rPr>
        <w:t>في ذلك في المسائل المتعلقة بالمصلحة العامة،</w:t>
      </w:r>
    </w:p>
    <w:p w14:paraId="2DAB4565" w14:textId="77777777" w:rsidR="00611DC0" w:rsidRPr="00F51AD3" w:rsidRDefault="00611DC0" w:rsidP="00611DC0">
      <w:pPr>
        <w:pStyle w:val="SingleTxtGA"/>
        <w:rPr>
          <w:lang w:eastAsia="zh-TW"/>
        </w:rPr>
      </w:pPr>
      <w:r w:rsidRPr="00F51AD3">
        <w:rPr>
          <w:rtl/>
          <w:lang w:eastAsia="zh-TW"/>
        </w:rPr>
        <w:tab/>
      </w:r>
      <w:r w:rsidRPr="00F51AD3">
        <w:rPr>
          <w:i/>
          <w:iCs/>
          <w:rtl/>
          <w:lang w:eastAsia="zh-TW"/>
        </w:rPr>
        <w:t>وإذ يشير</w:t>
      </w:r>
      <w:r w:rsidRPr="00F51AD3">
        <w:rPr>
          <w:rtl/>
          <w:lang w:eastAsia="zh-TW"/>
        </w:rPr>
        <w:t xml:space="preserve"> إلى أن على كل دولة أن توفر إطاراً فعالاً من سبل الانتصاف من أجل معالجة المظالم أو الانتهاكات المتعلقة بحقوق الإنسان وبأن إقامة العدل، بما في ذلك الأجهزة المعنية بإنفاذ القانون والملاحقة القضائية، وبصفة خاصة، وجود قضاء مستقل ومهن قانونية مستقلة وفقاً للمعايير الواجبة التطبيق الواردة في الصكوك الدولية ذات الصلة، أمر أساسي للإعمال التام وغير التمييزي لحقوق الإنسان، ولا غنى عنه لعمليتي الديمقراطية والتنمية المستدامة،</w:t>
      </w:r>
    </w:p>
    <w:p w14:paraId="1E920E35" w14:textId="77777777" w:rsidR="00611DC0" w:rsidRPr="00F51AD3" w:rsidRDefault="00611DC0" w:rsidP="00611DC0">
      <w:pPr>
        <w:pStyle w:val="SingleTxtGA"/>
        <w:rPr>
          <w:lang w:eastAsia="zh-TW"/>
        </w:rPr>
      </w:pPr>
      <w:r w:rsidRPr="00F51AD3">
        <w:rPr>
          <w:rtl/>
          <w:lang w:eastAsia="zh-TW"/>
        </w:rPr>
        <w:tab/>
      </w:r>
      <w:r w:rsidRPr="00F51AD3">
        <w:rPr>
          <w:i/>
          <w:iCs/>
          <w:rtl/>
          <w:lang w:eastAsia="zh-TW"/>
        </w:rPr>
        <w:t>وإذ يشير أيضاً</w:t>
      </w:r>
      <w:r w:rsidRPr="00F51AD3">
        <w:rPr>
          <w:rtl/>
          <w:lang w:eastAsia="zh-TW"/>
        </w:rPr>
        <w:t xml:space="preserve"> إلى أنه لا بد من ضمان امتلاك القضاة وأعضاء النيابة والمحامين وموظفي المحاكم المؤهلات المهنية اللازمة لأداء وظائفهم، عن طريق تحسين أساليب تعيينهم فضلاً عن حصولهم على التدريب القانوني والمهني والتدريب المكيّف والمتعدد التخصصات في مجال حقوق الإنسان، ومن خلال تهيئة جميع الوسائل التي تَلزمهم لأداء دورهم بطريقة سليمة في ضمان سيادة القانون،</w:t>
      </w:r>
    </w:p>
    <w:p w14:paraId="6437CAEA" w14:textId="77777777" w:rsidR="00611DC0" w:rsidRPr="00F51AD3" w:rsidRDefault="00611DC0" w:rsidP="00611DC0">
      <w:pPr>
        <w:pStyle w:val="SingleTxtGA"/>
        <w:rPr>
          <w:lang w:eastAsia="zh-TW"/>
        </w:rPr>
      </w:pPr>
      <w:r w:rsidRPr="00F51AD3">
        <w:rPr>
          <w:rtl/>
          <w:lang w:eastAsia="zh-TW"/>
        </w:rPr>
        <w:tab/>
      </w:r>
      <w:r w:rsidRPr="00F51AD3">
        <w:rPr>
          <w:i/>
          <w:iCs/>
          <w:rtl/>
          <w:lang w:eastAsia="zh-TW"/>
        </w:rPr>
        <w:t>وإذ يشدد</w:t>
      </w:r>
      <w:r w:rsidRPr="00F51AD3">
        <w:rPr>
          <w:rtl/>
          <w:lang w:eastAsia="zh-TW"/>
        </w:rPr>
        <w:t xml:space="preserve"> على أهمية ضمان المساءلة والشفافية والنزاهة في السلطة القضائية باعتبار ذلك عنصراً أساسياً من عناصر استقلال القضاء ومفهوماً متأصلاً في سيادة القانون عندما يُطبَّق وفقاً للمبادئ الأساسية بشأن استقلال السلطة القضائية وغيرها من القواعد والمبادئ والمعايير ذات الصلة،</w:t>
      </w:r>
    </w:p>
    <w:p w14:paraId="4B704DAC" w14:textId="77777777" w:rsidR="00611DC0" w:rsidRPr="00F51AD3" w:rsidRDefault="00611DC0" w:rsidP="00611DC0">
      <w:pPr>
        <w:pStyle w:val="SingleTxtGA"/>
        <w:rPr>
          <w:lang w:eastAsia="zh-TW"/>
        </w:rPr>
      </w:pPr>
      <w:r w:rsidRPr="00F51AD3">
        <w:rPr>
          <w:rtl/>
          <w:lang w:eastAsia="zh-TW"/>
        </w:rPr>
        <w:lastRenderedPageBreak/>
        <w:tab/>
      </w:r>
      <w:r w:rsidRPr="00F51AD3">
        <w:rPr>
          <w:i/>
          <w:iCs/>
          <w:rtl/>
          <w:lang w:eastAsia="zh-TW"/>
        </w:rPr>
        <w:t>وإذ يؤكد</w:t>
      </w:r>
      <w:r w:rsidRPr="00F51AD3">
        <w:rPr>
          <w:rtl/>
          <w:lang w:eastAsia="zh-TW"/>
        </w:rPr>
        <w:t xml:space="preserve"> أن القضاة وأعضاء النيابة والمحامين يؤدون دوراً أساسياً في صون حقوق الإنسان، بما</w:t>
      </w:r>
      <w:r w:rsidRPr="00F51AD3">
        <w:rPr>
          <w:rFonts w:hint="cs"/>
          <w:rtl/>
          <w:lang w:eastAsia="zh-TW"/>
        </w:rPr>
        <w:t> </w:t>
      </w:r>
      <w:r w:rsidRPr="00F51AD3">
        <w:rPr>
          <w:rtl/>
          <w:lang w:eastAsia="zh-TW"/>
        </w:rPr>
        <w:t>فيها الحق المطلق وغير القابل للتقييد في عدم التعرض للتعذيب وغيره من ضروب المعاملة أو العقوبة القاسية أو اللاإنسانية أو المهينة،</w:t>
      </w:r>
    </w:p>
    <w:p w14:paraId="2E609115" w14:textId="77777777" w:rsidR="00611DC0" w:rsidRPr="00F51AD3" w:rsidRDefault="00611DC0" w:rsidP="00611DC0">
      <w:pPr>
        <w:pStyle w:val="SingleTxtGA"/>
        <w:rPr>
          <w:lang w:eastAsia="zh-TW"/>
        </w:rPr>
      </w:pPr>
      <w:r w:rsidRPr="00F51AD3">
        <w:rPr>
          <w:rtl/>
          <w:lang w:eastAsia="zh-TW"/>
        </w:rPr>
        <w:tab/>
      </w:r>
      <w:r w:rsidRPr="00F51AD3">
        <w:rPr>
          <w:i/>
          <w:iCs/>
          <w:rtl/>
          <w:lang w:eastAsia="zh-TW"/>
        </w:rPr>
        <w:t>وإذ يؤكد أيضاً</w:t>
      </w:r>
      <w:r w:rsidRPr="00F51AD3">
        <w:rPr>
          <w:rtl/>
          <w:lang w:eastAsia="zh-TW"/>
        </w:rPr>
        <w:t xml:space="preserve"> أهمية إنشاء وصون إطار قانوني يحمي القضاة وأعضاء النيابة والمحامين والمحلفين والخبراء القضائيين من الاعتداء والتهديد والمضايقة والترهيب لمجرد أدائهم واجباتهم المهنية، وأنه ينبغي للهيئات القضائية ومكاتب النيابة وغيرها من المؤسسات والمنظمات القانونية أن تضع إجراءات مأمونة وفعالة تجسد المعايير الدولية لحقوق الإنسان التي تحمي، حسب الاقتضاء، حجب هوية صاحب الشكوى وتتجنب معاودة إيذائه، مع تعميم مراعاة المنظور الجنساني، والتصدي للتهديدات الخاصة التي قد تواجهها النساء المشاركات في النظام القضائي،</w:t>
      </w:r>
    </w:p>
    <w:p w14:paraId="49AAA50D" w14:textId="77777777" w:rsidR="00611DC0" w:rsidRPr="00F51AD3" w:rsidRDefault="00611DC0" w:rsidP="00611DC0">
      <w:pPr>
        <w:pStyle w:val="SingleTxtGA"/>
        <w:rPr>
          <w:lang w:eastAsia="zh-TW"/>
        </w:rPr>
      </w:pPr>
      <w:r w:rsidRPr="00F51AD3">
        <w:rPr>
          <w:rtl/>
          <w:lang w:eastAsia="zh-TW"/>
        </w:rPr>
        <w:tab/>
      </w:r>
      <w:r w:rsidRPr="00F51AD3">
        <w:rPr>
          <w:rFonts w:hint="cs"/>
          <w:i/>
          <w:iCs/>
          <w:rtl/>
          <w:lang w:eastAsia="zh-TW"/>
        </w:rPr>
        <w:t>و</w:t>
      </w:r>
      <w:r w:rsidRPr="00F51AD3">
        <w:rPr>
          <w:i/>
          <w:iCs/>
          <w:rtl/>
          <w:lang w:eastAsia="zh-TW"/>
        </w:rPr>
        <w:t>إذ يقر</w:t>
      </w:r>
      <w:r w:rsidRPr="00F51AD3">
        <w:rPr>
          <w:rtl/>
          <w:lang w:eastAsia="zh-TW"/>
        </w:rPr>
        <w:t xml:space="preserve"> بأن التكنولوجيات الرقمية، بما في ذلك أدوات الذكاء الاصطناعي، يمكن في حال تطبيقها وفق ضمانات كافية، أن تحسِّن أداء نظم العدالة،</w:t>
      </w:r>
    </w:p>
    <w:p w14:paraId="328AB612" w14:textId="77777777" w:rsidR="00611DC0" w:rsidRPr="00F51AD3" w:rsidRDefault="00611DC0" w:rsidP="00611DC0">
      <w:pPr>
        <w:pStyle w:val="SingleTxtGA"/>
        <w:rPr>
          <w:lang w:eastAsia="zh-TW"/>
        </w:rPr>
      </w:pPr>
      <w:r w:rsidRPr="00F51AD3">
        <w:rPr>
          <w:spacing w:val="-2"/>
          <w:rtl/>
          <w:lang w:eastAsia="zh-TW"/>
        </w:rPr>
        <w:tab/>
      </w:r>
      <w:r w:rsidRPr="00F51AD3">
        <w:rPr>
          <w:i/>
          <w:iCs/>
          <w:spacing w:val="-2"/>
          <w:rtl/>
          <w:lang w:eastAsia="zh-TW"/>
        </w:rPr>
        <w:t>وإذ يشدد</w:t>
      </w:r>
      <w:r w:rsidRPr="00F51AD3">
        <w:rPr>
          <w:spacing w:val="-2"/>
          <w:rtl/>
          <w:lang w:eastAsia="zh-TW"/>
        </w:rPr>
        <w:t xml:space="preserve"> </w:t>
      </w:r>
      <w:r w:rsidRPr="00F51AD3">
        <w:rPr>
          <w:i/>
          <w:iCs/>
          <w:spacing w:val="-2"/>
          <w:rtl/>
          <w:lang w:eastAsia="zh-TW"/>
        </w:rPr>
        <w:t>في الوقت نفسه</w:t>
      </w:r>
      <w:r w:rsidRPr="00F51AD3">
        <w:rPr>
          <w:spacing w:val="-2"/>
          <w:rtl/>
          <w:lang w:eastAsia="zh-TW"/>
        </w:rPr>
        <w:t xml:space="preserve"> على أن التطوير الرقمي لقطاع العدالة يجب أن يكون متوافقاً مع القانون</w:t>
      </w:r>
      <w:r w:rsidRPr="00F51AD3">
        <w:rPr>
          <w:rtl/>
          <w:lang w:eastAsia="zh-TW"/>
        </w:rPr>
        <w:t xml:space="preserve"> الدولي لحقوق الإنسان ومتسقاً مع مبادئ الإجراءات القانونية </w:t>
      </w:r>
      <w:r w:rsidRPr="00F51AD3">
        <w:rPr>
          <w:rFonts w:hint="cs"/>
          <w:rtl/>
          <w:lang w:eastAsia="zh-TW"/>
        </w:rPr>
        <w:t>ال</w:t>
      </w:r>
      <w:r w:rsidRPr="00F51AD3">
        <w:rPr>
          <w:rtl/>
          <w:lang w:eastAsia="zh-TW"/>
        </w:rPr>
        <w:t>واجبة التطبيق ومعايير المحاكمة العادلة،</w:t>
      </w:r>
    </w:p>
    <w:p w14:paraId="0E779BEC" w14:textId="77777777" w:rsidR="00611DC0" w:rsidRPr="00F51AD3" w:rsidRDefault="00611DC0" w:rsidP="00611DC0">
      <w:pPr>
        <w:pStyle w:val="SingleTxtGA"/>
        <w:rPr>
          <w:spacing w:val="-2"/>
          <w:lang w:eastAsia="zh-TW"/>
        </w:rPr>
      </w:pPr>
      <w:r w:rsidRPr="00F51AD3">
        <w:rPr>
          <w:spacing w:val="-2"/>
          <w:rtl/>
          <w:lang w:eastAsia="zh-TW"/>
        </w:rPr>
        <w:tab/>
      </w:r>
      <w:r w:rsidRPr="00F51AD3">
        <w:rPr>
          <w:i/>
          <w:iCs/>
          <w:spacing w:val="-2"/>
          <w:rtl/>
          <w:lang w:eastAsia="zh-TW"/>
        </w:rPr>
        <w:t>وإذ يؤكد</w:t>
      </w:r>
      <w:r w:rsidRPr="00F51AD3">
        <w:rPr>
          <w:spacing w:val="-2"/>
          <w:rtl/>
          <w:lang w:eastAsia="zh-TW"/>
        </w:rPr>
        <w:t xml:space="preserve"> أن استقلال القضاء ونزاهته، وتحلي النيابة العامة بالموضوعية والنزاهة، واستقلال المهنة </w:t>
      </w:r>
      <w:r w:rsidRPr="00F51AD3">
        <w:rPr>
          <w:rtl/>
          <w:lang w:eastAsia="zh-TW"/>
        </w:rPr>
        <w:t>القانونية، مما يعزز التوازن في تمثيل الرجال والنساء وإرساء إجراءات تراعي الفوارق بين الجنسين، أمور أساسية لحماية فعالة لحقوق الإنسان للمرأة، بما في ذلك حمايتها من جميع أشكال العنف وإعادة الإيذاء من خلال نظم المحاكم، ولضمان خلو إقامة العدل من التمييز الجنساني والقوالب النمطية الجنسانية،</w:t>
      </w:r>
    </w:p>
    <w:p w14:paraId="1DA555DF" w14:textId="77777777" w:rsidR="00611DC0" w:rsidRPr="00F51AD3" w:rsidRDefault="00611DC0" w:rsidP="00611DC0">
      <w:pPr>
        <w:pStyle w:val="SingleTxtGA"/>
        <w:rPr>
          <w:lang w:eastAsia="zh-TW"/>
        </w:rPr>
      </w:pPr>
      <w:r w:rsidRPr="00F51AD3">
        <w:rPr>
          <w:rtl/>
          <w:lang w:eastAsia="zh-TW"/>
        </w:rPr>
        <w:tab/>
      </w:r>
      <w:r w:rsidRPr="00F51AD3">
        <w:rPr>
          <w:i/>
          <w:iCs/>
          <w:rtl/>
          <w:lang w:eastAsia="zh-TW"/>
        </w:rPr>
        <w:t>وإذ يقر</w:t>
      </w:r>
      <w:r w:rsidRPr="00F51AD3">
        <w:rPr>
          <w:rtl/>
          <w:lang w:eastAsia="zh-TW"/>
        </w:rPr>
        <w:t xml:space="preserve"> بالدور الحيوي الذي تؤديه رابطات المحامين المهنية في صون معايير المهنة وأخلاقياتها، وفي حماية أعضائها من الاضطهاد والقيود والإساءات الجائرة، وفي تقديم الخدمات القانونية إلى جميع المحتاجين إليها،</w:t>
      </w:r>
    </w:p>
    <w:p w14:paraId="6ADC1B22" w14:textId="77777777" w:rsidR="00611DC0" w:rsidRPr="00F51AD3" w:rsidRDefault="00611DC0" w:rsidP="00611DC0">
      <w:pPr>
        <w:pStyle w:val="SingleTxtGA"/>
        <w:rPr>
          <w:lang w:eastAsia="zh-TW"/>
        </w:rPr>
      </w:pPr>
      <w:r w:rsidRPr="00F51AD3">
        <w:rPr>
          <w:rtl/>
          <w:lang w:eastAsia="zh-TW"/>
        </w:rPr>
        <w:tab/>
      </w:r>
      <w:r w:rsidRPr="00F51AD3">
        <w:rPr>
          <w:i/>
          <w:iCs/>
          <w:rtl/>
          <w:lang w:eastAsia="zh-TW"/>
        </w:rPr>
        <w:t>وإذ يسلّم</w:t>
      </w:r>
      <w:r w:rsidRPr="00F51AD3">
        <w:rPr>
          <w:rtl/>
          <w:lang w:eastAsia="zh-TW"/>
        </w:rPr>
        <w:t xml:space="preserve"> بأهمية وجود نقابات محامين مستقلة وذاتية الإدارة ورابطات مهنية مستقلة للقضاة وأعضاء النيابة، وبأهمية وجود منظمات غير حكومية تعمل دفاعاً عن مبدأ استقلال القضاة والمحامين، وكذلك بالدور الحيوي الذي يمكن أن يؤديه المحامون والمهن القانونية ونقابات المحامين وجمعيات القانون ومنظمات المحامين الوطنية والدولية في دعم سيادة القانون وفي تعزيز حقوق الإنسان وحمايتها،</w:t>
      </w:r>
    </w:p>
    <w:p w14:paraId="1909E05D" w14:textId="77777777" w:rsidR="00611DC0" w:rsidRPr="00F51AD3" w:rsidRDefault="00611DC0" w:rsidP="00611DC0">
      <w:pPr>
        <w:pStyle w:val="SingleTxtGA"/>
        <w:rPr>
          <w:lang w:eastAsia="zh-TW"/>
        </w:rPr>
      </w:pPr>
      <w:r w:rsidRPr="00F51AD3">
        <w:rPr>
          <w:rtl/>
          <w:lang w:eastAsia="zh-TW"/>
        </w:rPr>
        <w:tab/>
      </w:r>
      <w:r w:rsidRPr="00F51AD3">
        <w:rPr>
          <w:i/>
          <w:iCs/>
          <w:rtl/>
          <w:lang w:eastAsia="zh-TW"/>
        </w:rPr>
        <w:t>وإذ يعرب عن قلقه</w:t>
      </w:r>
      <w:r w:rsidRPr="00F51AD3">
        <w:rPr>
          <w:rtl/>
          <w:lang w:eastAsia="zh-TW"/>
        </w:rPr>
        <w:t xml:space="preserve"> إزاء الحالات التي يخضع فيها دخول المهن القانونية أو الاستمرار في ممارستها لرقابة السلطة التنفيذية أو لتدخلها التعسفي، ولا سيما فيما يتعلق بإساءة استخدام نظم إصدار تراخيص المحامين،</w:t>
      </w:r>
    </w:p>
    <w:p w14:paraId="2AF110C0" w14:textId="77777777" w:rsidR="00611DC0" w:rsidRPr="00F51AD3" w:rsidRDefault="00611DC0" w:rsidP="00611DC0">
      <w:pPr>
        <w:pStyle w:val="SingleTxtGA"/>
        <w:rPr>
          <w:lang w:eastAsia="zh-TW"/>
        </w:rPr>
      </w:pPr>
      <w:r w:rsidRPr="00F51AD3">
        <w:rPr>
          <w:rtl/>
          <w:lang w:eastAsia="zh-TW"/>
        </w:rPr>
        <w:tab/>
      </w:r>
      <w:r w:rsidRPr="00F51AD3">
        <w:rPr>
          <w:i/>
          <w:iCs/>
          <w:rtl/>
          <w:lang w:eastAsia="zh-TW"/>
        </w:rPr>
        <w:t>وإذ يسلّم</w:t>
      </w:r>
      <w:r w:rsidRPr="00F51AD3">
        <w:rPr>
          <w:rtl/>
          <w:lang w:eastAsia="zh-TW"/>
        </w:rPr>
        <w:t xml:space="preserve"> بأن المساعدة القانونية الميسرة والفعالة عنصر أساسي في أي نظام لإقامة العدل يتسم بالإنصاف والإنسانية والكفاءة ويستند إلى سيادة القانون،</w:t>
      </w:r>
    </w:p>
    <w:p w14:paraId="7D1C5BBB" w14:textId="77777777" w:rsidR="00611DC0" w:rsidRPr="00F51AD3" w:rsidRDefault="00611DC0" w:rsidP="00611DC0">
      <w:pPr>
        <w:pStyle w:val="SingleTxtGA"/>
        <w:rPr>
          <w:lang w:eastAsia="zh-TW"/>
        </w:rPr>
      </w:pPr>
      <w:r w:rsidRPr="00F51AD3">
        <w:rPr>
          <w:rtl/>
          <w:lang w:eastAsia="zh-TW"/>
        </w:rPr>
        <w:tab/>
      </w:r>
      <w:r w:rsidRPr="00F51AD3">
        <w:rPr>
          <w:i/>
          <w:iCs/>
          <w:rtl/>
          <w:lang w:eastAsia="zh-TW"/>
        </w:rPr>
        <w:t>وإذ يلاحظ</w:t>
      </w:r>
      <w:r w:rsidRPr="00F51AD3">
        <w:rPr>
          <w:rtl/>
          <w:lang w:eastAsia="zh-TW"/>
        </w:rPr>
        <w:t xml:space="preserve"> الحقوق والاحتياجات الخاصة للنساء والأطفال والأشخاص المنتمين إلى الأقليات، ولا</w:t>
      </w:r>
      <w:r w:rsidRPr="00F51AD3">
        <w:rPr>
          <w:rFonts w:hint="cs"/>
          <w:rtl/>
          <w:lang w:eastAsia="zh-TW"/>
        </w:rPr>
        <w:t> </w:t>
      </w:r>
      <w:r w:rsidRPr="00F51AD3">
        <w:rPr>
          <w:rtl/>
          <w:lang w:eastAsia="zh-TW"/>
        </w:rPr>
        <w:t>سيما الأشخاص الذين يعيشون في أوضاع هشة ولهم اتصال بنُظم العدالة، الذين قد يحتاجون إلى نوع خاص من الاهتمام والحماية والمهارات من المهنيين الذين يتعاملون معهم، ولا سيما من المحامين وأعضاء النيابة والقضاة،</w:t>
      </w:r>
    </w:p>
    <w:p w14:paraId="43F807CC" w14:textId="77777777" w:rsidR="00611DC0" w:rsidRPr="00F51AD3" w:rsidRDefault="00611DC0" w:rsidP="00611DC0">
      <w:pPr>
        <w:pStyle w:val="SingleTxtGA"/>
        <w:rPr>
          <w:lang w:eastAsia="zh-TW"/>
        </w:rPr>
      </w:pPr>
      <w:r w:rsidRPr="00F51AD3">
        <w:rPr>
          <w:rtl/>
          <w:lang w:eastAsia="zh-TW"/>
        </w:rPr>
        <w:tab/>
      </w:r>
      <w:r w:rsidRPr="00F51AD3">
        <w:rPr>
          <w:rFonts w:hint="cs"/>
          <w:i/>
          <w:iCs/>
          <w:rtl/>
          <w:lang w:eastAsia="zh-TW"/>
        </w:rPr>
        <w:t>و</w:t>
      </w:r>
      <w:r w:rsidRPr="00F51AD3">
        <w:rPr>
          <w:i/>
          <w:iCs/>
          <w:rtl/>
          <w:lang w:eastAsia="zh-TW"/>
        </w:rPr>
        <w:t>إذ يؤكد من جديد</w:t>
      </w:r>
      <w:r w:rsidRPr="00F51AD3">
        <w:rPr>
          <w:rtl/>
          <w:lang w:eastAsia="zh-TW"/>
        </w:rPr>
        <w:t xml:space="preserve"> أهمية وجود علاقة مميزة بين المحامي وموكله تستند إلى مبدأ السرية، وضرورة حمايتها من أي تدخل غير مبرر، بما في ذلك المراقبة،</w:t>
      </w:r>
    </w:p>
    <w:p w14:paraId="1D50087C" w14:textId="77777777" w:rsidR="00611DC0" w:rsidRPr="00F51AD3" w:rsidRDefault="00611DC0" w:rsidP="0042787A">
      <w:pPr>
        <w:pStyle w:val="SingleTxtGA"/>
        <w:spacing w:line="350" w:lineRule="exact"/>
        <w:rPr>
          <w:lang w:eastAsia="zh-TW"/>
        </w:rPr>
      </w:pPr>
      <w:r w:rsidRPr="00F51AD3">
        <w:rPr>
          <w:rtl/>
          <w:lang w:eastAsia="zh-TW"/>
        </w:rPr>
        <w:lastRenderedPageBreak/>
        <w:tab/>
      </w:r>
      <w:r w:rsidRPr="00F51AD3">
        <w:rPr>
          <w:i/>
          <w:iCs/>
          <w:rtl/>
          <w:lang w:eastAsia="zh-TW"/>
        </w:rPr>
        <w:t>وإذ يلاحظ</w:t>
      </w:r>
      <w:r w:rsidRPr="00F51AD3">
        <w:rPr>
          <w:rtl/>
          <w:lang w:eastAsia="zh-TW"/>
        </w:rPr>
        <w:t xml:space="preserve"> ما تطرحه الحالات الاستثنائية وحالات الأزمات والنزاعات المسلحة وحالات الاحتلال من تهديدات وتحديات لن</w:t>
      </w:r>
      <w:r w:rsidRPr="00F51AD3">
        <w:rPr>
          <w:rFonts w:hint="cs"/>
          <w:rtl/>
          <w:lang w:eastAsia="zh-TW"/>
        </w:rPr>
        <w:t>ُ</w:t>
      </w:r>
      <w:r w:rsidRPr="00F51AD3">
        <w:rPr>
          <w:rtl/>
          <w:lang w:eastAsia="zh-TW"/>
        </w:rPr>
        <w:t>ظم العدالة، بما في ذلك إمكانية اللجوء إلى العدالة، وإذ يؤكد من جديد أن تدابير الطوارئ، بما فيها التدابير المتصلة بإقامة العدل، التي تتخذها الدول لمواجهة هذه الحالات، يجب أن تكون ضرورية ومتناسبة مع المخاطر المقيَّمة وأن تطبَّق بطريقة غير تمييزية، وأن ينصب تركيزها على هدف محدد وتكون لها مدة محددة، وأن تكون متفقة مع التزامات الدولة بموجب القانون الدولي لحقوق الإنسان الواجب التطبيق،</w:t>
      </w:r>
    </w:p>
    <w:p w14:paraId="22623BB0" w14:textId="77777777" w:rsidR="00611DC0" w:rsidRPr="00F51AD3" w:rsidRDefault="00611DC0" w:rsidP="0042787A">
      <w:pPr>
        <w:pStyle w:val="SingleTxtGA"/>
        <w:spacing w:line="350" w:lineRule="exact"/>
        <w:rPr>
          <w:lang w:eastAsia="zh-TW"/>
        </w:rPr>
      </w:pPr>
      <w:r w:rsidRPr="00F51AD3">
        <w:rPr>
          <w:rtl/>
          <w:lang w:eastAsia="zh-TW"/>
        </w:rPr>
        <w:tab/>
      </w:r>
      <w:r w:rsidRPr="00F51AD3">
        <w:rPr>
          <w:i/>
          <w:iCs/>
          <w:rtl/>
          <w:lang w:eastAsia="zh-TW"/>
        </w:rPr>
        <w:t>وإذ يقر</w:t>
      </w:r>
      <w:r w:rsidRPr="00F51AD3">
        <w:rPr>
          <w:rtl/>
          <w:lang w:eastAsia="zh-TW"/>
        </w:rPr>
        <w:t xml:space="preserve"> بدور الصكوك والمبادرات الإقليمية في حماية المحامين، وإذ يشير في هذا الصدد إلى اعتماد اتفاقية مجلس أوروبا لحماية مهنة المحاماة، التي توفر للدول معياراً لحماية المحامين، مما يتيح القياس الموضوعي للتقدم المحرز وتحديد الثغرات،</w:t>
      </w:r>
    </w:p>
    <w:p w14:paraId="2D98A315" w14:textId="77777777" w:rsidR="00611DC0" w:rsidRPr="00F51AD3" w:rsidRDefault="00611DC0" w:rsidP="0042787A">
      <w:pPr>
        <w:pStyle w:val="SingleTxtGA"/>
        <w:spacing w:line="350" w:lineRule="exact"/>
        <w:rPr>
          <w:lang w:eastAsia="zh-TW"/>
        </w:rPr>
      </w:pPr>
      <w:r w:rsidRPr="00F51AD3">
        <w:rPr>
          <w:rtl/>
          <w:lang w:eastAsia="zh-TW"/>
        </w:rPr>
        <w:tab/>
      </w:r>
      <w:r w:rsidRPr="00F51AD3">
        <w:rPr>
          <w:i/>
          <w:iCs/>
          <w:rtl/>
          <w:lang w:eastAsia="zh-TW"/>
        </w:rPr>
        <w:t>وإذ يؤكد من جديد</w:t>
      </w:r>
      <w:r w:rsidRPr="00F51AD3">
        <w:rPr>
          <w:rtl/>
          <w:lang w:eastAsia="zh-TW"/>
        </w:rPr>
        <w:t xml:space="preserve"> قرارات مجلس حقوق الإنسان التي مدد فيها المجلس ولاية المقررة الخاصة المعنية باستقلال القضاة والمحامين لمدة ثلاث سنوات، وإذ يقر بأهمية قدرة المكلفة بالولاية على التعاون </w:t>
      </w:r>
      <w:r w:rsidRPr="00F51AD3">
        <w:rPr>
          <w:spacing w:val="-2"/>
          <w:rtl/>
          <w:lang w:eastAsia="zh-TW"/>
        </w:rPr>
        <w:t>الوثيق، في إطار الولاية، مع مفوضية الأمم المتحدة السامية لحقوق الإنسان، بما في ذلك التعاون في مجال</w:t>
      </w:r>
      <w:r w:rsidRPr="00F51AD3">
        <w:rPr>
          <w:rtl/>
          <w:lang w:eastAsia="zh-TW"/>
        </w:rPr>
        <w:t xml:space="preserve"> الخدمات الاستشارية والتعاون التقني، في إطار الجهود الرامية إلى ضمان استقلال القضاة والمحامين،</w:t>
      </w:r>
    </w:p>
    <w:p w14:paraId="53B535CB" w14:textId="77777777" w:rsidR="00611DC0" w:rsidRPr="00F51AD3" w:rsidRDefault="00611DC0" w:rsidP="0042787A">
      <w:pPr>
        <w:pStyle w:val="SingleTxtGA"/>
        <w:spacing w:line="350" w:lineRule="exact"/>
        <w:rPr>
          <w:lang w:eastAsia="zh-TW"/>
        </w:rPr>
      </w:pPr>
      <w:r w:rsidRPr="00F51AD3">
        <w:rPr>
          <w:rtl/>
          <w:lang w:eastAsia="zh-TW"/>
        </w:rPr>
        <w:tab/>
        <w:t>1-</w:t>
      </w:r>
      <w:r w:rsidRPr="00F51AD3">
        <w:rPr>
          <w:rtl/>
          <w:lang w:eastAsia="zh-TW"/>
        </w:rPr>
        <w:tab/>
      </w:r>
      <w:r w:rsidRPr="00F51AD3">
        <w:rPr>
          <w:i/>
          <w:iCs/>
          <w:rtl/>
          <w:lang w:eastAsia="zh-TW"/>
        </w:rPr>
        <w:t>يثني</w:t>
      </w:r>
      <w:r w:rsidRPr="00F51AD3">
        <w:rPr>
          <w:rtl/>
          <w:lang w:eastAsia="zh-TW"/>
        </w:rPr>
        <w:t xml:space="preserve"> على المقررة الخاصة المعنية باستقلال القضاة والمحامين لما اضطلعت به من عمل مهم في إطار أداء ولايتها؛</w:t>
      </w:r>
    </w:p>
    <w:p w14:paraId="69DD8C6D" w14:textId="5945F362" w:rsidR="00611DC0" w:rsidRPr="00F51AD3" w:rsidRDefault="00611DC0" w:rsidP="0042787A">
      <w:pPr>
        <w:pStyle w:val="SingleTxtGA"/>
        <w:spacing w:line="350" w:lineRule="exact"/>
        <w:rPr>
          <w:lang w:eastAsia="zh-TW"/>
        </w:rPr>
      </w:pPr>
      <w:r w:rsidRPr="00F51AD3">
        <w:rPr>
          <w:rtl/>
          <w:lang w:eastAsia="zh-TW"/>
        </w:rPr>
        <w:tab/>
        <w:t>2-</w:t>
      </w:r>
      <w:r w:rsidRPr="00F51AD3">
        <w:rPr>
          <w:rtl/>
          <w:lang w:eastAsia="zh-TW"/>
        </w:rPr>
        <w:tab/>
      </w:r>
      <w:r w:rsidRPr="00F51AD3">
        <w:rPr>
          <w:i/>
          <w:iCs/>
          <w:rtl/>
          <w:lang w:eastAsia="zh-TW"/>
        </w:rPr>
        <w:t>يهيب</w:t>
      </w:r>
      <w:r w:rsidRPr="00F51AD3">
        <w:rPr>
          <w:rtl/>
          <w:lang w:eastAsia="zh-TW"/>
        </w:rPr>
        <w:t xml:space="preserve"> بجميع الدول أن تكفل استقلال القضاة والمحامين وموضوعية ونزاهة أعضاء النيابة وقدرتهم على أداء مهامهم وفقاً لذلك، بطرق منها اتخاذ تدابير فعالة في مجالي التشريع وإنفاذ القانون وغير ذلك من التدابير المناسبة التي تمكنهم من الاضطلاع بمهامهم المهنية من دون تدخل أو</w:t>
      </w:r>
      <w:r w:rsidR="001C2B24" w:rsidRPr="00F51AD3">
        <w:rPr>
          <w:rFonts w:hint="cs"/>
          <w:rtl/>
          <w:lang w:eastAsia="zh-TW"/>
        </w:rPr>
        <w:t> </w:t>
      </w:r>
      <w:r w:rsidRPr="00F51AD3">
        <w:rPr>
          <w:rtl/>
          <w:lang w:eastAsia="zh-TW"/>
        </w:rPr>
        <w:t>مضايقة أو تهديد أو تخويف من أي نوع؛</w:t>
      </w:r>
    </w:p>
    <w:p w14:paraId="73613013" w14:textId="77777777" w:rsidR="00611DC0" w:rsidRPr="00F51AD3" w:rsidRDefault="00611DC0" w:rsidP="0042787A">
      <w:pPr>
        <w:pStyle w:val="SingleTxtGA"/>
        <w:spacing w:line="350" w:lineRule="exact"/>
        <w:rPr>
          <w:lang w:eastAsia="zh-TW"/>
        </w:rPr>
      </w:pPr>
      <w:r w:rsidRPr="00F51AD3">
        <w:rPr>
          <w:rtl/>
          <w:lang w:eastAsia="zh-TW"/>
        </w:rPr>
        <w:tab/>
        <w:t>3-</w:t>
      </w:r>
      <w:r w:rsidRPr="00F51AD3">
        <w:rPr>
          <w:rtl/>
          <w:lang w:eastAsia="zh-TW"/>
        </w:rPr>
        <w:tab/>
      </w:r>
      <w:r w:rsidRPr="00F51AD3">
        <w:rPr>
          <w:i/>
          <w:iCs/>
          <w:rtl/>
          <w:lang w:eastAsia="zh-TW"/>
        </w:rPr>
        <w:t>يشجع</w:t>
      </w:r>
      <w:r w:rsidRPr="00F51AD3">
        <w:rPr>
          <w:rtl/>
          <w:lang w:eastAsia="zh-TW"/>
        </w:rPr>
        <w:t xml:space="preserve"> الدول على تعزيز التنوع في تكوين أعضاء السلطة القضائية، بطرق تشمل مراعاة المنظور الجنساني، والعمل الحثيث على تعزيز التوازن في تمثيل النساء والرجال من مختلف شرائح المجتمع على جميع المستويات والأشخاص المنتمين إلى الأقليات وغيرها من الفئات المحرومة، وضمان أن تكون شروط الالتحاق بالسلطة القضائية وعملية اختيار موظفيها غير تمييزية وعلنيةً وشفافة وقائمة على معايير موضوعية، وتضمن تعيين أشخاص يتمتعون بالنزاهة والقدرة ولديهم تدريب مناسب ومؤهلات ملائمة في مجال القانون، على أساس الجدارة الفردية وفي ظل ظروف عمل متساوية؛</w:t>
      </w:r>
    </w:p>
    <w:p w14:paraId="727E3A1E" w14:textId="77777777" w:rsidR="00611DC0" w:rsidRPr="00F51AD3" w:rsidRDefault="00611DC0" w:rsidP="0042787A">
      <w:pPr>
        <w:pStyle w:val="SingleTxtGA"/>
        <w:spacing w:line="350" w:lineRule="exact"/>
        <w:rPr>
          <w:lang w:eastAsia="zh-TW"/>
        </w:rPr>
      </w:pPr>
      <w:r w:rsidRPr="00F51AD3">
        <w:rPr>
          <w:rtl/>
          <w:lang w:eastAsia="zh-TW"/>
        </w:rPr>
        <w:tab/>
        <w:t>4-</w:t>
      </w:r>
      <w:r w:rsidRPr="00F51AD3">
        <w:rPr>
          <w:rtl/>
          <w:lang w:eastAsia="zh-TW"/>
        </w:rPr>
        <w:tab/>
      </w:r>
      <w:r w:rsidRPr="00F51AD3">
        <w:rPr>
          <w:i/>
          <w:iCs/>
          <w:rtl/>
          <w:lang w:eastAsia="zh-TW"/>
        </w:rPr>
        <w:t>يهيب</w:t>
      </w:r>
      <w:r w:rsidRPr="00F51AD3">
        <w:rPr>
          <w:rtl/>
          <w:lang w:eastAsia="zh-TW"/>
        </w:rPr>
        <w:t xml:space="preserve"> بالدول أن تعزز مشاركة جميع النساء وتمثيلهن بطريقة كاملة ومتساوية ومُجدية، فضلاً عن تعزيز المساواة في الوصول إلى المناصب على جميع مستويات إقامة العدل، ويشجع الدول على اعتماد معايير موضوعية وإجرائية لإحراز تقدم نحو تحقيق التوازن بين الجنسين وضمان مشاركة المرأة وتمثيلها بطريقة كاملة ومتساوية ومُجدية في أدوار صنع القرار العام في النظام القضائي، بما في ذلك دوائر القضاء والادعاء العام؛</w:t>
      </w:r>
    </w:p>
    <w:p w14:paraId="6F887C6B" w14:textId="77777777" w:rsidR="00611DC0" w:rsidRPr="00F51AD3" w:rsidRDefault="00611DC0" w:rsidP="0042787A">
      <w:pPr>
        <w:pStyle w:val="SingleTxtGA"/>
        <w:spacing w:line="350" w:lineRule="exact"/>
        <w:rPr>
          <w:lang w:eastAsia="zh-TW"/>
        </w:rPr>
      </w:pPr>
      <w:r w:rsidRPr="00F51AD3">
        <w:rPr>
          <w:rtl/>
          <w:lang w:eastAsia="zh-TW"/>
        </w:rPr>
        <w:tab/>
        <w:t>5-</w:t>
      </w:r>
      <w:r w:rsidRPr="00F51AD3">
        <w:rPr>
          <w:rtl/>
          <w:lang w:eastAsia="zh-TW"/>
        </w:rPr>
        <w:tab/>
      </w:r>
      <w:r w:rsidRPr="00F51AD3">
        <w:rPr>
          <w:i/>
          <w:iCs/>
          <w:rtl/>
          <w:lang w:eastAsia="zh-TW"/>
        </w:rPr>
        <w:t>يشدد</w:t>
      </w:r>
      <w:r w:rsidRPr="00F51AD3">
        <w:rPr>
          <w:rtl/>
          <w:lang w:eastAsia="zh-TW"/>
        </w:rPr>
        <w:t xml:space="preserve"> على أن يكفل القانون على النحو الواجب مدة تولي القضاة مهامهم واستقلالهم وأمنهم وأجوراً كافية لهم وظروف عملهم ومعاشاتهم التقاعدية وسن تقاعدهم، ويؤكد أن الأمن الوظيفي للقضاة ضمانة أساسية لاستقلال القضاء، وأن أسباب عزلهم يجب أن تكون واضحة وفي ظروف محددة تحديداً جيداً ينص عليها القانون، وتنطوي على أسباب تتعلق بعجز أو بسلوك يجعلهم غير مؤهلين لأداء مهامهم، وأن الإجراءات المستند إليها في تأديب القاضي أو وقفه عن العمل أو عزله ينبغي أن تمتثل الأصول القانونية؛</w:t>
      </w:r>
    </w:p>
    <w:p w14:paraId="621A07E2" w14:textId="77777777" w:rsidR="00611DC0" w:rsidRPr="00F51AD3" w:rsidRDefault="00611DC0" w:rsidP="0042787A">
      <w:pPr>
        <w:pStyle w:val="SingleTxtGA"/>
        <w:spacing w:line="350" w:lineRule="exact"/>
        <w:rPr>
          <w:lang w:eastAsia="zh-TW"/>
        </w:rPr>
      </w:pPr>
      <w:r w:rsidRPr="00F51AD3">
        <w:rPr>
          <w:rtl/>
          <w:lang w:eastAsia="zh-TW"/>
        </w:rPr>
        <w:tab/>
        <w:t>6-</w:t>
      </w:r>
      <w:r w:rsidRPr="00F51AD3">
        <w:rPr>
          <w:rtl/>
          <w:lang w:eastAsia="zh-TW"/>
        </w:rPr>
        <w:tab/>
      </w:r>
      <w:r w:rsidRPr="00F51AD3">
        <w:rPr>
          <w:i/>
          <w:iCs/>
          <w:rtl/>
          <w:lang w:eastAsia="zh-TW"/>
        </w:rPr>
        <w:t>يشجع</w:t>
      </w:r>
      <w:r w:rsidRPr="00F51AD3">
        <w:rPr>
          <w:rtl/>
          <w:lang w:eastAsia="zh-TW"/>
        </w:rPr>
        <w:t xml:space="preserve"> الدول على أن تضع، حسب الاقتضاء، سياسات وإجراءات وبرامج في مجال العدالة التصالحية باعتبارها جزءاً من نظام عدالة شامل؛</w:t>
      </w:r>
    </w:p>
    <w:p w14:paraId="1BAD626A" w14:textId="77777777" w:rsidR="00611DC0" w:rsidRPr="00F51AD3" w:rsidRDefault="00611DC0" w:rsidP="0042787A">
      <w:pPr>
        <w:pStyle w:val="SingleTxtGA"/>
        <w:spacing w:line="350" w:lineRule="exact"/>
        <w:rPr>
          <w:lang w:eastAsia="zh-TW"/>
        </w:rPr>
      </w:pPr>
      <w:r w:rsidRPr="00F51AD3">
        <w:rPr>
          <w:rtl/>
          <w:lang w:eastAsia="zh-TW"/>
        </w:rPr>
        <w:lastRenderedPageBreak/>
        <w:tab/>
        <w:t>7-</w:t>
      </w:r>
      <w:r w:rsidRPr="00F51AD3">
        <w:rPr>
          <w:rtl/>
          <w:lang w:eastAsia="zh-TW"/>
        </w:rPr>
        <w:tab/>
      </w:r>
      <w:r w:rsidRPr="00F51AD3">
        <w:rPr>
          <w:i/>
          <w:iCs/>
          <w:rtl/>
          <w:lang w:eastAsia="zh-TW"/>
        </w:rPr>
        <w:t>يشجع</w:t>
      </w:r>
      <w:r w:rsidRPr="00F51AD3">
        <w:rPr>
          <w:rFonts w:hint="cs"/>
          <w:i/>
          <w:iCs/>
          <w:rtl/>
          <w:lang w:eastAsia="zh-TW"/>
        </w:rPr>
        <w:t xml:space="preserve"> أيضاً</w:t>
      </w:r>
      <w:r w:rsidRPr="00F51AD3">
        <w:rPr>
          <w:rtl/>
          <w:lang w:eastAsia="zh-TW"/>
        </w:rPr>
        <w:t xml:space="preserve"> الدول على أن تنظر، بالتعاون مع الكيانات الوطنية ذات الصلة، مثل</w:t>
      </w:r>
      <w:r w:rsidRPr="00F51AD3">
        <w:rPr>
          <w:rFonts w:hint="cs"/>
          <w:rtl/>
          <w:lang w:eastAsia="zh-TW"/>
        </w:rPr>
        <w:t> </w:t>
      </w:r>
      <w:r w:rsidRPr="00F51AD3">
        <w:rPr>
          <w:rtl/>
          <w:lang w:eastAsia="zh-TW"/>
        </w:rPr>
        <w:t>نقابات المحامين ورابطات القضاة وأعضاء النيابة والمؤسسات التعليمية التي تساعد السلطة القضائية، في</w:t>
      </w:r>
      <w:r w:rsidRPr="00F51AD3">
        <w:rPr>
          <w:rFonts w:hint="cs"/>
          <w:rtl/>
          <w:lang w:eastAsia="zh-TW"/>
        </w:rPr>
        <w:t> </w:t>
      </w:r>
      <w:r w:rsidRPr="00F51AD3">
        <w:rPr>
          <w:rtl/>
          <w:lang w:eastAsia="zh-TW"/>
        </w:rPr>
        <w:t>وضع توجيهات بشأن قضايا من قبيل الاعتبارات الجنسانية والأطفال والأشخاص ذوي الإعاقة والشعوب الأصلية والمهاجرين، وغيرها، للاسترشاد بها في عمل القضاة والمحامين وأعضاء النيابة وغيرهم من العاملين في النظام القضائي؛</w:t>
      </w:r>
    </w:p>
    <w:p w14:paraId="65A532E7" w14:textId="77777777" w:rsidR="00611DC0" w:rsidRPr="00F51AD3" w:rsidRDefault="00611DC0" w:rsidP="0042787A">
      <w:pPr>
        <w:pStyle w:val="SingleTxtGA"/>
        <w:spacing w:line="350" w:lineRule="exact"/>
        <w:rPr>
          <w:spacing w:val="-5"/>
          <w:lang w:eastAsia="zh-TW"/>
        </w:rPr>
      </w:pPr>
      <w:r w:rsidRPr="00F51AD3">
        <w:rPr>
          <w:spacing w:val="-5"/>
          <w:rtl/>
          <w:lang w:eastAsia="zh-TW"/>
        </w:rPr>
        <w:tab/>
        <w:t>8-</w:t>
      </w:r>
      <w:r w:rsidRPr="00F51AD3">
        <w:rPr>
          <w:spacing w:val="-5"/>
          <w:rtl/>
          <w:lang w:eastAsia="zh-TW"/>
        </w:rPr>
        <w:tab/>
      </w:r>
      <w:r w:rsidRPr="00F51AD3">
        <w:rPr>
          <w:i/>
          <w:iCs/>
          <w:spacing w:val="-5"/>
          <w:rtl/>
          <w:lang w:eastAsia="zh-TW"/>
        </w:rPr>
        <w:t>يؤكد</w:t>
      </w:r>
      <w:r w:rsidRPr="00F51AD3">
        <w:rPr>
          <w:spacing w:val="-5"/>
          <w:rtl/>
          <w:lang w:eastAsia="zh-TW"/>
        </w:rPr>
        <w:t xml:space="preserve"> وجوب عدم مؤاخذة المحامين، عند أدائهم مهامهم، بجريرة موكليهم أو قضايا موكليهم؛</w:t>
      </w:r>
    </w:p>
    <w:p w14:paraId="0D9EC32E" w14:textId="77777777" w:rsidR="00611DC0" w:rsidRPr="00F51AD3" w:rsidRDefault="00611DC0" w:rsidP="0042787A">
      <w:pPr>
        <w:pStyle w:val="SingleTxtGA"/>
        <w:spacing w:line="350" w:lineRule="exact"/>
        <w:rPr>
          <w:lang w:eastAsia="zh-TW"/>
        </w:rPr>
      </w:pPr>
      <w:r w:rsidRPr="00F51AD3">
        <w:rPr>
          <w:rtl/>
          <w:lang w:eastAsia="zh-TW"/>
        </w:rPr>
        <w:tab/>
        <w:t>9-</w:t>
      </w:r>
      <w:r w:rsidRPr="00F51AD3">
        <w:rPr>
          <w:rtl/>
          <w:lang w:eastAsia="zh-TW"/>
        </w:rPr>
        <w:tab/>
      </w:r>
      <w:r w:rsidRPr="00F51AD3">
        <w:rPr>
          <w:i/>
          <w:iCs/>
          <w:rtl/>
          <w:lang w:eastAsia="zh-TW"/>
        </w:rPr>
        <w:t>يشدد</w:t>
      </w:r>
      <w:r w:rsidRPr="00F51AD3">
        <w:rPr>
          <w:rtl/>
          <w:lang w:eastAsia="zh-TW"/>
        </w:rPr>
        <w:t xml:space="preserve"> على ضرورة تمكين المحامين، بمن فيهم العاملون في المحاكم الدولية، من أداء مهامهم بحرية واستقلال ومن دون خوف من الانتقام؛</w:t>
      </w:r>
    </w:p>
    <w:p w14:paraId="1EB26779" w14:textId="3E2B9145" w:rsidR="00611DC0" w:rsidRPr="00F51AD3" w:rsidRDefault="00611DC0" w:rsidP="0042787A">
      <w:pPr>
        <w:pStyle w:val="SingleTxtGA"/>
        <w:spacing w:line="350" w:lineRule="exact"/>
        <w:rPr>
          <w:lang w:eastAsia="zh-TW"/>
        </w:rPr>
      </w:pPr>
      <w:r w:rsidRPr="00F51AD3">
        <w:rPr>
          <w:rtl/>
          <w:lang w:eastAsia="zh-TW"/>
        </w:rPr>
        <w:tab/>
        <w:t>10-</w:t>
      </w:r>
      <w:r w:rsidRPr="00F51AD3">
        <w:rPr>
          <w:rtl/>
          <w:lang w:eastAsia="zh-TW"/>
        </w:rPr>
        <w:tab/>
      </w:r>
      <w:r w:rsidRPr="00F51AD3">
        <w:rPr>
          <w:i/>
          <w:iCs/>
          <w:rtl/>
          <w:lang w:eastAsia="zh-TW"/>
        </w:rPr>
        <w:t>يهيب</w:t>
      </w:r>
      <w:r w:rsidRPr="00F51AD3">
        <w:rPr>
          <w:rtl/>
          <w:lang w:eastAsia="zh-TW"/>
        </w:rPr>
        <w:t xml:space="preserve"> بالدول أن تضمن تمكن أعضاء النيابة من أداء مهامهم الوظيفية بطريقة موضوعية ونزيهة، من دون تدخل غير مبرر أو أي خوف من الانتقام، ويدين جميع أشكال العنف </w:t>
      </w:r>
      <w:r w:rsidRPr="00F51AD3">
        <w:rPr>
          <w:spacing w:val="-2"/>
          <w:rtl/>
          <w:lang w:eastAsia="zh-TW"/>
        </w:rPr>
        <w:t>أو</w:t>
      </w:r>
      <w:r w:rsidR="006752A1" w:rsidRPr="00F51AD3">
        <w:rPr>
          <w:rFonts w:hint="cs"/>
          <w:spacing w:val="-2"/>
          <w:rtl/>
          <w:lang w:eastAsia="zh-TW"/>
        </w:rPr>
        <w:t> </w:t>
      </w:r>
      <w:r w:rsidRPr="00F51AD3">
        <w:rPr>
          <w:spacing w:val="-2"/>
          <w:rtl/>
          <w:lang w:eastAsia="zh-TW"/>
        </w:rPr>
        <w:t>الترهيب أو الانتقام أو المضايقة ضدهم أو ضد أسرهم وزملائهم في المهنة، سواء من جهات تابعة للدولة</w:t>
      </w:r>
      <w:r w:rsidRPr="00F51AD3">
        <w:rPr>
          <w:rtl/>
          <w:lang w:eastAsia="zh-TW"/>
        </w:rPr>
        <w:t xml:space="preserve"> أو غير تابعة لها، ويذكر الدول بواجبها في حمايتهم، والحفاظ على سلامتهم، وتقديم الجناة إلى العدالة؛</w:t>
      </w:r>
    </w:p>
    <w:p w14:paraId="3D38436E" w14:textId="77777777" w:rsidR="00611DC0" w:rsidRPr="00F51AD3" w:rsidRDefault="00611DC0" w:rsidP="0042787A">
      <w:pPr>
        <w:pStyle w:val="SingleTxtGA"/>
        <w:spacing w:line="350" w:lineRule="exact"/>
        <w:rPr>
          <w:lang w:eastAsia="zh-TW"/>
        </w:rPr>
      </w:pPr>
      <w:r w:rsidRPr="00F51AD3">
        <w:rPr>
          <w:rtl/>
          <w:lang w:eastAsia="zh-TW"/>
        </w:rPr>
        <w:tab/>
        <w:t>11-</w:t>
      </w:r>
      <w:r w:rsidRPr="00F51AD3">
        <w:rPr>
          <w:rtl/>
          <w:lang w:eastAsia="zh-TW"/>
        </w:rPr>
        <w:tab/>
      </w:r>
      <w:r w:rsidRPr="00F51AD3">
        <w:rPr>
          <w:i/>
          <w:iCs/>
          <w:rtl/>
          <w:lang w:eastAsia="zh-TW"/>
        </w:rPr>
        <w:t>يهيب أيضاً</w:t>
      </w:r>
      <w:r w:rsidRPr="00F51AD3">
        <w:rPr>
          <w:rtl/>
          <w:lang w:eastAsia="zh-TW"/>
        </w:rPr>
        <w:t xml:space="preserve"> بالدول أن تعتمد وتنفذ قوانين وسياسات تحمي المحامين وأفراد المهنة </w:t>
      </w:r>
      <w:r w:rsidRPr="00F51AD3">
        <w:rPr>
          <w:spacing w:val="-2"/>
          <w:rtl/>
          <w:lang w:eastAsia="zh-TW"/>
        </w:rPr>
        <w:t>القانونية، بما في ذلك من الدعاوى القضائية الاستراتيجية ضد المشاركة العامة، ومن إساءة استخدام قوانين</w:t>
      </w:r>
      <w:r w:rsidRPr="00F51AD3">
        <w:rPr>
          <w:rtl/>
          <w:lang w:eastAsia="zh-TW"/>
        </w:rPr>
        <w:t xml:space="preserve"> التمويل أو</w:t>
      </w:r>
      <w:r w:rsidRPr="00F51AD3">
        <w:rPr>
          <w:rFonts w:hint="cs"/>
          <w:rtl/>
          <w:lang w:eastAsia="zh-TW"/>
        </w:rPr>
        <w:t> </w:t>
      </w:r>
      <w:r w:rsidRPr="00F51AD3">
        <w:rPr>
          <w:rtl/>
          <w:lang w:eastAsia="zh-TW"/>
        </w:rPr>
        <w:t>التشهير أو القذف، على وجه الخصوص، للضغط عليهم أو ترهيبهم أو ثنيهم عن أداء واجباتهم المهنية، بما في ذلك الدفاع في القضايا الحساسة سياسياً، وتوفير التدريب لأعضاء النيابة والقضاة والمحامين والمتخصصين في الاستدلال الجنائي العلمي على تحديد هذه الحالات والتصدي لها بفعالية؛</w:t>
      </w:r>
    </w:p>
    <w:p w14:paraId="327FAED3" w14:textId="77777777" w:rsidR="00611DC0" w:rsidRPr="00F51AD3" w:rsidRDefault="00611DC0" w:rsidP="0042787A">
      <w:pPr>
        <w:pStyle w:val="SingleTxtGA"/>
        <w:spacing w:line="350" w:lineRule="exact"/>
        <w:rPr>
          <w:spacing w:val="2"/>
          <w:lang w:eastAsia="zh-TW"/>
        </w:rPr>
      </w:pPr>
      <w:r w:rsidRPr="00F51AD3">
        <w:rPr>
          <w:spacing w:val="2"/>
          <w:rtl/>
          <w:lang w:eastAsia="zh-TW"/>
        </w:rPr>
        <w:tab/>
        <w:t>12-</w:t>
      </w:r>
      <w:r w:rsidRPr="00F51AD3">
        <w:rPr>
          <w:spacing w:val="2"/>
          <w:rtl/>
          <w:lang w:eastAsia="zh-TW"/>
        </w:rPr>
        <w:tab/>
      </w:r>
      <w:r w:rsidRPr="00F51AD3">
        <w:rPr>
          <w:i/>
          <w:iCs/>
          <w:spacing w:val="2"/>
          <w:rtl/>
          <w:lang w:eastAsia="zh-TW"/>
        </w:rPr>
        <w:t>يعرب عن قلقه البالغ</w:t>
      </w:r>
      <w:r w:rsidRPr="00F51AD3">
        <w:rPr>
          <w:spacing w:val="2"/>
          <w:rtl/>
          <w:lang w:eastAsia="zh-TW"/>
        </w:rPr>
        <w:t xml:space="preserve"> إزاء العدد الكبير من الهجمات التي تستهدف المحامين وغيرهم من أعضاء المهنة القانونية، بما في ذلك التدابير القمعية التي تتخذها الدول لإيذاء أعضاء المهنة القانونية وإسكاتهم وترهيبهم خارج حدودها، رداً على ممارستهم لمهامهم المهنية أو فيما يتعلق بها، وكذلك حالات التدخل التعسفي أو غير القانوني في الممارسة الحرة لمهنتهم أو فرض قيود عليها، ويهيب بالدول أن تكفل إجراء تحقيق سريع ودقيق ونزيه في أي اعتداء أو تدخل من أي نوع ضد المحامين، وأن تكفل محاسبة الجناة؛</w:t>
      </w:r>
    </w:p>
    <w:p w14:paraId="6762A2A7" w14:textId="77777777" w:rsidR="00611DC0" w:rsidRPr="00F51AD3" w:rsidRDefault="00611DC0" w:rsidP="0042787A">
      <w:pPr>
        <w:pStyle w:val="SingleTxtGA"/>
        <w:spacing w:line="350" w:lineRule="exact"/>
        <w:rPr>
          <w:lang w:eastAsia="zh-TW"/>
        </w:rPr>
      </w:pPr>
      <w:r w:rsidRPr="00F51AD3">
        <w:rPr>
          <w:rtl/>
          <w:lang w:eastAsia="zh-TW"/>
        </w:rPr>
        <w:tab/>
        <w:t>13-</w:t>
      </w:r>
      <w:r w:rsidRPr="00F51AD3">
        <w:rPr>
          <w:rtl/>
          <w:lang w:eastAsia="zh-TW"/>
        </w:rPr>
        <w:tab/>
      </w:r>
      <w:r w:rsidRPr="00F51AD3">
        <w:rPr>
          <w:i/>
          <w:iCs/>
          <w:rtl/>
          <w:lang w:eastAsia="zh-TW"/>
        </w:rPr>
        <w:t xml:space="preserve">يهيب </w:t>
      </w:r>
      <w:r w:rsidRPr="00F51AD3">
        <w:rPr>
          <w:rtl/>
          <w:lang w:eastAsia="zh-TW"/>
        </w:rPr>
        <w:t>بالدول أن تدعم الحصول على التدريب الكافي، بالتعاون مع الكيانات الوطنية ذات الصلة، مثل نقابات المحامين ورابطات القضاة وأعضاء النيابة والمؤسسات التعليمية، بما في ذلك التدريب في مجال حقوق الإنسان، للقضاة وأعضاء النيابة والمحامين، عند تعيينهم الأولي وبصفة دورية طوال حياتهم المهنية، مراعيةً القانون الإقليمي والدولي لحقوق الإنسان، ومراعيةً، عند الاقتضاء وحسبما يكون مناسباً، الملاحظات الختامية والقرارات الصادرة عن آليات حقوق الإنسان، مثل هيئات المعاهدات ومحاكم حقوق الإنسان الإقليمية؛</w:t>
      </w:r>
    </w:p>
    <w:p w14:paraId="4E06BDE1" w14:textId="77777777" w:rsidR="00611DC0" w:rsidRPr="00F51AD3" w:rsidRDefault="00611DC0" w:rsidP="0042787A">
      <w:pPr>
        <w:pStyle w:val="SingleTxtGA"/>
        <w:spacing w:line="350" w:lineRule="exact"/>
        <w:rPr>
          <w:lang w:eastAsia="zh-TW"/>
        </w:rPr>
      </w:pPr>
      <w:r w:rsidRPr="00F51AD3">
        <w:rPr>
          <w:rtl/>
          <w:lang w:eastAsia="zh-TW"/>
        </w:rPr>
        <w:tab/>
        <w:t>14-</w:t>
      </w:r>
      <w:r w:rsidRPr="00F51AD3">
        <w:rPr>
          <w:rtl/>
          <w:lang w:eastAsia="zh-TW"/>
        </w:rPr>
        <w:tab/>
      </w:r>
      <w:r w:rsidRPr="00F51AD3">
        <w:rPr>
          <w:i/>
          <w:iCs/>
          <w:rtl/>
          <w:lang w:eastAsia="zh-TW"/>
        </w:rPr>
        <w:t>يشجع</w:t>
      </w:r>
      <w:r w:rsidRPr="00F51AD3">
        <w:rPr>
          <w:rtl/>
          <w:lang w:eastAsia="zh-TW"/>
        </w:rPr>
        <w:t xml:space="preserve"> الدول على اتخاذ تدابير لمكافحة التمييز في إقامة العدل، بوسائل منها تشجيع التدريب المكيّف والمتعدد التخصصات في مجال حقوق الإنسان، بما في ذلك تدريب جميع القضاة والمحامين وأعضاء النيابة على مكافحة العنصرية وعلى تعدد الثقافات ومراعاة الاعتبارات الجنسانية والعمرية والمتعلقة بالإعاقة؛</w:t>
      </w:r>
    </w:p>
    <w:p w14:paraId="73AF3913" w14:textId="77777777" w:rsidR="00611DC0" w:rsidRPr="00F51AD3" w:rsidRDefault="00611DC0" w:rsidP="0042787A">
      <w:pPr>
        <w:pStyle w:val="SingleTxtGA"/>
        <w:spacing w:line="350" w:lineRule="exact"/>
        <w:rPr>
          <w:lang w:eastAsia="zh-TW"/>
        </w:rPr>
      </w:pPr>
      <w:r w:rsidRPr="00F51AD3">
        <w:rPr>
          <w:rtl/>
          <w:lang w:eastAsia="zh-TW"/>
        </w:rPr>
        <w:tab/>
        <w:t>15-</w:t>
      </w:r>
      <w:r w:rsidRPr="00F51AD3">
        <w:rPr>
          <w:rtl/>
          <w:lang w:eastAsia="zh-TW"/>
        </w:rPr>
        <w:tab/>
      </w:r>
      <w:r w:rsidRPr="00F51AD3">
        <w:rPr>
          <w:i/>
          <w:iCs/>
          <w:rtl/>
          <w:lang w:eastAsia="zh-TW"/>
        </w:rPr>
        <w:t>يؤكد</w:t>
      </w:r>
      <w:r w:rsidRPr="00F51AD3">
        <w:rPr>
          <w:rtl/>
          <w:lang w:eastAsia="zh-TW"/>
        </w:rPr>
        <w:t xml:space="preserve"> أن من المهم أن تضع الدول وتنفذ نظاماً فعالاً ومستداماً للمساعدة القانونية، يكون متسقاً مع التزاماتها الدولية في مجال حقوق الإنسان ومراعياً للممارسات الجيدة ذات الصلة بحيث تكون المساعدة القانونية متاحة في جميع مراحل الإجراءات القانونية، رهناً بمعايير الأهلية المناسبة، ويشجع الدول على اعتماد تدابير تراعي الاعتبارات الجنسانية والعمرية والمتعلقة بالإعاقة، بما في ذلك برامج التوعية، لضمان حصول النساء حصولاً مجدياً على المساعدة القانونية وخدمات الدفاع العام؛</w:t>
      </w:r>
    </w:p>
    <w:p w14:paraId="242D9407" w14:textId="77777777" w:rsidR="00611DC0" w:rsidRPr="00F51AD3" w:rsidRDefault="00611DC0" w:rsidP="00611DC0">
      <w:pPr>
        <w:pStyle w:val="SingleTxtGA"/>
        <w:rPr>
          <w:lang w:eastAsia="zh-TW"/>
        </w:rPr>
      </w:pPr>
      <w:r w:rsidRPr="00F51AD3">
        <w:rPr>
          <w:rtl/>
          <w:lang w:eastAsia="zh-TW"/>
        </w:rPr>
        <w:lastRenderedPageBreak/>
        <w:tab/>
        <w:t>16-</w:t>
      </w:r>
      <w:r w:rsidRPr="00F51AD3">
        <w:rPr>
          <w:rtl/>
          <w:lang w:eastAsia="zh-TW"/>
        </w:rPr>
        <w:tab/>
      </w:r>
      <w:r w:rsidRPr="00F51AD3">
        <w:rPr>
          <w:i/>
          <w:iCs/>
          <w:rtl/>
          <w:lang w:eastAsia="zh-TW"/>
        </w:rPr>
        <w:t>يدعو</w:t>
      </w:r>
      <w:r w:rsidRPr="00F51AD3">
        <w:rPr>
          <w:rtl/>
          <w:lang w:eastAsia="zh-TW"/>
        </w:rPr>
        <w:t xml:space="preserve"> الدول إلى اتخاذ تدابير، بطرق منها اعتماد تشريعات محلية، لتوفير ما يلزم لإنشاء رابطات مهنية للمحامين تكون مستقلة وذاتية الإدارة، وللاعتراف بالدور الحيوي الذي يؤديه المحامون في دعم سيادة القانون وتعزيز حقوق الإنسان وحمايتها؛</w:t>
      </w:r>
    </w:p>
    <w:p w14:paraId="0394896B" w14:textId="77777777" w:rsidR="00611DC0" w:rsidRPr="00F51AD3" w:rsidRDefault="00611DC0" w:rsidP="00611DC0">
      <w:pPr>
        <w:pStyle w:val="SingleTxtGA"/>
        <w:rPr>
          <w:lang w:eastAsia="zh-TW"/>
        </w:rPr>
      </w:pPr>
      <w:r w:rsidRPr="00F51AD3">
        <w:rPr>
          <w:rtl/>
          <w:lang w:eastAsia="zh-TW"/>
        </w:rPr>
        <w:tab/>
        <w:t>17-</w:t>
      </w:r>
      <w:r w:rsidRPr="00F51AD3">
        <w:rPr>
          <w:rtl/>
          <w:lang w:eastAsia="zh-TW"/>
        </w:rPr>
        <w:tab/>
      </w:r>
      <w:r w:rsidRPr="00F51AD3">
        <w:rPr>
          <w:i/>
          <w:iCs/>
          <w:rtl/>
          <w:lang w:eastAsia="zh-TW"/>
        </w:rPr>
        <w:t>يهيب</w:t>
      </w:r>
      <w:r w:rsidRPr="00F51AD3">
        <w:rPr>
          <w:rtl/>
          <w:lang w:eastAsia="zh-TW"/>
        </w:rPr>
        <w:t xml:space="preserve"> بالدول أن تكفل اتساق الأحكام القانونية المقرر اعتمادها أو التي اعتُمِدت فيما</w:t>
      </w:r>
      <w:r w:rsidRPr="00F51AD3">
        <w:rPr>
          <w:rFonts w:hint="cs"/>
          <w:rtl/>
          <w:lang w:eastAsia="zh-TW"/>
        </w:rPr>
        <w:t> </w:t>
      </w:r>
      <w:r w:rsidRPr="00F51AD3">
        <w:rPr>
          <w:rtl/>
          <w:lang w:eastAsia="zh-TW"/>
        </w:rPr>
        <w:t>يتعلق بمكافحة الإرهاب أو بالأمن القومي مع الالتزامات الدولية للدولة بشأن الحق في محاكمة عادلة، والحق في الحرية، والحق في سبيل انتصاف فعال من انتهاكات حقوق الإنسان، وغير ذلك من أحكام القانون الدولي ذات الصلة بدور القضاة وأعضاء النيابة والمحامين؛</w:t>
      </w:r>
    </w:p>
    <w:p w14:paraId="74687C2D" w14:textId="77777777" w:rsidR="00611DC0" w:rsidRPr="00F51AD3" w:rsidRDefault="00611DC0" w:rsidP="00611DC0">
      <w:pPr>
        <w:pStyle w:val="SingleTxtGA"/>
        <w:rPr>
          <w:lang w:eastAsia="zh-TW"/>
        </w:rPr>
      </w:pPr>
      <w:r w:rsidRPr="00F51AD3">
        <w:rPr>
          <w:rtl/>
          <w:lang w:eastAsia="zh-TW"/>
        </w:rPr>
        <w:tab/>
        <w:t>18-</w:t>
      </w:r>
      <w:r w:rsidRPr="00F51AD3">
        <w:rPr>
          <w:rtl/>
          <w:lang w:eastAsia="zh-TW"/>
        </w:rPr>
        <w:tab/>
      </w:r>
      <w:r w:rsidRPr="00F51AD3">
        <w:rPr>
          <w:i/>
          <w:iCs/>
          <w:rtl/>
          <w:lang w:eastAsia="zh-TW"/>
        </w:rPr>
        <w:t>يحث</w:t>
      </w:r>
      <w:r w:rsidRPr="00F51AD3">
        <w:rPr>
          <w:rtl/>
          <w:lang w:eastAsia="zh-TW"/>
        </w:rPr>
        <w:t xml:space="preserve"> الدول على ضمان أن تكون لدى السلطات القضائية الموارد والقدرات اللازمة للمساعدة في الحفاظ على أداء وظيفتها والمساءلة والشفافية والنزاهة، وضمان مراعاة الأصول القانونية واستمرارية الأنشطة القضائية، بما في ذلك إمكانية اللجوء الفعال إلى العدالة على نحو يتسق مع الحق في محاكمة عادلة وغير ذلك من الحقوق والحريات الأساسية، خلال الحالات الاستثنائية وحالات الأزمات، بما في ذلك النزاعات المسلحة وحالات الاحتلال؛</w:t>
      </w:r>
    </w:p>
    <w:p w14:paraId="6770ADED" w14:textId="3D5008F0" w:rsidR="00611DC0" w:rsidRPr="00F51AD3" w:rsidRDefault="00611DC0" w:rsidP="00611DC0">
      <w:pPr>
        <w:pStyle w:val="SingleTxtGA"/>
        <w:rPr>
          <w:lang w:eastAsia="zh-TW"/>
        </w:rPr>
      </w:pPr>
      <w:r w:rsidRPr="00F51AD3">
        <w:rPr>
          <w:rtl/>
          <w:lang w:eastAsia="zh-TW"/>
        </w:rPr>
        <w:tab/>
        <w:t>19-</w:t>
      </w:r>
      <w:r w:rsidRPr="00F51AD3">
        <w:rPr>
          <w:rtl/>
          <w:lang w:eastAsia="zh-TW"/>
        </w:rPr>
        <w:tab/>
      </w:r>
      <w:r w:rsidRPr="00F51AD3">
        <w:rPr>
          <w:i/>
          <w:iCs/>
          <w:rtl/>
          <w:lang w:eastAsia="zh-TW"/>
        </w:rPr>
        <w:t>يشجع</w:t>
      </w:r>
      <w:r w:rsidR="006752A1" w:rsidRPr="00F51AD3">
        <w:rPr>
          <w:rtl/>
          <w:lang w:eastAsia="zh-TW"/>
        </w:rPr>
        <w:t xml:space="preserve"> </w:t>
      </w:r>
      <w:r w:rsidRPr="00F51AD3">
        <w:rPr>
          <w:rtl/>
          <w:lang w:eastAsia="zh-TW"/>
        </w:rPr>
        <w:t>الدول</w:t>
      </w:r>
      <w:r w:rsidR="006752A1" w:rsidRPr="00F51AD3">
        <w:rPr>
          <w:rtl/>
          <w:lang w:eastAsia="zh-TW"/>
        </w:rPr>
        <w:t xml:space="preserve"> </w:t>
      </w:r>
      <w:r w:rsidRPr="00F51AD3">
        <w:rPr>
          <w:rtl/>
          <w:lang w:eastAsia="zh-TW"/>
        </w:rPr>
        <w:t>على</w:t>
      </w:r>
      <w:r w:rsidR="006752A1" w:rsidRPr="00F51AD3">
        <w:rPr>
          <w:rtl/>
          <w:lang w:eastAsia="zh-TW"/>
        </w:rPr>
        <w:t xml:space="preserve"> </w:t>
      </w:r>
      <w:r w:rsidRPr="00F51AD3">
        <w:rPr>
          <w:rtl/>
          <w:lang w:eastAsia="zh-TW"/>
        </w:rPr>
        <w:t>تزويد</w:t>
      </w:r>
      <w:r w:rsidR="006752A1" w:rsidRPr="00F51AD3">
        <w:rPr>
          <w:rtl/>
          <w:lang w:eastAsia="zh-TW"/>
        </w:rPr>
        <w:t xml:space="preserve"> </w:t>
      </w:r>
      <w:r w:rsidRPr="00F51AD3">
        <w:rPr>
          <w:rtl/>
          <w:lang w:eastAsia="zh-TW"/>
        </w:rPr>
        <w:t>السلطات</w:t>
      </w:r>
      <w:r w:rsidR="006752A1" w:rsidRPr="00F51AD3">
        <w:rPr>
          <w:rtl/>
          <w:lang w:eastAsia="zh-TW"/>
        </w:rPr>
        <w:t xml:space="preserve"> </w:t>
      </w:r>
      <w:r w:rsidRPr="00F51AD3">
        <w:rPr>
          <w:rtl/>
          <w:lang w:eastAsia="zh-TW"/>
        </w:rPr>
        <w:t>القضائية</w:t>
      </w:r>
      <w:r w:rsidR="006752A1" w:rsidRPr="00F51AD3">
        <w:rPr>
          <w:rtl/>
          <w:lang w:eastAsia="zh-TW"/>
        </w:rPr>
        <w:t xml:space="preserve"> </w:t>
      </w:r>
      <w:r w:rsidRPr="00F51AD3">
        <w:rPr>
          <w:rtl/>
          <w:lang w:eastAsia="zh-TW"/>
        </w:rPr>
        <w:t>بتكنولوجيات</w:t>
      </w:r>
      <w:r w:rsidR="006752A1" w:rsidRPr="00F51AD3">
        <w:rPr>
          <w:rtl/>
          <w:lang w:eastAsia="zh-TW"/>
        </w:rPr>
        <w:t xml:space="preserve"> </w:t>
      </w:r>
      <w:r w:rsidRPr="00F51AD3">
        <w:rPr>
          <w:rtl/>
          <w:lang w:eastAsia="zh-TW"/>
        </w:rPr>
        <w:t>رقمية</w:t>
      </w:r>
      <w:r w:rsidR="006752A1" w:rsidRPr="00F51AD3">
        <w:rPr>
          <w:rtl/>
          <w:lang w:eastAsia="zh-TW"/>
        </w:rPr>
        <w:t xml:space="preserve"> </w:t>
      </w:r>
      <w:r w:rsidRPr="00F51AD3">
        <w:rPr>
          <w:rtl/>
          <w:lang w:eastAsia="zh-TW"/>
        </w:rPr>
        <w:t>آمنة</w:t>
      </w:r>
      <w:r w:rsidR="006752A1" w:rsidRPr="00F51AD3">
        <w:rPr>
          <w:rtl/>
          <w:lang w:eastAsia="zh-TW"/>
        </w:rPr>
        <w:t xml:space="preserve"> </w:t>
      </w:r>
      <w:r w:rsidRPr="00F51AD3">
        <w:rPr>
          <w:rtl/>
          <w:lang w:eastAsia="zh-TW"/>
        </w:rPr>
        <w:t>ومأمونة</w:t>
      </w:r>
      <w:r w:rsidR="006752A1" w:rsidRPr="00F51AD3">
        <w:rPr>
          <w:rtl/>
          <w:lang w:eastAsia="zh-TW"/>
        </w:rPr>
        <w:t xml:space="preserve"> </w:t>
      </w:r>
      <w:r w:rsidRPr="00F51AD3">
        <w:rPr>
          <w:rtl/>
          <w:lang w:eastAsia="zh-TW"/>
        </w:rPr>
        <w:t>ومطورة</w:t>
      </w:r>
      <w:r w:rsidR="006752A1" w:rsidRPr="00F51AD3">
        <w:rPr>
          <w:rtl/>
          <w:lang w:eastAsia="zh-TW"/>
        </w:rPr>
        <w:t xml:space="preserve"> </w:t>
      </w:r>
      <w:r w:rsidRPr="00F51AD3">
        <w:rPr>
          <w:rtl/>
          <w:lang w:eastAsia="zh-TW"/>
        </w:rPr>
        <w:t>بطريقة</w:t>
      </w:r>
      <w:r w:rsidR="006752A1" w:rsidRPr="00F51AD3">
        <w:rPr>
          <w:rtl/>
          <w:lang w:eastAsia="zh-TW"/>
        </w:rPr>
        <w:t xml:space="preserve"> </w:t>
      </w:r>
      <w:r w:rsidRPr="00F51AD3">
        <w:rPr>
          <w:rtl/>
          <w:lang w:eastAsia="zh-TW"/>
        </w:rPr>
        <w:t>مسؤولة،</w:t>
      </w:r>
      <w:r w:rsidR="006752A1" w:rsidRPr="00F51AD3">
        <w:rPr>
          <w:rtl/>
          <w:lang w:eastAsia="zh-TW"/>
        </w:rPr>
        <w:t xml:space="preserve"> </w:t>
      </w:r>
      <w:r w:rsidRPr="00F51AD3">
        <w:rPr>
          <w:rtl/>
          <w:lang w:eastAsia="zh-TW"/>
        </w:rPr>
        <w:t>بما</w:t>
      </w:r>
      <w:r w:rsidR="006752A1" w:rsidRPr="00F51AD3">
        <w:rPr>
          <w:rtl/>
          <w:lang w:eastAsia="zh-TW"/>
        </w:rPr>
        <w:t xml:space="preserve"> </w:t>
      </w:r>
      <w:r w:rsidRPr="00F51AD3">
        <w:rPr>
          <w:rtl/>
          <w:lang w:eastAsia="zh-TW"/>
        </w:rPr>
        <w:t>في</w:t>
      </w:r>
      <w:r w:rsidR="006752A1" w:rsidRPr="00F51AD3">
        <w:rPr>
          <w:rtl/>
          <w:lang w:eastAsia="zh-TW"/>
        </w:rPr>
        <w:t xml:space="preserve"> </w:t>
      </w:r>
      <w:r w:rsidRPr="00F51AD3">
        <w:rPr>
          <w:rtl/>
          <w:lang w:eastAsia="zh-TW"/>
        </w:rPr>
        <w:t>ذلك</w:t>
      </w:r>
      <w:r w:rsidR="006752A1" w:rsidRPr="00F51AD3">
        <w:rPr>
          <w:rtl/>
          <w:lang w:eastAsia="zh-TW"/>
        </w:rPr>
        <w:t xml:space="preserve"> </w:t>
      </w:r>
      <w:r w:rsidRPr="00F51AD3">
        <w:rPr>
          <w:rtl/>
          <w:lang w:eastAsia="zh-TW"/>
        </w:rPr>
        <w:t>الذكاء</w:t>
      </w:r>
      <w:r w:rsidR="006752A1" w:rsidRPr="00F51AD3">
        <w:rPr>
          <w:rtl/>
          <w:lang w:eastAsia="zh-TW"/>
        </w:rPr>
        <w:t xml:space="preserve"> </w:t>
      </w:r>
      <w:r w:rsidRPr="00F51AD3">
        <w:rPr>
          <w:rtl/>
          <w:lang w:eastAsia="zh-TW"/>
        </w:rPr>
        <w:t>الاصطناعي،</w:t>
      </w:r>
      <w:r w:rsidR="006752A1" w:rsidRPr="00F51AD3">
        <w:rPr>
          <w:rtl/>
          <w:lang w:eastAsia="zh-TW"/>
        </w:rPr>
        <w:t xml:space="preserve"> </w:t>
      </w:r>
      <w:r w:rsidRPr="00F51AD3">
        <w:rPr>
          <w:rtl/>
          <w:lang w:eastAsia="zh-TW"/>
        </w:rPr>
        <w:t>للمساعدة</w:t>
      </w:r>
      <w:r w:rsidR="006752A1" w:rsidRPr="00F51AD3">
        <w:rPr>
          <w:rtl/>
          <w:lang w:eastAsia="zh-TW"/>
        </w:rPr>
        <w:t xml:space="preserve"> </w:t>
      </w:r>
      <w:r w:rsidRPr="00F51AD3">
        <w:rPr>
          <w:rtl/>
          <w:lang w:eastAsia="zh-TW"/>
        </w:rPr>
        <w:t>في</w:t>
      </w:r>
      <w:r w:rsidR="006752A1" w:rsidRPr="00F51AD3">
        <w:rPr>
          <w:rtl/>
          <w:lang w:eastAsia="zh-TW"/>
        </w:rPr>
        <w:t xml:space="preserve"> </w:t>
      </w:r>
      <w:r w:rsidRPr="00F51AD3">
        <w:rPr>
          <w:rtl/>
          <w:lang w:eastAsia="zh-TW"/>
        </w:rPr>
        <w:t>ضمان</w:t>
      </w:r>
      <w:r w:rsidR="006752A1" w:rsidRPr="00F51AD3">
        <w:rPr>
          <w:rtl/>
          <w:lang w:eastAsia="zh-TW"/>
        </w:rPr>
        <w:t xml:space="preserve"> </w:t>
      </w:r>
      <w:r w:rsidRPr="00F51AD3">
        <w:rPr>
          <w:rtl/>
          <w:lang w:eastAsia="zh-TW"/>
        </w:rPr>
        <w:t>إمكانية</w:t>
      </w:r>
      <w:r w:rsidR="006752A1" w:rsidRPr="00F51AD3">
        <w:rPr>
          <w:rtl/>
          <w:lang w:eastAsia="zh-TW"/>
        </w:rPr>
        <w:t xml:space="preserve"> </w:t>
      </w:r>
      <w:r w:rsidRPr="00F51AD3">
        <w:rPr>
          <w:rtl/>
          <w:lang w:eastAsia="zh-TW"/>
        </w:rPr>
        <w:t>اللجوء</w:t>
      </w:r>
      <w:r w:rsidR="006752A1" w:rsidRPr="00F51AD3">
        <w:rPr>
          <w:rtl/>
          <w:lang w:eastAsia="zh-TW"/>
        </w:rPr>
        <w:t xml:space="preserve"> </w:t>
      </w:r>
      <w:r w:rsidRPr="00F51AD3">
        <w:rPr>
          <w:rtl/>
          <w:lang w:eastAsia="zh-TW"/>
        </w:rPr>
        <w:t>إلى</w:t>
      </w:r>
      <w:r w:rsidR="006752A1" w:rsidRPr="00F51AD3">
        <w:rPr>
          <w:rtl/>
          <w:lang w:eastAsia="zh-TW"/>
        </w:rPr>
        <w:t xml:space="preserve"> </w:t>
      </w:r>
      <w:r w:rsidRPr="00F51AD3">
        <w:rPr>
          <w:rtl/>
          <w:lang w:eastAsia="zh-TW"/>
        </w:rPr>
        <w:t>العدالة</w:t>
      </w:r>
      <w:r w:rsidR="006752A1" w:rsidRPr="00F51AD3">
        <w:rPr>
          <w:rtl/>
          <w:lang w:eastAsia="zh-TW"/>
        </w:rPr>
        <w:t xml:space="preserve"> </w:t>
      </w:r>
      <w:r w:rsidRPr="00F51AD3">
        <w:rPr>
          <w:rtl/>
          <w:lang w:eastAsia="zh-TW"/>
        </w:rPr>
        <w:t>والحق</w:t>
      </w:r>
      <w:r w:rsidR="006752A1" w:rsidRPr="00F51AD3">
        <w:rPr>
          <w:rtl/>
          <w:lang w:eastAsia="zh-TW"/>
        </w:rPr>
        <w:t xml:space="preserve"> </w:t>
      </w:r>
      <w:r w:rsidRPr="00F51AD3">
        <w:rPr>
          <w:rtl/>
          <w:lang w:eastAsia="zh-TW"/>
        </w:rPr>
        <w:t>في</w:t>
      </w:r>
      <w:r w:rsidR="006752A1" w:rsidRPr="00F51AD3">
        <w:rPr>
          <w:rtl/>
          <w:lang w:eastAsia="zh-TW"/>
        </w:rPr>
        <w:t xml:space="preserve"> </w:t>
      </w:r>
      <w:r w:rsidRPr="00F51AD3">
        <w:rPr>
          <w:rtl/>
          <w:lang w:eastAsia="zh-TW"/>
        </w:rPr>
        <w:t>محاكمة</w:t>
      </w:r>
      <w:r w:rsidR="006752A1" w:rsidRPr="00F51AD3">
        <w:rPr>
          <w:rtl/>
          <w:lang w:eastAsia="zh-TW"/>
        </w:rPr>
        <w:t xml:space="preserve"> </w:t>
      </w:r>
      <w:r w:rsidRPr="00F51AD3">
        <w:rPr>
          <w:rtl/>
          <w:lang w:eastAsia="zh-TW"/>
        </w:rPr>
        <w:t>عادلة،</w:t>
      </w:r>
      <w:r w:rsidR="006752A1" w:rsidRPr="00F51AD3">
        <w:rPr>
          <w:rtl/>
          <w:lang w:eastAsia="zh-TW"/>
        </w:rPr>
        <w:t xml:space="preserve"> </w:t>
      </w:r>
      <w:r w:rsidRPr="00F51AD3">
        <w:rPr>
          <w:rtl/>
          <w:lang w:eastAsia="zh-TW"/>
        </w:rPr>
        <w:t>وتزويد</w:t>
      </w:r>
      <w:r w:rsidR="006752A1" w:rsidRPr="00F51AD3">
        <w:rPr>
          <w:rtl/>
          <w:lang w:eastAsia="zh-TW"/>
        </w:rPr>
        <w:t xml:space="preserve"> </w:t>
      </w:r>
      <w:r w:rsidRPr="00F51AD3">
        <w:rPr>
          <w:rtl/>
          <w:lang w:eastAsia="zh-TW"/>
        </w:rPr>
        <w:t>القضاة</w:t>
      </w:r>
      <w:r w:rsidR="006752A1" w:rsidRPr="00F51AD3">
        <w:rPr>
          <w:rtl/>
          <w:lang w:eastAsia="zh-TW"/>
        </w:rPr>
        <w:t xml:space="preserve"> </w:t>
      </w:r>
      <w:r w:rsidRPr="00F51AD3">
        <w:rPr>
          <w:rtl/>
          <w:lang w:eastAsia="zh-TW"/>
        </w:rPr>
        <w:t>وأعضاء</w:t>
      </w:r>
      <w:r w:rsidR="006752A1" w:rsidRPr="00F51AD3">
        <w:rPr>
          <w:rtl/>
          <w:lang w:eastAsia="zh-TW"/>
        </w:rPr>
        <w:t xml:space="preserve"> </w:t>
      </w:r>
      <w:r w:rsidRPr="00F51AD3">
        <w:rPr>
          <w:rtl/>
          <w:lang w:eastAsia="zh-TW"/>
        </w:rPr>
        <w:t>النيابة</w:t>
      </w:r>
      <w:r w:rsidR="006752A1" w:rsidRPr="00F51AD3">
        <w:rPr>
          <w:rtl/>
          <w:lang w:eastAsia="zh-TW"/>
        </w:rPr>
        <w:t xml:space="preserve"> </w:t>
      </w:r>
      <w:r w:rsidRPr="00F51AD3">
        <w:rPr>
          <w:rtl/>
          <w:lang w:eastAsia="zh-TW"/>
        </w:rPr>
        <w:t>والمحامين</w:t>
      </w:r>
      <w:r w:rsidR="006752A1" w:rsidRPr="00F51AD3">
        <w:rPr>
          <w:rtl/>
          <w:lang w:eastAsia="zh-TW"/>
        </w:rPr>
        <w:t xml:space="preserve"> </w:t>
      </w:r>
      <w:r w:rsidRPr="00F51AD3">
        <w:rPr>
          <w:rtl/>
          <w:lang w:eastAsia="zh-TW"/>
        </w:rPr>
        <w:t>وموظفي</w:t>
      </w:r>
      <w:r w:rsidR="006752A1" w:rsidRPr="00F51AD3">
        <w:rPr>
          <w:rtl/>
          <w:lang w:eastAsia="zh-TW"/>
        </w:rPr>
        <w:t xml:space="preserve"> </w:t>
      </w:r>
      <w:r w:rsidRPr="00F51AD3">
        <w:rPr>
          <w:rtl/>
          <w:lang w:eastAsia="zh-TW"/>
        </w:rPr>
        <w:t>السلطة</w:t>
      </w:r>
      <w:r w:rsidR="006752A1" w:rsidRPr="00F51AD3">
        <w:rPr>
          <w:rtl/>
          <w:lang w:eastAsia="zh-TW"/>
        </w:rPr>
        <w:t xml:space="preserve"> </w:t>
      </w:r>
      <w:r w:rsidRPr="00F51AD3">
        <w:rPr>
          <w:rtl/>
          <w:lang w:eastAsia="zh-TW"/>
        </w:rPr>
        <w:t>القضائية</w:t>
      </w:r>
      <w:r w:rsidR="006752A1" w:rsidRPr="00F51AD3">
        <w:rPr>
          <w:rtl/>
          <w:lang w:eastAsia="zh-TW"/>
        </w:rPr>
        <w:t xml:space="preserve"> </w:t>
      </w:r>
      <w:r w:rsidRPr="00F51AD3">
        <w:rPr>
          <w:rtl/>
          <w:lang w:eastAsia="zh-TW"/>
        </w:rPr>
        <w:t>بالتدريب</w:t>
      </w:r>
      <w:r w:rsidR="006752A1" w:rsidRPr="00F51AD3">
        <w:rPr>
          <w:rtl/>
          <w:lang w:eastAsia="zh-TW"/>
        </w:rPr>
        <w:t xml:space="preserve"> </w:t>
      </w:r>
      <w:r w:rsidRPr="00F51AD3">
        <w:rPr>
          <w:rtl/>
          <w:lang w:eastAsia="zh-TW"/>
        </w:rPr>
        <w:t>الرقمي</w:t>
      </w:r>
      <w:r w:rsidR="006752A1" w:rsidRPr="00F51AD3">
        <w:rPr>
          <w:rtl/>
          <w:lang w:eastAsia="zh-TW"/>
        </w:rPr>
        <w:t xml:space="preserve"> </w:t>
      </w:r>
      <w:r w:rsidRPr="00F51AD3">
        <w:rPr>
          <w:rtl/>
          <w:lang w:eastAsia="zh-TW"/>
        </w:rPr>
        <w:t>المناسب</w:t>
      </w:r>
      <w:r w:rsidR="006752A1" w:rsidRPr="00F51AD3">
        <w:rPr>
          <w:rtl/>
          <w:lang w:eastAsia="zh-TW"/>
        </w:rPr>
        <w:t xml:space="preserve"> </w:t>
      </w:r>
      <w:r w:rsidRPr="00F51AD3">
        <w:rPr>
          <w:rtl/>
          <w:lang w:eastAsia="zh-TW"/>
        </w:rPr>
        <w:t>لضمان</w:t>
      </w:r>
      <w:r w:rsidR="006752A1" w:rsidRPr="00F51AD3">
        <w:rPr>
          <w:rtl/>
          <w:lang w:eastAsia="zh-TW"/>
        </w:rPr>
        <w:t xml:space="preserve"> </w:t>
      </w:r>
      <w:r w:rsidRPr="00F51AD3">
        <w:rPr>
          <w:rtl/>
          <w:lang w:eastAsia="zh-TW"/>
        </w:rPr>
        <w:t>الاستخدام</w:t>
      </w:r>
      <w:r w:rsidR="006752A1" w:rsidRPr="00F51AD3">
        <w:rPr>
          <w:rtl/>
          <w:lang w:eastAsia="zh-TW"/>
        </w:rPr>
        <w:t xml:space="preserve"> </w:t>
      </w:r>
      <w:r w:rsidRPr="00F51AD3">
        <w:rPr>
          <w:rtl/>
          <w:lang w:eastAsia="zh-TW"/>
        </w:rPr>
        <w:t>الفعال</w:t>
      </w:r>
      <w:r w:rsidR="006752A1" w:rsidRPr="00F51AD3">
        <w:rPr>
          <w:rtl/>
          <w:lang w:eastAsia="zh-TW"/>
        </w:rPr>
        <w:t xml:space="preserve"> </w:t>
      </w:r>
      <w:r w:rsidRPr="00F51AD3">
        <w:rPr>
          <w:rtl/>
          <w:lang w:eastAsia="zh-TW"/>
        </w:rPr>
        <w:t>والمسؤول</w:t>
      </w:r>
      <w:r w:rsidR="006752A1" w:rsidRPr="00F51AD3">
        <w:rPr>
          <w:rtl/>
          <w:lang w:eastAsia="zh-TW"/>
        </w:rPr>
        <w:t xml:space="preserve"> </w:t>
      </w:r>
      <w:r w:rsidRPr="00F51AD3">
        <w:rPr>
          <w:rtl/>
          <w:lang w:eastAsia="zh-TW"/>
        </w:rPr>
        <w:t>لهذه</w:t>
      </w:r>
      <w:r w:rsidR="006752A1" w:rsidRPr="00F51AD3">
        <w:rPr>
          <w:rtl/>
          <w:lang w:eastAsia="zh-TW"/>
        </w:rPr>
        <w:t xml:space="preserve"> </w:t>
      </w:r>
      <w:r w:rsidRPr="00F51AD3">
        <w:rPr>
          <w:rtl/>
          <w:lang w:eastAsia="zh-TW"/>
        </w:rPr>
        <w:t>التكنولوجيات،</w:t>
      </w:r>
      <w:r w:rsidR="006752A1" w:rsidRPr="00F51AD3">
        <w:rPr>
          <w:rtl/>
          <w:lang w:eastAsia="zh-TW"/>
        </w:rPr>
        <w:t xml:space="preserve"> </w:t>
      </w:r>
      <w:r w:rsidRPr="00F51AD3">
        <w:rPr>
          <w:rtl/>
          <w:lang w:eastAsia="zh-TW"/>
        </w:rPr>
        <w:t>والتأكيد</w:t>
      </w:r>
      <w:r w:rsidR="006752A1" w:rsidRPr="00F51AD3">
        <w:rPr>
          <w:rtl/>
          <w:lang w:eastAsia="zh-TW"/>
        </w:rPr>
        <w:t xml:space="preserve"> </w:t>
      </w:r>
      <w:r w:rsidRPr="00F51AD3">
        <w:rPr>
          <w:rtl/>
          <w:lang w:eastAsia="zh-TW"/>
        </w:rPr>
        <w:t>في</w:t>
      </w:r>
      <w:r w:rsidR="006752A1" w:rsidRPr="00F51AD3">
        <w:rPr>
          <w:rtl/>
          <w:lang w:eastAsia="zh-TW"/>
        </w:rPr>
        <w:t xml:space="preserve"> </w:t>
      </w:r>
      <w:r w:rsidRPr="00F51AD3">
        <w:rPr>
          <w:rtl/>
          <w:lang w:eastAsia="zh-TW"/>
        </w:rPr>
        <w:t>الوقت</w:t>
      </w:r>
      <w:r w:rsidR="006752A1" w:rsidRPr="00F51AD3">
        <w:rPr>
          <w:rtl/>
          <w:lang w:eastAsia="zh-TW"/>
        </w:rPr>
        <w:t xml:space="preserve"> </w:t>
      </w:r>
      <w:r w:rsidRPr="00F51AD3">
        <w:rPr>
          <w:rtl/>
          <w:lang w:eastAsia="zh-TW"/>
        </w:rPr>
        <w:t>نفسه</w:t>
      </w:r>
      <w:r w:rsidR="006752A1" w:rsidRPr="00F51AD3">
        <w:rPr>
          <w:rtl/>
          <w:lang w:eastAsia="zh-TW"/>
        </w:rPr>
        <w:t xml:space="preserve"> </w:t>
      </w:r>
      <w:r w:rsidRPr="00F51AD3">
        <w:rPr>
          <w:rtl/>
          <w:lang w:eastAsia="zh-TW"/>
        </w:rPr>
        <w:t>على</w:t>
      </w:r>
      <w:r w:rsidR="006752A1" w:rsidRPr="00F51AD3">
        <w:rPr>
          <w:rtl/>
          <w:lang w:eastAsia="zh-TW"/>
        </w:rPr>
        <w:t xml:space="preserve"> </w:t>
      </w:r>
      <w:r w:rsidRPr="00F51AD3">
        <w:rPr>
          <w:rtl/>
          <w:lang w:eastAsia="zh-TW"/>
        </w:rPr>
        <w:t>أن</w:t>
      </w:r>
      <w:r w:rsidR="006752A1" w:rsidRPr="00F51AD3">
        <w:rPr>
          <w:rtl/>
          <w:lang w:eastAsia="zh-TW"/>
        </w:rPr>
        <w:t xml:space="preserve"> </w:t>
      </w:r>
      <w:r w:rsidRPr="00F51AD3">
        <w:rPr>
          <w:rtl/>
          <w:lang w:eastAsia="zh-TW"/>
        </w:rPr>
        <w:t>استخدام</w:t>
      </w:r>
      <w:r w:rsidR="006752A1" w:rsidRPr="00F51AD3">
        <w:rPr>
          <w:rtl/>
          <w:lang w:eastAsia="zh-TW"/>
        </w:rPr>
        <w:t xml:space="preserve"> </w:t>
      </w:r>
      <w:r w:rsidRPr="00F51AD3">
        <w:rPr>
          <w:rtl/>
          <w:lang w:eastAsia="zh-TW"/>
        </w:rPr>
        <w:t>الذكاء</w:t>
      </w:r>
      <w:r w:rsidR="006752A1" w:rsidRPr="00F51AD3">
        <w:rPr>
          <w:rtl/>
          <w:lang w:eastAsia="zh-TW"/>
        </w:rPr>
        <w:t xml:space="preserve"> </w:t>
      </w:r>
      <w:r w:rsidRPr="00F51AD3">
        <w:rPr>
          <w:rtl/>
          <w:lang w:eastAsia="zh-TW"/>
        </w:rPr>
        <w:t>الاصطناعي</w:t>
      </w:r>
      <w:r w:rsidR="006752A1" w:rsidRPr="00F51AD3">
        <w:rPr>
          <w:rtl/>
          <w:lang w:eastAsia="zh-TW"/>
        </w:rPr>
        <w:t xml:space="preserve"> </w:t>
      </w:r>
      <w:r w:rsidRPr="00F51AD3">
        <w:rPr>
          <w:rtl/>
          <w:lang w:eastAsia="zh-TW"/>
        </w:rPr>
        <w:t>في</w:t>
      </w:r>
      <w:r w:rsidR="006752A1" w:rsidRPr="00F51AD3">
        <w:rPr>
          <w:rtl/>
          <w:lang w:eastAsia="zh-TW"/>
        </w:rPr>
        <w:t xml:space="preserve"> </w:t>
      </w:r>
      <w:r w:rsidRPr="00F51AD3">
        <w:rPr>
          <w:rtl/>
          <w:lang w:eastAsia="zh-TW"/>
        </w:rPr>
        <w:t>إقامة</w:t>
      </w:r>
      <w:r w:rsidR="006752A1" w:rsidRPr="00F51AD3">
        <w:rPr>
          <w:rtl/>
          <w:lang w:eastAsia="zh-TW"/>
        </w:rPr>
        <w:t xml:space="preserve"> </w:t>
      </w:r>
      <w:r w:rsidRPr="00F51AD3">
        <w:rPr>
          <w:rtl/>
          <w:lang w:eastAsia="zh-TW"/>
        </w:rPr>
        <w:t>العدل</w:t>
      </w:r>
      <w:r w:rsidR="006752A1" w:rsidRPr="00F51AD3">
        <w:rPr>
          <w:rtl/>
          <w:lang w:eastAsia="zh-TW"/>
        </w:rPr>
        <w:t xml:space="preserve"> </w:t>
      </w:r>
      <w:r w:rsidRPr="00F51AD3">
        <w:rPr>
          <w:rtl/>
          <w:lang w:eastAsia="zh-TW"/>
        </w:rPr>
        <w:t>يجب</w:t>
      </w:r>
      <w:r w:rsidR="006752A1" w:rsidRPr="00F51AD3">
        <w:rPr>
          <w:rtl/>
          <w:lang w:eastAsia="zh-TW"/>
        </w:rPr>
        <w:t xml:space="preserve"> </w:t>
      </w:r>
      <w:r w:rsidRPr="00F51AD3">
        <w:rPr>
          <w:rtl/>
          <w:lang w:eastAsia="zh-TW"/>
        </w:rPr>
        <w:t>أن</w:t>
      </w:r>
      <w:r w:rsidR="006752A1" w:rsidRPr="00F51AD3">
        <w:rPr>
          <w:rtl/>
          <w:lang w:eastAsia="zh-TW"/>
        </w:rPr>
        <w:t xml:space="preserve"> </w:t>
      </w:r>
      <w:r w:rsidRPr="00F51AD3">
        <w:rPr>
          <w:rtl/>
          <w:lang w:eastAsia="zh-TW"/>
        </w:rPr>
        <w:t>يظل</w:t>
      </w:r>
      <w:r w:rsidR="006752A1" w:rsidRPr="00F51AD3">
        <w:rPr>
          <w:rtl/>
          <w:lang w:eastAsia="zh-TW"/>
        </w:rPr>
        <w:t xml:space="preserve"> </w:t>
      </w:r>
      <w:r w:rsidRPr="00F51AD3">
        <w:rPr>
          <w:rtl/>
          <w:lang w:eastAsia="zh-TW"/>
        </w:rPr>
        <w:t>خاضعاً</w:t>
      </w:r>
      <w:r w:rsidR="006752A1" w:rsidRPr="00F51AD3">
        <w:rPr>
          <w:rtl/>
          <w:lang w:eastAsia="zh-TW"/>
        </w:rPr>
        <w:t xml:space="preserve"> </w:t>
      </w:r>
      <w:r w:rsidRPr="00F51AD3">
        <w:rPr>
          <w:rtl/>
          <w:lang w:eastAsia="zh-TW"/>
        </w:rPr>
        <w:t>للرقابة</w:t>
      </w:r>
      <w:r w:rsidR="006752A1" w:rsidRPr="00F51AD3">
        <w:rPr>
          <w:rtl/>
          <w:lang w:eastAsia="zh-TW"/>
        </w:rPr>
        <w:t xml:space="preserve"> </w:t>
      </w:r>
      <w:r w:rsidRPr="00F51AD3">
        <w:rPr>
          <w:rtl/>
          <w:lang w:eastAsia="zh-TW"/>
        </w:rPr>
        <w:t>البشرية</w:t>
      </w:r>
      <w:r w:rsidR="006752A1" w:rsidRPr="00F51AD3">
        <w:rPr>
          <w:rtl/>
          <w:lang w:eastAsia="zh-TW"/>
        </w:rPr>
        <w:t xml:space="preserve"> </w:t>
      </w:r>
      <w:r w:rsidRPr="00F51AD3">
        <w:rPr>
          <w:rtl/>
          <w:lang w:eastAsia="zh-TW"/>
        </w:rPr>
        <w:t>وتقييمات</w:t>
      </w:r>
      <w:r w:rsidR="006752A1" w:rsidRPr="00F51AD3">
        <w:rPr>
          <w:rtl/>
          <w:lang w:eastAsia="zh-TW"/>
        </w:rPr>
        <w:t xml:space="preserve"> </w:t>
      </w:r>
      <w:r w:rsidRPr="00F51AD3">
        <w:rPr>
          <w:rtl/>
          <w:lang w:eastAsia="zh-TW"/>
        </w:rPr>
        <w:t>شفافة</w:t>
      </w:r>
      <w:r w:rsidR="006752A1" w:rsidRPr="00F51AD3">
        <w:rPr>
          <w:rtl/>
          <w:lang w:eastAsia="zh-TW"/>
        </w:rPr>
        <w:t xml:space="preserve"> </w:t>
      </w:r>
      <w:r w:rsidRPr="00F51AD3">
        <w:rPr>
          <w:rtl/>
          <w:lang w:eastAsia="zh-TW"/>
        </w:rPr>
        <w:t>لتأثيره</w:t>
      </w:r>
      <w:r w:rsidR="006752A1" w:rsidRPr="00F51AD3">
        <w:rPr>
          <w:rtl/>
          <w:lang w:eastAsia="zh-TW"/>
        </w:rPr>
        <w:t xml:space="preserve"> </w:t>
      </w:r>
      <w:r w:rsidRPr="00F51AD3">
        <w:rPr>
          <w:rtl/>
          <w:lang w:eastAsia="zh-TW"/>
        </w:rPr>
        <w:t>في</w:t>
      </w:r>
      <w:r w:rsidR="006752A1" w:rsidRPr="00F51AD3">
        <w:rPr>
          <w:rFonts w:hint="cs"/>
          <w:rtl/>
          <w:lang w:eastAsia="zh-TW"/>
        </w:rPr>
        <w:t xml:space="preserve"> </w:t>
      </w:r>
      <w:r w:rsidRPr="00F51AD3">
        <w:rPr>
          <w:rtl/>
          <w:lang w:eastAsia="zh-TW"/>
        </w:rPr>
        <w:t>حقوق</w:t>
      </w:r>
      <w:r w:rsidR="006752A1" w:rsidRPr="00F51AD3">
        <w:rPr>
          <w:rtl/>
          <w:lang w:eastAsia="zh-TW"/>
        </w:rPr>
        <w:t xml:space="preserve"> </w:t>
      </w:r>
      <w:r w:rsidRPr="00F51AD3">
        <w:rPr>
          <w:rtl/>
          <w:lang w:eastAsia="zh-TW"/>
        </w:rPr>
        <w:t>الإنسان</w:t>
      </w:r>
      <w:r w:rsidR="006752A1" w:rsidRPr="00F51AD3">
        <w:rPr>
          <w:rtl/>
          <w:lang w:eastAsia="zh-TW"/>
        </w:rPr>
        <w:t xml:space="preserve"> </w:t>
      </w:r>
      <w:r w:rsidRPr="00F51AD3">
        <w:rPr>
          <w:rtl/>
          <w:lang w:eastAsia="zh-TW"/>
        </w:rPr>
        <w:t>من</w:t>
      </w:r>
      <w:r w:rsidR="006752A1" w:rsidRPr="00F51AD3">
        <w:rPr>
          <w:rtl/>
          <w:lang w:eastAsia="zh-TW"/>
        </w:rPr>
        <w:t xml:space="preserve"> </w:t>
      </w:r>
      <w:r w:rsidRPr="00F51AD3">
        <w:rPr>
          <w:rtl/>
          <w:lang w:eastAsia="zh-TW"/>
        </w:rPr>
        <w:t>أجل</w:t>
      </w:r>
      <w:r w:rsidR="006752A1" w:rsidRPr="00F51AD3">
        <w:rPr>
          <w:rtl/>
          <w:lang w:eastAsia="zh-TW"/>
        </w:rPr>
        <w:t xml:space="preserve"> </w:t>
      </w:r>
      <w:r w:rsidRPr="00F51AD3">
        <w:rPr>
          <w:rtl/>
          <w:lang w:eastAsia="zh-TW"/>
        </w:rPr>
        <w:t>الحيلولة</w:t>
      </w:r>
      <w:r w:rsidR="006752A1" w:rsidRPr="00F51AD3">
        <w:rPr>
          <w:rtl/>
          <w:lang w:eastAsia="zh-TW"/>
        </w:rPr>
        <w:t xml:space="preserve"> </w:t>
      </w:r>
      <w:r w:rsidRPr="00F51AD3">
        <w:rPr>
          <w:rtl/>
          <w:lang w:eastAsia="zh-TW"/>
        </w:rPr>
        <w:t>دون</w:t>
      </w:r>
      <w:r w:rsidR="006752A1" w:rsidRPr="00F51AD3">
        <w:rPr>
          <w:rtl/>
          <w:lang w:eastAsia="zh-TW"/>
        </w:rPr>
        <w:t xml:space="preserve"> </w:t>
      </w:r>
      <w:r w:rsidRPr="00F51AD3">
        <w:rPr>
          <w:rtl/>
          <w:lang w:eastAsia="zh-TW"/>
        </w:rPr>
        <w:t>المخاطر</w:t>
      </w:r>
      <w:r w:rsidR="006752A1" w:rsidRPr="00F51AD3">
        <w:rPr>
          <w:rtl/>
          <w:lang w:eastAsia="zh-TW"/>
        </w:rPr>
        <w:t xml:space="preserve"> </w:t>
      </w:r>
      <w:r w:rsidRPr="00F51AD3">
        <w:rPr>
          <w:rtl/>
          <w:lang w:eastAsia="zh-TW"/>
        </w:rPr>
        <w:t>المحتملة</w:t>
      </w:r>
      <w:r w:rsidR="006752A1" w:rsidRPr="00F51AD3">
        <w:rPr>
          <w:rtl/>
          <w:lang w:eastAsia="zh-TW"/>
        </w:rPr>
        <w:t xml:space="preserve"> </w:t>
      </w:r>
      <w:r w:rsidRPr="00F51AD3">
        <w:rPr>
          <w:rtl/>
          <w:lang w:eastAsia="zh-TW"/>
        </w:rPr>
        <w:t>التي</w:t>
      </w:r>
      <w:r w:rsidR="006752A1" w:rsidRPr="00F51AD3">
        <w:rPr>
          <w:rtl/>
          <w:lang w:eastAsia="zh-TW"/>
        </w:rPr>
        <w:t xml:space="preserve"> </w:t>
      </w:r>
      <w:r w:rsidRPr="00F51AD3">
        <w:rPr>
          <w:rtl/>
          <w:lang w:eastAsia="zh-TW"/>
        </w:rPr>
        <w:t>قد</w:t>
      </w:r>
      <w:r w:rsidR="006752A1" w:rsidRPr="00F51AD3">
        <w:rPr>
          <w:rtl/>
          <w:lang w:eastAsia="zh-TW"/>
        </w:rPr>
        <w:t xml:space="preserve"> </w:t>
      </w:r>
      <w:r w:rsidRPr="00F51AD3">
        <w:rPr>
          <w:rtl/>
          <w:lang w:eastAsia="zh-TW"/>
        </w:rPr>
        <w:t>تشكلها</w:t>
      </w:r>
      <w:r w:rsidR="006752A1" w:rsidRPr="00F51AD3">
        <w:rPr>
          <w:rtl/>
          <w:lang w:eastAsia="zh-TW"/>
        </w:rPr>
        <w:t xml:space="preserve"> </w:t>
      </w:r>
      <w:r w:rsidRPr="00F51AD3">
        <w:rPr>
          <w:rtl/>
          <w:lang w:eastAsia="zh-TW"/>
        </w:rPr>
        <w:t>على</w:t>
      </w:r>
      <w:r w:rsidR="006752A1" w:rsidRPr="00F51AD3">
        <w:rPr>
          <w:rtl/>
          <w:lang w:eastAsia="zh-TW"/>
        </w:rPr>
        <w:t xml:space="preserve"> </w:t>
      </w:r>
      <w:r w:rsidRPr="00F51AD3">
        <w:rPr>
          <w:rtl/>
          <w:lang w:eastAsia="zh-TW"/>
        </w:rPr>
        <w:t>حقوق</w:t>
      </w:r>
      <w:r w:rsidR="006752A1" w:rsidRPr="00F51AD3">
        <w:rPr>
          <w:rtl/>
          <w:lang w:eastAsia="zh-TW"/>
        </w:rPr>
        <w:t xml:space="preserve"> </w:t>
      </w:r>
      <w:r w:rsidRPr="00F51AD3">
        <w:rPr>
          <w:rtl/>
          <w:lang w:eastAsia="zh-TW"/>
        </w:rPr>
        <w:t>الإنسان</w:t>
      </w:r>
      <w:r w:rsidR="006752A1" w:rsidRPr="00F51AD3">
        <w:rPr>
          <w:rtl/>
          <w:lang w:eastAsia="zh-TW"/>
        </w:rPr>
        <w:t xml:space="preserve"> </w:t>
      </w:r>
      <w:r w:rsidRPr="00F51AD3">
        <w:rPr>
          <w:rtl/>
          <w:lang w:eastAsia="zh-TW"/>
        </w:rPr>
        <w:t>أو</w:t>
      </w:r>
      <w:r w:rsidR="006752A1" w:rsidRPr="00F51AD3">
        <w:rPr>
          <w:rtl/>
          <w:lang w:eastAsia="zh-TW"/>
        </w:rPr>
        <w:t xml:space="preserve"> </w:t>
      </w:r>
      <w:r w:rsidRPr="00F51AD3">
        <w:rPr>
          <w:rtl/>
          <w:lang w:eastAsia="zh-TW"/>
        </w:rPr>
        <w:t>التخفيف</w:t>
      </w:r>
      <w:r w:rsidR="006752A1" w:rsidRPr="00F51AD3">
        <w:rPr>
          <w:rtl/>
          <w:lang w:eastAsia="zh-TW"/>
        </w:rPr>
        <w:t xml:space="preserve"> </w:t>
      </w:r>
      <w:r w:rsidRPr="00F51AD3">
        <w:rPr>
          <w:rtl/>
          <w:lang w:eastAsia="zh-TW"/>
        </w:rPr>
        <w:t>منها</w:t>
      </w:r>
      <w:r w:rsidR="006752A1" w:rsidRPr="00F51AD3">
        <w:rPr>
          <w:rtl/>
          <w:lang w:eastAsia="zh-TW"/>
        </w:rPr>
        <w:t xml:space="preserve"> </w:t>
      </w:r>
      <w:r w:rsidRPr="00F51AD3">
        <w:rPr>
          <w:rtl/>
          <w:lang w:eastAsia="zh-TW"/>
        </w:rPr>
        <w:t>بفعالية؛</w:t>
      </w:r>
    </w:p>
    <w:p w14:paraId="68CD465F" w14:textId="77777777" w:rsidR="00611DC0" w:rsidRPr="00F51AD3" w:rsidRDefault="00611DC0" w:rsidP="00611DC0">
      <w:pPr>
        <w:pStyle w:val="SingleTxtGA"/>
        <w:rPr>
          <w:lang w:eastAsia="zh-TW"/>
        </w:rPr>
      </w:pPr>
      <w:r w:rsidRPr="00F51AD3">
        <w:rPr>
          <w:rtl/>
          <w:lang w:eastAsia="zh-TW"/>
        </w:rPr>
        <w:tab/>
        <w:t>20-</w:t>
      </w:r>
      <w:r w:rsidRPr="00F51AD3">
        <w:rPr>
          <w:rtl/>
          <w:lang w:eastAsia="zh-TW"/>
        </w:rPr>
        <w:tab/>
      </w:r>
      <w:r w:rsidRPr="00F51AD3">
        <w:rPr>
          <w:i/>
          <w:iCs/>
          <w:rtl/>
          <w:lang w:eastAsia="zh-TW"/>
        </w:rPr>
        <w:t>يدعو</w:t>
      </w:r>
      <w:r w:rsidRPr="00F51AD3">
        <w:rPr>
          <w:rtl/>
          <w:lang w:eastAsia="zh-TW"/>
        </w:rPr>
        <w:t xml:space="preserve"> المقررة الخاصة إلى التعاون مع أصحاب المصلحة المعنيين داخل منظومة الأمم المتحدة في المجالات المتصلة بالولاية؛</w:t>
      </w:r>
    </w:p>
    <w:p w14:paraId="26118C38" w14:textId="77777777" w:rsidR="00611DC0" w:rsidRPr="00F51AD3" w:rsidRDefault="00611DC0" w:rsidP="00611DC0">
      <w:pPr>
        <w:pStyle w:val="SingleTxtGA"/>
        <w:rPr>
          <w:lang w:eastAsia="zh-TW"/>
        </w:rPr>
      </w:pPr>
      <w:r w:rsidRPr="00F51AD3">
        <w:rPr>
          <w:rtl/>
          <w:lang w:eastAsia="zh-TW"/>
        </w:rPr>
        <w:tab/>
        <w:t>21-</w:t>
      </w:r>
      <w:r w:rsidRPr="00F51AD3">
        <w:rPr>
          <w:rtl/>
          <w:lang w:eastAsia="zh-TW"/>
        </w:rPr>
        <w:tab/>
      </w:r>
      <w:r w:rsidRPr="00F51AD3">
        <w:rPr>
          <w:i/>
          <w:iCs/>
          <w:rtl/>
          <w:lang w:eastAsia="zh-TW"/>
        </w:rPr>
        <w:t>يشجع</w:t>
      </w:r>
      <w:r w:rsidRPr="00F51AD3">
        <w:rPr>
          <w:rtl/>
          <w:lang w:eastAsia="zh-TW"/>
        </w:rPr>
        <w:t xml:space="preserve"> المقررة الخاصة على تيسير تقديم المساعدة التقنية وبناء القدرات ونشر المبادئ التوجيهية وأفضل الممارسات، بس</w:t>
      </w:r>
      <w:r w:rsidRPr="00F51AD3">
        <w:rPr>
          <w:rFonts w:hint="cs"/>
          <w:rtl/>
          <w:lang w:eastAsia="zh-TW"/>
        </w:rPr>
        <w:t>ُ</w:t>
      </w:r>
      <w:r w:rsidRPr="00F51AD3">
        <w:rPr>
          <w:rtl/>
          <w:lang w:eastAsia="zh-TW"/>
        </w:rPr>
        <w:t>بل منها العمل مع الجهات المعنية وبالتشاور مع مفوضية الأمم المتحدة السامية لحقوق الإنسان، عندما تطلب الدولة المعنية ذلك، بغية إرساء وتعزيز سيادة القانون، مع إيلاء اهتمام خاص لإقامة العدل وللدور الذي تؤديه أجهزة قضائية ومهن قانونية تتسم بالاستقلال والكفاءة؛</w:t>
      </w:r>
    </w:p>
    <w:p w14:paraId="0A3D14CB" w14:textId="77777777" w:rsidR="00611DC0" w:rsidRPr="00F51AD3" w:rsidRDefault="00611DC0" w:rsidP="00611DC0">
      <w:pPr>
        <w:pStyle w:val="SingleTxtGA"/>
        <w:rPr>
          <w:lang w:eastAsia="zh-TW"/>
        </w:rPr>
      </w:pPr>
      <w:r w:rsidRPr="00F51AD3">
        <w:rPr>
          <w:rtl/>
          <w:lang w:eastAsia="zh-TW"/>
        </w:rPr>
        <w:tab/>
        <w:t>22-</w:t>
      </w:r>
      <w:r w:rsidRPr="00F51AD3">
        <w:rPr>
          <w:rtl/>
          <w:lang w:eastAsia="zh-TW"/>
        </w:rPr>
        <w:tab/>
      </w:r>
      <w:r w:rsidRPr="00F51AD3">
        <w:rPr>
          <w:i/>
          <w:iCs/>
          <w:rtl/>
          <w:lang w:eastAsia="zh-TW"/>
        </w:rPr>
        <w:t>يشجع</w:t>
      </w:r>
      <w:r w:rsidRPr="00F51AD3">
        <w:rPr>
          <w:rtl/>
          <w:lang w:eastAsia="zh-TW"/>
        </w:rPr>
        <w:t xml:space="preserve"> الحكومات التي تواجه صعوبات في ضمان استقلال القضاة والمحامين، وموضوعية ونزاهة أعضاء النيابة، وقدرتهم على أداء مهامهم وفقاً لذلك، أو التي عقدت العزم على اتخاذ تدابير لمواصلة تنفيذ هذه المبادئ، على التشاور مع المقررة الخاصة والنظر فيما تقدمه من خدمات، بدعوة المكلفة بالولاية مثلاً إلى زيارة بلدانها؛</w:t>
      </w:r>
    </w:p>
    <w:p w14:paraId="6453580E" w14:textId="77777777" w:rsidR="00611DC0" w:rsidRPr="00F51AD3" w:rsidRDefault="00611DC0" w:rsidP="00611DC0">
      <w:pPr>
        <w:pStyle w:val="SingleTxtGA"/>
        <w:rPr>
          <w:lang w:eastAsia="zh-TW"/>
        </w:rPr>
      </w:pPr>
      <w:r w:rsidRPr="00F51AD3">
        <w:rPr>
          <w:rtl/>
          <w:lang w:eastAsia="zh-TW"/>
        </w:rPr>
        <w:tab/>
        <w:t>23-</w:t>
      </w:r>
      <w:r w:rsidRPr="00F51AD3">
        <w:rPr>
          <w:rtl/>
          <w:lang w:eastAsia="zh-TW"/>
        </w:rPr>
        <w:tab/>
      </w:r>
      <w:r w:rsidRPr="00F51AD3">
        <w:rPr>
          <w:i/>
          <w:iCs/>
          <w:rtl/>
          <w:lang w:eastAsia="zh-TW"/>
        </w:rPr>
        <w:t>يشجع</w:t>
      </w:r>
      <w:r w:rsidRPr="00F51AD3">
        <w:rPr>
          <w:rtl/>
          <w:lang w:eastAsia="zh-TW"/>
        </w:rPr>
        <w:t xml:space="preserve"> الحكومات على إيلاء الاعتبار الواجب للتوصيات التي تقدمها آليات الأمم المتحدة لحقوق الإنسان، وعلى التنفيذ الفعال للتوصيات التي حظيت بالتأييد في إطار عملية الاستعراض الدوري الشامل وتتناول استقلال الجهاز القضائي وفعاليته، ويدعو المجتمع الدولي والمنظمات الإقليمية ومنظومة الأمم المتحدة إلى دعم أي جهود في مجال التنفيذ؛</w:t>
      </w:r>
    </w:p>
    <w:p w14:paraId="6C6606A5" w14:textId="77777777" w:rsidR="00611DC0" w:rsidRPr="00F51AD3" w:rsidRDefault="00611DC0" w:rsidP="00611DC0">
      <w:pPr>
        <w:pStyle w:val="SingleTxtGA"/>
        <w:rPr>
          <w:lang w:eastAsia="zh-TW"/>
        </w:rPr>
      </w:pPr>
      <w:r w:rsidRPr="00F51AD3">
        <w:rPr>
          <w:rtl/>
          <w:lang w:eastAsia="zh-TW"/>
        </w:rPr>
        <w:tab/>
        <w:t>24-</w:t>
      </w:r>
      <w:r w:rsidRPr="00F51AD3">
        <w:rPr>
          <w:rtl/>
          <w:lang w:eastAsia="zh-TW"/>
        </w:rPr>
        <w:tab/>
      </w:r>
      <w:r w:rsidRPr="00F51AD3">
        <w:rPr>
          <w:i/>
          <w:iCs/>
          <w:rtl/>
          <w:lang w:eastAsia="zh-TW"/>
        </w:rPr>
        <w:t>يدعو</w:t>
      </w:r>
      <w:r w:rsidRPr="00F51AD3">
        <w:rPr>
          <w:rtl/>
          <w:lang w:eastAsia="zh-TW"/>
        </w:rPr>
        <w:t xml:space="preserve"> وكالات الأمم المتحدة وصناديقها وبرامجها إلى مواصلة أنشطتها في مجالي إقامة العدل وسيادة القانون، بما في ذلك على الصعيد القطري بناءً على طلب الدولة، ويشجع الدول على إدراج هذه الأنشطة في خططها الوطنية لبناء القدرات، ويشدد على ضرورة تقديم التمويل الكافي إلى المؤسسات المعنية بإقامة العدل؛</w:t>
      </w:r>
    </w:p>
    <w:p w14:paraId="2119E7EC" w14:textId="77777777" w:rsidR="00611DC0" w:rsidRPr="00F51AD3" w:rsidRDefault="00611DC0" w:rsidP="00611DC0">
      <w:pPr>
        <w:pStyle w:val="SingleTxtGA"/>
        <w:rPr>
          <w:lang w:eastAsia="zh-TW"/>
        </w:rPr>
      </w:pPr>
      <w:r w:rsidRPr="00F51AD3">
        <w:rPr>
          <w:rtl/>
          <w:lang w:eastAsia="zh-TW"/>
        </w:rPr>
        <w:lastRenderedPageBreak/>
        <w:tab/>
        <w:t>25-</w:t>
      </w:r>
      <w:r w:rsidRPr="00F51AD3">
        <w:rPr>
          <w:rtl/>
          <w:lang w:eastAsia="zh-TW"/>
        </w:rPr>
        <w:tab/>
      </w:r>
      <w:r w:rsidRPr="00F51AD3">
        <w:rPr>
          <w:i/>
          <w:iCs/>
          <w:rtl/>
          <w:lang w:eastAsia="zh-TW"/>
        </w:rPr>
        <w:t>يشجع</w:t>
      </w:r>
      <w:r w:rsidRPr="00F51AD3">
        <w:rPr>
          <w:rtl/>
          <w:lang w:eastAsia="zh-TW"/>
        </w:rPr>
        <w:t xml:space="preserve"> الدول على ضمان أن تكون أطرها القانونية وأنظمتها التنفيذية وأدلتها القضائية </w:t>
      </w:r>
      <w:r w:rsidRPr="00F51AD3">
        <w:rPr>
          <w:spacing w:val="-2"/>
          <w:rtl/>
          <w:lang w:eastAsia="zh-TW"/>
        </w:rPr>
        <w:t>متوافقة تماماً مع التزاماتها الدولية وأن تراعي الالتزامات ذات الصلة في مجالي إقامة العدل وسيادة القانون؛</w:t>
      </w:r>
    </w:p>
    <w:p w14:paraId="79E3057F" w14:textId="4D8C5631" w:rsidR="00611DC0" w:rsidRPr="00F51AD3" w:rsidRDefault="00611DC0" w:rsidP="00611DC0">
      <w:pPr>
        <w:pStyle w:val="SingleTxtGA"/>
        <w:rPr>
          <w:lang w:eastAsia="zh-TW"/>
        </w:rPr>
      </w:pPr>
      <w:r w:rsidRPr="00F51AD3">
        <w:rPr>
          <w:rtl/>
          <w:lang w:eastAsia="zh-TW"/>
        </w:rPr>
        <w:tab/>
        <w:t>26-</w:t>
      </w:r>
      <w:r w:rsidRPr="00F51AD3">
        <w:rPr>
          <w:rtl/>
          <w:lang w:eastAsia="zh-TW"/>
        </w:rPr>
        <w:tab/>
      </w:r>
      <w:r w:rsidRPr="00F51AD3">
        <w:rPr>
          <w:i/>
          <w:iCs/>
          <w:rtl/>
          <w:lang w:eastAsia="zh-TW"/>
        </w:rPr>
        <w:t>يقرر</w:t>
      </w:r>
      <w:r w:rsidRPr="00F51AD3">
        <w:rPr>
          <w:rtl/>
          <w:lang w:eastAsia="zh-TW"/>
        </w:rPr>
        <w:t xml:space="preserve"> تمديد ولاية المقررة الخاصة المعنية باستقلال القضاة والمحامين لمدة ثلاث سنوات بموجب نفس الشروط المنصوص عليها في قرار مجلس حقوق الإنسان </w:t>
      </w:r>
      <w:hyperlink r:id="rId9" w:history="1">
        <w:r w:rsidRPr="00F51AD3">
          <w:rPr>
            <w:color w:val="0000FF"/>
            <w:rtl/>
            <w:lang w:eastAsia="zh-TW"/>
          </w:rPr>
          <w:t>53/12</w:t>
        </w:r>
      </w:hyperlink>
      <w:r w:rsidRPr="00F51AD3">
        <w:rPr>
          <w:rtl/>
          <w:lang w:eastAsia="zh-TW"/>
        </w:rPr>
        <w:t xml:space="preserve"> المؤرخ 13 تموز/</w:t>
      </w:r>
      <w:r w:rsidR="00F51AD3" w:rsidRPr="00F51AD3">
        <w:rPr>
          <w:rFonts w:hint="cs"/>
          <w:rtl/>
          <w:lang w:eastAsia="zh-TW"/>
        </w:rPr>
        <w:t xml:space="preserve"> </w:t>
      </w:r>
      <w:r w:rsidRPr="00F51AD3">
        <w:rPr>
          <w:rtl/>
          <w:lang w:eastAsia="zh-TW"/>
        </w:rPr>
        <w:t>يوليه 2023؛</w:t>
      </w:r>
    </w:p>
    <w:p w14:paraId="1556E541" w14:textId="77777777" w:rsidR="00611DC0" w:rsidRPr="00F51AD3" w:rsidRDefault="00611DC0" w:rsidP="00611DC0">
      <w:pPr>
        <w:pStyle w:val="SingleTxtGA"/>
        <w:rPr>
          <w:lang w:eastAsia="zh-TW"/>
        </w:rPr>
      </w:pPr>
      <w:r w:rsidRPr="00F51AD3">
        <w:rPr>
          <w:rtl/>
          <w:lang w:eastAsia="zh-TW"/>
        </w:rPr>
        <w:tab/>
        <w:t>27-</w:t>
      </w:r>
      <w:r w:rsidRPr="00F51AD3">
        <w:rPr>
          <w:rtl/>
          <w:lang w:eastAsia="zh-TW"/>
        </w:rPr>
        <w:tab/>
      </w:r>
      <w:r w:rsidRPr="00F51AD3">
        <w:rPr>
          <w:i/>
          <w:iCs/>
          <w:rtl/>
          <w:lang w:eastAsia="zh-TW"/>
        </w:rPr>
        <w:t>يحث</w:t>
      </w:r>
      <w:r w:rsidRPr="00F51AD3">
        <w:rPr>
          <w:rtl/>
          <w:lang w:eastAsia="zh-TW"/>
        </w:rPr>
        <w:t xml:space="preserve"> جميع الحكومات على التعاون مع المقررة الخاصة في أداء ولايتها، وعلى تقديم جميع المعلومات التي تطلبها المقررة الخاصة، والرد على الرسائل التي تحيلها إليها المقررة الخاصة من دون تأخير لا مبرر له؛</w:t>
      </w:r>
    </w:p>
    <w:p w14:paraId="41A5BBDD" w14:textId="77777777" w:rsidR="00611DC0" w:rsidRPr="00F51AD3" w:rsidRDefault="00611DC0" w:rsidP="00611DC0">
      <w:pPr>
        <w:pStyle w:val="SingleTxtGA"/>
        <w:rPr>
          <w:lang w:eastAsia="zh-TW"/>
        </w:rPr>
      </w:pPr>
      <w:r w:rsidRPr="00F51AD3">
        <w:rPr>
          <w:rtl/>
          <w:lang w:eastAsia="zh-TW"/>
        </w:rPr>
        <w:tab/>
        <w:t>28-</w:t>
      </w:r>
      <w:r w:rsidRPr="00F51AD3">
        <w:rPr>
          <w:rtl/>
          <w:lang w:eastAsia="zh-TW"/>
        </w:rPr>
        <w:tab/>
      </w:r>
      <w:r w:rsidRPr="00F51AD3">
        <w:rPr>
          <w:i/>
          <w:iCs/>
          <w:rtl/>
          <w:lang w:eastAsia="zh-TW"/>
        </w:rPr>
        <w:t>يهيب</w:t>
      </w:r>
      <w:r w:rsidRPr="00F51AD3">
        <w:rPr>
          <w:rtl/>
          <w:lang w:eastAsia="zh-TW"/>
        </w:rPr>
        <w:t xml:space="preserve"> بالحكومات أن تنظر بجدية في الاستجابة للطلبات التي توجهها إليها المقررة الخاصة لزيارة بلدانها، ويحث الدول على الشروع في حوار بناء مع المقررة الخاصة فيما يتعلق بمتابعة توصياتها وتنفيذها، كي يتسنى للمقررة الخاصة الاضطلاع بالولاية المنوطة بها بمزيد من الفعالية؛</w:t>
      </w:r>
    </w:p>
    <w:p w14:paraId="0E24F18B" w14:textId="77777777" w:rsidR="00611DC0" w:rsidRPr="00F51AD3" w:rsidRDefault="00611DC0" w:rsidP="00611DC0">
      <w:pPr>
        <w:pStyle w:val="SingleTxtGA"/>
        <w:rPr>
          <w:lang w:eastAsia="zh-TW"/>
        </w:rPr>
      </w:pPr>
      <w:r w:rsidRPr="00F51AD3">
        <w:rPr>
          <w:rtl/>
          <w:lang w:eastAsia="zh-TW"/>
        </w:rPr>
        <w:tab/>
        <w:t>29-</w:t>
      </w:r>
      <w:r w:rsidRPr="00F51AD3">
        <w:rPr>
          <w:rtl/>
          <w:lang w:eastAsia="zh-TW"/>
        </w:rPr>
        <w:tab/>
      </w:r>
      <w:r w:rsidRPr="00F51AD3">
        <w:rPr>
          <w:i/>
          <w:iCs/>
          <w:rtl/>
          <w:lang w:eastAsia="zh-TW"/>
        </w:rPr>
        <w:t>يشجع</w:t>
      </w:r>
      <w:r w:rsidRPr="00F51AD3">
        <w:rPr>
          <w:rtl/>
          <w:lang w:eastAsia="zh-TW"/>
        </w:rPr>
        <w:t xml:space="preserve"> الأمم المتحدة، بما في ذلك وكالاتها المتخصصة، وكذلك المنظمات الإقليمية، والمؤسسات الوطنية لحقوق الإنسان، والخبراء المستقلين، ونقابات المحامين، والجمعيات المهنية للقضاة وأعضاء النيابة، والمنظمات غير الحكومية، وأصحاب المصلحة الآخرين المعنيين، على التعاون إلى أقصى حد ممكن مع المقررة الخاصة في الاضطلاع بولايتها؛</w:t>
      </w:r>
    </w:p>
    <w:p w14:paraId="3A531652" w14:textId="77777777" w:rsidR="00611DC0" w:rsidRPr="00F51AD3" w:rsidRDefault="00611DC0" w:rsidP="00611DC0">
      <w:pPr>
        <w:pStyle w:val="SingleTxtGA"/>
        <w:rPr>
          <w:lang w:eastAsia="zh-TW"/>
        </w:rPr>
      </w:pPr>
      <w:r w:rsidRPr="00F51AD3">
        <w:rPr>
          <w:rtl/>
          <w:lang w:eastAsia="zh-TW"/>
        </w:rPr>
        <w:tab/>
        <w:t>30-</w:t>
      </w:r>
      <w:r w:rsidRPr="00F51AD3">
        <w:rPr>
          <w:rtl/>
          <w:lang w:eastAsia="zh-TW"/>
        </w:rPr>
        <w:tab/>
      </w:r>
      <w:r w:rsidRPr="00F51AD3">
        <w:rPr>
          <w:i/>
          <w:iCs/>
          <w:rtl/>
          <w:lang w:eastAsia="zh-TW"/>
        </w:rPr>
        <w:t>يطلب</w:t>
      </w:r>
      <w:r w:rsidRPr="00F51AD3">
        <w:rPr>
          <w:rtl/>
          <w:lang w:eastAsia="zh-TW"/>
        </w:rPr>
        <w:t xml:space="preserve"> إلى الأمين العام ومفوض الأمم المتحدة السامي لحقوق الإنسان تزويد المقررة الخاصة بجميع الموارد البشرية والمالية اللازمة لتنفيذ الولاية تنفيذاً فعالاً؛</w:t>
      </w:r>
    </w:p>
    <w:p w14:paraId="3B464B69" w14:textId="1CDB1C88" w:rsidR="00611DC0" w:rsidRPr="00F51AD3" w:rsidRDefault="00611DC0" w:rsidP="00611DC0">
      <w:pPr>
        <w:pStyle w:val="SingleTxtGA"/>
        <w:spacing w:after="360"/>
        <w:rPr>
          <w:u w:val="single"/>
          <w:rtl/>
          <w:lang w:eastAsia="zh-TW"/>
        </w:rPr>
      </w:pPr>
      <w:r w:rsidRPr="00F51AD3">
        <w:rPr>
          <w:rtl/>
          <w:lang w:eastAsia="zh-TW"/>
        </w:rPr>
        <w:tab/>
        <w:t>31-</w:t>
      </w:r>
      <w:r w:rsidRPr="00F51AD3">
        <w:rPr>
          <w:rtl/>
          <w:lang w:eastAsia="zh-TW"/>
        </w:rPr>
        <w:tab/>
      </w:r>
      <w:r w:rsidRPr="00F51AD3">
        <w:rPr>
          <w:i/>
          <w:iCs/>
          <w:rtl/>
          <w:lang w:eastAsia="zh-TW"/>
        </w:rPr>
        <w:t>يقرر</w:t>
      </w:r>
      <w:r w:rsidRPr="00F51AD3">
        <w:rPr>
          <w:rtl/>
          <w:lang w:eastAsia="zh-TW"/>
        </w:rPr>
        <w:t xml:space="preserve"> مواصلة النظر في هذه المسألة وفقاً لبرنامج عمله السنوي.</w:t>
      </w:r>
    </w:p>
    <w:p w14:paraId="12C7D01E" w14:textId="77777777" w:rsidR="00611DC0" w:rsidRPr="00F51AD3" w:rsidRDefault="00611DC0" w:rsidP="00611DC0">
      <w:pPr>
        <w:pStyle w:val="SingleTxtGA"/>
        <w:spacing w:after="0"/>
        <w:jc w:val="right"/>
        <w:rPr>
          <w:i/>
          <w:iCs/>
          <w:rtl/>
          <w:lang w:eastAsia="zh-TW"/>
        </w:rPr>
      </w:pPr>
      <w:r w:rsidRPr="00F51AD3">
        <w:rPr>
          <w:rFonts w:hint="cs"/>
          <w:i/>
          <w:iCs/>
          <w:rtl/>
          <w:lang w:eastAsia="zh-TW"/>
        </w:rPr>
        <w:t>الجلسة 32</w:t>
      </w:r>
    </w:p>
    <w:p w14:paraId="1687C1A1" w14:textId="77777777" w:rsidR="00611DC0" w:rsidRPr="00F51AD3" w:rsidRDefault="00611DC0" w:rsidP="00611DC0">
      <w:pPr>
        <w:pStyle w:val="SingleTxtGA"/>
        <w:jc w:val="right"/>
        <w:rPr>
          <w:i/>
          <w:iCs/>
          <w:rtl/>
          <w:lang w:eastAsia="zh-TW"/>
        </w:rPr>
      </w:pPr>
      <w:r w:rsidRPr="00F51AD3">
        <w:rPr>
          <w:rFonts w:hint="cs"/>
          <w:i/>
          <w:iCs/>
          <w:rtl/>
          <w:lang w:eastAsia="zh-TW"/>
        </w:rPr>
        <w:t>6 تموز/يوليه 2026</w:t>
      </w:r>
    </w:p>
    <w:p w14:paraId="711BEFD6" w14:textId="77777777" w:rsidR="00611DC0" w:rsidRPr="00611DC0" w:rsidRDefault="00611DC0" w:rsidP="00611DC0">
      <w:pPr>
        <w:pStyle w:val="SingleTxtGA"/>
        <w:rPr>
          <w:rtl/>
          <w:lang w:eastAsia="zh-TW"/>
        </w:rPr>
      </w:pPr>
      <w:r w:rsidRPr="00F51AD3">
        <w:rPr>
          <w:rFonts w:hint="cs"/>
          <w:rtl/>
          <w:lang w:eastAsia="zh-TW"/>
        </w:rPr>
        <w:t>[اعتُمد من دون تصويت.]</w:t>
      </w:r>
    </w:p>
    <w:p w14:paraId="4E4EAE87" w14:textId="6D3EFEEB" w:rsidR="00611DC0" w:rsidRPr="00611DC0" w:rsidRDefault="00611DC0" w:rsidP="00611DC0">
      <w:pPr>
        <w:pStyle w:val="SingleTxtGA"/>
        <w:jc w:val="center"/>
        <w:rPr>
          <w:u w:val="single"/>
          <w:rtl/>
          <w:lang w:eastAsia="zh-TW"/>
        </w:rPr>
      </w:pPr>
      <w:r>
        <w:rPr>
          <w:u w:val="single"/>
          <w:rtl/>
          <w:lang w:eastAsia="zh-TW"/>
        </w:rPr>
        <w:tab/>
      </w:r>
      <w:r>
        <w:rPr>
          <w:u w:val="single"/>
          <w:rtl/>
          <w:lang w:eastAsia="zh-TW"/>
        </w:rPr>
        <w:tab/>
      </w:r>
      <w:r>
        <w:rPr>
          <w:u w:val="single"/>
          <w:rtl/>
          <w:lang w:eastAsia="zh-TW"/>
        </w:rPr>
        <w:tab/>
      </w:r>
    </w:p>
    <w:sectPr w:rsidR="00611DC0" w:rsidRPr="00611DC0" w:rsidSect="003951EB">
      <w:headerReference w:type="even" r:id="rId10"/>
      <w:headerReference w:type="default" r:id="rId11"/>
      <w:footerReference w:type="even" r:id="rId12"/>
      <w:footerReference w:type="default" r:id="rId13"/>
      <w:headerReference w:type="first" r:id="rId14"/>
      <w:footerReference w:type="first" r:id="rId15"/>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E17839" w14:textId="77777777" w:rsidR="000B7C61" w:rsidRPr="002901D9" w:rsidRDefault="000B7C61" w:rsidP="00AD3834">
      <w:pPr>
        <w:spacing w:after="60" w:line="240" w:lineRule="auto"/>
        <w:ind w:left="57"/>
        <w:rPr>
          <w:i/>
          <w:iCs/>
        </w:rPr>
      </w:pPr>
      <w:r>
        <w:rPr>
          <w:rFonts w:hint="cs"/>
          <w:i/>
          <w:iCs/>
          <w:rtl/>
        </w:rPr>
        <w:t>الحواشي</w:t>
      </w:r>
    </w:p>
  </w:endnote>
  <w:endnote w:type="continuationSeparator" w:id="0">
    <w:p w14:paraId="44C9E451" w14:textId="77777777" w:rsidR="000B7C61" w:rsidRDefault="000B7C61"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charset w:val="B2"/>
    <w:family w:val="roman"/>
    <w:pitch w:val="variable"/>
    <w:sig w:usb0="00002003" w:usb1="80000000" w:usb2="00000008" w:usb3="00000000" w:csb0="00000041" w:csb1="00000000"/>
  </w:font>
  <w:font w:name="Traditional Arabic">
    <w:charset w:val="B2"/>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Times New Roman Bold">
    <w:altName w:val="Times New Roman"/>
    <w:panose1 w:val="02020803070505020304"/>
    <w:charset w:val="00"/>
    <w:family w:val="roman"/>
    <w:notTrueType/>
    <w:pitch w:val="default"/>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AE0D46" w14:textId="26649C25" w:rsidR="00F55F78" w:rsidRPr="00F55F78" w:rsidRDefault="00F55F78" w:rsidP="00F55F78">
    <w:pPr>
      <w:pStyle w:val="Footer"/>
      <w:tabs>
        <w:tab w:val="right" w:pos="9638"/>
      </w:tabs>
      <w:rPr>
        <w:b/>
        <w:sz w:val="18"/>
        <w:lang w:val="en-US"/>
      </w:rPr>
    </w:pPr>
    <w:r>
      <w:rPr>
        <w:lang w:val="en-US"/>
      </w:rPr>
      <w:t>GE.26-10037</w:t>
    </w:r>
    <w:r>
      <w:rPr>
        <w:lang w:val="en-US"/>
      </w:rPr>
      <w:tab/>
    </w:r>
    <w:r w:rsidRPr="00F55F78">
      <w:rPr>
        <w:b/>
        <w:sz w:val="18"/>
        <w:lang w:val="en-US"/>
      </w:rPr>
      <w:fldChar w:fldCharType="begin"/>
    </w:r>
    <w:r w:rsidRPr="00F55F78">
      <w:rPr>
        <w:b/>
        <w:sz w:val="18"/>
        <w:lang w:val="en-US"/>
      </w:rPr>
      <w:instrText xml:space="preserve"> PAGE  \* MERGEFORMAT </w:instrText>
    </w:r>
    <w:r w:rsidRPr="00F55F78">
      <w:rPr>
        <w:b/>
        <w:sz w:val="18"/>
        <w:lang w:val="en-US"/>
      </w:rPr>
      <w:fldChar w:fldCharType="separate"/>
    </w:r>
    <w:r w:rsidRPr="00F55F78">
      <w:rPr>
        <w:b/>
        <w:noProof/>
        <w:sz w:val="18"/>
        <w:lang w:val="en-US"/>
      </w:rPr>
      <w:t>2</w:t>
    </w:r>
    <w:r w:rsidRPr="00F55F78">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34F383" w14:textId="2E58AA6D" w:rsidR="006959B0" w:rsidRPr="00F55F78" w:rsidRDefault="00F55F78" w:rsidP="00F55F78">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GE.26-10037</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E343F3" w14:textId="3F406B68" w:rsidR="00FD4BC9" w:rsidRPr="00F55F78" w:rsidRDefault="00F55F78" w:rsidP="00F55F78">
    <w:pPr>
      <w:pStyle w:val="Footer"/>
      <w:spacing w:before="600"/>
      <w:ind w:left="567"/>
      <w:jc w:val="right"/>
      <w:rPr>
        <w:sz w:val="20"/>
        <w:lang w:val="en-US"/>
      </w:rPr>
    </w:pPr>
    <w:r>
      <w:rPr>
        <w:sz w:val="20"/>
        <w:lang w:val="en-US"/>
      </w:rPr>
      <w:t>GE.</w:t>
    </w:r>
    <w:r w:rsidR="00655884">
      <w:rPr>
        <w:noProof/>
      </w:rPr>
      <w:drawing>
        <wp:anchor distT="0" distB="0" distL="114300" distR="114300" simplePos="0" relativeHeight="251658240" behindDoc="1" locked="1" layoutInCell="0" allowOverlap="1" wp14:anchorId="0D6F06AA" wp14:editId="799D01CE">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3" name="Picture 3"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 xml:space="preserve">26-10037 </w:t>
    </w:r>
    <w:r w:rsidR="007A28F1">
      <w:rPr>
        <w:sz w:val="20"/>
        <w:lang w:val="en-US"/>
      </w:rPr>
      <w:t>(A)    160726    160726</w:t>
    </w:r>
    <w:r>
      <w:rPr>
        <w:noProof/>
        <w:sz w:val="20"/>
        <w:lang w:val="en-US"/>
      </w:rPr>
      <w:drawing>
        <wp:anchor distT="0" distB="0" distL="114300" distR="114300" simplePos="0" relativeHeight="251659264" behindDoc="0" locked="0" layoutInCell="1" allowOverlap="1" wp14:anchorId="4C57B40F" wp14:editId="7C83198A">
          <wp:simplePos x="0" y="0"/>
          <wp:positionH relativeFrom="margin">
            <wp:posOffset>0</wp:posOffset>
          </wp:positionH>
          <wp:positionV relativeFrom="margin">
            <wp:posOffset>8891905</wp:posOffset>
          </wp:positionV>
          <wp:extent cx="628650" cy="628650"/>
          <wp:effectExtent l="0" t="0" r="0" b="0"/>
          <wp:wrapNone/>
          <wp:docPr id="1"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6F3F8E" w14:textId="77777777" w:rsidR="000B7C61" w:rsidRPr="00A350CC" w:rsidRDefault="000B7C61" w:rsidP="00A350CC">
      <w:pPr>
        <w:pStyle w:val="Footer"/>
        <w:tabs>
          <w:tab w:val="left" w:pos="2154"/>
        </w:tabs>
        <w:bidi/>
        <w:spacing w:after="80"/>
        <w:ind w:left="680"/>
        <w:rPr>
          <w:rFonts w:cs="Times New Roman"/>
          <w:sz w:val="20"/>
          <w:szCs w:val="20"/>
          <w:u w:val="single"/>
          <w:lang w:val="es-ES_tradnl"/>
        </w:rPr>
      </w:pPr>
      <w:r>
        <w:rPr>
          <w:rFonts w:cs="Times New Roman"/>
          <w:sz w:val="20"/>
          <w:szCs w:val="20"/>
          <w:u w:val="single"/>
          <w:rtl/>
        </w:rPr>
        <w:tab/>
      </w:r>
    </w:p>
  </w:footnote>
  <w:footnote w:type="continuationSeparator" w:id="0">
    <w:p w14:paraId="66801F00" w14:textId="77777777" w:rsidR="000B7C61" w:rsidRDefault="000B7C61" w:rsidP="00656392">
      <w:pPr>
        <w:spacing w:line="240" w:lineRule="auto"/>
      </w:pPr>
      <w:r>
        <w:continuationSeparator/>
      </w:r>
    </w:p>
  </w:footnote>
  <w:footnote w:id="1">
    <w:p w14:paraId="6AD3E585" w14:textId="77777777" w:rsidR="00611DC0" w:rsidRPr="00F51AD3" w:rsidRDefault="00611DC0" w:rsidP="00611DC0">
      <w:pPr>
        <w:pStyle w:val="FootnoteText1"/>
      </w:pPr>
      <w:r w:rsidRPr="00F51AD3">
        <w:rPr>
          <w:rtl/>
        </w:rPr>
        <w:t>(</w:t>
      </w:r>
      <w:r w:rsidRPr="00F51AD3">
        <w:footnoteRef/>
      </w:r>
      <w:r w:rsidRPr="00F51AD3">
        <w:rPr>
          <w:rtl/>
        </w:rPr>
        <w:t>)</w:t>
      </w:r>
      <w:r w:rsidRPr="00F51AD3">
        <w:rPr>
          <w:rtl/>
        </w:rPr>
        <w:tab/>
      </w:r>
      <w:hyperlink r:id="rId1" w:history="1">
        <w:r w:rsidRPr="00F51AD3">
          <w:rPr>
            <w:rStyle w:val="Hyperlink"/>
          </w:rPr>
          <w:t>A/HRC/62/43</w:t>
        </w:r>
      </w:hyperlink>
      <w:r w:rsidRPr="00F51AD3">
        <w:rPr>
          <w:rtl/>
        </w:rPr>
        <w:t>.</w:t>
      </w:r>
    </w:p>
  </w:footnote>
  <w:footnote w:id="2">
    <w:p w14:paraId="5E191541" w14:textId="77777777" w:rsidR="00611DC0" w:rsidRPr="00611DC0" w:rsidRDefault="00611DC0" w:rsidP="00611DC0">
      <w:pPr>
        <w:pStyle w:val="FootnoteText1"/>
      </w:pPr>
      <w:r w:rsidRPr="00F51AD3">
        <w:rPr>
          <w:rtl/>
        </w:rPr>
        <w:t>(</w:t>
      </w:r>
      <w:r w:rsidRPr="00F51AD3">
        <w:footnoteRef/>
      </w:r>
      <w:r w:rsidRPr="00F51AD3">
        <w:rPr>
          <w:rtl/>
        </w:rPr>
        <w:t>)</w:t>
      </w:r>
      <w:r w:rsidRPr="00F51AD3">
        <w:rPr>
          <w:rtl/>
        </w:rPr>
        <w:tab/>
      </w:r>
      <w:hyperlink r:id="rId2" w:history="1">
        <w:r w:rsidRPr="00F51AD3">
          <w:rPr>
            <w:rStyle w:val="Hyperlink"/>
          </w:rPr>
          <w:t>A/80/169</w:t>
        </w:r>
      </w:hyperlink>
      <w:r w:rsidRPr="00F51AD3">
        <w:rPr>
          <w:rtl/>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3803EB" w14:textId="0D584D8D" w:rsidR="00F55F78" w:rsidRPr="00F55F78" w:rsidRDefault="00F55F78" w:rsidP="00F55F78">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AB48FE">
      <w:t>A/HRC/RES/62/12</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EE91D2" w14:textId="1B590F38" w:rsidR="00F55F78" w:rsidRPr="00F55F78" w:rsidRDefault="00F55F78" w:rsidP="00F55F78">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AB48FE">
      <w:t>A/HRC/RES/62/12</w:t>
    </w:r>
    <w:r>
      <w:rPr>
        <w:rtl/>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986B70" w14:textId="77777777" w:rsidR="002C36E1" w:rsidRDefault="002C36E1" w:rsidP="002C36E1">
    <w:pPr>
      <w:pStyle w:val="Header"/>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ACF4EB2"/>
    <w:multiLevelType w:val="hybridMultilevel"/>
    <w:tmpl w:val="BE9AB9A6"/>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FB3625"/>
    <w:multiLevelType w:val="hybridMultilevel"/>
    <w:tmpl w:val="C4BCDC5E"/>
    <w:lvl w:ilvl="0" w:tplc="702CE228">
      <w:start w:val="1"/>
      <w:numFmt w:val="bullet"/>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702101EC"/>
    <w:multiLevelType w:val="hybridMultilevel"/>
    <w:tmpl w:val="D64CD08C"/>
    <w:lvl w:ilvl="0" w:tplc="CE7E406C">
      <w:start w:val="1"/>
      <w:numFmt w:val="bullet"/>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464352940">
    <w:abstractNumId w:val="15"/>
  </w:num>
  <w:num w:numId="2" w16cid:durableId="935098275">
    <w:abstractNumId w:val="12"/>
  </w:num>
  <w:num w:numId="3" w16cid:durableId="1639139447">
    <w:abstractNumId w:val="2"/>
  </w:num>
  <w:num w:numId="4" w16cid:durableId="1572694197">
    <w:abstractNumId w:val="11"/>
  </w:num>
  <w:num w:numId="5" w16cid:durableId="1925720790">
    <w:abstractNumId w:val="8"/>
  </w:num>
  <w:num w:numId="6" w16cid:durableId="91560015">
    <w:abstractNumId w:val="5"/>
  </w:num>
  <w:num w:numId="7" w16cid:durableId="2106460064">
    <w:abstractNumId w:val="17"/>
  </w:num>
  <w:num w:numId="8" w16cid:durableId="2097823867">
    <w:abstractNumId w:val="2"/>
  </w:num>
  <w:num w:numId="9" w16cid:durableId="1816800725">
    <w:abstractNumId w:val="11"/>
  </w:num>
  <w:num w:numId="10" w16cid:durableId="2136369355">
    <w:abstractNumId w:val="5"/>
  </w:num>
  <w:num w:numId="11" w16cid:durableId="317735952">
    <w:abstractNumId w:val="17"/>
  </w:num>
  <w:num w:numId="12" w16cid:durableId="1418399343">
    <w:abstractNumId w:val="2"/>
  </w:num>
  <w:num w:numId="13" w16cid:durableId="1358655889">
    <w:abstractNumId w:val="11"/>
  </w:num>
  <w:num w:numId="14" w16cid:durableId="1379091271">
    <w:abstractNumId w:val="8"/>
  </w:num>
  <w:num w:numId="15" w16cid:durableId="210505640">
    <w:abstractNumId w:val="5"/>
  </w:num>
  <w:num w:numId="16" w16cid:durableId="859507329">
    <w:abstractNumId w:val="17"/>
  </w:num>
  <w:num w:numId="17" w16cid:durableId="1850562670">
    <w:abstractNumId w:val="4"/>
  </w:num>
  <w:num w:numId="18" w16cid:durableId="1486434645">
    <w:abstractNumId w:val="3"/>
  </w:num>
  <w:num w:numId="19" w16cid:durableId="1070691319">
    <w:abstractNumId w:val="16"/>
  </w:num>
  <w:num w:numId="20" w16cid:durableId="1460222330">
    <w:abstractNumId w:val="13"/>
  </w:num>
  <w:num w:numId="21" w16cid:durableId="1860073779">
    <w:abstractNumId w:val="1"/>
  </w:num>
  <w:num w:numId="22" w16cid:durableId="1489974171">
    <w:abstractNumId w:val="14"/>
  </w:num>
  <w:num w:numId="23" w16cid:durableId="804469644">
    <w:abstractNumId w:val="0"/>
  </w:num>
  <w:num w:numId="24" w16cid:durableId="2139642830">
    <w:abstractNumId w:val="9"/>
  </w:num>
  <w:num w:numId="25" w16cid:durableId="1982153633">
    <w:abstractNumId w:val="14"/>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6" w16cid:durableId="193632685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368682850">
    <w:abstractNumId w:val="0"/>
    <w:lvlOverride w:ilvl="0">
      <w:lvl w:ilvl="0" w:tplc="2FB47626">
        <w:start w:val="1"/>
        <w:numFmt w:val="decimal"/>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8" w16cid:durableId="1217275867">
    <w:abstractNumId w:val="0"/>
    <w:lvlOverride w:ilvl="0">
      <w:startOverride w:val="153"/>
      <w:lvl w:ilvl="0" w:tplc="2FB47626">
        <w:start w:val="153"/>
        <w:numFmt w:val="decimal"/>
        <w:lvlText w:val="%1-"/>
        <w:lvlJc w:val="left"/>
        <w:pPr>
          <w:tabs>
            <w:tab w:val="num" w:pos="0"/>
          </w:tabs>
          <w:ind w:left="1134" w:firstLine="0"/>
        </w:pPr>
        <w:rPr>
          <w:rFonts w:ascii="Times New Roman" w:hAnsi="Times New Roman" w:hint="default"/>
          <w:b w:val="0"/>
          <w:i w:val="0"/>
          <w:sz w:val="20"/>
        </w:rPr>
      </w:lvl>
    </w:lvlOverride>
  </w:num>
  <w:num w:numId="29" w16cid:durableId="716590220">
    <w:abstractNumId w:val="0"/>
    <w:lvlOverride w:ilvl="0">
      <w:startOverride w:val="151"/>
      <w:lvl w:ilvl="0" w:tplc="2FB47626">
        <w:start w:val="151"/>
        <w:numFmt w:val="decimal"/>
        <w:lvlText w:val="%1-"/>
        <w:lvlJc w:val="left"/>
        <w:pPr>
          <w:tabs>
            <w:tab w:val="num" w:pos="0"/>
          </w:tabs>
          <w:ind w:left="1134" w:firstLine="0"/>
        </w:pPr>
        <w:rPr>
          <w:rFonts w:ascii="Times New Roman" w:hAnsi="Times New Roman" w:hint="default"/>
          <w:b w:val="0"/>
          <w:i w:val="0"/>
          <w:sz w:val="20"/>
        </w:rPr>
      </w:lvl>
    </w:lvlOverride>
  </w:num>
  <w:num w:numId="30" w16cid:durableId="2093354661">
    <w:abstractNumId w:val="7"/>
  </w:num>
  <w:num w:numId="31" w16cid:durableId="2084329965">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32" w16cid:durableId="62142644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20"/>
  <w:proofState w:spelling="clean" w:grammar="clean"/>
  <w:defaultTabStop w:val="567"/>
  <w:evenAndOddHeaders/>
  <w:characterSpacingControl w:val="doNotCompress"/>
  <w:hdrShapeDefaults>
    <o:shapedefaults v:ext="edit" spidmax="2050" fillcolor="white">
      <v:fill color="white"/>
    </o:shapedefaults>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7C61"/>
    <w:rsid w:val="000076D5"/>
    <w:rsid w:val="00014B0C"/>
    <w:rsid w:val="00031428"/>
    <w:rsid w:val="0004034F"/>
    <w:rsid w:val="00043663"/>
    <w:rsid w:val="000505CF"/>
    <w:rsid w:val="00072019"/>
    <w:rsid w:val="000B7C61"/>
    <w:rsid w:val="000C566D"/>
    <w:rsid w:val="000D701C"/>
    <w:rsid w:val="000E2A71"/>
    <w:rsid w:val="000E524A"/>
    <w:rsid w:val="000E60EE"/>
    <w:rsid w:val="000F1714"/>
    <w:rsid w:val="000F4D63"/>
    <w:rsid w:val="0010182F"/>
    <w:rsid w:val="00105C19"/>
    <w:rsid w:val="00114383"/>
    <w:rsid w:val="001356FA"/>
    <w:rsid w:val="00137011"/>
    <w:rsid w:val="00152268"/>
    <w:rsid w:val="0015354F"/>
    <w:rsid w:val="001562F8"/>
    <w:rsid w:val="00160263"/>
    <w:rsid w:val="001606E9"/>
    <w:rsid w:val="00173B04"/>
    <w:rsid w:val="001773DB"/>
    <w:rsid w:val="00181F96"/>
    <w:rsid w:val="001830E1"/>
    <w:rsid w:val="00185E55"/>
    <w:rsid w:val="001A1371"/>
    <w:rsid w:val="001A4A88"/>
    <w:rsid w:val="001B346A"/>
    <w:rsid w:val="001C0E07"/>
    <w:rsid w:val="001C2B24"/>
    <w:rsid w:val="001C5395"/>
    <w:rsid w:val="001E1CAD"/>
    <w:rsid w:val="001E290D"/>
    <w:rsid w:val="001F54C9"/>
    <w:rsid w:val="00207677"/>
    <w:rsid w:val="002144FA"/>
    <w:rsid w:val="002172D1"/>
    <w:rsid w:val="002236F3"/>
    <w:rsid w:val="00231DAC"/>
    <w:rsid w:val="0023202A"/>
    <w:rsid w:val="0023469A"/>
    <w:rsid w:val="00243AC1"/>
    <w:rsid w:val="00243C8A"/>
    <w:rsid w:val="00267A0E"/>
    <w:rsid w:val="00281242"/>
    <w:rsid w:val="002855B5"/>
    <w:rsid w:val="002901D9"/>
    <w:rsid w:val="002976C2"/>
    <w:rsid w:val="002C19D1"/>
    <w:rsid w:val="002C35C1"/>
    <w:rsid w:val="002C36E1"/>
    <w:rsid w:val="002D1EE9"/>
    <w:rsid w:val="002D2DA2"/>
    <w:rsid w:val="002E1ED4"/>
    <w:rsid w:val="002F2710"/>
    <w:rsid w:val="002F3D3A"/>
    <w:rsid w:val="002F4D78"/>
    <w:rsid w:val="003021AE"/>
    <w:rsid w:val="003147B2"/>
    <w:rsid w:val="00325CC1"/>
    <w:rsid w:val="003260FF"/>
    <w:rsid w:val="003428DC"/>
    <w:rsid w:val="00343D95"/>
    <w:rsid w:val="0034444A"/>
    <w:rsid w:val="003468E1"/>
    <w:rsid w:val="00351FBC"/>
    <w:rsid w:val="00364427"/>
    <w:rsid w:val="00374341"/>
    <w:rsid w:val="003773BF"/>
    <w:rsid w:val="00380674"/>
    <w:rsid w:val="003814C2"/>
    <w:rsid w:val="003951EB"/>
    <w:rsid w:val="003A1AF8"/>
    <w:rsid w:val="003B19AB"/>
    <w:rsid w:val="003B3CEF"/>
    <w:rsid w:val="003B588A"/>
    <w:rsid w:val="003C2724"/>
    <w:rsid w:val="003D1062"/>
    <w:rsid w:val="003E159A"/>
    <w:rsid w:val="0040107A"/>
    <w:rsid w:val="00404EB3"/>
    <w:rsid w:val="004205C7"/>
    <w:rsid w:val="00420D7B"/>
    <w:rsid w:val="004213AF"/>
    <w:rsid w:val="0042787A"/>
    <w:rsid w:val="004319D5"/>
    <w:rsid w:val="00436429"/>
    <w:rsid w:val="00442FBA"/>
    <w:rsid w:val="00446037"/>
    <w:rsid w:val="00450B21"/>
    <w:rsid w:val="00453B63"/>
    <w:rsid w:val="00455780"/>
    <w:rsid w:val="004639E8"/>
    <w:rsid w:val="0047152B"/>
    <w:rsid w:val="00482BD0"/>
    <w:rsid w:val="004A1DFF"/>
    <w:rsid w:val="004A6155"/>
    <w:rsid w:val="004B0A1C"/>
    <w:rsid w:val="004B4FFC"/>
    <w:rsid w:val="004B6C99"/>
    <w:rsid w:val="004D298E"/>
    <w:rsid w:val="004E32F4"/>
    <w:rsid w:val="004F2E2E"/>
    <w:rsid w:val="004F2FE5"/>
    <w:rsid w:val="00517BC9"/>
    <w:rsid w:val="005212F8"/>
    <w:rsid w:val="0052552C"/>
    <w:rsid w:val="00527E4C"/>
    <w:rsid w:val="0054472E"/>
    <w:rsid w:val="0054762C"/>
    <w:rsid w:val="00564472"/>
    <w:rsid w:val="005662A9"/>
    <w:rsid w:val="00571E5F"/>
    <w:rsid w:val="00573E83"/>
    <w:rsid w:val="005817D9"/>
    <w:rsid w:val="005827D4"/>
    <w:rsid w:val="00586702"/>
    <w:rsid w:val="0059622A"/>
    <w:rsid w:val="005C5878"/>
    <w:rsid w:val="005C6351"/>
    <w:rsid w:val="005C7CEA"/>
    <w:rsid w:val="005D3C0B"/>
    <w:rsid w:val="005E256B"/>
    <w:rsid w:val="005E3ECA"/>
    <w:rsid w:val="005E4366"/>
    <w:rsid w:val="005E5217"/>
    <w:rsid w:val="005F0FA4"/>
    <w:rsid w:val="005F30EE"/>
    <w:rsid w:val="005F455B"/>
    <w:rsid w:val="005F68BD"/>
    <w:rsid w:val="005F72A4"/>
    <w:rsid w:val="0060169C"/>
    <w:rsid w:val="0060473A"/>
    <w:rsid w:val="00606EDF"/>
    <w:rsid w:val="00610719"/>
    <w:rsid w:val="00611DC0"/>
    <w:rsid w:val="00615955"/>
    <w:rsid w:val="00636FB1"/>
    <w:rsid w:val="00655884"/>
    <w:rsid w:val="00656392"/>
    <w:rsid w:val="0066212E"/>
    <w:rsid w:val="00673245"/>
    <w:rsid w:val="006752A1"/>
    <w:rsid w:val="006835AB"/>
    <w:rsid w:val="006870A8"/>
    <w:rsid w:val="0068781D"/>
    <w:rsid w:val="006959B0"/>
    <w:rsid w:val="006B13CB"/>
    <w:rsid w:val="006B3E27"/>
    <w:rsid w:val="006B506C"/>
    <w:rsid w:val="006B6507"/>
    <w:rsid w:val="006C084B"/>
    <w:rsid w:val="006C104C"/>
    <w:rsid w:val="006C10D9"/>
    <w:rsid w:val="006C3C80"/>
    <w:rsid w:val="006E4EFE"/>
    <w:rsid w:val="006E719B"/>
    <w:rsid w:val="006F53B4"/>
    <w:rsid w:val="0070598D"/>
    <w:rsid w:val="00723085"/>
    <w:rsid w:val="00727C36"/>
    <w:rsid w:val="00733704"/>
    <w:rsid w:val="00740188"/>
    <w:rsid w:val="00741707"/>
    <w:rsid w:val="00753731"/>
    <w:rsid w:val="00756CB5"/>
    <w:rsid w:val="00764796"/>
    <w:rsid w:val="00765420"/>
    <w:rsid w:val="007717DC"/>
    <w:rsid w:val="00776E7C"/>
    <w:rsid w:val="0078071A"/>
    <w:rsid w:val="00784303"/>
    <w:rsid w:val="007853F9"/>
    <w:rsid w:val="007902CD"/>
    <w:rsid w:val="007A28F1"/>
    <w:rsid w:val="007A4D56"/>
    <w:rsid w:val="007A70BB"/>
    <w:rsid w:val="007B7FC1"/>
    <w:rsid w:val="007C28DD"/>
    <w:rsid w:val="007E5404"/>
    <w:rsid w:val="00811AD2"/>
    <w:rsid w:val="0083136D"/>
    <w:rsid w:val="00847298"/>
    <w:rsid w:val="0084797F"/>
    <w:rsid w:val="00852A9A"/>
    <w:rsid w:val="00867971"/>
    <w:rsid w:val="00871544"/>
    <w:rsid w:val="00880CC3"/>
    <w:rsid w:val="00883C47"/>
    <w:rsid w:val="008930DB"/>
    <w:rsid w:val="00895D16"/>
    <w:rsid w:val="008A4DD3"/>
    <w:rsid w:val="008B3B31"/>
    <w:rsid w:val="008D1D80"/>
    <w:rsid w:val="008D4E87"/>
    <w:rsid w:val="008E2E2A"/>
    <w:rsid w:val="008F49E1"/>
    <w:rsid w:val="009016D3"/>
    <w:rsid w:val="0090370F"/>
    <w:rsid w:val="0090438E"/>
    <w:rsid w:val="009269D2"/>
    <w:rsid w:val="00941CDA"/>
    <w:rsid w:val="00942135"/>
    <w:rsid w:val="009521B0"/>
    <w:rsid w:val="009549E9"/>
    <w:rsid w:val="00955B22"/>
    <w:rsid w:val="00955F0E"/>
    <w:rsid w:val="00964FAA"/>
    <w:rsid w:val="009727D9"/>
    <w:rsid w:val="009A2FBF"/>
    <w:rsid w:val="009A7E9F"/>
    <w:rsid w:val="009B586A"/>
    <w:rsid w:val="009C3385"/>
    <w:rsid w:val="009C5923"/>
    <w:rsid w:val="009E5018"/>
    <w:rsid w:val="009F2F3F"/>
    <w:rsid w:val="00A12B37"/>
    <w:rsid w:val="00A206A1"/>
    <w:rsid w:val="00A268F3"/>
    <w:rsid w:val="00A33B3C"/>
    <w:rsid w:val="00A350CC"/>
    <w:rsid w:val="00A40290"/>
    <w:rsid w:val="00A43ED2"/>
    <w:rsid w:val="00A50EC0"/>
    <w:rsid w:val="00A54254"/>
    <w:rsid w:val="00A6138D"/>
    <w:rsid w:val="00A667E5"/>
    <w:rsid w:val="00A74331"/>
    <w:rsid w:val="00AB3BCA"/>
    <w:rsid w:val="00AB48FE"/>
    <w:rsid w:val="00AB6758"/>
    <w:rsid w:val="00AC01D9"/>
    <w:rsid w:val="00AC03B4"/>
    <w:rsid w:val="00AC72D8"/>
    <w:rsid w:val="00AD3834"/>
    <w:rsid w:val="00AE0A52"/>
    <w:rsid w:val="00AE406C"/>
    <w:rsid w:val="00AE5FE9"/>
    <w:rsid w:val="00AF203E"/>
    <w:rsid w:val="00AF64A5"/>
    <w:rsid w:val="00B01B73"/>
    <w:rsid w:val="00B13763"/>
    <w:rsid w:val="00B139B9"/>
    <w:rsid w:val="00B2203B"/>
    <w:rsid w:val="00B359F2"/>
    <w:rsid w:val="00B458DF"/>
    <w:rsid w:val="00B477A4"/>
    <w:rsid w:val="00B54045"/>
    <w:rsid w:val="00B60C01"/>
    <w:rsid w:val="00B734C2"/>
    <w:rsid w:val="00B738C9"/>
    <w:rsid w:val="00BA5E8B"/>
    <w:rsid w:val="00BB34E9"/>
    <w:rsid w:val="00BC27D1"/>
    <w:rsid w:val="00BE5849"/>
    <w:rsid w:val="00BF2062"/>
    <w:rsid w:val="00C022F5"/>
    <w:rsid w:val="00C04102"/>
    <w:rsid w:val="00C06421"/>
    <w:rsid w:val="00C07C84"/>
    <w:rsid w:val="00C22506"/>
    <w:rsid w:val="00C342BF"/>
    <w:rsid w:val="00C41653"/>
    <w:rsid w:val="00C4236D"/>
    <w:rsid w:val="00C438D7"/>
    <w:rsid w:val="00C53FE8"/>
    <w:rsid w:val="00C70B0C"/>
    <w:rsid w:val="00C7601E"/>
    <w:rsid w:val="00C81B50"/>
    <w:rsid w:val="00C92BF2"/>
    <w:rsid w:val="00CA655B"/>
    <w:rsid w:val="00CB14BE"/>
    <w:rsid w:val="00CB3C3C"/>
    <w:rsid w:val="00CD17BB"/>
    <w:rsid w:val="00CD1801"/>
    <w:rsid w:val="00CE09E7"/>
    <w:rsid w:val="00CE19BC"/>
    <w:rsid w:val="00CF1758"/>
    <w:rsid w:val="00CF4188"/>
    <w:rsid w:val="00CF4A46"/>
    <w:rsid w:val="00CF4E79"/>
    <w:rsid w:val="00D00159"/>
    <w:rsid w:val="00D01B36"/>
    <w:rsid w:val="00D04F7E"/>
    <w:rsid w:val="00D065CB"/>
    <w:rsid w:val="00D06DC6"/>
    <w:rsid w:val="00D10EF1"/>
    <w:rsid w:val="00D2259D"/>
    <w:rsid w:val="00D24BBE"/>
    <w:rsid w:val="00D35375"/>
    <w:rsid w:val="00D41E2E"/>
    <w:rsid w:val="00D42810"/>
    <w:rsid w:val="00D6535A"/>
    <w:rsid w:val="00D67430"/>
    <w:rsid w:val="00D808EF"/>
    <w:rsid w:val="00D914A7"/>
    <w:rsid w:val="00DA1D89"/>
    <w:rsid w:val="00DA3EC5"/>
    <w:rsid w:val="00DC6485"/>
    <w:rsid w:val="00DD13C3"/>
    <w:rsid w:val="00DD596E"/>
    <w:rsid w:val="00DD621E"/>
    <w:rsid w:val="00DD7A7F"/>
    <w:rsid w:val="00DF0575"/>
    <w:rsid w:val="00DF1E1D"/>
    <w:rsid w:val="00E0177F"/>
    <w:rsid w:val="00E03AEA"/>
    <w:rsid w:val="00E2504D"/>
    <w:rsid w:val="00E47F4E"/>
    <w:rsid w:val="00E70E04"/>
    <w:rsid w:val="00E75996"/>
    <w:rsid w:val="00EA20A9"/>
    <w:rsid w:val="00EA510B"/>
    <w:rsid w:val="00EB00A4"/>
    <w:rsid w:val="00EB5FCA"/>
    <w:rsid w:val="00EC05A7"/>
    <w:rsid w:val="00EC4B6B"/>
    <w:rsid w:val="00ED10A4"/>
    <w:rsid w:val="00ED7442"/>
    <w:rsid w:val="00EE0B18"/>
    <w:rsid w:val="00EF1EE5"/>
    <w:rsid w:val="00F14604"/>
    <w:rsid w:val="00F3032E"/>
    <w:rsid w:val="00F30DDA"/>
    <w:rsid w:val="00F314D8"/>
    <w:rsid w:val="00F3766D"/>
    <w:rsid w:val="00F37C7F"/>
    <w:rsid w:val="00F47002"/>
    <w:rsid w:val="00F474F9"/>
    <w:rsid w:val="00F503F2"/>
    <w:rsid w:val="00F51AD3"/>
    <w:rsid w:val="00F558A2"/>
    <w:rsid w:val="00F55F78"/>
    <w:rsid w:val="00F572D8"/>
    <w:rsid w:val="00F61D7C"/>
    <w:rsid w:val="00F63DD1"/>
    <w:rsid w:val="00F6741C"/>
    <w:rsid w:val="00F763B4"/>
    <w:rsid w:val="00F86BCA"/>
    <w:rsid w:val="00F900C3"/>
    <w:rsid w:val="00FC105F"/>
    <w:rsid w:val="00FC4821"/>
    <w:rsid w:val="00FC6603"/>
    <w:rsid w:val="00FC75D1"/>
    <w:rsid w:val="00FD28F3"/>
    <w:rsid w:val="00FD4BC9"/>
    <w:rsid w:val="00FF1E99"/>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fillcolor="white">
      <v:fill color="white"/>
    </o:shapedefaults>
    <o:shapelayout v:ext="edit">
      <o:idmap v:ext="edit" data="2"/>
    </o:shapelayout>
  </w:shapeDefaults>
  <w:decimalSymbol w:val="."/>
  <w:listSeparator w:val=";"/>
  <w14:docId w14:val="320AB41A"/>
  <w15:docId w15:val="{BEF43CA2-0F2C-4ADC-8A98-2A254AC7FF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PMingLiU" w:hAnsi="Calibri" w:cs="Arial"/>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4A88"/>
    <w:pPr>
      <w:bidi/>
      <w:spacing w:line="240" w:lineRule="atLeast"/>
      <w:jc w:val="lowKashida"/>
    </w:pPr>
    <w:rPr>
      <w:rFonts w:ascii="Times New Roman" w:hAnsi="Times New Roman" w:cs="Simplified Arabic"/>
      <w:szCs w:val="22"/>
      <w:lang w:eastAsia="en-US"/>
    </w:rPr>
  </w:style>
  <w:style w:type="paragraph" w:styleId="Heading1">
    <w:name w:val="heading 1"/>
    <w:aliases w:val="Table_GA,Table_G"/>
    <w:basedOn w:val="SingleTxtGA"/>
    <w:next w:val="Normal"/>
    <w:link w:val="Heading1Char"/>
    <w:qFormat/>
    <w:rsid w:val="001A4A88"/>
    <w:pPr>
      <w:bidi w:val="0"/>
      <w:outlineLvl w:val="0"/>
    </w:pPr>
  </w:style>
  <w:style w:type="paragraph" w:styleId="Heading2">
    <w:name w:val="heading 2"/>
    <w:basedOn w:val="Normal"/>
    <w:next w:val="Normal"/>
    <w:link w:val="Heading2Char"/>
    <w:uiPriority w:val="9"/>
    <w:unhideWhenUsed/>
    <w:rsid w:val="001A4A88"/>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1A4A88"/>
    <w:pPr>
      <w:keepNext/>
      <w:keepLines/>
      <w:spacing w:before="200"/>
      <w:outlineLvl w:val="2"/>
    </w:pPr>
    <w:rPr>
      <w:b/>
      <w:bCs/>
      <w:color w:val="4F81BD"/>
    </w:rPr>
  </w:style>
  <w:style w:type="paragraph" w:styleId="Heading4">
    <w:name w:val="heading 4"/>
    <w:basedOn w:val="Normal"/>
    <w:next w:val="Normal"/>
    <w:link w:val="Heading4Char"/>
    <w:uiPriority w:val="9"/>
    <w:unhideWhenUsed/>
    <w:rsid w:val="001A4A88"/>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1A4A88"/>
    <w:pPr>
      <w:keepNext/>
      <w:keepLines/>
      <w:spacing w:before="200"/>
      <w:outlineLvl w:val="4"/>
    </w:pPr>
    <w:rPr>
      <w:color w:val="243F60"/>
    </w:rPr>
  </w:style>
  <w:style w:type="paragraph" w:styleId="Heading6">
    <w:name w:val="heading 6"/>
    <w:basedOn w:val="Normal"/>
    <w:next w:val="Normal"/>
    <w:link w:val="Heading6Char"/>
    <w:uiPriority w:val="9"/>
    <w:unhideWhenUsed/>
    <w:rsid w:val="001A4A88"/>
    <w:pPr>
      <w:keepNext/>
      <w:keepLines/>
      <w:spacing w:before="200"/>
      <w:outlineLvl w:val="5"/>
    </w:pPr>
    <w:rPr>
      <w:i/>
      <w:iCs/>
      <w:color w:val="243F60"/>
    </w:rPr>
  </w:style>
  <w:style w:type="paragraph" w:styleId="Heading7">
    <w:name w:val="heading 7"/>
    <w:basedOn w:val="Normal"/>
    <w:next w:val="Normal"/>
    <w:link w:val="Heading7Char"/>
    <w:uiPriority w:val="9"/>
    <w:unhideWhenUsed/>
    <w:rsid w:val="001A4A88"/>
    <w:pPr>
      <w:keepNext/>
      <w:keepLines/>
      <w:spacing w:before="200"/>
      <w:outlineLvl w:val="6"/>
    </w:pPr>
    <w:rPr>
      <w:i/>
      <w:iCs/>
      <w:color w:val="404040"/>
    </w:rPr>
  </w:style>
  <w:style w:type="paragraph" w:styleId="Heading8">
    <w:name w:val="heading 8"/>
    <w:basedOn w:val="Normal"/>
    <w:next w:val="Normal"/>
    <w:link w:val="Heading8Char"/>
    <w:uiPriority w:val="9"/>
    <w:unhideWhenUsed/>
    <w:rsid w:val="001A4A88"/>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1A4A88"/>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1A4A88"/>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1A4A88"/>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1A4A88"/>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1A4A88"/>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1A4A88"/>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1A4A88"/>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LGA">
    <w:name w:val="__S_L_GA"/>
    <w:basedOn w:val="Normal"/>
    <w:next w:val="SingleTxtGA"/>
    <w:qFormat/>
    <w:rsid w:val="001A4A88"/>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1A4A88"/>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1A4A88"/>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1A4A88"/>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1A4A88"/>
    <w:pPr>
      <w:numPr>
        <w:numId w:val="12"/>
      </w:numPr>
      <w:suppressAutoHyphens/>
      <w:spacing w:after="120" w:line="360" w:lineRule="exact"/>
      <w:ind w:right="1247"/>
    </w:pPr>
    <w:rPr>
      <w:sz w:val="22"/>
      <w:lang w:eastAsia="zh-TW"/>
    </w:rPr>
  </w:style>
  <w:style w:type="paragraph" w:customStyle="1" w:styleId="Bullet2GA">
    <w:name w:val="_Bullet 2_GA"/>
    <w:basedOn w:val="Normal"/>
    <w:qFormat/>
    <w:rsid w:val="001A4A88"/>
    <w:pPr>
      <w:numPr>
        <w:numId w:val="13"/>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1A4A88"/>
    <w:pPr>
      <w:numPr>
        <w:numId w:val="14"/>
      </w:numPr>
      <w:bidi w:val="0"/>
    </w:pPr>
  </w:style>
  <w:style w:type="paragraph" w:customStyle="1" w:styleId="Roman1GA">
    <w:name w:val="_Roman 1_GA"/>
    <w:basedOn w:val="Bullet1GA"/>
    <w:qFormat/>
    <w:rsid w:val="001A4A88"/>
    <w:pPr>
      <w:numPr>
        <w:numId w:val="15"/>
      </w:numPr>
      <w:tabs>
        <w:tab w:val="clear" w:pos="2310"/>
        <w:tab w:val="left" w:pos="2486"/>
      </w:tabs>
      <w:ind w:left="2486" w:hanging="378"/>
    </w:pPr>
  </w:style>
  <w:style w:type="paragraph" w:customStyle="1" w:styleId="Roman2GA">
    <w:name w:val="_Roman 2_GA"/>
    <w:basedOn w:val="Bullet2GA"/>
    <w:qFormat/>
    <w:rsid w:val="001A4A88"/>
    <w:pPr>
      <w:numPr>
        <w:numId w:val="16"/>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1A4A88"/>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1A4A88"/>
    <w:rPr>
      <w:rFonts w:ascii="Times New Roman" w:hAnsi="Times New Roman" w:cs="Simplified Arabic"/>
      <w:sz w:val="18"/>
      <w:lang w:val="en-GB" w:eastAsia="en-US"/>
    </w:rPr>
  </w:style>
  <w:style w:type="character" w:customStyle="1" w:styleId="EndtnoteReference">
    <w:name w:val="Endtnote Reference"/>
    <w:aliases w:val="1_GA"/>
    <w:qFormat/>
    <w:rsid w:val="001A4A88"/>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1A4A88"/>
    <w:pPr>
      <w:suppressAutoHyphens/>
      <w:bidi w:val="0"/>
      <w:spacing w:line="240" w:lineRule="auto"/>
    </w:pPr>
    <w:rPr>
      <w:sz w:val="16"/>
      <w:lang w:val="en-GB"/>
    </w:rPr>
  </w:style>
  <w:style w:type="character" w:customStyle="1" w:styleId="FooterChar">
    <w:name w:val="Footer Char"/>
    <w:aliases w:val="3_GA Char,3_G Char"/>
    <w:link w:val="Footer"/>
    <w:rsid w:val="001A4A88"/>
    <w:rPr>
      <w:rFonts w:ascii="Times New Roman" w:hAnsi="Times New Roman" w:cs="Simplified Arabic"/>
      <w:sz w:val="16"/>
      <w:szCs w:val="22"/>
      <w:lang w:val="en-GB" w:eastAsia="en-US"/>
    </w:rPr>
  </w:style>
  <w:style w:type="paragraph" w:customStyle="1" w:styleId="FootnoteText1">
    <w:name w:val="Footnote Text1"/>
    <w:aliases w:val="5_GA"/>
    <w:basedOn w:val="Normal"/>
    <w:qFormat/>
    <w:rsid w:val="001A4A88"/>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1A4A88"/>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1A4A88"/>
    <w:rPr>
      <w:rFonts w:ascii="Times New Roman" w:hAnsi="Times New Roman" w:cs="Simplified Arabic"/>
      <w:b/>
      <w:bCs/>
      <w:sz w:val="18"/>
      <w:szCs w:val="18"/>
      <w:lang w:eastAsia="en-US"/>
    </w:rPr>
  </w:style>
  <w:style w:type="character" w:customStyle="1" w:styleId="Heading1Char">
    <w:name w:val="Heading 1 Char"/>
    <w:aliases w:val="Table_GA Char,Table_G Char"/>
    <w:link w:val="Heading1"/>
    <w:rsid w:val="001A4A88"/>
    <w:rPr>
      <w:rFonts w:ascii="Times New Roman" w:hAnsi="Times New Roman" w:cs="Simplified Arabic"/>
      <w:sz w:val="22"/>
      <w:szCs w:val="22"/>
      <w:lang w:eastAsia="en-US"/>
    </w:rPr>
  </w:style>
  <w:style w:type="character" w:styleId="PageNumber">
    <w:name w:val="page number"/>
    <w:aliases w:val="7_GA,7_G"/>
    <w:qFormat/>
    <w:rsid w:val="001A4A88"/>
    <w:rPr>
      <w:rFonts w:ascii="Times New Roman Bold" w:hAnsi="Times New Roman Bold"/>
      <w:b/>
      <w:i w:val="0"/>
      <w:sz w:val="18"/>
      <w:szCs w:val="18"/>
    </w:rPr>
  </w:style>
  <w:style w:type="paragraph" w:customStyle="1" w:styleId="XXLargeGA">
    <w:name w:val="XXLarge_GA"/>
    <w:basedOn w:val="Normal"/>
    <w:next w:val="SingleTxtGA"/>
    <w:qFormat/>
    <w:rsid w:val="001A4A88"/>
    <w:pPr>
      <w:suppressAutoHyphens/>
      <w:spacing w:line="820" w:lineRule="exact"/>
    </w:pPr>
    <w:rPr>
      <w:spacing w:val="-8"/>
      <w:w w:val="96"/>
      <w:sz w:val="57"/>
      <w:szCs w:val="86"/>
      <w:lang w:val="en-GB"/>
    </w:rPr>
  </w:style>
  <w:style w:type="character" w:customStyle="1" w:styleId="Heading2Char">
    <w:name w:val="Heading 2 Char"/>
    <w:link w:val="Heading2"/>
    <w:uiPriority w:val="9"/>
    <w:rsid w:val="001A4A88"/>
    <w:rPr>
      <w:rFonts w:ascii="Times New Roman" w:hAnsi="Times New Roman" w:cs="Simplified Arabic"/>
      <w:b/>
      <w:bCs/>
      <w:color w:val="4F81BD"/>
      <w:sz w:val="26"/>
      <w:szCs w:val="26"/>
      <w:lang w:eastAsia="en-US"/>
    </w:rPr>
  </w:style>
  <w:style w:type="character" w:customStyle="1" w:styleId="Heading3Char">
    <w:name w:val="Heading 3 Char"/>
    <w:link w:val="Heading3"/>
    <w:uiPriority w:val="9"/>
    <w:rsid w:val="001A4A88"/>
    <w:rPr>
      <w:rFonts w:ascii="Times New Roman" w:hAnsi="Times New Roman" w:cs="Simplified Arabic"/>
      <w:b/>
      <w:bCs/>
      <w:color w:val="4F81BD"/>
      <w:szCs w:val="22"/>
      <w:lang w:eastAsia="en-US"/>
    </w:rPr>
  </w:style>
  <w:style w:type="character" w:customStyle="1" w:styleId="Heading4Char">
    <w:name w:val="Heading 4 Char"/>
    <w:link w:val="Heading4"/>
    <w:uiPriority w:val="9"/>
    <w:rsid w:val="001A4A88"/>
    <w:rPr>
      <w:rFonts w:ascii="Times New Roman" w:hAnsi="Times New Roman" w:cs="Simplified Arabic"/>
      <w:b/>
      <w:bCs/>
      <w:i/>
      <w:iCs/>
      <w:color w:val="4F81BD"/>
      <w:szCs w:val="22"/>
      <w:lang w:eastAsia="en-US"/>
    </w:rPr>
  </w:style>
  <w:style w:type="character" w:customStyle="1" w:styleId="Heading5Char">
    <w:name w:val="Heading 5 Char"/>
    <w:link w:val="Heading5"/>
    <w:uiPriority w:val="9"/>
    <w:rsid w:val="001A4A88"/>
    <w:rPr>
      <w:rFonts w:ascii="Times New Roman" w:hAnsi="Times New Roman" w:cs="Simplified Arabic"/>
      <w:color w:val="243F60"/>
      <w:szCs w:val="22"/>
      <w:lang w:eastAsia="en-US"/>
    </w:rPr>
  </w:style>
  <w:style w:type="character" w:customStyle="1" w:styleId="Heading6Char">
    <w:name w:val="Heading 6 Char"/>
    <w:link w:val="Heading6"/>
    <w:uiPriority w:val="9"/>
    <w:rsid w:val="001A4A88"/>
    <w:rPr>
      <w:rFonts w:ascii="Times New Roman" w:hAnsi="Times New Roman" w:cs="Simplified Arabic"/>
      <w:i/>
      <w:iCs/>
      <w:color w:val="243F60"/>
      <w:szCs w:val="22"/>
      <w:lang w:eastAsia="en-US"/>
    </w:rPr>
  </w:style>
  <w:style w:type="character" w:customStyle="1" w:styleId="Heading7Char">
    <w:name w:val="Heading 7 Char"/>
    <w:link w:val="Heading7"/>
    <w:uiPriority w:val="9"/>
    <w:rsid w:val="001A4A88"/>
    <w:rPr>
      <w:rFonts w:ascii="Times New Roman" w:hAnsi="Times New Roman" w:cs="Simplified Arabic"/>
      <w:i/>
      <w:iCs/>
      <w:color w:val="404040"/>
      <w:szCs w:val="22"/>
      <w:lang w:eastAsia="en-US"/>
    </w:rPr>
  </w:style>
  <w:style w:type="character" w:customStyle="1" w:styleId="Heading8Char">
    <w:name w:val="Heading 8 Char"/>
    <w:link w:val="Heading8"/>
    <w:uiPriority w:val="9"/>
    <w:rsid w:val="001A4A88"/>
    <w:rPr>
      <w:rFonts w:ascii="Times New Roman" w:hAnsi="Times New Roman" w:cs="Simplified Arabic"/>
      <w:color w:val="404040"/>
      <w:lang w:eastAsia="en-US"/>
    </w:rPr>
  </w:style>
  <w:style w:type="character" w:customStyle="1" w:styleId="Heading9Char">
    <w:name w:val="Heading 9 Char"/>
    <w:link w:val="Heading9"/>
    <w:uiPriority w:val="9"/>
    <w:rsid w:val="001A4A88"/>
    <w:rPr>
      <w:rFonts w:ascii="Times New Roman" w:hAnsi="Times New Roman" w:cs="Simplified Arabic"/>
      <w:i/>
      <w:iCs/>
      <w:color w:val="404040"/>
      <w:lang w:eastAsia="en-US"/>
    </w:rPr>
  </w:style>
  <w:style w:type="paragraph" w:styleId="Title">
    <w:name w:val="Title"/>
    <w:basedOn w:val="Normal"/>
    <w:next w:val="Normal"/>
    <w:link w:val="TitleChar"/>
    <w:uiPriority w:val="10"/>
    <w:rsid w:val="001A4A88"/>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1A4A88"/>
    <w:rPr>
      <w:rFonts w:ascii="Times New Roman" w:hAnsi="Times New Roman" w:cs="Simplified Arabic"/>
      <w:color w:val="17365D"/>
      <w:spacing w:val="5"/>
      <w:kern w:val="28"/>
      <w:sz w:val="52"/>
      <w:szCs w:val="52"/>
      <w:lang w:eastAsia="en-US"/>
    </w:rPr>
  </w:style>
  <w:style w:type="paragraph" w:styleId="Subtitle">
    <w:name w:val="Subtitle"/>
    <w:basedOn w:val="Normal"/>
    <w:next w:val="Normal"/>
    <w:link w:val="SubtitleChar"/>
    <w:uiPriority w:val="11"/>
    <w:rsid w:val="001A4A88"/>
    <w:pPr>
      <w:numPr>
        <w:ilvl w:val="1"/>
      </w:numPr>
    </w:pPr>
    <w:rPr>
      <w:i/>
      <w:iCs/>
      <w:color w:val="4F81BD"/>
      <w:spacing w:val="15"/>
      <w:sz w:val="24"/>
      <w:szCs w:val="24"/>
    </w:rPr>
  </w:style>
  <w:style w:type="character" w:customStyle="1" w:styleId="SubtitleChar">
    <w:name w:val="Subtitle Char"/>
    <w:link w:val="Subtitle"/>
    <w:uiPriority w:val="11"/>
    <w:rsid w:val="001A4A88"/>
    <w:rPr>
      <w:rFonts w:ascii="Times New Roman" w:hAnsi="Times New Roman" w:cs="Simplified Arabic"/>
      <w:i/>
      <w:iCs/>
      <w:color w:val="4F81BD"/>
      <w:spacing w:val="15"/>
      <w:sz w:val="24"/>
      <w:szCs w:val="24"/>
      <w:lang w:eastAsia="en-US"/>
    </w:rPr>
  </w:style>
  <w:style w:type="character" w:styleId="Strong">
    <w:name w:val="Strong"/>
    <w:uiPriority w:val="22"/>
    <w:rsid w:val="001A4A88"/>
    <w:rPr>
      <w:b/>
      <w:bCs/>
    </w:rPr>
  </w:style>
  <w:style w:type="table" w:styleId="TableGrid">
    <w:name w:val="Table Grid"/>
    <w:basedOn w:val="TableNormal"/>
    <w:rsid w:val="001A4A88"/>
    <w:pPr>
      <w:bidi/>
      <w:jc w:val="lowKashida"/>
    </w:pPr>
    <w:rPr>
      <w:rFonts w:ascii="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1A4A88"/>
    <w:rPr>
      <w:color w:val="0000FF"/>
      <w:u w:val="none"/>
    </w:rPr>
  </w:style>
  <w:style w:type="paragraph" w:styleId="TOC1">
    <w:name w:val="toc 1"/>
    <w:basedOn w:val="Normal"/>
    <w:link w:val="TOC1Char"/>
    <w:autoRedefine/>
    <w:uiPriority w:val="39"/>
    <w:unhideWhenUsed/>
    <w:rsid w:val="001A4A88"/>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1A4A88"/>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1A4A88"/>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1A4A88"/>
    <w:rPr>
      <w:rFonts w:eastAsia="DengXian"/>
      <w:color w:val="auto"/>
      <w:sz w:val="20"/>
      <w:szCs w:val="20"/>
      <w:u w:val="none"/>
      <w:lang w:eastAsia="zh-CN" w:bidi="ar-EG"/>
    </w:rPr>
  </w:style>
  <w:style w:type="paragraph" w:styleId="TOC4">
    <w:name w:val="toc 4"/>
    <w:basedOn w:val="Normal"/>
    <w:link w:val="TOC4Char"/>
    <w:autoRedefine/>
    <w:uiPriority w:val="39"/>
    <w:unhideWhenUsed/>
    <w:rsid w:val="001A4A88"/>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1A4A88"/>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1A4A88"/>
    <w:pPr>
      <w:tabs>
        <w:tab w:val="left" w:pos="2325"/>
        <w:tab w:val="left" w:leader="dot" w:pos="9065"/>
        <w:tab w:val="right" w:pos="9639"/>
      </w:tabs>
      <w:suppressAutoHyphens/>
      <w:spacing w:line="340" w:lineRule="exact"/>
      <w:ind w:left="2886" w:right="567" w:hanging="680"/>
    </w:pPr>
    <w:rPr>
      <w:szCs w:val="20"/>
      <w:lang w:val="en-GB"/>
    </w:rPr>
  </w:style>
  <w:style w:type="table" w:customStyle="1" w:styleId="TABLEA">
    <w:name w:val="TABLE_A"/>
    <w:basedOn w:val="TableNormal"/>
    <w:uiPriority w:val="99"/>
    <w:rsid w:val="001A4A88"/>
    <w:pPr>
      <w:bidi/>
      <w:spacing w:before="40" w:after="40" w:line="300" w:lineRule="exact"/>
      <w:ind w:left="113" w:right="113"/>
      <w:jc w:val="lowKashida"/>
    </w:pPr>
    <w:rPr>
      <w:rFonts w:ascii="Times New Roman" w:eastAsiaTheme="minorEastAsia" w:hAnsi="Times New Roman" w:cs="Simplified Arabic"/>
    </w:rPr>
    <w:tblPr>
      <w:jc w:val="right"/>
    </w:tblPr>
    <w:trPr>
      <w:jc w:val="right"/>
    </w:trPr>
    <w:tcPr>
      <w:tcMar>
        <w:left w:w="0" w:type="dxa"/>
        <w:right w:w="0" w:type="dxa"/>
      </w:tcMar>
    </w:tcPr>
    <w:tblStylePr w:type="firstRow">
      <w:rPr>
        <w:b w:val="0"/>
        <w:bCs w:val="0"/>
        <w:i/>
        <w:iCs/>
      </w:rPr>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TOC1Char">
    <w:name w:val="TOC 1 Char"/>
    <w:basedOn w:val="DefaultParagraphFont"/>
    <w:link w:val="TOC1"/>
    <w:uiPriority w:val="39"/>
    <w:rsid w:val="001A4A88"/>
    <w:rPr>
      <w:rFonts w:ascii="Times New Roman" w:hAnsi="Times New Roman" w:cs="Simplified Arabic"/>
      <w:noProof/>
      <w:lang w:val="fr-CH" w:eastAsia="zh-TW" w:bidi="ar-EG"/>
    </w:rPr>
  </w:style>
  <w:style w:type="character" w:customStyle="1" w:styleId="TOC2Char">
    <w:name w:val="TOC 2 Char"/>
    <w:basedOn w:val="DefaultParagraphFont"/>
    <w:link w:val="TOC2"/>
    <w:uiPriority w:val="39"/>
    <w:rsid w:val="001A4A88"/>
    <w:rPr>
      <w:rFonts w:ascii="Times New Roman" w:hAnsi="Times New Roman" w:cs="Simplified Arabic"/>
      <w:noProof/>
      <w:lang w:val="fr-CH" w:eastAsia="en-US"/>
    </w:rPr>
  </w:style>
  <w:style w:type="character" w:customStyle="1" w:styleId="TOC3Char">
    <w:name w:val="TOC 3 Char"/>
    <w:basedOn w:val="TOC2Char"/>
    <w:link w:val="TOC3"/>
    <w:uiPriority w:val="39"/>
    <w:rsid w:val="001A4A88"/>
    <w:rPr>
      <w:rFonts w:ascii="Times New Roman" w:hAnsi="Times New Roman" w:cs="Simplified Arabic"/>
      <w:noProof/>
      <w:lang w:val="fr-CH" w:eastAsia="en-US" w:bidi="ar-EG"/>
    </w:rPr>
  </w:style>
  <w:style w:type="character" w:customStyle="1" w:styleId="TOC4Char">
    <w:name w:val="TOC 4 Char"/>
    <w:basedOn w:val="DefaultParagraphFont"/>
    <w:link w:val="TOC4"/>
    <w:uiPriority w:val="39"/>
    <w:rsid w:val="001A4A88"/>
    <w:rPr>
      <w:rFonts w:ascii="Times New Roman" w:hAnsi="Times New Roman" w:cs="Simplified Arabic"/>
      <w:noProof/>
      <w:lang w:val="en-GB" w:eastAsia="en-US"/>
    </w:rPr>
  </w:style>
  <w:style w:type="character" w:customStyle="1" w:styleId="TOC5Char">
    <w:name w:val="TOC 5 Char"/>
    <w:basedOn w:val="DefaultParagraphFont"/>
    <w:link w:val="TOC5"/>
    <w:uiPriority w:val="39"/>
    <w:rsid w:val="001A4A88"/>
    <w:rPr>
      <w:rFonts w:ascii="Times New Roman" w:hAnsi="Times New Roman" w:cs="Simplified Arabic"/>
      <w:noProof/>
      <w:lang w:val="en-GB" w:eastAsia="en-US"/>
    </w:rPr>
  </w:style>
  <w:style w:type="character" w:customStyle="1" w:styleId="TOC6Char">
    <w:name w:val="TOC 6 Char"/>
    <w:basedOn w:val="DefaultParagraphFont"/>
    <w:link w:val="TOC6"/>
    <w:uiPriority w:val="39"/>
    <w:rsid w:val="001A4A88"/>
    <w:rPr>
      <w:rFonts w:ascii="Times New Roman" w:hAnsi="Times New Roman" w:cs="Simplified Arabic"/>
      <w:lang w:val="en-GB" w:eastAsia="en-US"/>
    </w:rPr>
  </w:style>
  <w:style w:type="paragraph" w:customStyle="1" w:styleId="NormalA">
    <w:name w:val="Normal_A"/>
    <w:basedOn w:val="Normal"/>
    <w:qFormat/>
    <w:rsid w:val="001A4A88"/>
  </w:style>
  <w:style w:type="paragraph" w:customStyle="1" w:styleId="SingleTxtGA">
    <w:name w:val="_ Single Txt_GA"/>
    <w:basedOn w:val="Normal"/>
    <w:link w:val="SingleTxtGAChar"/>
    <w:qFormat/>
    <w:rsid w:val="001A4A88"/>
    <w:pPr>
      <w:tabs>
        <w:tab w:val="left" w:pos="1928"/>
        <w:tab w:val="left" w:pos="2608"/>
        <w:tab w:val="left" w:pos="3289"/>
        <w:tab w:val="left" w:pos="3969"/>
        <w:tab w:val="left" w:pos="4649"/>
        <w:tab w:val="left" w:pos="5330"/>
      </w:tabs>
      <w:suppressAutoHyphens/>
      <w:spacing w:after="120" w:line="360" w:lineRule="exact"/>
      <w:ind w:left="1247" w:right="1247"/>
    </w:pPr>
    <w:rPr>
      <w:sz w:val="22"/>
    </w:rPr>
  </w:style>
  <w:style w:type="character" w:customStyle="1" w:styleId="SingleTxtGAChar">
    <w:name w:val="_ Single Txt_GA Char"/>
    <w:basedOn w:val="DefaultParagraphFont"/>
    <w:link w:val="SingleTxtGA"/>
    <w:locked/>
    <w:rsid w:val="001A4A88"/>
    <w:rPr>
      <w:rFonts w:ascii="Times New Roman" w:hAnsi="Times New Roman" w:cs="Simplified Arabic"/>
      <w:sz w:val="22"/>
      <w:szCs w:val="22"/>
      <w:lang w:eastAsia="en-US"/>
    </w:rPr>
  </w:style>
  <w:style w:type="paragraph" w:customStyle="1" w:styleId="FootnoteGA">
    <w:name w:val="Footnote_GA"/>
    <w:basedOn w:val="Normal"/>
    <w:qFormat/>
    <w:rsid w:val="001A4A88"/>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1A4A88"/>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1A4A88"/>
    <w:pPr>
      <w:spacing w:line="240" w:lineRule="exact"/>
    </w:pPr>
    <w:rPr>
      <w:spacing w:val="6"/>
      <w:w w:val="106"/>
      <w:sz w:val="14"/>
      <w:szCs w:val="21"/>
    </w:rPr>
  </w:style>
  <w:style w:type="paragraph" w:customStyle="1" w:styleId="Original">
    <w:name w:val="Original"/>
    <w:basedOn w:val="Normal"/>
    <w:next w:val="Normal"/>
    <w:qFormat/>
    <w:rsid w:val="001A4A88"/>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1A4A88"/>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customStyle="1" w:styleId="ReportCHGA">
    <w:name w:val="Report_CH_GA"/>
    <w:basedOn w:val="HChGA"/>
    <w:qFormat/>
    <w:rsid w:val="001A4A88"/>
    <w:rPr>
      <w:sz w:val="44"/>
      <w:szCs w:val="44"/>
      <w:lang w:val="en-US" w:bidi="ar-DZ"/>
    </w:rPr>
  </w:style>
  <w:style w:type="paragraph" w:styleId="Revision">
    <w:name w:val="Revision"/>
    <w:hidden/>
    <w:uiPriority w:val="99"/>
    <w:semiHidden/>
    <w:rsid w:val="001A4A88"/>
    <w:rPr>
      <w:rFonts w:asciiTheme="minorHAnsi" w:eastAsiaTheme="minorEastAsia" w:hAnsiTheme="minorHAnsi" w:cstheme="minorBidi"/>
      <w:sz w:val="24"/>
      <w:szCs w:val="24"/>
      <w:lang w:val="fr-FR" w:eastAsia="fr-FR"/>
    </w:rPr>
  </w:style>
  <w:style w:type="paragraph" w:customStyle="1" w:styleId="FootnoteGA0">
    <w:name w:val="_Footnote_GA"/>
    <w:basedOn w:val="Normal"/>
    <w:qFormat/>
    <w:rsid w:val="001A4A88"/>
    <w:pPr>
      <w:suppressAutoHyphens/>
      <w:spacing w:after="60" w:line="280" w:lineRule="exact"/>
      <w:ind w:left="1247" w:right="1247" w:hanging="567"/>
    </w:pPr>
    <w:rPr>
      <w:sz w:val="18"/>
      <w:szCs w:val="18"/>
      <w:lang w:val="es-ES_tradnl" w:eastAsia="zh-TW"/>
    </w:rPr>
  </w:style>
  <w:style w:type="paragraph" w:customStyle="1" w:styleId="STitleLGA">
    <w:name w:val="S_Title_L_GA"/>
    <w:basedOn w:val="SLGA"/>
    <w:qFormat/>
    <w:rsid w:val="001A4A88"/>
    <w:rPr>
      <w:lang w:val="en-US" w:eastAsia="zh-TW"/>
    </w:rPr>
  </w:style>
  <w:style w:type="paragraph" w:customStyle="1" w:styleId="STitleMGA">
    <w:name w:val="S_Title_M_GA"/>
    <w:basedOn w:val="SMGA"/>
    <w:qFormat/>
    <w:rsid w:val="001A4A88"/>
    <w:rPr>
      <w:lang w:eastAsia="zh-TW"/>
    </w:rPr>
  </w:style>
  <w:style w:type="paragraph" w:customStyle="1" w:styleId="STitleSGA">
    <w:name w:val="S_Title_S_GA"/>
    <w:basedOn w:val="SSGA"/>
    <w:qFormat/>
    <w:rsid w:val="001A4A88"/>
    <w:rPr>
      <w:lang w:eastAsia="zh-T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3471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docs.un.org/ar/A/HRC/RES/53/12" TargetMode="External"/><Relationship Id="rId14" Type="http://schemas.openxmlformats.org/officeDocument/2006/relationships/header" Target="head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 Type="http://schemas.openxmlformats.org/officeDocument/2006/relationships/hyperlink" Target="https://docs.un.org/ar/A/80/169" TargetMode="External"/><Relationship Id="rId1" Type="http://schemas.openxmlformats.org/officeDocument/2006/relationships/hyperlink" Target="https://docs.un.org/ar/A/HRC/62/4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1AFA227-00BE-4822-B41E-DD621796857E}">
  <ds:schemaRefs>
    <ds:schemaRef ds:uri="http://schemas.openxmlformats.org/officeDocument/2006/bibliography"/>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Normal.dotm</Template>
  <TotalTime>0</TotalTime>
  <Pages>7</Pages>
  <Words>2859</Words>
  <Characters>15296</Characters>
  <Application>Microsoft Office Word</Application>
  <DocSecurity>0</DocSecurity>
  <Lines>242</Lines>
  <Paragraphs>91</Paragraphs>
  <ScaleCrop>false</ScaleCrop>
  <HeadingPairs>
    <vt:vector size="2" baseType="variant">
      <vt:variant>
        <vt:lpstr>Title</vt:lpstr>
      </vt:variant>
      <vt:variant>
        <vt:i4>1</vt:i4>
      </vt:variant>
    </vt:vector>
  </HeadingPairs>
  <TitlesOfParts>
    <vt:vector size="1" baseType="lpstr">
      <vt:lpstr>A/HRC/RES/62/12</vt:lpstr>
    </vt:vector>
  </TitlesOfParts>
  <Company>DCM</Company>
  <LinksUpToDate>false</LinksUpToDate>
  <CharactersWithSpaces>18064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A/HRC/RES/62/12</dc:title>
  <dc:subject>GE.2610037(A)</dc:subject>
  <dc:creator>Jamela CHEDAD - </dc:creator>
  <cp:keywords>GE.(A)</cp:keywords>
  <dc:description>_x000d_
_x000d_
Arabic_x000d_
</dc:description>
  <cp:lastModifiedBy>Jamila Chedad</cp:lastModifiedBy>
  <cp:revision>3</cp:revision>
  <cp:lastPrinted>2026-07-16T12:58:00Z</cp:lastPrinted>
  <dcterms:created xsi:type="dcterms:W3CDTF">2026-07-16T12:58:00Z</dcterms:created>
  <dcterms:modified xsi:type="dcterms:W3CDTF">2026-07-16T12:58:00Z</dcterms:modified>
  <cp:category>Final</cp:category>
</cp:coreProperties>
</file>