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50188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rPr>
          <w:lang w:val="es-ES_tradnl"/>
        </w:rPr>
      </w:pPr>
      <w:r>
        <w:rPr>
          <w:lang w:val="es-ES_tradnl"/>
        </w:rPr>
        <w:t>Distr.</w:t>
      </w:r>
      <w:r>
        <w:rPr>
          <w:lang w:val="es-ES_tradnl"/>
        </w:rPr>
        <w:br/>
        <w:t>GENERAL</w:t>
      </w:r>
    </w:p>
    <w:p w:rsidR="00000000" w:rsidRDefault="00000000">
      <w:pPr>
        <w:spacing w:after="240"/>
        <w:ind w:left="7320"/>
        <w:rPr>
          <w:lang w:val="es-ES_tradnl"/>
        </w:rPr>
      </w:pPr>
      <w:r>
        <w:rPr>
          <w:lang w:val="es-ES_tradnl"/>
        </w:rPr>
        <w:t>CRC/C/GC/10</w:t>
      </w:r>
      <w:r>
        <w:rPr>
          <w:lang w:val="es-ES_tradnl"/>
        </w:rPr>
        <w:br/>
        <w:t>25 de abril de 2007</w:t>
      </w:r>
    </w:p>
    <w:p w:rsidR="00000000" w:rsidRDefault="00000000">
      <w:pPr>
        <w:spacing w:after="480"/>
        <w:ind w:left="7320"/>
        <w:rPr>
          <w:lang w:val="es-ES_tradnl"/>
        </w:rPr>
      </w:pPr>
      <w:r>
        <w:rPr>
          <w:lang w:val="es-ES_tradnl"/>
        </w:rPr>
        <w:t>ESPAÑOL</w:t>
      </w:r>
      <w:r>
        <w:rPr>
          <w:lang w:val="es-ES_tradnl"/>
        </w:rPr>
        <w:br/>
        <w:t>Original:  INGLÉS</w:t>
      </w:r>
    </w:p>
    <w:p w:rsidR="00000000" w:rsidRDefault="00000000">
      <w:pPr>
        <w:spacing w:after="1680"/>
        <w:rPr>
          <w:lang w:val="es-ES_tradnl"/>
        </w:rPr>
      </w:pPr>
      <w:r>
        <w:rPr>
          <w:lang w:val="es-ES_tradnl"/>
        </w:rPr>
        <w:t>COMITÉ DE LOS DERECHOS DEL NIÑO</w:t>
      </w:r>
      <w:r>
        <w:rPr>
          <w:lang w:val="es-ES_tradnl"/>
        </w:rPr>
        <w:br/>
        <w:t>44º período de sesiones</w:t>
      </w:r>
      <w:r>
        <w:rPr>
          <w:lang w:val="es-ES_tradnl"/>
        </w:rPr>
        <w:br/>
        <w:t>Ginebra, 15 de enero a 2 de febrero de 2007</w:t>
      </w:r>
    </w:p>
    <w:p w:rsidR="00000000" w:rsidRDefault="00000000">
      <w:pPr>
        <w:spacing w:after="360"/>
        <w:jc w:val="center"/>
        <w:rPr>
          <w:b/>
          <w:bCs/>
          <w:lang w:val="es-ES_tradnl"/>
        </w:rPr>
      </w:pPr>
      <w:r>
        <w:rPr>
          <w:b/>
          <w:bCs/>
          <w:lang w:val="es-ES_tradnl"/>
        </w:rPr>
        <w:t>OBSERVACIÓN GENERAL Nº 10 (2007)</w:t>
      </w:r>
    </w:p>
    <w:p w:rsidR="00000000" w:rsidRDefault="00000000">
      <w:pPr>
        <w:spacing w:after="480"/>
        <w:jc w:val="center"/>
        <w:rPr>
          <w:b/>
          <w:bCs/>
          <w:lang w:val="es-ES_tradnl"/>
        </w:rPr>
      </w:pPr>
      <w:r>
        <w:rPr>
          <w:b/>
          <w:bCs/>
          <w:lang w:val="es-ES_tradnl"/>
        </w:rPr>
        <w:t>Los derechos del niño en la justicia de menores</w:t>
      </w:r>
    </w:p>
    <w:p w:rsidR="00000000" w:rsidRDefault="00000000">
      <w:pPr>
        <w:spacing w:after="480"/>
        <w:jc w:val="center"/>
        <w:rPr>
          <w:lang w:val="es-ES_tradnl"/>
        </w:rPr>
      </w:pPr>
    </w:p>
    <w:p w:rsidR="00000000" w:rsidRDefault="00000000">
      <w:pPr>
        <w:spacing w:after="480"/>
        <w:jc w:val="center"/>
        <w:rPr>
          <w:lang w:val="es-ES_tradnl"/>
        </w:rPr>
      </w:pPr>
    </w:p>
    <w:p w:rsidR="00000000" w:rsidRDefault="00000000">
      <w:pPr>
        <w:spacing w:after="480"/>
        <w:jc w:val="center"/>
        <w:rPr>
          <w:lang w:val="es-ES_tradnl"/>
        </w:rPr>
      </w:pPr>
    </w:p>
    <w:p w:rsidR="00000000" w:rsidRDefault="00000000">
      <w:pPr>
        <w:spacing w:after="480"/>
        <w:jc w:val="center"/>
        <w:rPr>
          <w:lang w:val="es-ES_tradnl"/>
        </w:rPr>
      </w:pPr>
    </w:p>
    <w:p w:rsidR="00000000" w:rsidRDefault="00000000">
      <w:pPr>
        <w:spacing w:after="480"/>
        <w:jc w:val="center"/>
        <w:rPr>
          <w:lang w:val="es-ES_tradnl"/>
        </w:rPr>
      </w:pPr>
    </w:p>
    <w:p w:rsidR="00000000" w:rsidRDefault="00000000">
      <w:pPr>
        <w:spacing w:after="480"/>
        <w:jc w:val="center"/>
        <w:rPr>
          <w:lang w:val="es-ES_tradnl"/>
        </w:rPr>
      </w:pPr>
    </w:p>
    <w:p w:rsidR="00000000" w:rsidRDefault="00000000">
      <w:pPr>
        <w:spacing w:after="480"/>
        <w:jc w:val="center"/>
        <w:rPr>
          <w:lang w:val="es-ES_tradnl"/>
        </w:rPr>
      </w:pPr>
    </w:p>
    <w:p w:rsidR="00000000" w:rsidRDefault="00000000">
      <w:pPr>
        <w:rPr>
          <w:lang w:val="en-GB"/>
        </w:rPr>
      </w:pPr>
      <w:r>
        <w:rPr>
          <w:lang w:val="en-GB"/>
        </w:rPr>
        <w:t>GE.07-41354  (S)    290507    010607</w:t>
      </w:r>
    </w:p>
    <w:p w:rsidR="00000000" w:rsidRDefault="00000000">
      <w:pPr>
        <w:spacing w:after="240"/>
        <w:jc w:val="center"/>
        <w:rPr>
          <w:lang w:val="en-GB"/>
        </w:rPr>
      </w:pPr>
      <w:r>
        <w:rPr>
          <w:lang w:val="en-GB"/>
        </w:rPr>
        <w:br w:type="page"/>
      </w:r>
      <w:r>
        <w:rPr>
          <w:b/>
          <w:lang w:val="en-G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t>I.</w:t>
      </w:r>
      <w:r>
        <w:tab/>
        <w:t>INTRODUCCIÓN</w:t>
      </w:r>
      <w:r>
        <w:tab/>
      </w:r>
      <w:r>
        <w:tab/>
        <w:t>1</w:t>
      </w:r>
      <w:r>
        <w:tab/>
        <w:t>-</w:t>
      </w:r>
      <w:r>
        <w:tab/>
        <w:t>3</w:t>
      </w:r>
      <w:r>
        <w:tab/>
        <w:t>3</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t>II.</w:t>
      </w:r>
      <w:r>
        <w:tab/>
        <w:t>LOS OBJETIVOS DE LA PRESENTE OBSERVACIÓN</w:t>
      </w:r>
      <w:r>
        <w:br/>
      </w:r>
      <w:r>
        <w:tab/>
      </w:r>
      <w:r>
        <w:tab/>
        <w:t>GENERAL</w:t>
      </w:r>
      <w:r>
        <w:tab/>
      </w:r>
      <w:r>
        <w:tab/>
      </w:r>
      <w:r>
        <w:tab/>
        <w:t>4</w:t>
      </w:r>
      <w:r>
        <w:tab/>
      </w:r>
      <w:r>
        <w:tab/>
        <w:t>3</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t>III.</w:t>
      </w:r>
      <w:r>
        <w:tab/>
        <w:t>LA JUSTICIA DE MENORES:  PRINCIPIOS BÁSICOS</w:t>
      </w:r>
      <w:r>
        <w:br/>
      </w:r>
      <w:r>
        <w:tab/>
      </w:r>
      <w:r>
        <w:tab/>
        <w:t>DE UNA POLÍTICA GENERAL</w:t>
      </w:r>
      <w:r>
        <w:tab/>
      </w:r>
      <w:r>
        <w:tab/>
        <w:t>5</w:t>
      </w:r>
      <w:r>
        <w:tab/>
        <w:t>-</w:t>
      </w:r>
      <w:r>
        <w:tab/>
        <w:t>14</w:t>
      </w:r>
      <w:r>
        <w:tab/>
        <w:t>4</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t>IV.</w:t>
      </w:r>
      <w:r>
        <w:tab/>
        <w:t>LA JUSTICIA DE MENORES:  ELEMENTOS BÁSICOS DE</w:t>
      </w:r>
      <w:r>
        <w:br/>
      </w:r>
      <w:r>
        <w:tab/>
      </w:r>
      <w:r>
        <w:tab/>
        <w:t>UNA POLÍTICA GENERAL</w:t>
      </w:r>
      <w:r>
        <w:tab/>
      </w:r>
      <w:r>
        <w:tab/>
        <w:t>15</w:t>
      </w:r>
      <w:r>
        <w:tab/>
        <w:t>-</w:t>
      </w:r>
      <w:r>
        <w:tab/>
        <w:t>89</w:t>
      </w:r>
      <w:r>
        <w:tab/>
        <w:t>7</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r>
      <w:r>
        <w:tab/>
        <w:t>A.</w:t>
      </w:r>
      <w:r>
        <w:tab/>
        <w:t>Prevención de la delincuencia juvenil</w:t>
      </w:r>
      <w:r>
        <w:tab/>
      </w:r>
      <w:r>
        <w:tab/>
        <w:t>15</w:t>
      </w:r>
      <w:r>
        <w:tab/>
        <w:t>-</w:t>
      </w:r>
      <w:r>
        <w:tab/>
        <w:t>21</w:t>
      </w:r>
      <w:r>
        <w:tab/>
        <w:t>7</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r>
      <w:r>
        <w:tab/>
        <w:t>B.</w:t>
      </w:r>
      <w:r>
        <w:tab/>
        <w:t>Intervenciones/remisión</w:t>
      </w:r>
      <w:r>
        <w:tab/>
      </w:r>
      <w:r>
        <w:tab/>
        <w:t>22</w:t>
      </w:r>
      <w:r>
        <w:tab/>
        <w:t>-</w:t>
      </w:r>
      <w:r>
        <w:tab/>
        <w:t>29</w:t>
      </w:r>
      <w:r>
        <w:tab/>
        <w:t>9</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r>
      <w:r>
        <w:tab/>
        <w:t>C.</w:t>
      </w:r>
      <w:r>
        <w:tab/>
        <w:t>La edad de los niños que tienen conflictos con la justicia</w:t>
      </w:r>
      <w:r>
        <w:tab/>
      </w:r>
      <w:r>
        <w:tab/>
        <w:t>30</w:t>
      </w:r>
      <w:r>
        <w:tab/>
        <w:t>-</w:t>
      </w:r>
      <w:r>
        <w:tab/>
        <w:t>39</w:t>
      </w:r>
      <w:r>
        <w:tab/>
        <w:t>11</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r>
      <w:r>
        <w:tab/>
        <w:t>D.</w:t>
      </w:r>
      <w:r>
        <w:tab/>
        <w:t>Garantías de un juicio imparcial</w:t>
      </w:r>
      <w:r>
        <w:tab/>
      </w:r>
      <w:r>
        <w:tab/>
        <w:t>40</w:t>
      </w:r>
      <w:r>
        <w:tab/>
        <w:t>-</w:t>
      </w:r>
      <w:r>
        <w:tab/>
        <w:t>67</w:t>
      </w:r>
      <w:r>
        <w:tab/>
        <w:t>13</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r>
      <w:r>
        <w:tab/>
        <w:t>E.</w:t>
      </w:r>
      <w:r>
        <w:tab/>
        <w:t>Medidas</w:t>
      </w:r>
      <w:r>
        <w:tab/>
      </w:r>
      <w:r>
        <w:tab/>
        <w:t>68</w:t>
      </w:r>
      <w:r>
        <w:tab/>
        <w:t>-</w:t>
      </w:r>
      <w:r>
        <w:tab/>
        <w:t>77</w:t>
      </w:r>
      <w:r>
        <w:tab/>
        <w:t>21</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r>
      <w:r>
        <w:tab/>
        <w:t>F.</w:t>
      </w:r>
      <w:r>
        <w:tab/>
        <w:t>Privación de libertad, incluida la detención preventiva y la</w:t>
      </w:r>
      <w:r>
        <w:br/>
      </w:r>
      <w:r>
        <w:tab/>
      </w:r>
      <w:r>
        <w:tab/>
      </w:r>
      <w:r>
        <w:tab/>
        <w:t>prisión posterior a la sentencia</w:t>
      </w:r>
      <w:r>
        <w:tab/>
      </w:r>
      <w:r>
        <w:tab/>
        <w:t>78</w:t>
      </w:r>
      <w:r>
        <w:tab/>
        <w:t>-</w:t>
      </w:r>
      <w:r>
        <w:tab/>
        <w:t>89</w:t>
      </w:r>
      <w:r>
        <w:tab/>
        <w:t>23</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t>V.</w:t>
      </w:r>
      <w:r>
        <w:tab/>
        <w:t>LA ORGANIZACIÓN DE LA JUSTICIA DE MENORES</w:t>
      </w:r>
      <w:r>
        <w:tab/>
      </w:r>
      <w:r>
        <w:tab/>
        <w:t>90</w:t>
      </w:r>
      <w:r>
        <w:tab/>
        <w:t>-</w:t>
      </w:r>
      <w:r>
        <w:tab/>
        <w:t>95</w:t>
      </w:r>
      <w:r>
        <w:tab/>
        <w:t>26</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t>VI.</w:t>
      </w:r>
      <w:r>
        <w:tab/>
        <w:t>CONCIENCIACIÓN Y FORMACIÓN</w:t>
      </w:r>
      <w:r>
        <w:tab/>
      </w:r>
      <w:r>
        <w:tab/>
        <w:t>96</w:t>
      </w:r>
      <w:r>
        <w:tab/>
        <w:t>-</w:t>
      </w:r>
      <w:r>
        <w:tab/>
        <w:t>97</w:t>
      </w:r>
      <w:r>
        <w:tab/>
        <w:t>27</w:t>
      </w:r>
    </w:p>
    <w:p w:rsidR="00000000" w:rsidRDefault="00000000">
      <w:pPr>
        <w:tabs>
          <w:tab w:val="right" w:pos="567"/>
          <w:tab w:val="left" w:pos="850"/>
          <w:tab w:val="left" w:pos="1304"/>
          <w:tab w:val="left" w:pos="1701"/>
          <w:tab w:val="right" w:leader="dot" w:pos="7285"/>
          <w:tab w:val="right" w:pos="7835"/>
          <w:tab w:val="center" w:pos="7920"/>
          <w:tab w:val="right" w:pos="8273"/>
          <w:tab w:val="right" w:pos="9099"/>
        </w:tabs>
        <w:spacing w:after="240"/>
      </w:pPr>
      <w:r>
        <w:tab/>
        <w:t>VII.</w:t>
      </w:r>
      <w:r>
        <w:tab/>
        <w:t>RECOPILACIÓN DE DATOS, EVALUACIÓN E</w:t>
      </w:r>
      <w:r>
        <w:br/>
      </w:r>
      <w:r>
        <w:tab/>
      </w:r>
      <w:r>
        <w:tab/>
        <w:t>INVESTIGACIÓN</w:t>
      </w:r>
      <w:r>
        <w:tab/>
      </w:r>
      <w:r>
        <w:tab/>
        <w:t>98</w:t>
      </w:r>
      <w:r>
        <w:tab/>
        <w:t>-</w:t>
      </w:r>
      <w:r>
        <w:tab/>
        <w:t>99</w:t>
      </w:r>
      <w:r>
        <w:tab/>
        <w:t>27</w:t>
      </w:r>
    </w:p>
    <w:p w:rsidR="00000000" w:rsidRDefault="00000000">
      <w:pPr>
        <w:spacing w:after="240"/>
        <w:jc w:val="center"/>
        <w:rPr>
          <w:b/>
          <w:bCs/>
        </w:rPr>
      </w:pPr>
      <w:r>
        <w:br w:type="page"/>
      </w:r>
      <w:r>
        <w:rPr>
          <w:b/>
          <w:bCs/>
        </w:rPr>
        <w:t>I.  INTRODUCCIÓN</w:t>
      </w:r>
    </w:p>
    <w:p w:rsidR="00000000" w:rsidRDefault="00000000">
      <w:pPr>
        <w:spacing w:after="240"/>
      </w:pPr>
      <w:r>
        <w:t>1.</w:t>
      </w:r>
      <w:r>
        <w:tab/>
        <w:t>En los informes que presentan al Comité sobre los Derechos del Niño (en adelante, el Comité), los Estados Partes a menudo proporcionan información muy detallada sobre los derechos de los niños de quienes se alega que han infringido las leyes penales o a quienes se acusa o declara culpables de haber infringido esas leyes, a los cuales también se denominan "niños que tienen conflictos con la justicia".  De conformidad con las orientaciones generales del Comité relativas a la presentación de informes periódicos, la información facilitada por los Estados Partes se concentra principalmente en la aplicación de los artículos 37 y 40 de la Convención sobre los Derechos del Niño (en lo sucesivo la Convención).  El Comité observa con reconocimiento todos los esfuerzos desplegados para establecer una administración de justicia de menores conforme a la Convención.  Sin embargo, muchos Estados Partes distan mucho de cumplir cabalmente la Convención, por ejemplo en materia de derechos procesales, elaboración y aplicación de medidas con respecto a los niños que tienen conflictos con la justicia sin recurrir a los procedimientos judiciales, y privación de libertad únicamente como medida de último recurso.</w:t>
      </w:r>
    </w:p>
    <w:p w:rsidR="00000000" w:rsidRDefault="00000000">
      <w:pPr>
        <w:spacing w:after="240"/>
      </w:pPr>
      <w:r>
        <w:t>2.</w:t>
      </w:r>
      <w:r>
        <w:tab/>
        <w:t>También preocupa al Comité la falta de información sobre las medidas que los Estados Partes han adoptado para evitar que los niños entren en conflicto con la justicia.  Ello puede deberse a la falta de una política general en la esfera de la justicia de menores, o tal vez pueda explicarse también porque muchos Estados Partes sólo proporcionan información estadística muy limitada sobre el trato que se da a los niños que tienen conflictos con la justicia.</w:t>
      </w:r>
    </w:p>
    <w:p w:rsidR="00000000" w:rsidRDefault="00000000">
      <w:pPr>
        <w:spacing w:after="240"/>
      </w:pPr>
      <w:r>
        <w:t>3.</w:t>
      </w:r>
      <w:r>
        <w:tab/>
        <w:t>La información reunida sobre la actuación de los Estados Partes en la esfera de la justicia de menores ha dado lugar a la presente observación general, por la que el Comité desea proporcionar a los Estados Partes orientación y recomendaciones más precisas para el establecimiento de una administración de justicia de menores conforme a la Convención.  Esta justicia, que debe promover, entre otras cosas, la adopción de medidas alternativas como la remisión de casos y la justicia restitutiva, ofrecerá a los Estados Partes la posibilidad de abordar la cuestión de los niños que tienen conflictos con la justicia de manera más eficaz en función no sólo del interés superior del niño, sino también de los intereses a corto y largo plazo de la sociedad en general.</w:t>
      </w:r>
    </w:p>
    <w:p w:rsidR="00000000" w:rsidRDefault="00000000">
      <w:pPr>
        <w:spacing w:before="480" w:after="240"/>
        <w:jc w:val="center"/>
        <w:rPr>
          <w:b/>
          <w:bCs/>
        </w:rPr>
      </w:pPr>
      <w:r>
        <w:rPr>
          <w:b/>
          <w:bCs/>
        </w:rPr>
        <w:t>II.  LOS OBJETIVOS DE LA PRESENTE OBSERVACIÓN GENERAL</w:t>
      </w:r>
    </w:p>
    <w:p w:rsidR="00000000" w:rsidRDefault="00000000">
      <w:pPr>
        <w:spacing w:after="240"/>
      </w:pPr>
      <w:r>
        <w:t>4.</w:t>
      </w:r>
      <w:r>
        <w:tab/>
        <w:t>En un principio, el Comité desea subrayar que, de acuerdo con la Convención, los Estados Partes deben elaborar y aplicar una política general de justicia de menores, lo cual significa que no deben limitarse a aplicar las disposiciones específicas contenidas en los artículos 37 y 40 de la Convención, sino tener en cuenta también los principios generales enunciados en los artículos 2, 3, 6 y 12 y en todos los demás artículos pertinentes de la Convención, por ejemplo los artículos 4 y 39.  Por tanto, los objetivos de esta observación general son los siguientes:</w:t>
      </w:r>
    </w:p>
    <w:p w:rsidR="00000000" w:rsidRDefault="00000000">
      <w:pPr>
        <w:spacing w:after="240"/>
        <w:ind w:left="924" w:hanging="357"/>
      </w:pPr>
      <w:r>
        <w:t>-</w:t>
      </w:r>
      <w:r>
        <w:tab/>
        <w:t>Alentar a los Estados Partes a elaborar y aplicar una política general de justicia de menores a fin prevenir y luchar contra la delincuencia juvenil sobre la base de la Convención y de conformidad con ella, y recabar a este respecto el asesoramiento y apoyo del Grupo interinstitucional de coordinación sobre la justicia de menores, que está integrado por representantes de la Oficina del Alto Comisionado de las Naciones Unidas para los Derechos Humanos (ACNUDH), el Fondo de las Naciones Unidas para la Infancia (UNICEF), la Oficina de las Naciones Unidas contra la Droga y el Delito (ONUDD) y organizaciones no gubernamentales (ONG), y fue establecido por el Consejo Económico y Social en su resolución 1997/30;</w:t>
      </w:r>
    </w:p>
    <w:p w:rsidR="00000000" w:rsidRDefault="00000000">
      <w:pPr>
        <w:spacing w:after="240"/>
        <w:ind w:left="924" w:hanging="357"/>
      </w:pPr>
      <w:r>
        <w:t>-</w:t>
      </w:r>
      <w:r>
        <w:tab/>
        <w:t>Ofrecer a los Estados Partes orientación y recomendaciones con respecto al contenido de esa política general de justicia de menores, prestando especial atención a la prevención de la delincuencia juvenil, la adopción de otras medidas que permitan afrontar la delincuencia juvenil sin recurrir a procedimientos judiciales, e interpretar y aplicar todas las demás disposiciones contenidas en los artículos 37 y 40 de la Convención;</w:t>
      </w:r>
    </w:p>
    <w:p w:rsidR="00000000" w:rsidRDefault="00000000">
      <w:pPr>
        <w:spacing w:after="240"/>
        <w:ind w:left="924" w:hanging="357"/>
      </w:pPr>
      <w:r>
        <w:t>-</w:t>
      </w:r>
      <w:r>
        <w:tab/>
        <w:t>Promover la integración en una política nacional y amplia de justicia de menores de otras normas internacionales, en particular las Reglas mínimas de las Naciones Unidas para la administración de la justicia de menores ("Reglas de Beijing"), las Reglas de las Naciones Unidas para la protección de los menores privados de libertad ("Reglas de La Habana") y las Directrices de las Naciones Unidas para la prevención de la delincuencia juvenil ("Directrices de Riad").</w:t>
      </w:r>
    </w:p>
    <w:p w:rsidR="00000000" w:rsidRDefault="00000000">
      <w:pPr>
        <w:spacing w:before="480" w:after="240"/>
        <w:ind w:left="505" w:hanging="505"/>
        <w:jc w:val="center"/>
        <w:rPr>
          <w:b/>
          <w:bCs/>
        </w:rPr>
      </w:pPr>
      <w:r>
        <w:rPr>
          <w:b/>
          <w:bCs/>
        </w:rPr>
        <w:t>III.  LA JUSTICIA DE MENORES:  PRINCIPIOS BÁSICOS</w:t>
      </w:r>
      <w:r>
        <w:rPr>
          <w:b/>
          <w:bCs/>
        </w:rPr>
        <w:br/>
        <w:t>DE UNA POLÍTICA GENERAL</w:t>
      </w:r>
    </w:p>
    <w:p w:rsidR="00000000" w:rsidRDefault="00000000">
      <w:pPr>
        <w:spacing w:after="240"/>
      </w:pPr>
      <w:r>
        <w:t>5.</w:t>
      </w:r>
      <w:r>
        <w:tab/>
        <w:t>Antes de examinar más detenidamente las exigencias de la Convención, el Comité enunciará los principios básicos de una política general de justicia de menores.  Los Estados Partes deberán aplicar sistemáticamente en la administración de ésta los principios generales contenidos en los artículos 2, 3, 6 y 12 de la Convención, así como los principios fundamentales proclamados en los artículos 37 y 40.</w:t>
      </w:r>
    </w:p>
    <w:p w:rsidR="00000000" w:rsidRDefault="00000000">
      <w:pPr>
        <w:spacing w:after="240"/>
        <w:rPr>
          <w:b/>
          <w:bCs/>
        </w:rPr>
      </w:pPr>
      <w:r>
        <w:rPr>
          <w:b/>
          <w:bCs/>
        </w:rPr>
        <w:t>No discriminación (artículo 2)</w:t>
      </w:r>
    </w:p>
    <w:p w:rsidR="00000000" w:rsidRDefault="00000000">
      <w:pPr>
        <w:spacing w:after="240"/>
      </w:pPr>
      <w:r>
        <w:t>6.</w:t>
      </w:r>
      <w:r>
        <w:tab/>
        <w:t>Los Estados Partes deben adoptar todas las medidas necesarias para garantizar la igualdad de trato de todos los niños que tengan conflictos con la justicia.  Debe prestarse atención especial a la discriminación y las disparidades existentes de hecho, que pueden deberse a la falta de una política coherente y afectar a grupos vulnerables de niños, en particular los niños de la calle, los pertenecientes a minorías raciales, étnicas, religiosas o lingüísticas, los niños indígenas, las niñas, los niños con discapacidad y los niños que tienen constantes conflictos con la justicia (reincidentes).  A este respecto, es importante, por una parte, impartir formación a todo el personal profesional de la administración de justicia de menores (véase párr. 97 </w:t>
      </w:r>
      <w:r>
        <w:rPr>
          <w:i/>
          <w:iCs/>
        </w:rPr>
        <w:t>infra</w:t>
      </w:r>
      <w:r>
        <w:t>) y, por la otra, establecer normas, reglamentos o protocolos para garantizar la igualdad de trato de los menores delincuentes y propiciar el desagravio, la reparación y la indemnización.</w:t>
      </w:r>
    </w:p>
    <w:p w:rsidR="00000000" w:rsidRDefault="00000000">
      <w:pPr>
        <w:spacing w:after="240"/>
      </w:pPr>
      <w:r>
        <w:t>7.</w:t>
      </w:r>
      <w:r>
        <w:tab/>
        <w:t>Muchos niños que tienen conflictos con la justicia también son víctimas de discriminación, por ejemplo cuando tratan de acceder a la educación o al mercado de trabajo.  Es necesario adoptar medidas para prevenir esa discriminación, entre otras cosas, prestando a los menores ex delincuentes apoyo y asistencia apropiados a efectos de su reintegración en la sociedad y organizando campañas públicas en las que se destaque su derecho a desempeñar una función constructiva en la sociedad (art. 40 1).</w:t>
      </w:r>
    </w:p>
    <w:p w:rsidR="00000000" w:rsidRDefault="00000000">
      <w:pPr>
        <w:spacing w:after="240"/>
      </w:pPr>
      <w:r>
        <w:t>8.</w:t>
      </w:r>
      <w:r>
        <w:tab/>
        <w:t>Es muy corriente que los códigos penales contengan disposiciones en los que se tipifique como delito determinados problemas de comportamiento de los niños, por ejemplo el vagabundeo, el absentismo escolar, las escapadas del hogar y otros actos que a menudo son consecuencia de problemas psicológicos o socioeconómicos.  Es motivo de especial preocupación que las niñas y los niños de la calle frecuentemente sean víctimas de esta forma de criminalización.  Esos actos, también conocidos como delitos en razón de la condición, no se consideran tales si son cometidos por adultos.  El Comité recomienda la abrogación por los Estados Partes de las disposiciones relativas a esos delitos para garantizar la igualdad de trato de los niños y los adultos ante la ley.  A este respecto, el Comité también se remite al artículo 56 de las Directrices de Riad, que dice lo siguiente:  "A fin de impedir que prosiga la estigmatización, la victimización y la criminalización de los jóvenes, deberán promulgarse leyes que garanticen que ningún acto que no sea considerado delito ni sea sancionado cuando lo comete un adulto se considere delito ni sea objeto de sanción cuando es cometido por un joven".</w:t>
      </w:r>
    </w:p>
    <w:p w:rsidR="00000000" w:rsidRDefault="00000000">
      <w:pPr>
        <w:spacing w:after="240"/>
      </w:pPr>
      <w:r>
        <w:t>9.</w:t>
      </w:r>
      <w:r>
        <w:tab/>
        <w:t>Además, comportamientos como el vagabundeo, la vida en la calle o las escapadas del hogar deben afrontarse mediante la adopción de medidas de protección de la infancia, en particular prestando apoyo efectivo a los padres y otras personas encargadas de su cuidado y adoptando medidas que afronten las causas básicas de ese comportamiento.</w:t>
      </w:r>
    </w:p>
    <w:p w:rsidR="00000000" w:rsidRDefault="00000000">
      <w:pPr>
        <w:spacing w:after="240"/>
        <w:rPr>
          <w:b/>
          <w:bCs/>
        </w:rPr>
      </w:pPr>
      <w:r>
        <w:rPr>
          <w:b/>
          <w:bCs/>
        </w:rPr>
        <w:t>El interés superior del niño (artículo 3)</w:t>
      </w:r>
    </w:p>
    <w:p w:rsidR="00000000" w:rsidRDefault="00000000">
      <w:pPr>
        <w:spacing w:after="240"/>
      </w:pPr>
      <w:r>
        <w:t>10.</w:t>
      </w:r>
      <w:r>
        <w:tab/>
        <w:t>En todas las decisiones que se adopten en el contexto de la administración de la justicia de menores, el interés superior del niño deberá ser una consideración primordial.  Los niños se diferencian de los adultos tanto en su desarrollo físico y psicológico como por sus necesidades emocionales y educativas.  Esas diferencias constituyen la base de la menor culpabilidad de los niños que tienen conflictos con la justicia.  Estas y otras diferencias justifican la existencia de un sistema separado de justicia de menores y hacen necesario dar un trato diferente a los niños.  La protección del interés superior del niño significa, por ejemplo, que los tradicionales objetivos de la justicia penal, a saber, represión/castigo, deben ser sustituidos por los de rehabilitación y justicia restitutiva cuando se trate de menores delincuentes.  Esto puede realizarse al mismo tiempo que se presta atención a una efectiva seguridad pública.</w:t>
      </w:r>
    </w:p>
    <w:p w:rsidR="00000000" w:rsidRDefault="00000000">
      <w:pPr>
        <w:spacing w:after="240"/>
        <w:rPr>
          <w:b/>
          <w:bCs/>
        </w:rPr>
      </w:pPr>
      <w:r>
        <w:rPr>
          <w:b/>
          <w:bCs/>
        </w:rPr>
        <w:t>El derecho a la vida, la supervivencia y el desarrollo (artículo 6)</w:t>
      </w:r>
    </w:p>
    <w:p w:rsidR="00000000" w:rsidRDefault="00000000">
      <w:pPr>
        <w:spacing w:after="240"/>
      </w:pPr>
      <w:r>
        <w:t>11.</w:t>
      </w:r>
      <w:r>
        <w:tab/>
        <w:t>Este derecho intrínseco a todo niño debe servir de guía e inspirar a los Estados Partes para elaborar políticas y programas nacionales eficaces de prevención de la delincuencia juvenil, pues huelga decir que la delincuencia tiene un efecto muy negativo en el desarrollo del niño.  Además, este derecho básico debe traducirse en una política que afronte la delincuencia juvenil de manera que propicie el desarrollo del niño.  La pena capital y la prisión perpetua sin posibilidad de excarcelación están expresamente prohibidas en virtud del apartado a) del artículo 37 de la Convención (véanse párrafos 75 a 77 </w:t>
      </w:r>
      <w:r>
        <w:rPr>
          <w:i/>
          <w:iCs/>
        </w:rPr>
        <w:t>infra</w:t>
      </w:r>
      <w:r>
        <w:t xml:space="preserve">).  El recurso a la privación de libertad tiene consecuencias muy negativas en el desarrollo armonioso del niño y dificulta gravemente su reintegración en la sociedad.  A este respecto, el apartado b) del artículo 37 estipula expresamente que la privación de libertad, incluidas la detención, el encarcelamiento o la prisión, se utilizará tan sólo como medida de último recurso y durante el período más breve que proceda, a fin de garantizar y respetar plenamente el derecho del niño al desarrollo (véanse párrs. 78 a 88 </w:t>
      </w:r>
      <w:r>
        <w:rPr>
          <w:i/>
          <w:iCs/>
        </w:rPr>
        <w:t>infra</w:t>
      </w:r>
      <w:r>
        <w:t>)</w:t>
      </w:r>
      <w:r>
        <w:rPr>
          <w:rStyle w:val="FootnoteReference"/>
        </w:rPr>
        <w:footnoteReference w:id="1"/>
      </w:r>
      <w:r>
        <w:t>.</w:t>
      </w:r>
    </w:p>
    <w:p w:rsidR="00000000" w:rsidRDefault="00000000">
      <w:pPr>
        <w:spacing w:after="240"/>
        <w:rPr>
          <w:b/>
          <w:bCs/>
        </w:rPr>
      </w:pPr>
      <w:r>
        <w:rPr>
          <w:b/>
          <w:bCs/>
        </w:rPr>
        <w:t>El respeto a la opinión del niño (artículo 12)</w:t>
      </w:r>
    </w:p>
    <w:p w:rsidR="00000000" w:rsidRDefault="00000000">
      <w:pPr>
        <w:spacing w:after="240"/>
      </w:pPr>
      <w:r>
        <w:t>12.</w:t>
      </w:r>
      <w:r>
        <w:tab/>
        <w:t xml:space="preserve">El derecho del niño a expresar su opinión libremente sobre todos los asuntos que le afecten se respetará y hará efectivo plenamente en cada etapa del proceso de la justicia de menores (véanse párrafos 43 a 45 </w:t>
      </w:r>
      <w:r>
        <w:rPr>
          <w:i/>
          <w:iCs/>
        </w:rPr>
        <w:t>infra</w:t>
      </w:r>
      <w:r>
        <w:t>).  El Comité observa que las opiniones de los niños involucrados en el sistema de justicia de menores se está convirtiendo cada vez más en una fuerza poderosa de mejora y reforma y para el disfrute de sus derechos.</w:t>
      </w:r>
    </w:p>
    <w:p w:rsidR="00000000" w:rsidRDefault="00000000">
      <w:pPr>
        <w:spacing w:after="240"/>
        <w:rPr>
          <w:b/>
          <w:bCs/>
        </w:rPr>
      </w:pPr>
      <w:r>
        <w:rPr>
          <w:b/>
          <w:bCs/>
        </w:rPr>
        <w:t>Dignidad (artículo 40 1)</w:t>
      </w:r>
    </w:p>
    <w:p w:rsidR="00000000" w:rsidRDefault="00000000">
      <w:pPr>
        <w:spacing w:after="240"/>
      </w:pPr>
      <w:r>
        <w:t>13.</w:t>
      </w:r>
      <w:r>
        <w:tab/>
        <w:t>La Convención contiene un conjunto de principios fundamentales relativos al trato que debe darse a los niños que tienen conflictos con la justicia:</w:t>
      </w:r>
    </w:p>
    <w:p w:rsidR="00000000" w:rsidRDefault="00000000">
      <w:pPr>
        <w:spacing w:after="240"/>
        <w:ind w:left="924" w:hanging="357"/>
      </w:pPr>
      <w:r>
        <w:t>-</w:t>
      </w:r>
      <w:r>
        <w:tab/>
      </w:r>
      <w:r>
        <w:rPr>
          <w:i/>
          <w:iCs/>
        </w:rPr>
        <w:t>Un trato acorde con el sentido de la dignidad y el valor del niño</w:t>
      </w:r>
      <w:r>
        <w:t>.  Este principio se inspira en el derecho humano fundamental proclamado en el artículo 1 de la Declaración Universal de Derechos Humanos, en el sentido de que todos los seres humanos nacen libres e iguales en dignidad y derechos.  Este derecho inherente a la dignidad y el valor, al que se hace referencia expresa en el preámbulo de la Convención, debe respetarse y protegerse durante todo el proceso de la justicia de menores, desde el primer contacto con los organismos encargados de hacer cumplir la ley hasta la ejecución de todas las medidas en relación con el niño.</w:t>
      </w:r>
    </w:p>
    <w:p w:rsidR="00000000" w:rsidRDefault="00000000">
      <w:pPr>
        <w:spacing w:after="240"/>
        <w:ind w:left="924" w:hanging="357"/>
      </w:pPr>
      <w:r>
        <w:t>-</w:t>
      </w:r>
      <w:r>
        <w:tab/>
      </w:r>
      <w:r>
        <w:rPr>
          <w:i/>
          <w:iCs/>
        </w:rPr>
        <w:t>Un trato que fortalezca el respeto del niño por los derechos humanos y las libertades de terceros</w:t>
      </w:r>
      <w:r>
        <w:t xml:space="preserve">.  Este principio está en armonía con la consideración que figura en el preámbulo de que el niño debe ser educado en el espíritu de los ideales proclamados en la Carta de las Naciones Unidas.  También significa que, dentro del sistema de la justicia de menores, el trato y la educación de los niños debe orientarse a fomentar el respeto por los derechos humanos y las libertades (artículo 29 1 b) de la Convención y Observación general Nº 1 sobre los objetivos de la educación).  Es indudable que este principio requiere el pleno respeto y la aplicación de las garantías de un juicio justo, según se reconoce en el párrafo 2 del artículo 40 (véanse párrafos 40 a 67 </w:t>
      </w:r>
      <w:r>
        <w:rPr>
          <w:i/>
          <w:iCs/>
        </w:rPr>
        <w:t>infra</w:t>
      </w:r>
      <w:r>
        <w:t>).  Si los principales agentes de la justicia de menores, a saber los policías, los fiscales, los jueces y los funcionarios encargados de la libertad vigilada, no respetan plenamente y protegen esas garantías, ¿cómo pueden esperar que con ese mal ejemplo el niño respete los derechos humanos y las libertades fundamentales de terceros?</w:t>
      </w:r>
    </w:p>
    <w:p w:rsidR="00000000" w:rsidRDefault="00000000">
      <w:pPr>
        <w:spacing w:after="240"/>
        <w:ind w:left="924" w:hanging="357"/>
      </w:pPr>
      <w:r>
        <w:t>-</w:t>
      </w:r>
      <w:r>
        <w:tab/>
      </w:r>
      <w:r>
        <w:rPr>
          <w:i/>
          <w:iCs/>
        </w:rPr>
        <w:t>Un trato en el que se tenga en cuenta la edad del niño y se fomente su reintegración y el desempeño de una función constructiva en la sociedad</w:t>
      </w:r>
      <w:r>
        <w:t>.  Este principio se debe aplicar, observar y respetar durante todo el proceso de trato con el niño, desde el primer contacto con los organismos encargados de hacer cumplir la ley hasta la ejecución de todas las medidas en relación con el niño.  Todo el personal encargado de la administración de la justicia de menores debe tener en cuenta el desarrollo del niño, el crecimiento dinámico y constante de éste, qué es apropiado para su bienestar, y las múltiples formas de violencia contra el niño.</w:t>
      </w:r>
    </w:p>
    <w:p w:rsidR="00000000" w:rsidRDefault="00000000">
      <w:pPr>
        <w:spacing w:after="240"/>
        <w:ind w:left="924" w:hanging="357"/>
      </w:pPr>
      <w:r>
        <w:t>-</w:t>
      </w:r>
      <w:r>
        <w:tab/>
      </w:r>
      <w:r>
        <w:rPr>
          <w:i/>
          <w:iCs/>
        </w:rPr>
        <w:t>El respeto de la dignidad del niño requiere la prohibición y prevención de todas las formas de violencia en el trato de los niños que estén en conflicto con la justicia</w:t>
      </w:r>
      <w:r>
        <w:t>.  Los informes recibidos por el Comité indican que hay violencia en todas las etapas del proceso de la justicia de menores:  en el primer contacto con la policía, durante la detención preventiva, y durante la permanencia en centros de tratamiento y de otro tipo en los que se interna a los niños sobre los que ha recaído una sentencia de condena a la privación de libertad.  El Comité insta a los Estados Partes a que adopten medidas eficaces para prevenir esa violencia y velar por que se enjuicie a los autores y se apliquen efectivamente las recomendaciones formuladas en el informe de las Naciones Unidas relativo al estudio de la violencia contra los niños, que presentó a la Asamblea General en octubre de 2006 (A/61/299).</w:t>
      </w:r>
    </w:p>
    <w:p w:rsidR="00000000" w:rsidRDefault="00000000">
      <w:pPr>
        <w:spacing w:after="240"/>
      </w:pPr>
      <w:r>
        <w:t>14.</w:t>
      </w:r>
      <w:r>
        <w:tab/>
        <w:t>El Comité reconoce que la preservación de la seguridad pública es un objetivo legítimo del sistema judicial.  Sin embargo, considera que la mejor forma de lograr ese objetivo consiste en respetar plenamente y aplicar los principios básicos y fundamentales de la justicia de menores proclamados en la Convención.</w:t>
      </w:r>
    </w:p>
    <w:p w:rsidR="00000000" w:rsidRDefault="00000000">
      <w:pPr>
        <w:spacing w:before="480" w:after="240"/>
        <w:ind w:left="397" w:hanging="397"/>
        <w:jc w:val="center"/>
        <w:rPr>
          <w:b/>
          <w:bCs/>
        </w:rPr>
      </w:pPr>
      <w:r>
        <w:rPr>
          <w:b/>
          <w:bCs/>
        </w:rPr>
        <w:t>IV.  LA JUSTICIA DE MENORES:  ELEMENTOS BÁSICOS</w:t>
      </w:r>
      <w:r>
        <w:rPr>
          <w:b/>
          <w:bCs/>
        </w:rPr>
        <w:br/>
        <w:t>DE UNA POLÍTICA GENERAL</w:t>
      </w:r>
    </w:p>
    <w:p w:rsidR="00000000" w:rsidRDefault="00000000">
      <w:pPr>
        <w:spacing w:after="240"/>
      </w:pPr>
      <w:r>
        <w:t>15.</w:t>
      </w:r>
      <w:r>
        <w:tab/>
        <w:t>Una política general de justicia de menores debe abarcar las siguientes cuestiones básicas:  prevención de la delincuencia juvenil; intervenciones que no supongan el recurso a procedimientos judiciales e intervenciones en el contexto de las actuaciones judiciales; edad mínima a efectos de responsabilidad penal y límites de edad superiores para la justicia de menores; garantías de un juicio imparcial; y privación de libertad, incluida la detención preventiva y la prisión posterior a la condena.</w:t>
      </w:r>
    </w:p>
    <w:p w:rsidR="00000000" w:rsidRDefault="00000000">
      <w:pPr>
        <w:spacing w:after="240"/>
        <w:jc w:val="center"/>
        <w:rPr>
          <w:b/>
          <w:bCs/>
        </w:rPr>
      </w:pPr>
      <w:r>
        <w:rPr>
          <w:b/>
          <w:bCs/>
        </w:rPr>
        <w:t>A.  Prevención de la delincuencia juvenil</w:t>
      </w:r>
    </w:p>
    <w:p w:rsidR="00000000" w:rsidRDefault="00000000">
      <w:pPr>
        <w:spacing w:after="240"/>
      </w:pPr>
      <w:r>
        <w:t>16.</w:t>
      </w:r>
      <w:r>
        <w:tab/>
        <w:t>Uno de los objetivos más importantes de la aplicación de la Convención es promover el desarrollo pleno y armonioso de la personalidad, las aptitudes y la capacidad mental y física del niño (preámbulo y arts. 6 y 29).  Debe prepararse al niño para asumir una vida individual y responsable en una sociedad libre (preámbulo y art. 29), en la que pueda desempeñar una función constructiva con respecto a los derechos humanos y las  libertades fundamentales (arts. 29 y 40).  A este respecto, los padres tienen la responsabilidad de impartir al niño, en consonancia con la evolución de sus facultades, dirección y orientación apropiadas para que el niño ejerza los derechos reconocidos en la Convención.  Teniendo en cuenta estas y otras disposiciones de la Convención, evidentemente no es conforme al interés superior del niño su crianza en condiciones que supongan un mayor o grave riesgo de que se vea involucrado en actividades delictivas.  Deben adoptarse diversas medidas para el ejercicio pleno y en condiciones de igualdad de los derechos a un nivel de vida adecuado (art. 27), al disfrute del más alto nivel posible de salud y de atención sanitaria (art. 24), a la educación (arts. 28 y 29), a la protección contra toda forma de violencia, perjuicio o abuso físico o mental (art. 19) y explotación económica o sexual (arts. 32 y 34), así como a otros servicios apropiados de atención o protección de la infancia.</w:t>
      </w:r>
    </w:p>
    <w:p w:rsidR="00000000" w:rsidRDefault="00000000">
      <w:pPr>
        <w:spacing w:after="240"/>
      </w:pPr>
      <w:r>
        <w:t>17.</w:t>
      </w:r>
      <w:r>
        <w:tab/>
        <w:t>Como se ha señalado más arriba, una política de justicia de menores que no vaya acompañada de un conjunto de medidas destinadas a prevenir la delincuencia juvenil comporta graves limitaciones.  Los Estados Partes deben incorporar en su política nacional general de justicia de menores las Directrices de las Naciones Unidas para la prevención de la delincuencia juvenil (Directrices de Riad), aprobadas por la Asamblea General en su resolución 45/112, de 14 de diciembre de 1990.</w:t>
      </w:r>
    </w:p>
    <w:p w:rsidR="00000000" w:rsidRDefault="00000000">
      <w:pPr>
        <w:spacing w:after="240"/>
      </w:pPr>
      <w:r>
        <w:t>18.</w:t>
      </w:r>
      <w:r>
        <w:tab/>
        <w:t xml:space="preserve">El Comité apoya plenamente las Directrices de Riad y conviene en que debe prestarse especial atención a las políticas de prevención que favorezcan la socialización e integración de todos los niños, en particular en el marco de la familia, la comunidad, los grupos de jóvenes que se encuentran en condiciones similares, la escuela, la formación profesional y el medio laboral, así como mediante la acción de organizaciones voluntarias.  Esto significa, entre otras cosas, que en los programas de prevención debe otorgarse atención prioritaria a la prestación de apoyo a las familias más vulnerables, a la enseñanza de los valores básicos en las escuelas (en particular, la facilitación de información sobre los derechos y los deberes de los niños y los padres reconocidos por la ley) y la prestación de un cuidado y atención especiales a los jóvenes que están en situación de riesgo.  A este respecto, también debe concederse atención especial a los niños que abandonan los estudios o que no completan su educación.  Se recomienda utilizar el apoyo de grupos de jóvenes que se encuentren en condiciones similares y una activa participación de los padres.  Los Estados Partes también deberán establecer servicios y programas de carácter comunitario que respondan a las necesidades, problemas, intereses e inquietudes especiales de los niños, en particular de los que tienen continuos conflictos con la justicia, y que ofrezcan asesoramiento y orientación adecuados a sus familias. </w:t>
      </w:r>
    </w:p>
    <w:p w:rsidR="00000000" w:rsidRDefault="00000000">
      <w:pPr>
        <w:spacing w:after="240"/>
      </w:pPr>
      <w:r>
        <w:t>19.</w:t>
      </w:r>
      <w:r>
        <w:tab/>
        <w:t>Los artículos 18 y 27 de la Convención confirman la importancia de la responsabilidad de los padres en lo que respecta a la crianza de sus hijos, aunque al mismo tiempo se requiere que los Estados Partes presten la asistencia necesaria a los padres (u otras personas encargadas del cuidado de los niños) en el cumplimiento de sus responsabilidades parentales.  Las medidas de asistencia no deberán concentrarse únicamente en la prevención de situaciones negativas, sino también y sobre todo en la promoción del potencial social de los padres.  Se dispone de mucha información sobre los programas de prevención basados en el hogar y la familia, por ejemplo los programas de capacitación de los padres, los que tienen por finalidad aumentar la interacción padres</w:t>
      </w:r>
      <w:r>
        <w:noBreakHyphen/>
        <w:t>hijos y los programas de visitas a los hogares, que pueden iniciarse cuando el niño es aún muy pequeño.  Además, se ha observado que existe una correlación entre la educación de los niños desde una edad temprana y una tasa más baja de violencia y delincuencia en el futuro.  A nivel de la comunidad, se han obtenido resultados positivos en programas como Communities that Care (Comunidades que se preocupan), una estrategia de prevención centrada en los riesgos.</w:t>
      </w:r>
    </w:p>
    <w:p w:rsidR="00000000" w:rsidRDefault="00000000">
      <w:pPr>
        <w:spacing w:after="240"/>
      </w:pPr>
      <w:r>
        <w:t>20.</w:t>
      </w:r>
      <w:r>
        <w:tab/>
        <w:t>Los Estados Partes deben promover y apoyar firmemente la participación tanto de los niños, de acuerdo con el artículo 12 de la Convención, como de los padres, los dirigentes de la comunidad y otros agentes importantes (por ejemplo, los representantes de ONG, los servicios de libertad vigilada y los asistentes sociales) en la elaboración y ejecución de programas de prevención.  La calidad de esa participación es un factor decisivo para el éxito de los programas.</w:t>
      </w:r>
    </w:p>
    <w:p w:rsidR="00000000" w:rsidRDefault="00000000">
      <w:pPr>
        <w:spacing w:after="240"/>
      </w:pPr>
      <w:r>
        <w:t>21.</w:t>
      </w:r>
      <w:r>
        <w:tab/>
        <w:t>El Comité recomienda que los Estados Partes recaben el apoyo y el asesoramiento del Grupo interinstitucional de coordinación sobre la justicia de menores para elaborar programas de prevención eficaces.</w:t>
      </w:r>
    </w:p>
    <w:p w:rsidR="00000000" w:rsidRDefault="00000000">
      <w:pPr>
        <w:spacing w:after="240"/>
        <w:jc w:val="center"/>
        <w:rPr>
          <w:b/>
          <w:bCs/>
        </w:rPr>
      </w:pPr>
      <w:r>
        <w:rPr>
          <w:b/>
          <w:bCs/>
        </w:rPr>
        <w:t xml:space="preserve">B.  Intervenciones/remisión de casos (véase también la sección E </w:t>
      </w:r>
      <w:r>
        <w:rPr>
          <w:b/>
          <w:bCs/>
          <w:i/>
          <w:iCs/>
        </w:rPr>
        <w:t>infra</w:t>
      </w:r>
      <w:r>
        <w:rPr>
          <w:b/>
          <w:bCs/>
        </w:rPr>
        <w:t>)</w:t>
      </w:r>
    </w:p>
    <w:p w:rsidR="00000000" w:rsidRDefault="00000000">
      <w:pPr>
        <w:spacing w:after="240"/>
      </w:pPr>
      <w:r>
        <w:t>22.</w:t>
      </w:r>
      <w:r>
        <w:tab/>
        <w:t>Las autoridades estatales pueden adoptar dos tipos de medidas en relación con los niños de quienes se alegue que han infringido las leyes penales o a quienes se acuse o declare culpables de haber infringido esas leyes:  medidas que no supongan el recurso a procedimientos judiciales y medidas en el contexto de un proceso judicial.  El Comité recuerda a los Estados Partes que deben tener sumo cuidado en velar por que se respeten plenamente y protejan los derechos humanos del niño y las garantías legales.</w:t>
      </w:r>
    </w:p>
    <w:p w:rsidR="00000000" w:rsidRDefault="00000000">
      <w:pPr>
        <w:spacing w:after="240"/>
        <w:rPr>
          <w:lang w:val="es-ES_tradnl"/>
        </w:rPr>
      </w:pPr>
      <w:r>
        <w:t>23.</w:t>
      </w:r>
      <w:r>
        <w:tab/>
        <w:t xml:space="preserve">Los niños que tienen conflictos con la justicia, incluidos los reincidentes, tienen derecho a recibir un trato que promueva su reintegración y el desempeño de una función constructiva en la sociedad (artículos 40 1 de la Convención).  La detención, el encarcelamiento o la prisión de un niño se utilizará tan sólo como medida de último recurso (art. 37 b)).  Por tanto, es necesario desarrollar y aplicar, en el marco de una </w:t>
      </w:r>
      <w:r>
        <w:rPr>
          <w:lang w:val="es-ES_tradnl"/>
        </w:rPr>
        <w:t>política general de justicia de menores, diversas medidas que aseguren que los niños sean tratados de manera apropiada para su bienestar y que guarde proporción tanto con sus circunstancias como con la infracción cometida.  Tales medidas comprenden el cuidado, la orientación y supervisión, el asesoramiento, la libertad vigilada, la colocación en hogares de guarda, los programas de enseñanza y formación profesional y otras posibilidades alternativas a la internación en instituciones (art. 40 4).</w:t>
      </w:r>
    </w:p>
    <w:p w:rsidR="00000000" w:rsidRDefault="00000000">
      <w:pPr>
        <w:spacing w:after="240"/>
        <w:rPr>
          <w:b/>
          <w:bCs/>
          <w:lang w:val="es-ES_tradnl"/>
        </w:rPr>
      </w:pPr>
      <w:r>
        <w:rPr>
          <w:b/>
          <w:bCs/>
          <w:lang w:val="es-ES_tradnl"/>
        </w:rPr>
        <w:t>Intervenciones sin recurrir a procedimientos judiciales</w:t>
      </w:r>
    </w:p>
    <w:p w:rsidR="00000000" w:rsidRDefault="00000000">
      <w:pPr>
        <w:spacing w:after="240"/>
        <w:rPr>
          <w:lang w:val="es-ES_tradnl"/>
        </w:rPr>
      </w:pPr>
      <w:r>
        <w:rPr>
          <w:lang w:val="es-ES_tradnl"/>
        </w:rPr>
        <w:t>24.</w:t>
      </w:r>
      <w:r>
        <w:rPr>
          <w:lang w:val="es-ES_tradnl"/>
        </w:rPr>
        <w:tab/>
        <w:t>De acuerdo con los establecido en el párrafo 3 del artículo 40 de la Convención, los Estados Partes tratarán de promover medidas en relación con los niños de quienes se alegue que han infringido las leyes penales o a quienes se acuse o declare culpables de haber infringido esas leyes que no supongan un recurso a procedimientos judiciales, siempre que sea apropiado y deseable.  Teniendo en cuenta que la mayoría de los niños delincuentes sólo cometen delitos leves, deberán estar previstas una serie de medidas que entrañen la supresión del procedimiento penal o de justicia de menores y la reorientación hacia servicios sustitutorios (sociales) (es decir, remisión de casos), que pueden y deben adoptarse en la mayoría de los casos.</w:t>
      </w:r>
    </w:p>
    <w:p w:rsidR="00000000" w:rsidRDefault="00000000">
      <w:pPr>
        <w:spacing w:after="240"/>
        <w:rPr>
          <w:lang w:val="es-ES_tradnl"/>
        </w:rPr>
      </w:pPr>
      <w:r>
        <w:rPr>
          <w:lang w:val="es-ES_tradnl"/>
        </w:rPr>
        <w:t>25.</w:t>
      </w:r>
      <w:r>
        <w:rPr>
          <w:lang w:val="es-ES_tradnl"/>
        </w:rPr>
        <w:tab/>
        <w:t>El Comité opina que es obligación de los Estados Partes promover la adopción de medidas en relación con los niños que tienen conflictos con la justicia que no supongan el recurso a procedimientos judiciales, si bien esa obligación no se limita a los niños que cometan delitos leves, como el hurto en negocios u otros delitos contra la propiedad de menor cuantía, o a los menores que cometan un delito por primera vez.  Las estadísticas provenientes de muchos Estados Partes indican que una gran proporción, y a menudo la mayoría, de los delitos cometidos por niños entran dentro de esas categorías.  De acuerdo con los principios enunciados en el párrafo 1 del artículo 40 de la Convención, es preciso tratar todos esos casos sin recurrir a los procedimientos judiciales de la legislación penal.  Además de evitar la estigmatización, este criterio es positivo tanto para los niños como para la seguridad pública, y resulta más económico.</w:t>
      </w:r>
    </w:p>
    <w:p w:rsidR="00000000" w:rsidRDefault="00000000">
      <w:pPr>
        <w:spacing w:after="240"/>
        <w:rPr>
          <w:lang w:val="es-ES_tradnl"/>
        </w:rPr>
      </w:pPr>
      <w:r>
        <w:rPr>
          <w:lang w:val="es-ES_tradnl"/>
        </w:rPr>
        <w:t>26.</w:t>
      </w:r>
      <w:r>
        <w:rPr>
          <w:lang w:val="es-ES_tradnl"/>
        </w:rPr>
        <w:tab/>
        <w:t>Los Estados Partes deben adoptar medidas en relación con los niños que tienen conflictos con la justicia sin recurrir a procedimientos judiciales en el marco de su sistema de justicia de menores, velando por que se respeten plenamente y protejan los derechos humanos de los niños y las garantías legales (art. 40 3 b)).</w:t>
      </w:r>
    </w:p>
    <w:p w:rsidR="00000000" w:rsidRDefault="00000000">
      <w:pPr>
        <w:spacing w:after="240"/>
        <w:rPr>
          <w:lang w:val="es-ES_tradnl"/>
        </w:rPr>
      </w:pPr>
      <w:r>
        <w:rPr>
          <w:lang w:val="es-ES_tradnl"/>
        </w:rPr>
        <w:t>27.</w:t>
      </w:r>
      <w:r>
        <w:rPr>
          <w:lang w:val="es-ES_tradnl"/>
        </w:rPr>
        <w:tab/>
        <w:t>Queda a la discreción de los Estados Partes decidir la naturaleza y el contenido exactos de las medidas que deben adoptarse para tratar a los niños que tienen conflictos con la justicia sin recurrir a procedimientos judiciales, y adoptar las medidas legislativas y de otro tipo que sean precisas para su aplicación.  Sin embargo, de acuerdo con la información contenida en los informes de los Estados Partes, es indudable que se han elaborado diversos programas basados en la comunidad, por ejemplo el servicio, la supervisión y la orientación comunitarios a cargo, por ejemplo, de asistentes sociales o de agentes de la libertad vigilada, conferencias de familia y otras formas de justicia restitutiva, en particular el resarcimiento y la indemnización de las víctimas.  Otros Estados Partes deberían beneficiarse de estas experiencias.  Por lo que respecta al pleno respeto de los derechos humanos y las garantías legales, el Comité se remite a las partes correspondientes del artículo 40 de la Convención y hace hincapié en lo siguiente:</w:t>
      </w:r>
    </w:p>
    <w:p w:rsidR="00000000" w:rsidRDefault="00000000">
      <w:pPr>
        <w:spacing w:after="240"/>
        <w:ind w:left="924" w:hanging="357"/>
        <w:rPr>
          <w:lang w:val="es-ES_tradnl"/>
        </w:rPr>
      </w:pPr>
      <w:r>
        <w:rPr>
          <w:lang w:val="es-ES_tradnl"/>
        </w:rPr>
        <w:t>-</w:t>
      </w:r>
      <w:r>
        <w:rPr>
          <w:lang w:val="es-ES_tradnl"/>
        </w:rPr>
        <w:tab/>
        <w:t>La remisión de casos (es decir, medidas para trata a los niños de quienes se alegue que han infringido las leyes penales o a quienes se acuse o declare culpables de haber infringido esas leyes sin recurrir a procedimientos judiciales) sólo deberá utilizarse cuando se disponga de pruebas fehacientes de que el niño ha cometido el delito del que se le acusa, de que ha admitido libre y voluntariamente su responsabilidad, de que no se ha ejercido intimidación o presión sobre él para obtener esa admisión y, por último, de que la admisión no se utilizará contra él en ningún procedimiento legal ulterior.</w:t>
      </w:r>
    </w:p>
    <w:p w:rsidR="00000000" w:rsidRDefault="00000000">
      <w:pPr>
        <w:spacing w:after="240"/>
        <w:ind w:left="924" w:hanging="357"/>
      </w:pPr>
      <w:r>
        <w:t>-</w:t>
      </w:r>
      <w:r>
        <w:tab/>
        <w:t>El niño debe dar libre y voluntariamente su consentimiento por escrito a la remisión del caso, y el consentimiento deberá basarse en información adecuada y específica sobre la naturaleza, el contenido y la duración de la medida, y también sobre las consecuencias si no coopera en la ejecución de ésta.  Con el fin de lograr una mayor participación de los padres, los Estados Partes también pueden considerar la posibilidad de exigir el consentimiento de los padres, en particular cuando el niño tenga menos de 16 años.</w:t>
      </w:r>
    </w:p>
    <w:p w:rsidR="00000000" w:rsidRDefault="00000000">
      <w:pPr>
        <w:spacing w:after="240"/>
        <w:ind w:left="924" w:hanging="357"/>
      </w:pPr>
      <w:r>
        <w:t>-</w:t>
      </w:r>
      <w:r>
        <w:tab/>
        <w:t>La legislación debe contener indicaciones concretas de cuándo es posible la remisión de casos, y deberán regularse y revisarse las facultades de la policía, los fiscales y otros organismos para adoptar decisiones a este respecto, en particular para proteger al niño de toda discriminación.</w:t>
      </w:r>
    </w:p>
    <w:p w:rsidR="00000000" w:rsidRDefault="00000000">
      <w:pPr>
        <w:spacing w:after="240"/>
        <w:ind w:left="924" w:hanging="357"/>
      </w:pPr>
      <w:r>
        <w:t>-</w:t>
      </w:r>
      <w:r>
        <w:tab/>
        <w:t>Debe darse al niño la oportunidad de recibir asesoramiento jurídico y de otro tipo apropiado acerca de la conveniencia e idoneidad de la remisión de su caso ofrecida por las autoridades competentes y sobre la posibilidad de revisión de la medida.</w:t>
      </w:r>
    </w:p>
    <w:p w:rsidR="00000000" w:rsidRDefault="00000000">
      <w:pPr>
        <w:spacing w:after="240"/>
        <w:ind w:left="924" w:hanging="357"/>
      </w:pPr>
      <w:r>
        <w:t>-</w:t>
      </w:r>
      <w:r>
        <w:tab/>
        <w:t>La remisión efectiva de un niño deberá suponer el cierre definitivo del caso.  Aunque podrá mantenerse un expediente confidencial de la remisión con fines administrativos y de examen, no deberá considerarse un "registro de antecedentes penales", y no deberá equipararse la remisión anterior de un caso a una condena.  Si se inscribe este hecho en el registro, sólo deberá permitirse el acceso a esa información y por un período de tiempo limitado, por ejemplo, un año como máximo, a las autoridades competentes que se ocupan de los niños que tienen conflictos con la justicia.</w:t>
      </w:r>
    </w:p>
    <w:p w:rsidR="00000000" w:rsidRDefault="00000000">
      <w:pPr>
        <w:keepNext/>
        <w:spacing w:after="240"/>
        <w:rPr>
          <w:b/>
          <w:bCs/>
        </w:rPr>
      </w:pPr>
      <w:r>
        <w:rPr>
          <w:b/>
          <w:bCs/>
        </w:rPr>
        <w:t>Intervenciones en el contexto de procedimientos judiciales</w:t>
      </w:r>
    </w:p>
    <w:p w:rsidR="00000000" w:rsidRDefault="00000000">
      <w:pPr>
        <w:spacing w:after="240"/>
      </w:pPr>
      <w:r>
        <w:t>28.</w:t>
      </w:r>
      <w:r>
        <w:tab/>
        <w:t>Cuando la autoridad competente (por lo general la fiscalía) inicia un procedimiento judicial, deben aplicarse los principios de un juicio imparcial y equitativo (véase sección D </w:t>
      </w:r>
      <w:r>
        <w:rPr>
          <w:i/>
          <w:iCs/>
        </w:rPr>
        <w:t>infra</w:t>
      </w:r>
      <w:r>
        <w:t>).  Al mismo tiempo, el sistema de la justicia de menores debe ofrecer amplias oportunidades para tratar a los niños que tienen conflictos con la justicia con medidas sociales y/o educativas, y limitar de manera estricta el recurso a la privación de libertad, en particular la detención preventiva, como medida de último recurso.  En la fase decisoria del procedimiento, la privación de libertad deberá ser exclusivamente una medida de último recurso y que dure el período más breve que proceda (art. 37 b)).  Esto significa que los Estados Partes deben tener un servicio competente de libertad vigilada que permita recurrir en la mayor medida y con la mayor eficacia posibles a medidas como las órdenes de orientación y supervisión, la libertad vigilada, el seguimiento comunitario o los centros de presentación diaria obligatoria, y la posibilidad de una puesta anticipada en libertad.</w:t>
      </w:r>
    </w:p>
    <w:p w:rsidR="00000000" w:rsidRDefault="00000000">
      <w:pPr>
        <w:spacing w:after="240"/>
      </w:pPr>
      <w:r>
        <w:t>29.</w:t>
      </w:r>
      <w:r>
        <w:tab/>
        <w:t>El Comité recuerda a los Estados Partes que, de conformidad con lo establecido en el párrafo 1 del artículo 40 de la Convención, la reintegración requiere que no se adopten medidas que puedan dificultar la plena participación del niño en su comunidad, por ejemplo la estigmatización, el aislamiento social o una publicidad negativa.  Para que el trato de un niño que tenga conflictos con la justicia promueva su reintegración se requiere que todas las medidas propicien que el niño se convierta en un miembro de pleno derecho de la sociedad a la que pertenece y desempeñe una función constructiva en ella.</w:t>
      </w:r>
    </w:p>
    <w:p w:rsidR="00000000" w:rsidRDefault="00000000">
      <w:pPr>
        <w:spacing w:after="240"/>
        <w:jc w:val="center"/>
        <w:rPr>
          <w:b/>
          <w:bCs/>
        </w:rPr>
      </w:pPr>
      <w:r>
        <w:rPr>
          <w:b/>
          <w:bCs/>
        </w:rPr>
        <w:t>C.  La edad de los niños que tienen conflictos con la justicia</w:t>
      </w:r>
    </w:p>
    <w:p w:rsidR="00000000" w:rsidRDefault="00000000">
      <w:pPr>
        <w:spacing w:after="240"/>
        <w:rPr>
          <w:b/>
          <w:bCs/>
        </w:rPr>
      </w:pPr>
      <w:r>
        <w:rPr>
          <w:b/>
          <w:bCs/>
        </w:rPr>
        <w:t>Edad mínima a efectos de responsabilidad penal</w:t>
      </w:r>
    </w:p>
    <w:p w:rsidR="00000000" w:rsidRDefault="00000000">
      <w:pPr>
        <w:spacing w:after="240"/>
      </w:pPr>
      <w:r>
        <w:t>30.</w:t>
      </w:r>
      <w:r>
        <w:tab/>
        <w:t>Los informes presentados por los Estados Partes ponen de manifiesto la existencia de un amplio margen de edades mínimas a efectos de responsabilidad penal.  Varían desde un nivel muy bajo de 7 u 8 años hasta un encomiable máximo de 14 ó 16 años.  En un número bastante considerable de Estados Partes hay dos edades mínimas a efectos de responsabilidad penal.  Se considerará que los niños que tienen conflictos con la justicia que en el momento de la comisión del delito tuvieran una edad igual o superior a la edad mínima menor, pero inferior a la edad mínima mayor, incurren en responsabilidad penal únicamente si han alcanzado la madurez requerida a ese respecto.  La evaluación de la madurez incumbe al tribunal/magistrado, a menudo sin necesidad de recabar la opinión de un psicólogo, y en la práctica suele resultar en la aplicación de la edad mínima inferior en caso de delito grave.  El sistema de dos edades mínimas a menudo no sólo crea confusión, sino que deja amplias facultades discrecionales al tribunal/juez, que pueden comportar prácticas discriminatorias.  Teniendo en cuenta este amplio margen de edades mínimas a efectos de responsabilidad penal, el Comité considera que es necesario ofrecer a los Estados Partes orientación y recomendaciones claras con respecto a la mayoría de edad penal.</w:t>
      </w:r>
    </w:p>
    <w:p w:rsidR="00000000" w:rsidRDefault="00000000">
      <w:pPr>
        <w:spacing w:after="240"/>
      </w:pPr>
      <w:r>
        <w:t>31.</w:t>
      </w:r>
      <w:r>
        <w:tab/>
        <w:t>En el párrafo 3 del artículo 40 de la Convención se dispone que los Estados Partes deberán tratar de promover, entre otras cosas, el establecimiento de una edad mínima antes de la cual se presumirá que los niños no tienen capacidad para infringir las leyes penales, pero no menciona una edad mínima concreta a ese respecto.  El Comité entiende que esa disposición crea la obligación para los Estados Partes de establecer una edad mínima a efectos de responsabilidad penal (EMRP).  Esa edad mínima significa lo siguiente:</w:t>
      </w:r>
    </w:p>
    <w:p w:rsidR="00000000" w:rsidRDefault="00000000">
      <w:pPr>
        <w:spacing w:after="240"/>
        <w:ind w:left="924" w:hanging="357"/>
      </w:pPr>
      <w:r>
        <w:t>-</w:t>
      </w:r>
      <w:r>
        <w:tab/>
        <w:t>Los niños que cometen un delito cuando todavía no han cumplido esa edad mínima no podrán considerarse responsables en un procedimiento penal.  Incluso niños (muy) jóvenes tienen la capacidad de infringir la ley penal, pero si cometen un delito antes de la EMRP el presupuesto irrefutable es que no pueden ser formalmente acusados ni considerárseles responsables en un procedimiento penal.  Si es necesario, podrán adoptarse medidas especiales de protección en el interés superior de esos niños.</w:t>
      </w:r>
    </w:p>
    <w:p w:rsidR="00000000" w:rsidRDefault="00000000">
      <w:pPr>
        <w:spacing w:after="240"/>
        <w:ind w:left="924" w:hanging="357"/>
      </w:pPr>
      <w:r>
        <w:t>-</w:t>
      </w:r>
      <w:r>
        <w:tab/>
        <w:t xml:space="preserve">Los niños que tengan la EMRP en el momento de la comisión de un delito (o infracción de la legislación penal), pero tengan menos de 18 años (véanse también los párrafos 35 a 38 </w:t>
      </w:r>
      <w:r>
        <w:rPr>
          <w:i/>
          <w:iCs/>
        </w:rPr>
        <w:t>infra</w:t>
      </w:r>
      <w:r>
        <w:t>), podrán ser objeto de una acusación formal y ser sometidos a un procedimiento penal.  Sin embargo, estos procedimientos, incluido el resultado final, deben estar plenamente en armonía con los principios y disposiciones de la Convención, según se expresa en la presente observación general.</w:t>
      </w:r>
    </w:p>
    <w:p w:rsidR="00000000" w:rsidRDefault="00000000">
      <w:pPr>
        <w:spacing w:after="240"/>
      </w:pPr>
      <w:r>
        <w:t>32.</w:t>
      </w:r>
      <w:r>
        <w:tab/>
        <w:t>En la regla 4 de las Reglas de Beijing se recomienda que el comienzo de la EMRP no deberá fijarse a una edad demasiado temprana, habida cuenta de las circunstancias que acompañan la madurez emocional, mental e intelectual.  De acuerdo con esa disposición, el Comité ha recomendado a los Estados Partes que no fijen una EMRP demasiado temprana y que si lo han hecho la eleven hasta un nivel internacionalmente aceptable.  Teniendo en cuenta estas recomendaciones, cabe llegar a la conclusión de que el establecimiento de una edad mínima a efectos de responsabilidad penal inferior a 12 años no es internacionalmente aceptable para el Comité.  Se alienta a los Estados Partes a elevar su EMRP a los 12 años como edad mínima absoluta y que sigan elevándola.</w:t>
      </w:r>
    </w:p>
    <w:p w:rsidR="00000000" w:rsidRDefault="00000000">
      <w:pPr>
        <w:spacing w:after="240"/>
      </w:pPr>
      <w:r>
        <w:t>33.</w:t>
      </w:r>
      <w:r>
        <w:tab/>
        <w:t>Al mismo tiempo, el Comité insta a los Estados Partes a no reducir la EMRP a los 12 años.  La fijación de la mayoría de edad penal a un nivel más alto, por ejemplo 14 ó 16 años, contribuye a que el sistema de la justicia de menores, de conformidad con el apartado b) del párrafo 3 del artículo 40 de la Convención, trate a los niños que tienen conflictos con la justicia sin recurrir a procedimientos judiciales, en el entendimiento de que se respetan plenamente los derechos humanos y las garantías legales.  A este respecto, los Estados Partes deben incluir en sus informes información detallada sobre el trato que se da a los niños que no han alcanzado todavía la EMRP fijada por la ley cuando se alegue que han infringido las leyes penales o se les acuse o declare culpables de haber infringido esas leyes, y qué tipo de salvaguardias legales existen para asegurar que reciban un trato tan equitativo y justo como el de los niños que han alcanzado la mayoría de edad penal.</w:t>
      </w:r>
    </w:p>
    <w:p w:rsidR="00000000" w:rsidRDefault="00000000">
      <w:pPr>
        <w:spacing w:after="240"/>
      </w:pPr>
      <w:r>
        <w:t>34.</w:t>
      </w:r>
      <w:r>
        <w:tab/>
        <w:t>El Comité desea expresar su preocupación por la práctica de prever excepciones a la EMRP, que permite la aplicación de una edad mínima menor a efectos de responsabilidad penal en los casos en que, por ejemplo, se acuse al niño de haber cometido un delito grave o cuando se considere que el niño está suficientemente maduro para considerársele responsable penalmente.  El Comité recomienda firmemente que los Estados Partes fijen una EMRP que no permita, a título de excepción, la utilización de una edad menor.</w:t>
      </w:r>
    </w:p>
    <w:p w:rsidR="00000000" w:rsidRDefault="00000000">
      <w:pPr>
        <w:spacing w:after="240"/>
      </w:pPr>
      <w:r>
        <w:t>35.</w:t>
      </w:r>
      <w:r>
        <w:tab/>
        <w:t xml:space="preserve">Si no se dispone de prueba de la edad y no puede establecerse que el niño tiene una edad igual o superior a la EMRP, no se considerará al niño responsable penalmente (véase también el párrafo 39 </w:t>
      </w:r>
      <w:r>
        <w:rPr>
          <w:i/>
          <w:iCs/>
        </w:rPr>
        <w:t>infra</w:t>
      </w:r>
      <w:r>
        <w:t>).</w:t>
      </w:r>
    </w:p>
    <w:p w:rsidR="00000000" w:rsidRDefault="00000000">
      <w:pPr>
        <w:spacing w:after="240"/>
        <w:rPr>
          <w:b/>
          <w:bCs/>
        </w:rPr>
      </w:pPr>
      <w:r>
        <w:rPr>
          <w:b/>
          <w:bCs/>
        </w:rPr>
        <w:t>El límite de edad superior para la justicia de menores</w:t>
      </w:r>
    </w:p>
    <w:p w:rsidR="00000000" w:rsidRDefault="00000000">
      <w:pPr>
        <w:spacing w:after="240"/>
      </w:pPr>
      <w:r>
        <w:t>36.</w:t>
      </w:r>
      <w:r>
        <w:tab/>
        <w:t>El Comité también desea señalar a la atención de los Estados Partes el límite de edad superior para la aplicación de las normas de la justicia de menores.  Esas normas, que son especiales tanto por lo que respecta al procedimiento como a la remisión de casos y la adopción de medidas especiales, deberán aplicarse, a partir de la EMRP establecida en el país, a todos los niños que, en el momento de la presunta comisión de un delito (o acto punible de acuerdo con la legislación penal), no hayan cumplido aún 18 años.</w:t>
      </w:r>
    </w:p>
    <w:p w:rsidR="00000000" w:rsidRDefault="00000000">
      <w:pPr>
        <w:spacing w:after="240"/>
      </w:pPr>
      <w:r>
        <w:t>37.</w:t>
      </w:r>
      <w:r>
        <w:tab/>
        <w:t>El Comité desea recordar a los Estados Partes que han reconocido el derecho de todo niño de quien se alegue que ha infringido las leyes penales o a quien se acuse o declare culpable de haber infringido esas leyes a ser tratado de acuerdo con las disposiciones del artículo 40 de la Convención.  Esto significa que toda persona menor de 18 años en el momento de la presunta comisión de un delito debe recibir un trato conforme a las normas de la justicia de menores.</w:t>
      </w:r>
    </w:p>
    <w:p w:rsidR="00000000" w:rsidRDefault="00000000">
      <w:pPr>
        <w:spacing w:after="240"/>
      </w:pPr>
      <w:r>
        <w:t>38.</w:t>
      </w:r>
      <w:r>
        <w:tab/>
        <w:t>Por lo tanto, el Comité recomienda a los Estados Partes que limitan la aplicabilidad de las normas de la justicia de menores a los niños menores de 16 años, o que permiten, a título de excepción, que los niños de 16 ó 17 años sean tratados como delincuentes adultos, que modifiquen sus leyes con miras a lograr la plena aplicación, sin discriminación alguna, de sus normas de justicia de menores a todas las personas menores de 18 años.  El Comité observa con reconocimiento que algunos Estados Partes permiten la aplicación de las normas y los reglamentos de la justicia de menores a personas que tienen 18 años o más, por lo general hasta los 21 años, bien sea como norma general o como excepción.</w:t>
      </w:r>
    </w:p>
    <w:p w:rsidR="00000000" w:rsidRDefault="00000000">
      <w:pPr>
        <w:spacing w:after="240"/>
      </w:pPr>
      <w:r>
        <w:t>39.</w:t>
      </w:r>
      <w:r>
        <w:tab/>
        <w:t>Por último, el Comité desea subrayar la importancia decisiva de una plena aplicación del artículo 7 de la Convención, en el que se exige, entre otras cosas, que todo niño sea inscrito inmediatamente después de su nacimiento con el fin de fijar límites de edad de una u otra manera, que es el caso de todos los Estados Partes.  Un niño que no tenga una fecha de nacimiento demostrable es sumamente vulnerable a todo tipo de abusos e injusticias en relación con la familia, la educación y el trabajo, especialmente en el marco del sistema de la justicia de menores.  Deberá proporcionarse gratuitamente a todo niño un certificado de nacimiento cuando lo necesite para demostrar su edad.  Si no hay prueba de edad, el niño tiene derecho a que se le haga un examen médico o social que permita establecer de manera fidedigna su edad y, en caso de conflicto o prueba no fehaciente el niño tendrá derecho a la aplicación de la norma del beneficio de la duda.</w:t>
      </w:r>
    </w:p>
    <w:p w:rsidR="00000000" w:rsidRDefault="00000000">
      <w:pPr>
        <w:spacing w:after="240"/>
        <w:jc w:val="center"/>
        <w:rPr>
          <w:b/>
          <w:bCs/>
        </w:rPr>
      </w:pPr>
      <w:r>
        <w:rPr>
          <w:b/>
          <w:bCs/>
        </w:rPr>
        <w:t>D.  Garantías de un juicio imparcial</w:t>
      </w:r>
    </w:p>
    <w:p w:rsidR="00000000" w:rsidRDefault="00000000">
      <w:pPr>
        <w:spacing w:after="240"/>
      </w:pPr>
      <w:r>
        <w:t>40.</w:t>
      </w:r>
      <w:r>
        <w:tab/>
        <w:t xml:space="preserve">El párrafo 2 del artículo 40 de la Convención contiene una importante lista de derechos y garantías, que tienen por objeto garantizar que todo niño del que se alegue que ha infringido las leyes penales o a quien se acuse de haber infringido esas leyes reciba un trato justo y sea sometido a un juicio imparcial.  La mayoría de esas garantías también se reconocen en el artículo 14 del Pacto Internacional de Derechos Civiles y Políticos (en lo sucesivo, el Pacto), que el Comité de Derechos Humanos examinó y sobre el que formuló comentarios en su Observación general Nº 13 (1984) (Administración de justicia), que actualmente está siendo objeto de consideración.  Sin embargo, el respeto de esas garantías para los niños tiene algunos aspectos específicos que se expondrán en la presente sección.  Antes de hacerlo, el Comité desea subrayar que el ejercicio apropiado y efectivo de esos derechos y garantías depende decisivamente de la calidad de las personas que intervengan en la administración de la justicia de menores.  Es fundamental impartir formación sistemática y continua al personal profesional, en particular los agentes de policía, fiscales, representantes legales y otros representantes del niño, jueces, agentes de libertad vigilada, asistentes sociales, etc.  Estas personas deben estar bien informadas acerca del desarrollo físico, psicológico, mental y social del niño, y en particular del adolescente, así como de las necesidades especiales de los niños más vulnerables, a saber, los niños con discapacidad, los desplazados, los niños de la calle, los refugiados y solicitantes de asilo, y los niños que pertenecen a minorías raciales, étnicas, religiosas, lingüísticas y de otro tipo (véanse párrafos 6 a 9 </w:t>
      </w:r>
      <w:r>
        <w:rPr>
          <w:i/>
          <w:iCs/>
        </w:rPr>
        <w:t>supra</w:t>
      </w:r>
      <w:r>
        <w:t>).  Teniendo en cuenta que probablemente se hará caso omiso de las niñas en el sistema de la justicia de menores porque sólo representan un pequeño grupo, debe prestarse particular atención a sus necesidades específicas, por ejemplo, en relación con malos tratos anteriores y sus necesidades especiales en materia de salud.  Los profesionales y demás personal deberán actuar, en toda circunstancia, de manera acorde con el fomento del sentido de la dignidad y el valor del niño y que fortalezca su respeto por los derechos humanos y las libertades fundamentales de terceros y promueva la reintegración del niño y su asunción de una función constructiva en la sociedad (art. 40 1).  Todas las garantías reconocidas en el párrafo 2 del artículo 40, que se examinarán a continuación, constituyen normas mínimas, es decir, que los Estados Partes pueden y deben tratar de establecer y observar normas más exigentes, por ejemplo en materia de asistencia jurídica y con respecto a la participación del niño y sus padres en el proceso judicial.</w:t>
      </w:r>
    </w:p>
    <w:p w:rsidR="00000000" w:rsidRDefault="00000000">
      <w:pPr>
        <w:spacing w:after="240"/>
        <w:rPr>
          <w:b/>
          <w:bCs/>
        </w:rPr>
      </w:pPr>
      <w:r>
        <w:rPr>
          <w:b/>
          <w:bCs/>
        </w:rPr>
        <w:t>Justicia de menores no retroactiva (artículo 40 2 a))</w:t>
      </w:r>
    </w:p>
    <w:p w:rsidR="00000000" w:rsidRDefault="00000000">
      <w:pPr>
        <w:spacing w:after="240"/>
      </w:pPr>
      <w:r>
        <w:t>41.</w:t>
      </w:r>
      <w:r>
        <w:tab/>
        <w:t>En el apartado a) del párrafo 2 del artículo 40 de la Convención se dispone que la regla de que nadie será declarado culpable de haber cometido un delito por actos u omisiones que, en el momento de cometerse, no fueran delictivos según las leyes nacionales o internacionales, también es aplicable a los niños (véase también artículo 15 del Pacto).  Esto significa que ningún niño puede ser acusado o condenado, a tenor de la legislación penal, por actos u omisiones que en el momento de su comisión no estuvieran prohibidos por las leyes nacionales o internacionales.  Teniendo en cuenta que muchos Estados Partes recientemente han reforzado y/o ampliado su legislación penal a efectos de la prevención y lucha contra el terrorismo, el Comité recomienda que los Estados Partes velen por que esos cambios no entrañen un castigo retroactivo o no deseado de los niños.  El Comité también desea recordar a los Estados Partes que la regla de que no se impondrá pena más grave que la aplicable en el momento de la comisión del delito, enunciada en el artículo 15 del Pacto, está en relación con el artículo 41 de la Convención, que es aplicable a los niños en los Estados Partes en el Pacto.  Ningún niño será castigado con una pena más grave que la aplicable en el momento de haberse cometido la infracción de la ley penal.  Si con posterioridad a la comisión del acto se produce un cambio legislativo por el que se impone una pena más leve, el niño deberá beneficiarse de ese cambio.</w:t>
      </w:r>
    </w:p>
    <w:p w:rsidR="00000000" w:rsidRDefault="00000000">
      <w:pPr>
        <w:spacing w:after="240"/>
        <w:rPr>
          <w:b/>
          <w:bCs/>
        </w:rPr>
      </w:pPr>
      <w:r>
        <w:rPr>
          <w:b/>
          <w:bCs/>
        </w:rPr>
        <w:t>La presunción de inocencia (artículo 40 2 b) i))</w:t>
      </w:r>
    </w:p>
    <w:p w:rsidR="00000000" w:rsidRDefault="00000000">
      <w:pPr>
        <w:spacing w:after="240"/>
      </w:pPr>
      <w:r>
        <w:t>42.</w:t>
      </w:r>
      <w:r>
        <w:tab/>
        <w:t>La presunción de inocencia es fundamental para la protección de los derechos humanos del niño que tenga conflictos con la justicia.  Esto significa que la carga de la prueba de los cargos que pesan sobre el niño recae en la acusación.  El niño del que se alegue que ha infringido las leyes penales o a quien se acuse de haber infringido esas leyes tendrá el beneficio de la duda y sólo se le declarará culpable de los cargos que se le imputen si éstos han quedado demostrados más allá de toda duda razonable.  El niño tiene derecho a recibir un trato acorde con esta presunción, y todas las autoridades públicas o de otro tipo tienen la obligación de abstenerse de prejuzgar el resultado del juicio.  Los Estados Partes deben proporcionar información sobre el desarrollo del niño para garantizar que se respete en la práctica esa presunción de inocencia.  Debido a falta de comprensión del proceso, inmadurez, temor u otras razones, el niño puede comportarse de manera sospechosa, pero las autoridades no deben presumir por ello que sea culpable, si carecen de pruebas de su culpabilidad más allá de toda duda razonable.</w:t>
      </w:r>
    </w:p>
    <w:p w:rsidR="00000000" w:rsidRDefault="00000000">
      <w:pPr>
        <w:spacing w:after="240"/>
        <w:rPr>
          <w:b/>
          <w:bCs/>
        </w:rPr>
      </w:pPr>
      <w:r>
        <w:rPr>
          <w:b/>
          <w:bCs/>
        </w:rPr>
        <w:t>El derecho a ser escuchado (artículo 12)</w:t>
      </w:r>
    </w:p>
    <w:p w:rsidR="00000000" w:rsidRDefault="00000000">
      <w:pPr>
        <w:spacing w:after="240"/>
      </w:pPr>
      <w:r>
        <w:t>43.</w:t>
      </w:r>
      <w:r>
        <w:tab/>
        <w:t>En el párrafo 2 del artículo 12 de la Convención se establece que se dará al niño la oportunidad de ser escuchado en todo procedimiento judicial o administrativo que le afecte, ya sea directamente o por medio de un representante o de un órgano apropiado, en consonancia con las normas de procedimiento de la legislación nacional.</w:t>
      </w:r>
    </w:p>
    <w:p w:rsidR="00000000" w:rsidRDefault="00000000">
      <w:pPr>
        <w:spacing w:after="240"/>
      </w:pPr>
      <w:r>
        <w:t>44.</w:t>
      </w:r>
      <w:r>
        <w:tab/>
        <w:t xml:space="preserve">No hay duda de que el derecho de un niño de quien se alegue que ha infringido las leyes penales o a quien se acuse o declare culpable de haber infringido esas leyes a ser escuchado es fundamental para un juicio imparcial.  También es evidente que el niño tiene derecho a ser escuchado directamente y no sólo por medio de un representante o de un órgano apropiado, si es en el interés superior del niño.  Este derecho debe respetarse plenamente en todas las etapas del proceso, desde la fase instructora, cuando el niño tiene derecho tanto a permanecer en silencio como a ser escuchado por la policía, el fiscal y el juez de instrucción, hasta las fases resolutoria y de ejecución de las medidas impuestas.  En otras palabras, debe darse al niño la oportunidad de expresar su opinión libremente, y ésta deberá tenerse debidamente en cuenta, en función de la edad y la madurez del niño (art. 12 1), durante todo el proceso de la justicia de menores.  Esto significa que el niño, para poder participar efectivamente en el procedimiento, debe ser informado no sólo de los cargos que pesan sobre él (véanse párrafos 47 y 48 </w:t>
      </w:r>
      <w:r>
        <w:rPr>
          <w:i/>
          <w:iCs/>
        </w:rPr>
        <w:t>infra</w:t>
      </w:r>
      <w:r>
        <w:t>), sino también del propio proceso de la justicia de menores y de las medidas que podrían adoptarse.</w:t>
      </w:r>
    </w:p>
    <w:p w:rsidR="00000000" w:rsidRDefault="00000000">
      <w:pPr>
        <w:spacing w:after="240"/>
      </w:pPr>
      <w:r>
        <w:t>45.</w:t>
      </w:r>
      <w:r>
        <w:tab/>
        <w:t xml:space="preserve">Se debe dar al niño la oportunidad de expresar su opinión sobre las medidas (sustitutivas) que podrían imponerse, y deberán tenerse debidamente en cuenta los deseos o preferencias que el niño pueda tener al respecto.  Afirmar que el niño es responsable con arreglo a la ley penal supone que tiene la capacidad y está en condiciones de participar efectivamente en las decisiones relativas a la respuesta más apropiada que debe darse a las alegaciones de que ha infringido la ley penal (véase párrafo 46 </w:t>
      </w:r>
      <w:r>
        <w:rPr>
          <w:i/>
          <w:iCs/>
        </w:rPr>
        <w:t>infra</w:t>
      </w:r>
      <w:r>
        <w:t>).  Huelga decir que incumbe a los jueces adoptar las decisiones.  Pero el hecho de tratar al niño como objeto pasivo supone no reconocer sus derechos y no contribuye a dar una respuesta eficaz a su comportamiento.  Esta afirmación también es aplicable a la ejecución de la medida impuesta.  Las investigaciones demuestran que la participación activa del niño en la ejecución de las medidas contribuirá, la mayoría de las veces, a un resultado positivo.</w:t>
      </w:r>
    </w:p>
    <w:p w:rsidR="00000000" w:rsidRDefault="00000000">
      <w:pPr>
        <w:spacing w:after="240"/>
        <w:rPr>
          <w:b/>
          <w:bCs/>
        </w:rPr>
      </w:pPr>
      <w:r>
        <w:rPr>
          <w:b/>
          <w:bCs/>
        </w:rPr>
        <w:t>El derecho a una participación efectiva en los procedimientos (artículo 40 2 b) iv))</w:t>
      </w:r>
    </w:p>
    <w:p w:rsidR="00000000" w:rsidRDefault="00000000">
      <w:pPr>
        <w:spacing w:after="240"/>
      </w:pPr>
      <w:r>
        <w:t>46.</w:t>
      </w:r>
      <w:r>
        <w:tab/>
        <w:t>Para que un juicio sea imparcial es preciso que el niño de quien se alega que ha infringido las leyes penales o a quien se acusa de haber infringido esas leyes pueda participar efectivamente en el juicio y para ello necesita comprender las acusaciones y las posibles consecuencias y penas, a fin de que su representante legal pueda impugnar testigos, hacer una exposición de los hechos y adoptar decisiones apropiadas con respecto a las pruebas, los testimonios y las medidas que se impongan.  El artículo 14 de las Reglas de Beijing estipula que el procedimiento se sustanciará en un ambiente de comprensión, que permita que el menor participe en él y se exprese libremente.  La edad y el grado de madurez del niño también pueden hacer necesario modificar los procedimientos y las prácticas judiciales.</w:t>
      </w:r>
    </w:p>
    <w:p w:rsidR="00000000" w:rsidRDefault="00000000">
      <w:pPr>
        <w:spacing w:after="240"/>
        <w:rPr>
          <w:b/>
          <w:bCs/>
          <w:i/>
          <w:iCs/>
        </w:rPr>
      </w:pPr>
      <w:r>
        <w:rPr>
          <w:b/>
          <w:bCs/>
        </w:rPr>
        <w:t>Información sin demora y directa de los cargos (artículo 40 2 b) ii))</w:t>
      </w:r>
    </w:p>
    <w:p w:rsidR="00000000" w:rsidRDefault="00000000">
      <w:pPr>
        <w:spacing w:after="240"/>
      </w:pPr>
      <w:r>
        <w:t>47.</w:t>
      </w:r>
      <w:r>
        <w:tab/>
        <w:t>Todo niño del que se alegue que ha infringido las leyes penales o a quien se acuse de haber infringido esas leyes tiene derecho a ser informado sin demora y directamente de los cargos que pesan contra él.  Sin demora y directamente significan lo antes posible, es decir, cuando el fiscal o el juez inicien las actuaciones judiciales contra el niño.  Sin embargo, cuando las autoridades deciden ocuparse del caso sin recurrir a procedimientos judiciales, el niño también debe ser informado de los cargos que puedan justificar este criterio.  Esta exigencia forma parte de la disposición contenida en el apartado b) del párrafo 3 del artículo 40 de la Convención en el sentido de que se deberán respetar plenamente las garantías legales.  El niño deberá ser informado en unos términos que pueda comprender.  Para ello podrá requerirse que la información se presente en un idioma extranjero, pero también una "traducción" de la jerga jurídica oficial que a menudo se usa en las imputaciones penales contra menores en un lenguaje que el niño pueda comprender.</w:t>
      </w:r>
    </w:p>
    <w:p w:rsidR="00000000" w:rsidRDefault="00000000">
      <w:pPr>
        <w:spacing w:after="240"/>
      </w:pPr>
      <w:r>
        <w:t>48.</w:t>
      </w:r>
      <w:r>
        <w:tab/>
        <w:t>A menudo no basta con proporcionar al niño un documento oficial, sino que puede requerirse una explicación oral.  Las autoridades no deben dejar esta tarea a cargo de los padres o los representantes legales o de quien preste asistencia jurídica o de otro tipo al niño.  Incumbe a las autoridades (es decir, policía, fiscal, juez) asegurarse de que el niño comprende cada cargo que pesa contra él.  El Comité opina que la facilitación de esa información a los padres o los representantes legales no debe excluir su comunicación al niño.  Lo más apropiado es que tanto el niño como los padres o los representantes legales reciban la información de manera que puedan comprender los cargos y las posibles consecuencias.</w:t>
      </w:r>
    </w:p>
    <w:p w:rsidR="00000000" w:rsidRDefault="00000000">
      <w:pPr>
        <w:spacing w:after="240"/>
        <w:rPr>
          <w:b/>
          <w:bCs/>
        </w:rPr>
      </w:pPr>
      <w:r>
        <w:rPr>
          <w:b/>
          <w:bCs/>
        </w:rPr>
        <w:t>Asistencia jurídica u otra asistencia apropiada (artículo 40 2 b) ii))</w:t>
      </w:r>
    </w:p>
    <w:p w:rsidR="00000000" w:rsidRDefault="00000000">
      <w:pPr>
        <w:spacing w:after="240"/>
      </w:pPr>
      <w:r>
        <w:t>49.</w:t>
      </w:r>
      <w:r>
        <w:tab/>
        <w:t>Debe garantizarse al niño asistencia jurídica u otra asistencia apropiada en la preparación y presentación de su defensa.  En la Convención se dispone que se proporcionará al niño asistencia, que no tendrá por qué ser siempre jurídica, pero sí apropiada.  Queda a la discreción de los Estados Partes determinar cómo se facilitará esa asistencia, la cual deberá ser gratuita.  El Comité recomienda que los Estados Partes presten en la mayor medida posible asistencia jurídica profesional adecuada, por ejemplo, de abogados especializados o de profesionales parajurídicos.  Es posible otra asistencia apropiada (por ejemplo, de asistentes sociales), si bien esas personas deberán tener un conocimiento y una comprensión suficientes de los diversos aspectos jurídicos del proceso de la justicia de menores y haber recibido formación para trabajar con niños que tengan conflictos con la justicia.</w:t>
      </w:r>
    </w:p>
    <w:p w:rsidR="00000000" w:rsidRDefault="00000000">
      <w:pPr>
        <w:spacing w:after="240"/>
      </w:pPr>
      <w:r>
        <w:t>50.</w:t>
      </w:r>
      <w:r>
        <w:tab/>
        <w:t>Conforme a lo dispuesto en el apartado b) del párrafo 3 del artículo 14 del Pacto, el niño y la persona que le preste asistencia debe disponer del tiempo y los medios adecuados para la preparación de su defensa.  Las comunicaciones entre el niño y la persona que le asiste, bien sea por escrito u oralmente, deberán realizarse en condiciones que garanticen que se respetará plenamente su confidencialidad, de conformidad con lo previsto en el inciso vii) del apartado b) del párrafo 2 del artículo 40 de la Convención, y el derecho del niño a no ser objeto de injerencias en su vida privada y su correspondencia (artículo 16 de la Convención).  Varios Estados Partes han formulado reservas con respecto a esta garantía (artículo 40 2 b) ii) de la Convención), aparentemente partiendo del supuesto de que sólo se requiere la prestación de asistencia jurídica y, por lo tanto, los servicios de un abogado.  No es así, y dichas reservas pueden y deben retirarse.</w:t>
      </w:r>
    </w:p>
    <w:p w:rsidR="00000000" w:rsidRDefault="00000000">
      <w:pPr>
        <w:spacing w:after="240"/>
        <w:rPr>
          <w:b/>
          <w:bCs/>
        </w:rPr>
      </w:pPr>
      <w:r>
        <w:rPr>
          <w:b/>
          <w:bCs/>
        </w:rPr>
        <w:t>Decisiones sin demora y con la participación de los padres (artículo 40 2 b) iii))</w:t>
      </w:r>
    </w:p>
    <w:p w:rsidR="00000000" w:rsidRDefault="00000000">
      <w:pPr>
        <w:spacing w:after="240"/>
      </w:pPr>
      <w:r>
        <w:t>51.</w:t>
      </w:r>
      <w:r>
        <w:tab/>
        <w:t xml:space="preserve">Hay consenso internacional en el sentido de que, para los niños que tengan conflictos con la justicia, el tiempo transcurrido entre la comisión de un delito y la respuesta definitiva a ese acto debe ser lo más breve posible.  Cuanto más tiempo pase, tanto más probable será que la respuesta pierda su efecto positivo y pedagógico y que el niño resulte estigmatizado.  A ese respecto, el Comité también se refiere al apartado d) del artículo 37 de la Convención, a tenor del cual todo niño privado de su libertad tendrá derecho a una pronta decisión sobre su acción para poder impugnar la legalidad de la privación de su libertad.  El término "pronta" es más fuerte </w:t>
      </w:r>
      <w:r>
        <w:noBreakHyphen/>
        <w:t>lo que se justifica dada la gravedad de la privación de libertad</w:t>
      </w:r>
      <w:r>
        <w:noBreakHyphen/>
        <w:t xml:space="preserve"> que el término "sin demora" (artículo 40 2 b) iii) de la Convención), que a su vez es más fuerte que la expresión "sin dilaciones indebidas", que figura en el apartado c) del párrafo 3 del artículo 14 del Pacto.</w:t>
      </w:r>
    </w:p>
    <w:p w:rsidR="00000000" w:rsidRDefault="00000000">
      <w:pPr>
        <w:spacing w:after="240"/>
      </w:pPr>
      <w:r>
        <w:t>52.</w:t>
      </w:r>
      <w:r>
        <w:tab/>
        <w:t>El Comité recomienda que los Estados Partes fijen y respeten plazos con respecto al tiempo que puede transcurrir desde que se comete un delito y concluye la investigación policial, el fiscal (u otro órgano competente) decide presentar cargos contra el menor y el tribunal u otro órgano judicial competente dicta sentencia definitiva.  Estos plazos deben ser más cortos que los establecidos para adultos.  Pero al mismo tiempo, las decisiones que se adoptan sin demora deben ser el resultado de un proceso en el que se respeten plenamente los derechos humanos del niño y las garantías legales.  En este proceso de pronta adopción de decisiones, deben estar presentes quienes presten asistencia jurídica u otra asistencia apropiada.  Esta presencia no se limitará al juicio ante un tribunal u otro órgano judicial, sino que se aplica también a todas las demás fases del proceso, a partir del interrogatorio del niño por la policía.</w:t>
      </w:r>
    </w:p>
    <w:p w:rsidR="00000000" w:rsidRDefault="00000000">
      <w:pPr>
        <w:spacing w:after="240"/>
      </w:pPr>
      <w:r>
        <w:t>53.</w:t>
      </w:r>
      <w:r>
        <w:tab/>
        <w:t>Los padres u otros representantes legales también deberán estar presentes en el proceso porque pueden prestar asistencia psicológica y emotiva general al niño.  La presencia de los padres no significa que éstos puedan actuar en defensa del niño o participar en el proceso de adopción de decisiones.  Sin embargo, el juez o la autoridad competente puede resolver, a petición del niño o de su representante legal u otra representación apropiada, o porque no vaya en el interés superior del niño (artículo 3 de la Convención), limitar, restringir o excluir la presencia de los padres en el procedimiento.</w:t>
      </w:r>
    </w:p>
    <w:p w:rsidR="00000000" w:rsidRDefault="00000000">
      <w:pPr>
        <w:spacing w:after="240"/>
      </w:pPr>
      <w:r>
        <w:t>54.</w:t>
      </w:r>
      <w:r>
        <w:tab/>
        <w:t>El Comité recomienda que los Estados Partes dispongan expresamente por ley la mayor participación posible de los padres o los representantes legales en el procedimiento incoado contra el niño.  Esta participación generalmente contribuirá a que se dé una respuesta eficaz a la infracción de la legislación penal por el niño.  A fin de promover la participación de los padres, se notificará a éstos la detención del niño lo antes posible.</w:t>
      </w:r>
    </w:p>
    <w:p w:rsidR="00000000" w:rsidRDefault="00000000">
      <w:pPr>
        <w:spacing w:after="240"/>
      </w:pPr>
      <w:r>
        <w:t>55.</w:t>
      </w:r>
      <w:r>
        <w:tab/>
        <w:t>Al mismo tiempo, el Comité lamenta la tendencia observada en algunos países a introducir el castigo de los padres por los delitos cometidos por sus hijos.  La responsabilidad civil por los daños derivados del acto de un niño puede ser apropiada en algunos casos limitados, en particular cuando se trate de niños de corta edad (que tengan menos de 16 años).  Sin embargo, la criminalización de los padres de niños que tienen conflictos con la justicia muy probablemente no contribuirá a una participación activa de los mismos en la reintegración social de su hijo.</w:t>
      </w:r>
    </w:p>
    <w:p w:rsidR="00000000" w:rsidRDefault="00000000">
      <w:pPr>
        <w:spacing w:after="240"/>
        <w:rPr>
          <w:b/>
          <w:bCs/>
        </w:rPr>
      </w:pPr>
      <w:r>
        <w:rPr>
          <w:b/>
          <w:bCs/>
        </w:rPr>
        <w:t>Decisiones sin demora y con la participación de los padres (artículo 40 2 b) iv))</w:t>
      </w:r>
    </w:p>
    <w:p w:rsidR="00000000" w:rsidRDefault="00000000">
      <w:pPr>
        <w:spacing w:after="240"/>
      </w:pPr>
      <w:r>
        <w:t>56.</w:t>
      </w:r>
      <w:r>
        <w:tab/>
        <w:t>En armonía con lo establecido en el apartado g) del párrafo 3 del artículo 14 del Pacto, la Convención dispone que no se obligará a un niño a prestar testimonio o a confesarse o declararse culpable.  Estos significa, en primer lugar -y desde luego- que la tortura, o el trato cruel, inhumano o degradante para extraer una admisión o una confesión constituye una grave violación de los derechos del niño (artículo 37 a) de la Convención) y totalmente inaceptable.  Ninguna admisión o confesión de ese tipo podrá ser invocada como prueba (artículo 15 de la Convención contra la Tortura y Otros Tratos o Penas Crueles, Inhumanos o Degradantes).</w:t>
      </w:r>
    </w:p>
    <w:p w:rsidR="00000000" w:rsidRDefault="00000000">
      <w:pPr>
        <w:spacing w:after="240"/>
      </w:pPr>
      <w:r>
        <w:t>57.</w:t>
      </w:r>
      <w:r>
        <w:tab/>
        <w:t>Hay muchos otros medios menos violentos de obligar o inducir al niño a una confesión o a un testimonio autoinculpatorio.  El término "obligado" debe interpretarse de manera amplia y no limitarlo a la fuerza física u otra vulneración clara de los derechos humanos.  La edad o el grado de desarrollo del niño, la duración del interrogatorio, la falta de comprensión por parte del niño, el temor a consecuencias desconocidas o a una presunta posibilidad de prisión pueden inducirle a confesar lo que no es cierto.  Esa actitud puede ser aún más probable si se le promete una recompensa como "podrás irte a casa en cuanto nos digas la verdad", o cuando se le prometen sanciones más leves o la puesta en libertad.</w:t>
      </w:r>
    </w:p>
    <w:p w:rsidR="00000000" w:rsidRDefault="00000000">
      <w:pPr>
        <w:spacing w:after="240"/>
      </w:pPr>
      <w:r>
        <w:t>58.</w:t>
      </w:r>
      <w:r>
        <w:tab/>
        <w:t>El niño sometido a interrogatorio debe tener acceso a un representante legal u otro representante apropiado y poder solicitar la presencia de sus padres.  Deberá hacerse una investigación independiente de los métodos de interrogatorio empleados para velar por que los testimonios sean voluntarios y no resultado de la coacción, teniendo en cuenta todas las circunstancias, y que sea creíble.  El tribunal u otro órgano judicial, al considerar el carácter voluntario y la fiabilidad de una admisión o confesión hecha por un niño, deberá tener en cuenta la edad de éste, el tiempo que ha durado la detención y el interrogatorio y la presencia de un abogado u otro asesor jurídico, los padres, o representante independientes del niño.  Los policías y otros agentes encargados de la investigación deberán haber sido entrenados para no emplear técnicas y prácticas de interrogatorio de las que se deriven confesiones o testimonios poco creíbles y hechos bajo coacción.</w:t>
      </w:r>
    </w:p>
    <w:p w:rsidR="00000000" w:rsidRDefault="00000000">
      <w:pPr>
        <w:spacing w:after="240"/>
        <w:rPr>
          <w:b/>
          <w:bCs/>
        </w:rPr>
      </w:pPr>
      <w:r>
        <w:rPr>
          <w:b/>
          <w:bCs/>
        </w:rPr>
        <w:t>Presencia y examen de testigos (artículo 40 2 b) iv))</w:t>
      </w:r>
    </w:p>
    <w:p w:rsidR="00000000" w:rsidRDefault="00000000">
      <w:pPr>
        <w:spacing w:after="240"/>
      </w:pPr>
      <w:r>
        <w:t>59.</w:t>
      </w:r>
      <w:r>
        <w:tab/>
        <w:t>La garantía reconocida en el inciso iv) del apartado b) del párrafo 2 del artículo 40 de la Convención pone de relieve que debe observarse el principio de igualdad entre las partes (es decir, condiciones de igualdad o paridad entre la defensa y la acusación) en la administración de la justicia de menores.  La expresión "interrogar o hacer que se interrogue" hace referencia a la existencia de distinciones en los sistemas jurídicos, especialmente entre los juicios acusatorios y los juicios inquisitorios.  En estos últimos, el acusado a menudo puede interrogar a los testigos, si bien rara vez se hace uso de ese derecho, quedando esa tarea a cargo del abogado o, en el caso de los niños, de otro órgano apropiado.  Sin embargo, sigue siendo importante que el abogado u otro representante informe al niño acerca de la posibilidad de interrogar a los testigos y de que puede expresar sus opiniones a este respecto, las cuales se tendrán debidamente en cuenta en función de la edad y madurez del niño (art. 12).</w:t>
      </w:r>
    </w:p>
    <w:p w:rsidR="00000000" w:rsidRDefault="00000000">
      <w:pPr>
        <w:spacing w:after="240"/>
        <w:rPr>
          <w:b/>
          <w:bCs/>
        </w:rPr>
      </w:pPr>
      <w:r>
        <w:rPr>
          <w:b/>
          <w:bCs/>
        </w:rPr>
        <w:t>El derecho de apelación (artículo 40 2 b) v))</w:t>
      </w:r>
    </w:p>
    <w:p w:rsidR="00000000" w:rsidRDefault="00000000">
      <w:pPr>
        <w:spacing w:after="240"/>
      </w:pPr>
      <w:r>
        <w:t>60.</w:t>
      </w:r>
      <w:r>
        <w:tab/>
        <w:t>El niño tiene derecho a apelar contra la decisión por la que se le declare culpable de los cargos formulados contra él y las medidas impuestas como consecuencia del veredicto de culpabilidad.  Compete resolver esta apelación a una autoridad u órgano judicial superior competente, independiente e imparcial, en otras palabras, un órgano que satisfaga las mismas normas y requisitos que el que conoció del caso en primera instancia.  Esta garantía es análoga a la formulada en el párrafo 5 del artículo 14 del Pacto.  El derecho de apelación no se limita a los delitos más graves.</w:t>
      </w:r>
    </w:p>
    <w:p w:rsidR="00000000" w:rsidRDefault="00000000">
      <w:pPr>
        <w:spacing w:after="240"/>
      </w:pPr>
      <w:r>
        <w:t>61.</w:t>
      </w:r>
      <w:r>
        <w:tab/>
        <w:t>Ésta parece ser la razón por la que bastantes Estados Partes han formulado reservas con respecto a esta disposición a fin de limitar el derecho de apelación del niño a los delitos más graves y a las sentencias de prisión.  El Comité recuerda a los Estados Partes en el Pacto que el párrafo 5 del artículo 14 de éste contiene una disposición análoga.  En relación con el artículo 41 de la Convención, a tenor de ese artículo se deberá reconocer a todo niño procesado el derecho de apelar contra la sentencia.  El Comité recomienda que los Estados Partes retiren sus reservas a la disposición contenida en el inciso v) del apartado b) del párrafo 2 del artículo 40 de la Convención.</w:t>
      </w:r>
    </w:p>
    <w:p w:rsidR="00000000" w:rsidRDefault="00000000">
      <w:pPr>
        <w:spacing w:after="240"/>
        <w:rPr>
          <w:b/>
          <w:bCs/>
        </w:rPr>
      </w:pPr>
      <w:r>
        <w:rPr>
          <w:b/>
          <w:bCs/>
        </w:rPr>
        <w:t>Asistencia gratuita de un intérprete (artículo 40 2 vi))</w:t>
      </w:r>
    </w:p>
    <w:p w:rsidR="00000000" w:rsidRDefault="00000000">
      <w:pPr>
        <w:spacing w:after="240"/>
      </w:pPr>
      <w:r>
        <w:t>62.</w:t>
      </w:r>
      <w:r>
        <w:tab/>
        <w:t>Si un niño no comprende o no habla el idioma utilizado por el sistema de justicia de menores tiene derecho a contar con la asistencia gratuita de un intérprete.  Esta asistencia no deberá limitarse a la vista oral, sino que también se prestará en todos los pasos del proceso.  También es importante que se haya capacitado al intérprete para trabajar con niños, debido a que el uso y la comprensión de su lengua materna podría ser diferente de los adultos.  La falta de conocimientos y/o de experiencias a ese respecto podría impedir que el niño comprendiera cabalmente las preguntas que se le hicieran y dificultar el ejercicio de su derecho a un juicio imparcial y a una participación efectiva.  La condición que empieza con "si", a saber, "si no comprende o no habla el idioma utilizado", significa que un niño de origen extranjero o étnico, por ejemplo, que además de su lengua materna comprende y habla el idioma oficial, no tiene necesidad de que se le proporcione gratuitamente los servicios de un intérprete.</w:t>
      </w:r>
    </w:p>
    <w:p w:rsidR="00000000" w:rsidRDefault="00000000">
      <w:pPr>
        <w:spacing w:after="240"/>
      </w:pPr>
      <w:r>
        <w:t>63.</w:t>
      </w:r>
      <w:r>
        <w:tab/>
        <w:t>El Comité también desea señalar a la atención de los Estados Partes los niños que tienen problemas del habla y otras discapacidades.  De acuerdo con el espíritu del inciso vi) del párrafo 2 del artículo 40, y de conformidad con las medidas de protección especial previstas en el artículo 23 para los niños con discapacidades, el Comité recomienda que los Estados Partes proporcionen a los niños con problemas del habla u otras discapacidades asistencia adecuada y efectiva por medio de profesionales especializados, por ejemplo en el lenguaje de los signos, cuando sean objeto de un proceso de justicia de menores (a este respecto, véase también la Observación general Nº 9 (Los derechos de los niños con discapacidad) del Comité de los Derechos del Niño).</w:t>
      </w:r>
    </w:p>
    <w:p w:rsidR="00000000" w:rsidRDefault="00000000">
      <w:pPr>
        <w:keepNext/>
        <w:spacing w:after="240"/>
        <w:rPr>
          <w:b/>
          <w:bCs/>
        </w:rPr>
      </w:pPr>
      <w:r>
        <w:rPr>
          <w:b/>
          <w:bCs/>
        </w:rPr>
        <w:t>Pleno respeto de la vida privada (artículos 16 y 40 2 b) vii))</w:t>
      </w:r>
    </w:p>
    <w:p w:rsidR="00000000" w:rsidRDefault="00000000">
      <w:pPr>
        <w:spacing w:after="240"/>
      </w:pPr>
      <w:r>
        <w:t>64.</w:t>
      </w:r>
      <w:r>
        <w:tab/>
        <w:t>El derecho de un niño a que se respete plenamente su vida privada en todas las fases del procedimiento se inspira en el derecho a la protección de la vida privada proclamado en el artículo 16 de la Convención.  "Todas las fases del procedimiento" comprenden desde el primer contacto con los agentes de la ley (por ejemplo, petición de información e identificación) hasta la adopción de una decisión definitiva por una autoridad competente o el término de la supervisión, la libertad vigilada o la privación de libertad.  En este contexto, el objetivo es evitar que la publicidad indebida o el proceso de difamación causen daño.  No se publicará ninguna información que permita identificar a un niño delincuente, por la estigmatización que ello comporta y su posible efecto en la capacidad del niño para acceder a la educación, el trabajo o la vivienda o conservar su seguridad.  Por tanto, las autoridades públicas deben ser muy reacias a emitir comunicados de prensa sobre los delitos presuntamente cometidos por niños y limitar esos comunicados a casos muy excepcionales.  Deben adoptar medidas para que los niños no puedan ser identificados por medio de esos comunicados de prensa.  Los periodistas que vulneren el derecho a la vida privada de un niño que tenga conflictos con la justicia deberán ser sancionados con medidas disciplinarias y, cuando sea necesario (por ejemplo en caso de reincidencia), con sanciones penales.</w:t>
      </w:r>
    </w:p>
    <w:p w:rsidR="00000000" w:rsidRDefault="00000000">
      <w:pPr>
        <w:spacing w:after="240"/>
      </w:pPr>
      <w:r>
        <w:t>65.</w:t>
      </w:r>
      <w:r>
        <w:tab/>
        <w:t>Con el fin de proteger la vida privada del niño, rige en la mayoría de los Estados Partes la norma -algunas veces con posibles excepciones- de que la vista de una causa contra un niño acusado de haber infringido las leyes penales debe tener lugar a puerta cerrada.  De acuerdo con esa norma, pueden estar presentes expertos u otros profesionales que hayan recibido un permiso especial de la corte.  El juicio público en la justicia de menores sólo debe ser posible en casos muy precisos y previa autorización por escrito del tribunal.  Esa decisión deberá poder ser apelada por el niño.</w:t>
      </w:r>
    </w:p>
    <w:p w:rsidR="00000000" w:rsidRDefault="00000000">
      <w:pPr>
        <w:spacing w:after="240"/>
      </w:pPr>
      <w:r>
        <w:t>66.</w:t>
      </w:r>
      <w:r>
        <w:tab/>
        <w:t>El Comité recomienda que todos los Estados Partes establezcan la regla de que el juicio ante un tribunal y otras actuaciones judiciales contra un niño que tenga conflictos con la justicia se celebren a puerta cerrada.  Las excepciones a esta regla deben ser muy limitadas y estar claramente definidas por la ley.  El veredicto/sentencia deberá dictarse en audiencia pública sin revelar la identidad del niño.  El derecho a la vida privada (art. 16) exige que todos los profesionales que intervengan en la ejecución de las medidas decididas por el tribunal u otra autoridad competente mantengan confidencial, en todos sus contactos externos, toda la información que pueda permitir identificar al niño.  Además, el derecho a la vida privada también significa que los registros de menores delincuentes serán de carácter estrictamente confidencial y no podrán ser consultados por terceros, excepto por las personas que participen directamente en la investigación y resolución del caso.  Con miras a evitar la estigmatización y/o los prejuicios, los registros de menores delincuentes no se utilizarán en procesos de adultos relativos a casos subsiguientes en los que esté implicado el mismo delincuente (véanse las Reglas de Beijing Nos. 21.1 y 21.2), o como base para dictar sentencia en esos procesos futuros.</w:t>
      </w:r>
    </w:p>
    <w:p w:rsidR="00000000" w:rsidRDefault="00000000">
      <w:pPr>
        <w:spacing w:after="240"/>
      </w:pPr>
      <w:r>
        <w:t>67.</w:t>
      </w:r>
      <w:r>
        <w:tab/>
        <w:t>El Comité también recomienda que los Estados Partes adopten normas que permitan la supresión automática en los registros de antecedentes penales del nombre de los niños delincuentes cuando éstos cumplan 18 años, o, en un número limitado de ciertos delitos graves, que permitan la supresión del nombre del niño, a petición de éste, si es necesario en determinadas condiciones (por ejemplo, que no haya cometido un delito en los dos años posteriores a la última condena).</w:t>
      </w:r>
    </w:p>
    <w:p w:rsidR="00000000" w:rsidRDefault="00000000">
      <w:pPr>
        <w:spacing w:after="240"/>
        <w:jc w:val="center"/>
        <w:rPr>
          <w:b/>
          <w:bCs/>
        </w:rPr>
      </w:pPr>
      <w:r>
        <w:rPr>
          <w:b/>
          <w:bCs/>
        </w:rPr>
        <w:t xml:space="preserve">E.  Medidas (véase también el capítulo IV, sección B </w:t>
      </w:r>
      <w:r>
        <w:rPr>
          <w:b/>
          <w:bCs/>
          <w:i/>
          <w:iCs/>
        </w:rPr>
        <w:t>supra</w:t>
      </w:r>
      <w:r>
        <w:rPr>
          <w:b/>
          <w:bCs/>
        </w:rPr>
        <w:t>)</w:t>
      </w:r>
    </w:p>
    <w:p w:rsidR="00000000" w:rsidRDefault="00000000">
      <w:pPr>
        <w:pStyle w:val="Heading1"/>
        <w:spacing w:line="240" w:lineRule="auto"/>
      </w:pPr>
      <w:r>
        <w:t>Medidas alternativas a la sentencia</w:t>
      </w:r>
    </w:p>
    <w:p w:rsidR="00000000" w:rsidRDefault="00000000">
      <w:pPr>
        <w:spacing w:after="240"/>
      </w:pPr>
      <w:r>
        <w:t>68.</w:t>
      </w:r>
      <w:r>
        <w:tab/>
        <w:t>La decisión de iniciar un procedimiento penal contra un menor no implica necesariamente que el proceso deba concluir con el pronunciamiento de una sentencia formal.  De acuerdo con las observaciones formuladas en la sección B, el Comité desea subrayar que las autoridades competentes -el fiscal, en la mayoría de los Estados- deben considerar continuamente las alternativas posibles a una sentencia condenatoria.  En otras palabras, deben desplegarse esfuerzos continuos para concluir la causa de una manera apropiada ofreciendo medidas como las mencionadas en la sección B.  La naturaleza y la duración de las medidas propuestas por la fiscalía pueden ser más severas, por lo que será necesario proporcionar al menor asistencia jurídica u otra asistencia apropiada.  La adopción de la medida de que se trate deberá presentarse al menor como una manera de suspender el procedimiento penal de menores, al que se pondrá fin si la medida se ha llevado a cabo de manera satisfactoria.</w:t>
      </w:r>
    </w:p>
    <w:p w:rsidR="00000000" w:rsidRDefault="00000000">
      <w:pPr>
        <w:spacing w:after="240"/>
      </w:pPr>
      <w:r>
        <w:t>69.</w:t>
      </w:r>
      <w:r>
        <w:tab/>
        <w:t xml:space="preserve">En este proceso de oferta por el fiscal de alternativas al pronunciamiento de una sentencia por el tribunal, deberán respetarse escrupulosamente los derechos humanos y las garantías procesales que asisten al menor.  En este sentido, el Comité se remite a las recomendaciones que figuran en el párrafo 27 </w:t>
      </w:r>
      <w:r>
        <w:rPr>
          <w:i/>
          <w:iCs/>
        </w:rPr>
        <w:t>supra</w:t>
      </w:r>
      <w:r>
        <w:t>, que también son aplicables a estos efectos.</w:t>
      </w:r>
    </w:p>
    <w:p w:rsidR="00000000" w:rsidRDefault="00000000">
      <w:pPr>
        <w:pStyle w:val="Heading2"/>
        <w:spacing w:line="240" w:lineRule="auto"/>
        <w:rPr>
          <w:b/>
          <w:bCs/>
          <w:u w:val="none"/>
        </w:rPr>
      </w:pPr>
      <w:r>
        <w:rPr>
          <w:b/>
          <w:bCs/>
          <w:u w:val="none"/>
        </w:rPr>
        <w:t>Disposiciones adoptadas por el juez/tribunal de menores</w:t>
      </w:r>
    </w:p>
    <w:p w:rsidR="00000000" w:rsidRDefault="00000000">
      <w:pPr>
        <w:spacing w:after="240"/>
      </w:pPr>
      <w:r>
        <w:t>70.</w:t>
      </w:r>
      <w:r>
        <w:tab/>
        <w:t xml:space="preserve">Tras la celebración de un juicio imparcial y con las debidas garantías legales, de conformidad con el artículo 40 de la Convención sobre los Derechos del Niño (véase capítulo IV, sec. D </w:t>
      </w:r>
      <w:r>
        <w:rPr>
          <w:i/>
          <w:iCs/>
        </w:rPr>
        <w:t>supra</w:t>
      </w:r>
      <w:r>
        <w:t>), se adopta una decisión sobre las medidas que se habrán de imponer al menor al que se haya declarado culpable de un delito.  Las leyes deben ofrecer al tribunal/juez, o a cualquier otra autoridad u órgano judicial competente, independiente e imparcial, una amplia variedad de alternativas posibles a la internación en instituciones y la privación de libertad, algunas de las cuales se enumeran en el párrafo 4 del artículo 40 de la Convención sobre los Derechos del Niño, a fin de que la privación de libertad se utilice tan sólo como medida de último recurso y durante el período más breve que sea posible (artículo 37 b) de la Convención).</w:t>
      </w:r>
    </w:p>
    <w:p w:rsidR="00000000" w:rsidRDefault="00000000">
      <w:pPr>
        <w:spacing w:after="240"/>
      </w:pPr>
      <w:r>
        <w:t>71.</w:t>
      </w:r>
      <w:r>
        <w:tab/>
        <w:t xml:space="preserve">El Comité desea subrayar que la respuesta que se dé al delito debe ser siempre proporcionada, no sólo a las circunstancias y la gravedad del delito, sino también a la edad, la menor culpabilidad, las circunstancias y las necesidades del menor, así como a las diversas necesidades de la sociedad, en particular a largo plazo.  La aplicación de un método estrictamente punitivo no está en armonía con los principios básicos de la justicia de menores enunciados en el párrafo 1 del artículo 40 de la Convención (véanse párrafos 5 a 14 </w:t>
      </w:r>
      <w:r>
        <w:rPr>
          <w:i/>
          <w:iCs/>
        </w:rPr>
        <w:t>supra</w:t>
      </w:r>
      <w:r>
        <w:t>).  El Comité reitera que las penas de castigos corporales son contrarias a estos principios y al artículo 37, en el que se prohíben toda forma de tratos o penas crueles, inhumanos o degradantes (véase también la Observación general Nº 8 (2006) del Comité -El derecho del niño a la protección contra los castigos corporales y otras formas de castigo crueles o degradantes).  Cuando un menor cometa un delito grave, se podrá considerar la aplicación de medidas proporcionales a las circunstancias del delincuente y a la gravedad del hecho, y se tomarán en consideración las necesidades del orden público y las sanciones.  En el caso de los menores, siempre prevalecerá sobre estas consideraciones la necesidad de salvaguardar el bienestar y el interés superior del niño y de fomentar su reintegración social.</w:t>
      </w:r>
    </w:p>
    <w:p w:rsidR="00000000" w:rsidRDefault="00000000">
      <w:pPr>
        <w:spacing w:after="240"/>
      </w:pPr>
      <w:r>
        <w:t>72.</w:t>
      </w:r>
      <w:r>
        <w:tab/>
        <w:t>El Comité observa que si la aplicación de una disposición penal depende de la edad del menor y las pruebas de la edad son contradictorias, refutables o poco fidedignas, el menor tendrá derecho a que se le aplique la norma del beneficio de la duda (véanse también párrafos 35 y 39 </w:t>
      </w:r>
      <w:r>
        <w:rPr>
          <w:i/>
          <w:iCs/>
        </w:rPr>
        <w:t>supra</w:t>
      </w:r>
      <w:r>
        <w:t>).</w:t>
      </w:r>
    </w:p>
    <w:p w:rsidR="00000000" w:rsidRDefault="00000000">
      <w:pPr>
        <w:spacing w:after="240"/>
      </w:pPr>
      <w:r>
        <w:t>73.</w:t>
      </w:r>
      <w:r>
        <w:tab/>
        <w:t>Se dispone de amplia experiencia en el uso y la aplicación de medidas alternativas a la privación de libertad y la internación en instituciones.  Los Estados Partes deberían aprovechar esa experiencia y desarrollar y aplicar dichas alternativas adaptándolas a su cultura y tradiciones.  Huelga decir que debe prohibirse expresamente toda medida que comporte trabajo forzoso, tortura o tratos inhumanos o degradantes, y que deberá enjuiciarse a los responsables de esas prácticas ilegales.</w:t>
      </w:r>
    </w:p>
    <w:p w:rsidR="00000000" w:rsidRDefault="00000000">
      <w:pPr>
        <w:spacing w:after="240"/>
      </w:pPr>
      <w:r>
        <w:t>74.</w:t>
      </w:r>
      <w:r>
        <w:tab/>
        <w:t>Tras estas observaciones generales, el Comité desea señalar a la atención las medidas prohibidas en virtud del apartado a) del artículo 37 de la Convención, y la privación de libertad.</w:t>
      </w:r>
    </w:p>
    <w:p w:rsidR="00000000" w:rsidRDefault="00000000">
      <w:pPr>
        <w:pStyle w:val="Heading2"/>
        <w:spacing w:line="240" w:lineRule="auto"/>
        <w:rPr>
          <w:b/>
          <w:bCs/>
          <w:u w:val="none"/>
        </w:rPr>
      </w:pPr>
      <w:r>
        <w:rPr>
          <w:b/>
          <w:bCs/>
          <w:u w:val="none"/>
        </w:rPr>
        <w:t>Prohibición de pena capital</w:t>
      </w:r>
    </w:p>
    <w:p w:rsidR="00000000" w:rsidRDefault="00000000">
      <w:pPr>
        <w:spacing w:after="240"/>
      </w:pPr>
      <w:r>
        <w:t>75.</w:t>
      </w:r>
      <w:r>
        <w:tab/>
        <w:t>En el apartado a) del artículo 37 de la Convención se reafirma la norma internacionalmente aceptada (véase, por ejemplo, artículo 6 5 del Pacto) de que no se impondrá la pena de muerte por delitos cometidos por menores de 18 años.  A pesar de la claridad del texto, algunos Estados Partes presuponen que esa norma prohíbe únicamente la ejecución de menores de 18 años.  Sin embargo, el criterio explícito y decisivo que inspira esa norma es la edad en el momento de la comisión del delito, lo que significa que no se impondrá la pena capital por delitos cometidos por menores de 18 años, independientemente de cuál sea su edad cuando se celebre el juicio, se dicte sentencia o se ejecute la pena.</w:t>
      </w:r>
    </w:p>
    <w:p w:rsidR="00000000" w:rsidRDefault="00000000">
      <w:pPr>
        <w:spacing w:after="240"/>
      </w:pPr>
      <w:r>
        <w:t>76.</w:t>
      </w:r>
      <w:r>
        <w:tab/>
        <w:t>El Comité recomienda al reducido número de Estados Partes que aún no lo han hecho a abolir la pena capital para todos los delitos cometidos por menores de 18 años y a suspender la ejecución de todas las sentencias a la pena capital pronunciadas contra esas personas hasta que se hayan promulgado las medidas legislativas necesarias para abolir la aplicación de la pena capital a menores.  La pena de muerte deberá conmutarse por otra pena que sea plenamente compatible con la Convención.</w:t>
      </w:r>
    </w:p>
    <w:p w:rsidR="00000000" w:rsidRDefault="00000000">
      <w:pPr>
        <w:pStyle w:val="Heading2"/>
        <w:spacing w:line="240" w:lineRule="auto"/>
        <w:rPr>
          <w:b/>
          <w:bCs/>
          <w:u w:val="none"/>
        </w:rPr>
      </w:pPr>
      <w:r>
        <w:rPr>
          <w:b/>
          <w:bCs/>
          <w:u w:val="none"/>
        </w:rPr>
        <w:t>Ninguna condena a cadena perpetua sin posibilidad de libertad condicional</w:t>
      </w:r>
    </w:p>
    <w:p w:rsidR="00000000" w:rsidRDefault="00000000">
      <w:pPr>
        <w:spacing w:after="240"/>
      </w:pPr>
      <w:r>
        <w:t>77.</w:t>
      </w:r>
      <w:r>
        <w:tab/>
        <w:t>No se condenará a cadena perpetua sin posibilidad de puesta en libertad o libertad condicional a ningún joven que tuviera menos de 18 años en el momento de cometer el delito.  Con respecto a las sentencias dictadas contra menores, la posibilidad de la puesta en libertad deberá ser realista y objeto de examen periódico.  En este sentido, el Comité se remite al artículo 25 de la Convención, donde se proclama el derecho a un examen periódico para todos los niños que hayan sido internados para los fines de atención, protección o tratamiento.  El Comité recuerda a los Estados Partes en los que se condenan a menores a la pena de cadena perpetua con la posibilidad de la puesta en libertad o de libertad condicional que esta pena debe estar plenamente en armonía con los objetivos de la justicia de menores consagrados en el párrafo 1 del artículo 40 de la Convención y fomentar su consecución.  Esto significa, entre otras cosas, que el menor condenado a esta pena debe recibir una educación, un tratamiento y una atención con miras a su puesta en libertad, su reintegración social y el desempeño de una función constructiva en la sociedad.  También requiere que se examinen de manera periódica el desarrollo y la evolución del niño para decidir su posible puesta en libertad.  Teniendo en cuenta la probabilidad de que la condena de un menor a cadena perpetua, aun con la posibilidad de su puesta en libertad, hará muy difícil, por no decir imposible, la consecución de los objetivos de la justicia de menores, el Comité recomienda firmemente a los Estados Partes la abolición de toda forma de cadena perpetua por delitos cometidos por menores de 18 años.</w:t>
      </w:r>
    </w:p>
    <w:p w:rsidR="00000000" w:rsidRDefault="00000000">
      <w:pPr>
        <w:spacing w:after="240"/>
        <w:ind w:left="360" w:hanging="360"/>
        <w:jc w:val="center"/>
        <w:rPr>
          <w:b/>
          <w:bCs/>
        </w:rPr>
      </w:pPr>
      <w:r>
        <w:rPr>
          <w:b/>
          <w:bCs/>
        </w:rPr>
        <w:t>F.  Privación de libertad, incluida la detención preventiva</w:t>
      </w:r>
      <w:r>
        <w:rPr>
          <w:b/>
          <w:bCs/>
        </w:rPr>
        <w:br/>
        <w:t>y la prisión posterior a la sentencia</w:t>
      </w:r>
    </w:p>
    <w:p w:rsidR="00000000" w:rsidRDefault="00000000">
      <w:pPr>
        <w:spacing w:after="240"/>
      </w:pPr>
      <w:r>
        <w:t>78.</w:t>
      </w:r>
      <w:r>
        <w:tab/>
        <w:t>En el artículo 37 de la Convención se enuncian los principios fundamentales que rigen la privación de libertad, los derechos procesales de todo menor privado de libertad, y las disposiciones relativas al trato y las condiciones aplicables a los menores privados de libertad.</w:t>
      </w:r>
    </w:p>
    <w:p w:rsidR="00000000" w:rsidRDefault="00000000">
      <w:pPr>
        <w:pStyle w:val="Heading3"/>
        <w:spacing w:after="240" w:line="240" w:lineRule="auto"/>
        <w:rPr>
          <w:i w:val="0"/>
          <w:iCs w:val="0"/>
        </w:rPr>
      </w:pPr>
      <w:r>
        <w:rPr>
          <w:i w:val="0"/>
          <w:iCs w:val="0"/>
        </w:rPr>
        <w:t>Principios básicos</w:t>
      </w:r>
    </w:p>
    <w:p w:rsidR="00000000" w:rsidRDefault="00000000">
      <w:pPr>
        <w:spacing w:after="240"/>
      </w:pPr>
      <w:r>
        <w:t>79.</w:t>
      </w:r>
      <w:r>
        <w:tab/>
        <w:t>Los principios fundamentales relativos a la privación de libertad son los siguientes:  a) la detención, el encarcelamiento o la prisión de un niño se llevará a cabo de conformidad con la ley y se utilizará tan sólo como medida de último recurso y durante el período más breve que proceda; y  b) ningún niño será privado de su libertad ilegal o arbitrariamente.</w:t>
      </w:r>
    </w:p>
    <w:p w:rsidR="00000000" w:rsidRDefault="00000000">
      <w:pPr>
        <w:spacing w:after="240"/>
      </w:pPr>
      <w:r>
        <w:t>80.</w:t>
      </w:r>
      <w:r>
        <w:tab/>
        <w:t xml:space="preserve">El Comité observa con preocupación que, en muchos países, hay menores que languidecen durante meses o incluso años en prisión preventiva, lo que constituye una grave vulneración del apartado b) del artículo 37 de la Convención.  Los Estados Partes deben contemplar un conjunto de alternativas eficaces (véase capítulo IV, sec. B </w:t>
      </w:r>
      <w:r>
        <w:rPr>
          <w:i/>
          <w:iCs/>
        </w:rPr>
        <w:t>supra</w:t>
      </w:r>
      <w:r>
        <w:t>) para dar cumplimiento a la obligación que les incumbe en virtud de esa disposición de utilizar la privación de libertad tan sólo como medida de último recurso.  La adopción de las mencionadas alternativas deberá estructurarse cuidadosamente para reducir también el recurso a la prisión preventiva, y no "ampliar la red" de menores condenados.  Además, los Estados Partes deberán adoptar las medidas legislativas y de otro tipo que sean necesarias para limitar la utilización de la prisión preventiva.  El hecho de utilizar esta medida como castigo atenta contra la presunción de inocencia.  La legislación debe establecer claramente las condiciones requeridas para determinar si el menor debe ingresar o permanecer en prisión preventiva, especialmente con el fin de garantizar su comparecencia ante el tribunal, y si el menor constituye un peligro inmediato para sí mismo o para los demás.  La duración de la prisión preventiva debe estar limitada por ley y ser objeto de examen periódico.</w:t>
      </w:r>
    </w:p>
    <w:p w:rsidR="00000000" w:rsidRDefault="00000000">
      <w:pPr>
        <w:spacing w:after="240"/>
      </w:pPr>
      <w:r>
        <w:t>81.</w:t>
      </w:r>
      <w:r>
        <w:tab/>
        <w:t>El Comité recomienda que los Estados Partes velen por que se ponga en libertad, lo antes posible, a los menores que se encuentren en prisión preventiva, a reserva de ciertas condiciones si fuera necesario.  Toda decisión relativa a la prisión preventiva, en particular sobre su duración, incumbe a una autoridad u órgano judicial competente, independiente e imparcial, y el niño deberá contar con asistencia jurídica u otra asistencia adecuada.</w:t>
      </w:r>
    </w:p>
    <w:p w:rsidR="00000000" w:rsidRDefault="00000000">
      <w:pPr>
        <w:spacing w:after="240"/>
        <w:rPr>
          <w:b/>
          <w:bCs/>
        </w:rPr>
      </w:pPr>
      <w:r>
        <w:rPr>
          <w:b/>
          <w:bCs/>
        </w:rPr>
        <w:t>Derechos procesales (artículo 37 d))</w:t>
      </w:r>
    </w:p>
    <w:p w:rsidR="00000000" w:rsidRDefault="00000000">
      <w:pPr>
        <w:spacing w:after="240"/>
      </w:pPr>
      <w:r>
        <w:t>82.</w:t>
      </w:r>
      <w:r>
        <w:tab/>
        <w:t>Todo niño privado de su libertad tendrá derecho a un pronto acceso a la asistencia jurídica y otra asistencia adecuada, así como derecho a impugnar la legalidad de la privación de su libertad ante un tribunal u otra autoridad competente, independiente e imparcial y a una pronta decisión sobre dicha acción.</w:t>
      </w:r>
    </w:p>
    <w:p w:rsidR="00000000" w:rsidRDefault="00000000">
      <w:pPr>
        <w:spacing w:after="240"/>
      </w:pPr>
      <w:r>
        <w:t>83.</w:t>
      </w:r>
      <w:r>
        <w:tab/>
        <w:t>Todo menor detenido y privado de libertad deberá ser puesto a disposición de una autoridad competente en un plazo de 24 horas para que se examine la legalidad de su privación de libertad o de la continuación de ésta.  El Comité también recomienda que los Estados Partes adopten disposiciones jurídicas estrictas para garantizar que sea objeto de examen periódico la legalidad de la prisión preventiva, preferentemente cada dos semanas.  Si no es posible la libertad provisional del menor, por ejemplo mediante la aplicación de medidas alternativas, deberá presentarse una imputación formal de los presuntos delitos y poner al menor a disposición de un tribunal u otra autoridad u órgano judicial competente, independiente e imparcial en el plazo de 30 días a partir del ingreso del menor en prisión preventiva.  El Comité, teniendo en cuenta la práctica de aplazar la vista de las causas ante los tribunales, a menudo en más de una ocasión, insta a los Estado Partes a que adopten las disposiciones jurídicas necesarias para que el tribunal o juez de menores, u otro órgano competente, tome una decisión definitiva en relación con los cargos en un plazo de seis meses a partir de su presentación.</w:t>
      </w:r>
    </w:p>
    <w:p w:rsidR="00000000" w:rsidRDefault="00000000">
      <w:pPr>
        <w:spacing w:after="240"/>
      </w:pPr>
      <w:r>
        <w:t>84.</w:t>
      </w:r>
      <w:r>
        <w:tab/>
        <w:t>El derecho a impugnar la legalidad de la privación de libertad no sólo incluye el derecho de apelación, sino también el derecho a dirigirse a un tribunal u otra autoridad u órgano judicial competente, independiente e imparcial, cuando la privación de libertad haya sido una decisión administrativa (por ejemplo, la policía, el fiscal u otra autoridad competente).  El derecho a una pronta decisión significa que la decisión debe adoptarse lo antes posible, por ejemplo, en un plazo de dos semanas a partir de la fecha de la impugnación.</w:t>
      </w:r>
    </w:p>
    <w:p w:rsidR="00000000" w:rsidRDefault="00000000">
      <w:pPr>
        <w:spacing w:after="240"/>
        <w:rPr>
          <w:b/>
          <w:bCs/>
        </w:rPr>
      </w:pPr>
      <w:r>
        <w:rPr>
          <w:b/>
          <w:bCs/>
        </w:rPr>
        <w:t>Tratamiento y condiciones (artículo 37 c))</w:t>
      </w:r>
    </w:p>
    <w:p w:rsidR="00000000" w:rsidRDefault="00000000">
      <w:pPr>
        <w:spacing w:after="240"/>
      </w:pPr>
      <w:r>
        <w:t>85.</w:t>
      </w:r>
      <w:r>
        <w:tab/>
        <w:t>Todo niño privado de libertad estará separado de los adultos.  No se privará a un menor de libertad en una prisión u otro centro de adultos.  Hay muchas pruebas de que el internamiento de niños en prisiones u otros centro de detención de adultos pone en peligro tanto su seguridad básica y bienestar como su capacidad futura de no reincidencia y de reintegración social.  La excepción contemplada en el párrafo c) del artículo 37 de la Convención, en el sentido de que la separación deberá efectuarse "a menos que ello se considere contrario al interés superior del niño", debe interpretarse de manera restrictiva; la alusión al interés superior del niño no se refiere a lo que sea conveniente para los Estados Partes.  Éstos deberán crear centros separados para los menores privados de libertad, dotados de personal especializado y en los que se apliquen políticas y prácticas especiales en favor de los menores.</w:t>
      </w:r>
    </w:p>
    <w:p w:rsidR="00000000" w:rsidRDefault="00000000">
      <w:pPr>
        <w:spacing w:after="240"/>
      </w:pPr>
      <w:r>
        <w:t>86.</w:t>
      </w:r>
      <w:r>
        <w:tab/>
        <w:t>Esta norma no significa que un niño internado en un centro para menores deba ser trasladado a una institución para adultos inmediatamente después de cumplir los 18 años.  Debería poder permanecer en el centro de menores si ello coincide con el interés superior del niño y no atenta contra el interés superior de los niños de menor edad internados en el centro.</w:t>
      </w:r>
    </w:p>
    <w:p w:rsidR="00000000" w:rsidRDefault="00000000">
      <w:pPr>
        <w:spacing w:after="240"/>
      </w:pPr>
      <w:r>
        <w:t>87.</w:t>
      </w:r>
      <w:r>
        <w:tab/>
        <w:t>Todo niño privado de libertad tiene derecho a mantener contacto con su familia por medio de correspondencia y visitas.  Para facilitar las visitas, se internará al niño en un centro situado lo más cerca posible del lugar de residencia de su familia.  Las circunstancias excepcionales en que pueda limitarse ese contacto deberán estar claramente establecidas en la ley y no quedar a la discreción de las autoridades competentes.</w:t>
      </w:r>
    </w:p>
    <w:p w:rsidR="00000000" w:rsidRDefault="00000000">
      <w:pPr>
        <w:spacing w:after="240"/>
      </w:pPr>
      <w:r>
        <w:t>88.</w:t>
      </w:r>
      <w:r>
        <w:tab/>
        <w:t>El Comité señala a la atención de los Estados Partes las Reglas de las Naciones Unidas para la protección de los menores privados de libertad, aprobadas por la Asamblea General en su resolución 45/113, de 14 de diciembre de 1990.  El Comité insta a los Estados Partes a aplicar plenamente esas reglas, teniendo en cuenta al mismo tiempo, cuando proceda, las Reglas mínimas para el tratamiento de los reclusos (véase también la regla 9 de las Reglas de Beijing).  A este respecto, el Comité recomienda que los Estados Partes incorporen esas reglas en sus leyes y reglamentos nacionales y las difundan en los idiomas nacionales o regionales correspondientes, entre todos los profesionales, ONG y voluntarios que participen en la administración de la justicia de menores.</w:t>
      </w:r>
    </w:p>
    <w:p w:rsidR="00000000" w:rsidRDefault="00000000">
      <w:pPr>
        <w:spacing w:after="240"/>
      </w:pPr>
      <w:r>
        <w:t>89.</w:t>
      </w:r>
      <w:r>
        <w:tab/>
        <w:t>El Comité quiere destacar que, en todos los casos de privación de libertad, son aplicables, entre otros, los siguientes principios y normas:</w:t>
      </w:r>
    </w:p>
    <w:p w:rsidR="00000000" w:rsidRDefault="00000000">
      <w:pPr>
        <w:spacing w:after="240"/>
        <w:ind w:left="924" w:hanging="357"/>
      </w:pPr>
      <w:r>
        <w:t>-</w:t>
      </w:r>
      <w:r>
        <w:tab/>
        <w:t>El medio físico y los locales para menores deben responder a su finalidad, es decir, la rehabilitación de los menores, teniéndose debidamente en cuenta sus necesidades de intimidad, de estímulos sensoriales y de oportunidades de asociarse con sus compañeros y de participar en actividades deportivas, artísticas y de esparcimiento.</w:t>
      </w:r>
    </w:p>
    <w:p w:rsidR="00000000" w:rsidRDefault="00000000">
      <w:pPr>
        <w:spacing w:after="240"/>
        <w:ind w:left="924" w:hanging="357"/>
      </w:pPr>
      <w:r>
        <w:t>-</w:t>
      </w:r>
      <w:r>
        <w:tab/>
        <w:t>Todo menor en edad de escolaridad obligatoria tiene derecho a recibir una enseñanza adaptada a sus necesidades y capacidades y destinada a prepararlo para su reinserción en la sociedad.  Además, siempre que sea posible, tiene derecho a recibir formación para ejercer una profesión que lo prepare para un futuro empleo.</w:t>
      </w:r>
    </w:p>
    <w:p w:rsidR="00000000" w:rsidRDefault="00000000">
      <w:pPr>
        <w:spacing w:after="240"/>
        <w:ind w:left="924" w:hanging="357"/>
      </w:pPr>
      <w:r>
        <w:t>-</w:t>
      </w:r>
      <w:r>
        <w:tab/>
        <w:t>Todo menor tiene derecho a ser examinado por un médico inmediatamente después de su ingreso en un centro de menores/correccional y a recibir atención médica adecuada durante su estancia en el centro, cuando sea posible, en servicios e instalaciones sanitarios de la comunidad.</w:t>
      </w:r>
    </w:p>
    <w:p w:rsidR="00000000" w:rsidRDefault="00000000">
      <w:pPr>
        <w:spacing w:after="240"/>
        <w:ind w:left="924" w:hanging="357"/>
      </w:pPr>
      <w:r>
        <w:t>-</w:t>
      </w:r>
      <w:r>
        <w:tab/>
        <w:t>El personal del centro debe fomentar y facilitar contactos frecuentes del menor con la comunidad en general, en particular comunicaciones con sus familiares, amigos y otras personas o representantes de organizaciones prestigiosas del exterior, y la oportunidad de visitar su hogar y su familia.</w:t>
      </w:r>
    </w:p>
    <w:p w:rsidR="00000000" w:rsidRDefault="00000000">
      <w:pPr>
        <w:spacing w:after="240"/>
        <w:ind w:left="924" w:hanging="357"/>
      </w:pPr>
      <w:r>
        <w:t>-</w:t>
      </w:r>
      <w:r>
        <w:tab/>
        <w:t>Sólo podrá hacerse uso de coerción o de la fuerza cuando el menor represente una amenaza inminente para sí o para los demás, y únicamente cuando se hayan agotado todos los demás medios de control.  El uso de coerción o de la fuerza, inclusive la coerción física, mecánica y médica, deberá ser objeto de la supervisión directa de un especialista en medicina o psicología.  Nunca se hará uso de esos medios como castigo.  Deberá informarse al personal del centro de las normas aplicables, y se sancionará adecuadamente a los que hagan uso de la coerción o la fuerza vulnerando esas normas.</w:t>
      </w:r>
    </w:p>
    <w:p w:rsidR="00000000" w:rsidRDefault="00000000">
      <w:pPr>
        <w:spacing w:after="240"/>
        <w:ind w:left="924" w:hanging="357"/>
      </w:pPr>
      <w:r>
        <w:t>-</w:t>
      </w:r>
      <w:r>
        <w:tab/>
        <w:t xml:space="preserve">Toda medida disciplinaria debe ser compatible con el respeto de la dignidad inherente del menor y con el objetivo fundamental del tratamiento institucional; deben prohibirse terminantemente las medidas disciplinarias que infrinjan el artículo 37 de la Convención, en particular los castigos corporales, la reclusión en celda oscura y las penas de aislamiento o de celda solitaria, así como cualquier otra sanción que pueda poner en peligro la salud física o mental o el bienestar del menor.  </w:t>
      </w:r>
    </w:p>
    <w:p w:rsidR="00000000" w:rsidRDefault="00000000">
      <w:pPr>
        <w:spacing w:after="240"/>
        <w:ind w:left="924" w:hanging="357"/>
      </w:pPr>
      <w:r>
        <w:t>-</w:t>
      </w:r>
      <w:r>
        <w:tab/>
        <w:t>Todo niño tendrá derecho a dirigir, sin censura en cuanto al fondo, peticiones o quejas a la administración central, a la autoridad judicial o a cualquier otra autoridad competente e independiente, y a ser informado sin demora de la respuesta; los niños deben tener conocimiento de estos mecanismos y poder acceder a ellos fácilmente.</w:t>
      </w:r>
    </w:p>
    <w:p w:rsidR="00000000" w:rsidRDefault="00000000">
      <w:pPr>
        <w:spacing w:after="240"/>
        <w:ind w:left="924" w:hanging="357"/>
      </w:pPr>
      <w:r>
        <w:t>-</w:t>
      </w:r>
      <w:r>
        <w:tab/>
        <w:t>Deberá facultarse a inspectores calificados e independientes para efectuar visitas periódicas y para hacerlas sin previo aviso por propia iniciativa; deberán hacer especial hincapié en mantener conversaciones con los menores en condiciones de confidencialidad.</w:t>
      </w:r>
    </w:p>
    <w:p w:rsidR="00000000" w:rsidRDefault="00000000">
      <w:pPr>
        <w:spacing w:before="480" w:after="240"/>
        <w:jc w:val="center"/>
        <w:rPr>
          <w:b/>
          <w:bCs/>
        </w:rPr>
      </w:pPr>
      <w:r>
        <w:rPr>
          <w:b/>
          <w:bCs/>
        </w:rPr>
        <w:t>V.  LA ORGANIZACIÓN DE LA JUSTICIA DE MENORES</w:t>
      </w:r>
    </w:p>
    <w:p w:rsidR="00000000" w:rsidRDefault="00000000">
      <w:pPr>
        <w:spacing w:after="240"/>
      </w:pPr>
      <w:r>
        <w:t>90.</w:t>
      </w:r>
      <w:r>
        <w:tab/>
        <w:t>A fin de garantizar la plena aplicación de los principios y derechos enunciados en los párrafos anteriores, es necesario establecer una organización eficaz para la administración de la justicia de menores y un sistema amplio de justicia de menores.  De conformidad con el párrafo 3 del artículo 40 de la Convención, los Estados Partes tomarán todas las medidas apropiadas para promover el establecimiento de leyes, procedimientos, autoridades e instituciones específicos para los niños en conflicto con las leyes penales.</w:t>
      </w:r>
    </w:p>
    <w:p w:rsidR="00000000" w:rsidRDefault="00000000">
      <w:pPr>
        <w:spacing w:after="240"/>
      </w:pPr>
      <w:r>
        <w:t>91.</w:t>
      </w:r>
      <w:r>
        <w:tab/>
        <w:t>En la presente observación general se han expuesto las características que deberían reunir las disposiciones básicas de esas leyes y procedimientos.  Queda a la discreción de los Estados Partes las demás disposiciones, lo cual también se aplica a la forma de esas leyes y procedimientos.  Podrán establecerse en capítulos especiales de los instrumentos generales del derecho penal y procesal, o reunirse en una ley independiente sobre la justicia de menores.</w:t>
      </w:r>
    </w:p>
    <w:p w:rsidR="00000000" w:rsidRDefault="00000000">
      <w:pPr>
        <w:spacing w:after="240"/>
      </w:pPr>
      <w:r>
        <w:t>92.</w:t>
      </w:r>
      <w:r>
        <w:tab/>
        <w:t>Un sistema amplio de justicia de menores requiere además el establecimiento de unidades especializadas en la policía, la judicatura, el sistema judicial y la fiscalía, y la disponibilidad de defensores especializados u otros representantes encargados de prestar al menor asistencia jurídica u otra asistencia adecuada.</w:t>
      </w:r>
    </w:p>
    <w:p w:rsidR="00000000" w:rsidRDefault="00000000">
      <w:pPr>
        <w:spacing w:after="240"/>
      </w:pPr>
      <w:r>
        <w:t>93.</w:t>
      </w:r>
      <w:r>
        <w:tab/>
        <w:t>El Comité recomienda que los Estados Partes establezcan tribunales de menores como entidades separadas o como parte de los tribunales regionales o de distrito existentes.  Cuando no pueda hacerse de manera inmediata por motivos prácticos, los Estados Partes velarán por que se nombre a jueces o magistrados especializados de menores.</w:t>
      </w:r>
    </w:p>
    <w:p w:rsidR="00000000" w:rsidRDefault="00000000">
      <w:pPr>
        <w:spacing w:after="240"/>
      </w:pPr>
      <w:r>
        <w:t>94.</w:t>
      </w:r>
      <w:r>
        <w:tab/>
        <w:t>Asimismo, deben establecerse servicios especializados, por ejemplo, de libertad vigilada, de asesoramiento de supervisión, y también centros especializados, como centros diurnos y, según proceda, centros de atención y tratamiento de menores delincuentes en régimen de internado.  En un sistema de justicia de menores de este tipo deberá fomentarse de manera continua la coordinación efectiva de las actividades de todas estas unidades, servicios y centros especializados.</w:t>
      </w:r>
    </w:p>
    <w:p w:rsidR="00000000" w:rsidRDefault="00000000">
      <w:pPr>
        <w:spacing w:after="240"/>
      </w:pPr>
      <w:r>
        <w:t>95.</w:t>
      </w:r>
      <w:r>
        <w:tab/>
        <w:t>De muchos informes de los Estados Partes se desprende claramente que las ONG pueden desempeñar, y de hecho desempeñan, un importante papel no sólo de prevención de la delincuencia juvenil, sino también en la administración de la justicia de menores.  Por consiguiente, el Comité recomienda que los Estados Partes traten de que esas organizaciones participen activamente en la elaboración y aplicación de sus políticas generales de justicia de menores y les faciliten los recursos necesarios para ello.</w:t>
      </w:r>
    </w:p>
    <w:p w:rsidR="00000000" w:rsidRDefault="00000000">
      <w:pPr>
        <w:spacing w:before="480" w:after="240"/>
        <w:jc w:val="center"/>
        <w:rPr>
          <w:b/>
          <w:bCs/>
        </w:rPr>
      </w:pPr>
      <w:r>
        <w:rPr>
          <w:b/>
          <w:bCs/>
        </w:rPr>
        <w:t>VI.  CONCIENCIACIÓN Y FORMACIÓN</w:t>
      </w:r>
    </w:p>
    <w:p w:rsidR="00000000" w:rsidRDefault="00000000">
      <w:pPr>
        <w:spacing w:after="240"/>
      </w:pPr>
      <w:r>
        <w:t>96.</w:t>
      </w:r>
      <w:r>
        <w:tab/>
        <w:t>Los medios de comunicación suelen transmitir una imagen negativa de los niños que delinquen, lo cual contribuye a que se forme un estereotipo discriminatorio y negativo de ellos, y a menudo de los niños en general.  Esta representación negativa o criminalización de los menores delincuentes suele basarse en una distorsión y/o deficiente comprensión de las causas de la delincuencia juvenil, con las consiguientes peticiones periódicas de medidas más estrictas (por ejemplo, tolerancia cero, cadena perpetua al tercer delito de tipo violento, sentencias obligatorias, juicios en tribunales para adultos y otras medidas esencialmente punitivas).  Para crear un ambiente más propicio a una mejor comprensión de las causas básicas de la delincuencia juvenil y a un planteamiento de este problema social basado en los derechos, los Estados Partes deben llevar a cabo, promover y/o apoyar campañas educativas y de otro tipo para que se tomen conciencia de la necesidad y la obligación de tratar al menor del que se alegue que ha cometido un delito con arreglo al espíritu y la letra de la Convención.  En este sentido, los Estados Partes deben recabar la colaboración activa y positiva de los parlamentarios, las ONG y los medios de comunicación y respaldar sus esfuerzos encaminados a lograr una mejor comprensión de la necesidad de dispensar un trato a los niños que tienen o han tenido conflictos con la justicia basado en los derechos.  Es fundamental que los niños, sobre todo los que ya han pasado por el sistema de la justicia de menores, participen en esta labor de concienciación.</w:t>
      </w:r>
    </w:p>
    <w:p w:rsidR="00000000" w:rsidRDefault="00000000">
      <w:pPr>
        <w:spacing w:after="240"/>
      </w:pPr>
      <w:r>
        <w:t>97.</w:t>
      </w:r>
      <w:r>
        <w:tab/>
        <w:t xml:space="preserve">La calidad de la administración de la justicia de menores depende decisivamente de que todos los profesionales que participan, entre otras cosas, en las labores de orden público y las actuaciones judiciales, reciban una capacitación adecuada que les informe del contenido y el significado de las disposiciones de la Convención, y en particular de las que están directamente relacionadas con su labor cotidiana.  Esta capacitación debe ser sistemática y continua, y no debe limitarse a informar de las disposiciones legales nacionales e internacionales aplicables en la materia.  También debe incluir información, entre otras cosas, sobre las causas sociales y de otro tipo de la delincuencia juvenil, los aspectos psicológicos y de otra índole del desarrollo de los niños (prestando especial atención a las niñas y a los menores indígenas o pertenecientes a minorías), la cultura y las tendencias que se registran en el mundo de los jóvenes, la dinámica de las actividades en grupo, y las medidas disponibles para tratar a los niños que tienen conflictos con la justicia, en particular medidas que no impliquen el recurso a procedimientos judiciales (véase capítulo IV, sec. B </w:t>
      </w:r>
      <w:r>
        <w:rPr>
          <w:i/>
          <w:iCs/>
        </w:rPr>
        <w:t>supra</w:t>
      </w:r>
      <w:r>
        <w:t>)</w:t>
      </w:r>
    </w:p>
    <w:p w:rsidR="00000000" w:rsidRDefault="00000000">
      <w:pPr>
        <w:spacing w:before="480" w:after="240"/>
        <w:jc w:val="center"/>
        <w:rPr>
          <w:b/>
          <w:bCs/>
        </w:rPr>
      </w:pPr>
      <w:r>
        <w:rPr>
          <w:b/>
          <w:bCs/>
        </w:rPr>
        <w:t>VII.  RECOPILACIÓN DE DATOS, EVALUACIÓN E INVESTIGACIÓN</w:t>
      </w:r>
    </w:p>
    <w:p w:rsidR="00000000" w:rsidRDefault="00000000">
      <w:pPr>
        <w:spacing w:after="240"/>
      </w:pPr>
      <w:r>
        <w:t>98.</w:t>
      </w:r>
      <w:r>
        <w:tab/>
        <w:t>Preocupa profundamente al Comité la falta de datos desglosados, ni siquiera básicos, sobre cuestiones como el número y el tipo de delitos cometidos por los menores, la utilización de la prisión preventiva y el promedio de su duración, el número de menores a los que se han aplicado medidas distintas de los procedimientos judiciales (remisión de casos), el número de niños condenados y el tipo de penas que se les han impuesto.  El Comité insta a los Estados Partes a recopilar sistemáticamente datos desglosados sobre la administración de la justicia de menores, que son necesarios para la elaboración, aplicación y evaluación de políticas y programas de prevención y de respuesta efectiva, de conformidad con los principios y disposiciones de la Convención.</w:t>
      </w:r>
    </w:p>
    <w:p w:rsidR="00000000" w:rsidRDefault="00000000">
      <w:pPr>
        <w:spacing w:after="240"/>
      </w:pPr>
      <w:r>
        <w:t>99.</w:t>
      </w:r>
      <w:r>
        <w:tab/>
        <w:t>El Comité recomienda que los Estados Partes evalúen periódicamente, preferentemente por medio de instituciones académicas independientes, el funcionamiento práctico de su justicia de menores, en particular la eficacia de las medidas adoptadas, incluidas las relativas a la discriminación, la reintegración social y la reincidencia.  La investigación de cuestiones como las disparidades en la administración de la justicia de menores que comporten discriminación, y las novedades en ese ámbito, por ejemplo programas efectivos de remisión de casos o nuevas actividades de delincuencia juvenil, indicará en qué aspectos clave se han logrado resultados positivos y en cuáles la situación es preocupante.   Es importante que los menores participen en esa labor de evaluación e investigación, en particular los que han estado en contacto con partes del sistema de justicia de menores.  Debe respetarse y protegerse plenamente la intimidad de esos menores y la confidencialidad de su cooperación.  A ese respecto el Comité señala a la atención de los Estados Partes las actuales directrices internacionales sobre la participación de niños en la investigación.</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Obsérvese que los derechos de un niño privado de libertad se aplican, de conformidad con la Convención, a los niños que tienen conflictos con la justicia y a los niños internados en instituciones para su cuidado, protección o tratamiento, incluidas instituciones de salud mental, educativas, de desintoxicación, de protección de la infancia o de inmigración.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CRC/C/GC/10</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38"/>
      </w:tabs>
      <w:rPr>
        <w:lang w:val="en-GB"/>
      </w:rPr>
    </w:pPr>
    <w:r>
      <w:tab/>
    </w:r>
    <w:r>
      <w:rPr>
        <w:lang w:val="en-GB"/>
      </w:rPr>
      <w:t>CRC/C/GC/10</w:t>
    </w:r>
  </w:p>
  <w:p w:rsidR="00000000" w:rsidRDefault="00000000">
    <w:pPr>
      <w:tabs>
        <w:tab w:val="left" w:pos="7938"/>
      </w:tabs>
    </w:pPr>
    <w:r>
      <w:rPr>
        <w:lang w:val="en-GB"/>
      </w:rPr>
      <w:tab/>
    </w:r>
    <w:r>
      <w:t xml:space="preserve">página </w:t>
    </w:r>
    <w:r>
      <w:fldChar w:fldCharType="begin"/>
    </w:r>
    <w:r>
      <w:instrText xml:space="preserve"> PAGE  \* MERGEFORMAT </w:instrText>
    </w:r>
    <w:r>
      <w:fldChar w:fldCharType="separate"/>
    </w:r>
    <w:r>
      <w:rPr>
        <w:noProof/>
      </w:rPr>
      <w:t>23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line="840" w:lineRule="auto"/>
      <w:outlineLvl w:val="0"/>
    </w:pPr>
    <w:rPr>
      <w:b/>
      <w:bCs/>
      <w:lang w:eastAsia="es-ES"/>
    </w:rPr>
  </w:style>
  <w:style w:type="paragraph" w:styleId="Heading2">
    <w:name w:val="heading 2"/>
    <w:basedOn w:val="Normal"/>
    <w:next w:val="Normal"/>
    <w:qFormat/>
    <w:pPr>
      <w:keepNext/>
      <w:spacing w:after="240" w:line="840" w:lineRule="auto"/>
      <w:outlineLvl w:val="1"/>
    </w:pPr>
    <w:rPr>
      <w:u w:val="single"/>
      <w:lang w:eastAsia="es-ES"/>
    </w:rPr>
  </w:style>
  <w:style w:type="paragraph" w:styleId="Heading3">
    <w:name w:val="heading 3"/>
    <w:basedOn w:val="Normal"/>
    <w:next w:val="Normal"/>
    <w:qFormat/>
    <w:pPr>
      <w:keepNext/>
      <w:spacing w:line="840" w:lineRule="auto"/>
      <w:outlineLvl w:val="2"/>
    </w:pPr>
    <w:rPr>
      <w:b/>
      <w:bCs/>
      <w:i/>
      <w:iCs/>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24</Pages>
  <Words>13099</Words>
  <Characters>74665</Characters>
  <Application>Microsoft Office Word</Application>
  <DocSecurity>4</DocSecurity>
  <Lines>622</Lines>
  <Paragraphs>149</Paragraphs>
  <ScaleCrop>false</ScaleCrop>
  <HeadingPairs>
    <vt:vector size="2" baseType="variant">
      <vt:variant>
        <vt:lpstr>Título</vt:lpstr>
      </vt:variant>
      <vt:variant>
        <vt:i4>1</vt:i4>
      </vt:variant>
    </vt:vector>
  </HeadingPairs>
  <TitlesOfParts>
    <vt:vector size="1" baseType="lpstr">
      <vt:lpstr>CRC/C/GC/10</vt:lpstr>
    </vt:vector>
  </TitlesOfParts>
  <Company>ONU</Company>
  <LinksUpToDate>false</LinksUpToDate>
  <CharactersWithSpaces>91693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CRC/C/GC/10</dc:title>
  <dc:subject/>
  <dc:creator>Pedro Mitrópulos</dc:creator>
  <cp:keywords/>
  <dc:description/>
  <cp:lastModifiedBy>CSD</cp:lastModifiedBy>
  <cp:revision>2</cp:revision>
  <cp:lastPrinted>2007-06-01T14:48:00Z</cp:lastPrinted>
  <dcterms:created xsi:type="dcterms:W3CDTF">2007-06-01T15:18:00Z</dcterms:created>
  <dcterms:modified xsi:type="dcterms:W3CDTF">2007-06-01T15:18:00Z</dcterms:modified>
</cp:coreProperties>
</file>