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4D54">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614D54">
      <w:pPr>
        <w:spacing w:line="60" w:lineRule="exact"/>
        <w:rPr>
          <w:sz w:val="6"/>
        </w:rPr>
      </w:pPr>
    </w:p>
    <w:p w:rsidR="00000000" w:rsidRDefault="00614D54" w:rsidP="00614D54">
      <w:pPr>
        <w:pStyle w:val="SingleTxt"/>
        <w:spacing w:after="60" w:line="300" w:lineRule="exact"/>
        <w:ind w:leftChars="2" w:left="31680" w:rightChars="602" w:right="31680"/>
        <w:rPr>
          <w:rFonts w:ascii="SimHei" w:eastAsia="SimHei" w:hint="eastAsia"/>
          <w:color w:val="FF0000"/>
          <w:sz w:val="24"/>
        </w:rPr>
      </w:pPr>
      <w:r>
        <w:rPr>
          <w:rFonts w:ascii="SimHei" w:eastAsia="SimHei" w:hint="eastAsia"/>
          <w:color w:val="FF0000"/>
          <w:sz w:val="24"/>
        </w:rPr>
        <w:t>消除对妇女歧视委员会</w:t>
      </w:r>
    </w:p>
    <w:p w:rsidR="00000000" w:rsidRDefault="00614D54" w:rsidP="00614D54">
      <w:pPr>
        <w:pStyle w:val="SingleTxt"/>
        <w:spacing w:after="60" w:line="300" w:lineRule="exact"/>
        <w:ind w:leftChars="2" w:left="31680" w:rightChars="602" w:right="31680"/>
        <w:rPr>
          <w:rFonts w:ascii="SimHei" w:eastAsia="SimHei" w:hint="eastAsia"/>
          <w:color w:val="FF0000"/>
        </w:rPr>
      </w:pPr>
      <w:r>
        <w:rPr>
          <w:rFonts w:ascii="SimHei" w:eastAsia="SimHei" w:hint="eastAsia"/>
          <w:color w:val="FF0000"/>
        </w:rPr>
        <w:t>会前工作组</w:t>
      </w:r>
    </w:p>
    <w:p w:rsidR="00000000" w:rsidRDefault="00614D54" w:rsidP="00614D54">
      <w:pPr>
        <w:pStyle w:val="SingleTxt"/>
        <w:spacing w:after="60" w:line="300" w:lineRule="exact"/>
        <w:ind w:leftChars="2" w:left="31680" w:rightChars="602" w:right="31680"/>
        <w:rPr>
          <w:rFonts w:ascii="SimHei" w:eastAsia="SimHei" w:hint="eastAsia"/>
          <w:color w:val="FF0000"/>
        </w:rPr>
      </w:pPr>
      <w:r>
        <w:rPr>
          <w:rFonts w:ascii="SimHei" w:eastAsia="SimHei" w:hint="eastAsia"/>
          <w:color w:val="FF0000"/>
        </w:rPr>
        <w:t>第三十五届会议</w:t>
      </w:r>
    </w:p>
    <w:p w:rsidR="00000000" w:rsidRDefault="00614D54" w:rsidP="00614D54">
      <w:pPr>
        <w:pStyle w:val="SingleTxt"/>
        <w:spacing w:after="60" w:line="300" w:lineRule="exact"/>
        <w:ind w:leftChars="2" w:left="31680" w:rightChars="602" w:right="31680"/>
        <w:rPr>
          <w:rFonts w:hint="eastAsia"/>
        </w:rPr>
      </w:pPr>
      <w:r>
        <w:rPr>
          <w:rFonts w:hint="eastAsia"/>
        </w:rPr>
        <w:t>2006</w:t>
      </w:r>
      <w:r>
        <w:rPr>
          <w:rFonts w:hint="eastAsia"/>
        </w:rPr>
        <w:t>年</w:t>
      </w:r>
      <w:r>
        <w:rPr>
          <w:rFonts w:hint="eastAsia"/>
        </w:rPr>
        <w:t>5</w:t>
      </w:r>
      <w:r>
        <w:rPr>
          <w:rFonts w:hint="eastAsia"/>
        </w:rPr>
        <w:t>月</w:t>
      </w:r>
      <w:r>
        <w:rPr>
          <w:rFonts w:hint="eastAsia"/>
        </w:rPr>
        <w:t>15</w:t>
      </w:r>
      <w:r>
        <w:rPr>
          <w:rFonts w:hint="eastAsia"/>
        </w:rPr>
        <w:t>日至</w:t>
      </w:r>
      <w:r>
        <w:rPr>
          <w:rFonts w:hint="eastAsia"/>
        </w:rPr>
        <w:t>6</w:t>
      </w:r>
      <w:r>
        <w:rPr>
          <w:rFonts w:hint="eastAsia"/>
        </w:rPr>
        <w:t>月</w:t>
      </w:r>
      <w:r>
        <w:rPr>
          <w:rFonts w:hint="eastAsia"/>
        </w:rPr>
        <w:t>2</w:t>
      </w:r>
      <w:r>
        <w:rPr>
          <w:rFonts w:hint="eastAsia"/>
        </w:rPr>
        <w:t>日</w:t>
      </w:r>
    </w:p>
    <w:p w:rsidR="00000000" w:rsidRDefault="00614D54">
      <w:pPr>
        <w:pStyle w:val="SingleTxt"/>
        <w:spacing w:after="0" w:line="140" w:lineRule="exact"/>
        <w:rPr>
          <w:rFonts w:hint="eastAsia"/>
          <w:sz w:val="10"/>
        </w:rPr>
      </w:pPr>
    </w:p>
    <w:p w:rsidR="00000000" w:rsidRDefault="00614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与审议初次和定期报告有关的议题和问题清单</w:t>
      </w:r>
    </w:p>
    <w:p w:rsidR="00000000" w:rsidRDefault="00614D54">
      <w:pPr>
        <w:pStyle w:val="SingleTxt"/>
        <w:spacing w:after="0" w:line="140" w:lineRule="exact"/>
        <w:rPr>
          <w:rFonts w:hint="eastAsia"/>
          <w:sz w:val="10"/>
        </w:rPr>
      </w:pPr>
    </w:p>
    <w:p w:rsidR="00000000" w:rsidRDefault="00614D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r>
      <w:r>
        <w:rPr>
          <w:rFonts w:hint="eastAsia"/>
        </w:rPr>
        <w:t>波斯尼亚和黑塞哥维那</w:t>
      </w:r>
    </w:p>
    <w:p w:rsidR="00000000" w:rsidRDefault="00614D54">
      <w:pPr>
        <w:pStyle w:val="SingleTxt"/>
        <w:spacing w:after="0" w:line="140" w:lineRule="exact"/>
        <w:rPr>
          <w:rFonts w:hint="eastAsia"/>
          <w:sz w:val="10"/>
        </w:rPr>
      </w:pPr>
    </w:p>
    <w:p w:rsidR="00000000" w:rsidRDefault="00614D54">
      <w:pPr>
        <w:pStyle w:val="SingleTxt"/>
        <w:rPr>
          <w:rFonts w:hint="eastAsia"/>
        </w:rPr>
      </w:pPr>
      <w:r>
        <w:rPr>
          <w:rFonts w:hint="eastAsia"/>
        </w:rPr>
        <w:tab/>
      </w:r>
      <w:r>
        <w:rPr>
          <w:rFonts w:hint="eastAsia"/>
        </w:rPr>
        <w:t>会前工作组审议了波斯尼亚和黑塞哥维那的初次、第二次和第三次合并定期报告（</w:t>
      </w:r>
      <w:r>
        <w:rPr>
          <w:rFonts w:hint="eastAsia"/>
        </w:rPr>
        <w:t>CEDAW/C/BIH/1-3</w:t>
      </w:r>
      <w:r>
        <w:rPr>
          <w:rFonts w:hint="eastAsia"/>
        </w:rPr>
        <w:t>）。</w:t>
      </w:r>
    </w:p>
    <w:p w:rsidR="00000000" w:rsidRDefault="00614D54">
      <w:pPr>
        <w:pStyle w:val="SingleTxt"/>
        <w:spacing w:after="100"/>
        <w:rPr>
          <w:rFonts w:hint="eastAsia"/>
        </w:rPr>
      </w:pPr>
      <w:r>
        <w:rPr>
          <w:rFonts w:ascii="SimHei" w:eastAsia="SimHei" w:hint="eastAsia"/>
          <w:color w:val="FF0000"/>
          <w:sz w:val="24"/>
        </w:rPr>
        <w:t>概述</w:t>
      </w:r>
    </w:p>
    <w:p w:rsidR="00000000" w:rsidRDefault="00614D54">
      <w:pPr>
        <w:pStyle w:val="SingleTxt"/>
        <w:rPr>
          <w:rFonts w:hint="eastAsia"/>
        </w:rPr>
      </w:pPr>
      <w:r>
        <w:rPr>
          <w:rFonts w:hint="eastAsia"/>
        </w:rPr>
        <w:t>1.</w:t>
      </w:r>
      <w:r>
        <w:rPr>
          <w:rFonts w:hint="eastAsia"/>
        </w:rPr>
        <w:tab/>
      </w:r>
      <w:r>
        <w:rPr>
          <w:rFonts w:hint="eastAsia"/>
        </w:rPr>
        <w:t>请提供资料，说明编写初次、第二次和第三次定期报告的过程。应说明哪些政府部门和机构参与以及参与的性质和程度，说明是否与非政府组织特别是妇女组织举行过磋商，波斯尼亚和黑塞哥维那政府是否已通过该报告。报告是否在实体一级讨论和评估过</w:t>
      </w:r>
      <w:r>
        <w:rPr>
          <w:rFonts w:hint="eastAsia"/>
        </w:rPr>
        <w:t>，以及是否提交给议会。</w:t>
      </w:r>
    </w:p>
    <w:p w:rsidR="00000000" w:rsidRDefault="00614D54">
      <w:pPr>
        <w:pStyle w:val="SingleTxt"/>
        <w:spacing w:after="100"/>
        <w:rPr>
          <w:rFonts w:ascii="SimHei" w:eastAsia="SimHei" w:hint="eastAsia"/>
          <w:color w:val="FF0000"/>
          <w:sz w:val="24"/>
        </w:rPr>
      </w:pPr>
      <w:r>
        <w:rPr>
          <w:rFonts w:ascii="SimHei" w:eastAsia="SimHei" w:hint="eastAsia"/>
          <w:color w:val="FF0000"/>
          <w:sz w:val="24"/>
        </w:rPr>
        <w:t>第一和第二条</w:t>
      </w:r>
    </w:p>
    <w:p w:rsidR="00000000" w:rsidRDefault="00614D54">
      <w:pPr>
        <w:pStyle w:val="SingleTxt"/>
        <w:rPr>
          <w:rFonts w:hint="eastAsia"/>
        </w:rPr>
      </w:pPr>
      <w:r>
        <w:rPr>
          <w:rFonts w:hint="eastAsia"/>
        </w:rPr>
        <w:t>2.</w:t>
      </w:r>
      <w:r>
        <w:rPr>
          <w:rFonts w:hint="eastAsia"/>
        </w:rPr>
        <w:tab/>
      </w:r>
      <w:r>
        <w:rPr>
          <w:rFonts w:hint="eastAsia"/>
        </w:rPr>
        <w:t>请提供资料，说明《公约》在波斯尼亚和黑塞哥维那国内法律制度中的法律地位。答复应阐明《公约》是否直接适用于法庭，如果是，在多少案件中援引了《公约》。</w:t>
      </w:r>
    </w:p>
    <w:p w:rsidR="00000000" w:rsidRDefault="00614D54">
      <w:pPr>
        <w:pStyle w:val="SingleTxt"/>
        <w:rPr>
          <w:rFonts w:hint="eastAsia"/>
        </w:rPr>
      </w:pPr>
      <w:r>
        <w:rPr>
          <w:rFonts w:hint="eastAsia"/>
        </w:rPr>
        <w:t>3.</w:t>
      </w:r>
      <w:r>
        <w:rPr>
          <w:rFonts w:hint="eastAsia"/>
        </w:rPr>
        <w:tab/>
      </w:r>
      <w:r>
        <w:rPr>
          <w:rFonts w:hint="eastAsia"/>
        </w:rPr>
        <w:t>请说明波斯尼亚和黑塞哥维那的政治制度内现有的监督和协商机制，以确保在波斯尼亚和黑塞哥维那联邦以及塞尔维亚共和国一致连贯地实施受《公约》保护的妇女权利。</w:t>
      </w:r>
    </w:p>
    <w:p w:rsidR="00000000" w:rsidRDefault="00614D54">
      <w:pPr>
        <w:pStyle w:val="SingleTxt"/>
        <w:rPr>
          <w:rFonts w:hint="eastAsia"/>
        </w:rPr>
      </w:pPr>
      <w:r>
        <w:rPr>
          <w:rFonts w:hint="eastAsia"/>
        </w:rPr>
        <w:t>4.</w:t>
      </w:r>
      <w:r>
        <w:rPr>
          <w:rFonts w:hint="eastAsia"/>
        </w:rPr>
        <w:tab/>
      </w:r>
      <w:r>
        <w:rPr>
          <w:rFonts w:hint="eastAsia"/>
        </w:rPr>
        <w:t>报告说，尽管波斯尼亚和黑塞哥维那有防止基于性别歧视的强大有力的全面立法框架，但是由于案件数量太多和劳动法庭不存在，因此法院无法实施这些法律。请指出司法制度改</w:t>
      </w:r>
      <w:r>
        <w:rPr>
          <w:rFonts w:hint="eastAsia"/>
        </w:rPr>
        <w:t>革在多大程度上导致妇女提出的涉及歧视的个人索赔增加，特别是在劳动市场。还请指出监察员是否审理妇女提出的涉及性别歧视的相关索赔。</w:t>
      </w:r>
    </w:p>
    <w:p w:rsidR="00000000" w:rsidRDefault="00614D54">
      <w:pPr>
        <w:pStyle w:val="SingleTxt"/>
        <w:rPr>
          <w:rFonts w:hint="eastAsia"/>
        </w:rPr>
      </w:pPr>
      <w:r>
        <w:rPr>
          <w:rFonts w:hint="eastAsia"/>
        </w:rPr>
        <w:t>5.</w:t>
      </w:r>
      <w:r>
        <w:rPr>
          <w:rFonts w:hint="eastAsia"/>
        </w:rPr>
        <w:tab/>
      </w:r>
      <w:r>
        <w:rPr>
          <w:rFonts w:hint="eastAsia"/>
        </w:rPr>
        <w:t>请说明迄今为止在国家和实体各级采取了哪些法律和政策措施，来收集、分析和利用按性别和族裔分列的关于对妇女一切形式歧视方面的统计数据并说明迄今所取得的成果。还请指出如何协调这些工作，以取得全面一致的结果。</w:t>
      </w:r>
    </w:p>
    <w:p w:rsidR="00000000" w:rsidRDefault="00614D54">
      <w:pPr>
        <w:pStyle w:val="SingleTxt"/>
        <w:rPr>
          <w:rFonts w:ascii="SimHei" w:eastAsia="SimHei" w:hint="eastAsia"/>
          <w:color w:val="FF0000"/>
          <w:sz w:val="24"/>
        </w:rPr>
      </w:pPr>
      <w:r>
        <w:rPr>
          <w:rFonts w:ascii="SimHei" w:eastAsia="SimHei" w:hint="eastAsia"/>
          <w:color w:val="FF0000"/>
          <w:sz w:val="24"/>
        </w:rPr>
        <w:t>第三条</w:t>
      </w:r>
    </w:p>
    <w:p w:rsidR="00000000" w:rsidRDefault="00614D54">
      <w:pPr>
        <w:pStyle w:val="SingleTxt"/>
        <w:rPr>
          <w:rFonts w:hint="eastAsia"/>
        </w:rPr>
      </w:pPr>
      <w:r>
        <w:rPr>
          <w:rFonts w:hint="eastAsia"/>
        </w:rPr>
        <w:t>6.</w:t>
      </w:r>
      <w:r>
        <w:rPr>
          <w:rFonts w:hint="eastAsia"/>
        </w:rPr>
        <w:tab/>
      </w:r>
      <w:r>
        <w:rPr>
          <w:rFonts w:hint="eastAsia"/>
        </w:rPr>
        <w:t>报告（第</w:t>
      </w:r>
      <w:r>
        <w:rPr>
          <w:rFonts w:hint="eastAsia"/>
        </w:rPr>
        <w:t>11</w:t>
      </w:r>
      <w:r>
        <w:rPr>
          <w:rFonts w:hint="eastAsia"/>
        </w:rPr>
        <w:t>段）说，《两性平等法》禁止在妇女生活一切领域中的基于性别的歧视，该法计划在人权和难民部（目前是一个全国机构）内设立一个国家级的两性平等机构。请指出是否</w:t>
      </w:r>
      <w:r>
        <w:rPr>
          <w:rFonts w:hint="eastAsia"/>
        </w:rPr>
        <w:t>已设立这个机构，如果是，请提供资料，说明它的地位、任务、人力和财务资源和活动，以及它监测在国家一级把性别问题纳入政府工作主流以及在实体一级与各政府的联络机制。</w:t>
      </w:r>
    </w:p>
    <w:p w:rsidR="00000000" w:rsidRDefault="00614D54">
      <w:pPr>
        <w:pStyle w:val="SingleTxt"/>
        <w:rPr>
          <w:rFonts w:hint="eastAsia"/>
        </w:rPr>
      </w:pPr>
      <w:r>
        <w:rPr>
          <w:rFonts w:hint="eastAsia"/>
        </w:rPr>
        <w:t>7.</w:t>
      </w:r>
      <w:r>
        <w:rPr>
          <w:rFonts w:hint="eastAsia"/>
        </w:rPr>
        <w:tab/>
      </w:r>
      <w:r>
        <w:rPr>
          <w:rFonts w:hint="eastAsia"/>
        </w:rPr>
        <w:t>请提供详情，说明根据《北京行动纲要》在实体一级编写的《提高妇女地位国家行动计划》的具体目标和时限。答复还应阐明是否已通过这个计划，以及谁负责实施它和监测其实施。</w:t>
      </w:r>
    </w:p>
    <w:p w:rsidR="00000000" w:rsidRDefault="00614D54">
      <w:pPr>
        <w:pStyle w:val="SingleTxt"/>
        <w:rPr>
          <w:rFonts w:ascii="SimHei" w:eastAsia="SimHei" w:hint="eastAsia"/>
          <w:color w:val="FF0000"/>
          <w:sz w:val="24"/>
        </w:rPr>
      </w:pPr>
      <w:r>
        <w:rPr>
          <w:rFonts w:ascii="SimHei" w:eastAsia="SimHei" w:hint="eastAsia"/>
          <w:color w:val="FF0000"/>
          <w:sz w:val="24"/>
        </w:rPr>
        <w:t>第四条</w:t>
      </w:r>
    </w:p>
    <w:p w:rsidR="00000000" w:rsidRDefault="00614D54">
      <w:pPr>
        <w:pStyle w:val="SingleTxt"/>
        <w:rPr>
          <w:rFonts w:hint="eastAsia"/>
        </w:rPr>
      </w:pPr>
      <w:r>
        <w:rPr>
          <w:rFonts w:hint="eastAsia"/>
        </w:rPr>
        <w:t>8.</w:t>
      </w:r>
      <w:r>
        <w:rPr>
          <w:rFonts w:hint="eastAsia"/>
        </w:rPr>
        <w:tab/>
      </w:r>
      <w:r>
        <w:rPr>
          <w:rFonts w:hint="eastAsia"/>
        </w:rPr>
        <w:t>报告提及选举定额规定以及女企业家的培训和支持方案。请说明政府是否根据《公约》第四条第</w:t>
      </w:r>
      <w:r>
        <w:rPr>
          <w:rFonts w:hint="eastAsia"/>
        </w:rPr>
        <w:t>1</w:t>
      </w:r>
      <w:r>
        <w:rPr>
          <w:rFonts w:hint="eastAsia"/>
        </w:rPr>
        <w:t>段和委员会的一般性建议第</w:t>
      </w:r>
      <w:r>
        <w:rPr>
          <w:rFonts w:hint="eastAsia"/>
        </w:rPr>
        <w:t>25</w:t>
      </w:r>
      <w:r>
        <w:rPr>
          <w:rFonts w:hint="eastAsia"/>
        </w:rPr>
        <w:t>号（暂时特别措施）正在采取更多步骤，以通过暂时特别措施，</w:t>
      </w:r>
      <w:r>
        <w:rPr>
          <w:rFonts w:hint="eastAsia"/>
        </w:rPr>
        <w:t>加速实现妇女在其生活的其他领域享有平等。</w:t>
      </w:r>
    </w:p>
    <w:p w:rsidR="00000000" w:rsidRDefault="00614D54">
      <w:pPr>
        <w:pStyle w:val="SingleTxt"/>
        <w:rPr>
          <w:rFonts w:ascii="SimHei" w:eastAsia="SimHei" w:hint="eastAsia"/>
          <w:color w:val="FF0000"/>
          <w:sz w:val="24"/>
        </w:rPr>
      </w:pPr>
      <w:r>
        <w:rPr>
          <w:rFonts w:ascii="SimHei" w:eastAsia="SimHei" w:hint="eastAsia"/>
          <w:color w:val="FF0000"/>
          <w:sz w:val="24"/>
        </w:rPr>
        <w:t>第五条</w:t>
      </w:r>
    </w:p>
    <w:p w:rsidR="00000000" w:rsidRDefault="00614D54">
      <w:pPr>
        <w:pStyle w:val="SingleTxt"/>
        <w:rPr>
          <w:rFonts w:hint="eastAsia"/>
        </w:rPr>
      </w:pPr>
      <w:r>
        <w:rPr>
          <w:rFonts w:hint="eastAsia"/>
        </w:rPr>
        <w:t>9.</w:t>
      </w:r>
      <w:r>
        <w:rPr>
          <w:rFonts w:hint="eastAsia"/>
        </w:rPr>
        <w:tab/>
      </w:r>
      <w:r>
        <w:rPr>
          <w:rFonts w:hint="eastAsia"/>
        </w:rPr>
        <w:t>报告指出在家庭内的分工方面持续存在着性别角色的陈规定型观念，特别是在农村地区。它还表示媒体中持续存在妇女和男子角色的成规定型观念。请说明为了改变对妇女歧视的态度和行为模式，在所有政府和其他机构各级，包括通过教育、媒体以及针对农村地区已采取的措施和已取得的成果。</w:t>
      </w:r>
    </w:p>
    <w:p w:rsidR="00000000" w:rsidRDefault="00614D54">
      <w:pPr>
        <w:pStyle w:val="SingleTxt"/>
        <w:rPr>
          <w:rFonts w:ascii="SimHei" w:eastAsia="SimHei" w:hint="eastAsia"/>
          <w:color w:val="FF0000"/>
          <w:sz w:val="24"/>
        </w:rPr>
      </w:pPr>
      <w:r>
        <w:rPr>
          <w:rFonts w:ascii="SimHei" w:eastAsia="SimHei" w:hint="eastAsia"/>
          <w:color w:val="FF0000"/>
          <w:sz w:val="24"/>
        </w:rPr>
        <w:t>对妇女的暴力行为</w:t>
      </w:r>
    </w:p>
    <w:p w:rsidR="00000000" w:rsidRDefault="00614D54">
      <w:pPr>
        <w:pStyle w:val="SingleTxt"/>
        <w:rPr>
          <w:rFonts w:hint="eastAsia"/>
        </w:rPr>
      </w:pPr>
      <w:r>
        <w:rPr>
          <w:rFonts w:hint="eastAsia"/>
        </w:rPr>
        <w:t>10.</w:t>
      </w:r>
      <w:r>
        <w:rPr>
          <w:rFonts w:hint="eastAsia"/>
        </w:rPr>
        <w:tab/>
        <w:t>1994</w:t>
      </w:r>
      <w:r>
        <w:rPr>
          <w:rFonts w:hint="eastAsia"/>
        </w:rPr>
        <w:t>年，波斯尼亚和黑塞哥维那向委员会提出一份关于在战争期间妇女权利受侵犯的特别口头报告，其中特别强调大规模强奸和有系统的强奸和强迫怀孕。请提供资料，说明如何起诉此种</w:t>
      </w:r>
      <w:r>
        <w:rPr>
          <w:rFonts w:hint="eastAsia"/>
        </w:rPr>
        <w:t>罪行以及此种暴力行为的妇女受害人可获得的善后措施。</w:t>
      </w:r>
    </w:p>
    <w:p w:rsidR="00000000" w:rsidRDefault="00614D54">
      <w:pPr>
        <w:pStyle w:val="SingleTxt"/>
        <w:rPr>
          <w:rFonts w:hint="eastAsia"/>
        </w:rPr>
      </w:pPr>
      <w:r>
        <w:rPr>
          <w:rFonts w:hint="eastAsia"/>
        </w:rPr>
        <w:t>11.</w:t>
      </w:r>
      <w:r>
        <w:rPr>
          <w:rFonts w:hint="eastAsia"/>
        </w:rPr>
        <w:tab/>
      </w:r>
      <w:r>
        <w:rPr>
          <w:rFonts w:hint="eastAsia"/>
        </w:rPr>
        <w:t>该报告提到已制定关于刑法典和家庭关系的相对扎实的法律。报告还指出（第</w:t>
      </w:r>
      <w:r>
        <w:rPr>
          <w:rFonts w:hint="eastAsia"/>
        </w:rPr>
        <w:t>100</w:t>
      </w:r>
      <w:r>
        <w:rPr>
          <w:rFonts w:hint="eastAsia"/>
        </w:rPr>
        <w:t>页）“已提议在政府和非政府部门的参与下拟订《防止家庭暴力法》”。该报告叙述（第</w:t>
      </w:r>
      <w:r>
        <w:rPr>
          <w:rFonts w:hint="eastAsia"/>
        </w:rPr>
        <w:t>58</w:t>
      </w:r>
      <w:r>
        <w:rPr>
          <w:rFonts w:hint="eastAsia"/>
        </w:rPr>
        <w:t>段）尚未研拟打击暴力的行动计划和战略。请详细说明处理对妇女暴力行为的全面的法律框架，特别是编写所建议的《防止家庭暴力法》的现况。还请说明政府是否已努力通过关于防止对妇女的暴力行为和保护受害人的国家行动计划来加速立法的实施。</w:t>
      </w:r>
    </w:p>
    <w:p w:rsidR="00000000" w:rsidRDefault="00614D54">
      <w:pPr>
        <w:pStyle w:val="SingleTxt"/>
        <w:rPr>
          <w:rFonts w:hint="eastAsia"/>
        </w:rPr>
      </w:pPr>
      <w:r>
        <w:rPr>
          <w:rFonts w:hint="eastAsia"/>
        </w:rPr>
        <w:t>12.</w:t>
      </w:r>
      <w:r>
        <w:rPr>
          <w:rFonts w:hint="eastAsia"/>
        </w:rPr>
        <w:tab/>
      </w:r>
      <w:r>
        <w:rPr>
          <w:rFonts w:hint="eastAsia"/>
        </w:rPr>
        <w:t>请说明在两个实体中暴力行为的女性受害者目前可得到什么类型的保护措</w:t>
      </w:r>
      <w:r>
        <w:rPr>
          <w:rFonts w:hint="eastAsia"/>
        </w:rPr>
        <w:t>施，以及说明国家和实体政府在加强保护妇女使其免于家庭暴力方面面临的障碍。</w:t>
      </w:r>
    </w:p>
    <w:p w:rsidR="00000000" w:rsidRDefault="00614D54">
      <w:pPr>
        <w:pStyle w:val="SingleTxt"/>
        <w:rPr>
          <w:rFonts w:hint="eastAsia"/>
        </w:rPr>
      </w:pPr>
      <w:r>
        <w:rPr>
          <w:rFonts w:hint="eastAsia"/>
        </w:rPr>
        <w:t>13.</w:t>
      </w:r>
      <w:r>
        <w:rPr>
          <w:rFonts w:hint="eastAsia"/>
        </w:rPr>
        <w:tab/>
      </w:r>
      <w:r>
        <w:rPr>
          <w:rFonts w:hint="eastAsia"/>
        </w:rPr>
        <w:t>人权委员会关于对妇女暴力行为及其因果问题特别报告员在其报告（</w:t>
      </w:r>
      <w:r>
        <w:t>E/ CN.4/2003/75/Add.1</w:t>
      </w:r>
      <w:r>
        <w:rPr>
          <w:rFonts w:hint="eastAsia"/>
        </w:rPr>
        <w:t>（第</w:t>
      </w:r>
      <w:r>
        <w:rPr>
          <w:rFonts w:hint="eastAsia"/>
        </w:rPr>
        <w:t>1921</w:t>
      </w:r>
      <w:r>
        <w:rPr>
          <w:rFonts w:hint="eastAsia"/>
        </w:rPr>
        <w:t>段））中对妇女不报告家庭暴力案件、社会传统上是父权的以及视家庭暴力为生活的一部分表示关切。她还提请注意家庭暴力受害人不愿向警察报告，主要是因为害怕不被了解或公开私生活、特别是在强奸或其他形式性侵犯案件中会遭到进一步排斥。缔约方的报告反映了这种关切（第</w:t>
      </w:r>
      <w:r>
        <w:rPr>
          <w:rFonts w:hint="eastAsia"/>
        </w:rPr>
        <w:t>65</w:t>
      </w:r>
      <w:r>
        <w:rPr>
          <w:rFonts w:hint="eastAsia"/>
        </w:rPr>
        <w:t>段）。国家和实体政府制定了什么样措施，以鼓励提出报告，帮助妇女</w:t>
      </w:r>
      <w:r>
        <w:rPr>
          <w:rFonts w:hint="eastAsia"/>
        </w:rPr>
        <w:t>提高对其权利的认识以及帮她们获得法律援助，提高在各领域的公务员（即警察、社会工作者、保健提供者）向家庭暴力受害人提供对性别问题有敏感认识的支持的能力？</w:t>
      </w:r>
    </w:p>
    <w:p w:rsidR="00000000" w:rsidRDefault="00614D54">
      <w:pPr>
        <w:pStyle w:val="SingleTxt"/>
        <w:rPr>
          <w:rFonts w:hint="eastAsia"/>
        </w:rPr>
      </w:pPr>
      <w:r>
        <w:rPr>
          <w:rFonts w:hint="eastAsia"/>
        </w:rPr>
        <w:t>14.</w:t>
      </w:r>
      <w:r>
        <w:rPr>
          <w:rFonts w:hint="eastAsia"/>
        </w:rPr>
        <w:tab/>
      </w:r>
      <w:r>
        <w:rPr>
          <w:rFonts w:hint="eastAsia"/>
        </w:rPr>
        <w:t>请指出已制定了哪些措施，以便有系统地收集对妇女的暴力行为的数据，包括暴力的发生率以及起诉和惩罚犯罪人的情况。</w:t>
      </w:r>
    </w:p>
    <w:p w:rsidR="00000000" w:rsidRDefault="00614D54">
      <w:pPr>
        <w:pStyle w:val="SingleTxt"/>
        <w:rPr>
          <w:rFonts w:ascii="SimHei" w:eastAsia="SimHei" w:hint="eastAsia"/>
          <w:color w:val="FF0000"/>
          <w:sz w:val="24"/>
        </w:rPr>
      </w:pPr>
      <w:r>
        <w:rPr>
          <w:rFonts w:ascii="SimHei" w:eastAsia="SimHei" w:hint="eastAsia"/>
          <w:color w:val="FF0000"/>
          <w:sz w:val="24"/>
        </w:rPr>
        <w:t>第六条</w:t>
      </w:r>
    </w:p>
    <w:p w:rsidR="00000000" w:rsidRDefault="00614D54">
      <w:pPr>
        <w:pStyle w:val="SingleTxt"/>
        <w:rPr>
          <w:rFonts w:hint="eastAsia"/>
        </w:rPr>
      </w:pPr>
      <w:r>
        <w:rPr>
          <w:rFonts w:hint="eastAsia"/>
        </w:rPr>
        <w:t>15.</w:t>
      </w:r>
      <w:r>
        <w:rPr>
          <w:rFonts w:hint="eastAsia"/>
        </w:rPr>
        <w:tab/>
      </w:r>
      <w:r>
        <w:rPr>
          <w:rFonts w:hint="eastAsia"/>
        </w:rPr>
        <w:t>在其访问波斯尼亚和黑塞哥维那的报告中，人权委员会关于贩运人口特别是妇女和儿童问题特别报告员对国家联邦法律和实体法律之间有一些不一致表示关切，这种情况连同管辖问题，对执行和有效起诉创造另一个障碍（</w:t>
      </w:r>
      <w:r>
        <w:rPr>
          <w:rFonts w:hint="eastAsia"/>
        </w:rPr>
        <w:t>E/CN.4/2005/71</w:t>
      </w:r>
      <w:r>
        <w:t>/</w:t>
      </w:r>
      <w:r>
        <w:rPr>
          <w:rFonts w:hint="eastAsia"/>
        </w:rPr>
        <w:t>A</w:t>
      </w:r>
      <w:r>
        <w:t>dd.1</w:t>
      </w:r>
      <w:r>
        <w:rPr>
          <w:rFonts w:hint="eastAsia"/>
        </w:rPr>
        <w:t>，第</w:t>
      </w:r>
      <w:r>
        <w:rPr>
          <w:rFonts w:hint="eastAsia"/>
        </w:rPr>
        <w:t>8</w:t>
      </w:r>
      <w:r>
        <w:rPr>
          <w:rFonts w:hint="eastAsia"/>
        </w:rPr>
        <w:t>段）。请提供资料，说明政府对协调所有关于贩运的法律采取了什么步骤。还请提供资料，说明是否已修正了证人保护法，以便向受害人提供保护，直到审判结束、已被遣返或已确实重返社会。</w:t>
      </w:r>
    </w:p>
    <w:p w:rsidR="00000000" w:rsidRDefault="00614D54">
      <w:pPr>
        <w:pStyle w:val="SingleTxt"/>
        <w:rPr>
          <w:rFonts w:ascii="SimHei" w:eastAsia="SimHei" w:hint="eastAsia"/>
          <w:color w:val="FF0000"/>
          <w:sz w:val="24"/>
        </w:rPr>
      </w:pPr>
      <w:r>
        <w:rPr>
          <w:rFonts w:ascii="SimHei" w:eastAsia="SimHei" w:hint="eastAsia"/>
          <w:color w:val="FF0000"/>
          <w:sz w:val="24"/>
        </w:rPr>
        <w:t>第七条</w:t>
      </w:r>
    </w:p>
    <w:p w:rsidR="00000000" w:rsidRDefault="00614D54">
      <w:pPr>
        <w:pStyle w:val="SingleTxt"/>
        <w:rPr>
          <w:rFonts w:hint="eastAsia"/>
        </w:rPr>
      </w:pPr>
      <w:r>
        <w:rPr>
          <w:rFonts w:hint="eastAsia"/>
        </w:rPr>
        <w:t>16.</w:t>
      </w:r>
      <w:r>
        <w:rPr>
          <w:rFonts w:hint="eastAsia"/>
        </w:rPr>
        <w:tab/>
      </w:r>
      <w:r>
        <w:rPr>
          <w:rFonts w:hint="eastAsia"/>
        </w:rPr>
        <w:t>波斯尼亚和黑塞哥维那的《两性平等法》第</w:t>
      </w:r>
      <w:r>
        <w:rPr>
          <w:rFonts w:hint="eastAsia"/>
        </w:rPr>
        <w:t>15</w:t>
      </w:r>
      <w:r>
        <w:rPr>
          <w:rFonts w:hint="eastAsia"/>
        </w:rPr>
        <w:t>条规定在公共机构各领域和各级别任职的男子和妇女人数必须一样（见第</w:t>
      </w:r>
      <w:r>
        <w:rPr>
          <w:rFonts w:hint="eastAsia"/>
        </w:rPr>
        <w:t>113</w:t>
      </w:r>
      <w:r>
        <w:rPr>
          <w:rFonts w:hint="eastAsia"/>
        </w:rPr>
        <w:t>段）。这个规定目前尚未实现。缔约国正在进行什么工作以确保在两个实体、特别是在塞尔维亚共和国一致实施这个法律？这些工作是否包括根据公约第四条第</w:t>
      </w:r>
      <w:r>
        <w:rPr>
          <w:rFonts w:hint="eastAsia"/>
        </w:rPr>
        <w:t>1</w:t>
      </w:r>
      <w:r>
        <w:rPr>
          <w:rFonts w:hint="eastAsia"/>
        </w:rPr>
        <w:t>段和委员会的一般性建议第</w:t>
      </w:r>
      <w:r>
        <w:rPr>
          <w:rFonts w:hint="eastAsia"/>
        </w:rPr>
        <w:t>25</w:t>
      </w:r>
      <w:r>
        <w:rPr>
          <w:rFonts w:hint="eastAsia"/>
        </w:rPr>
        <w:t>号的临时特别措施，诸如平行提</w:t>
      </w:r>
      <w:r>
        <w:rPr>
          <w:rFonts w:hint="eastAsia"/>
        </w:rPr>
        <w:t>名、目标和定额，以增加在这些决策机构的妇女人数，包括农村妇女和罗姆人妇女的人数？</w:t>
      </w:r>
    </w:p>
    <w:p w:rsidR="00000000" w:rsidRDefault="00614D54">
      <w:pPr>
        <w:pStyle w:val="SingleTxt"/>
        <w:rPr>
          <w:rFonts w:hint="eastAsia"/>
        </w:rPr>
      </w:pPr>
      <w:r>
        <w:rPr>
          <w:rFonts w:hint="eastAsia"/>
        </w:rPr>
        <w:t>17.</w:t>
      </w:r>
      <w:r>
        <w:rPr>
          <w:rFonts w:hint="eastAsia"/>
        </w:rPr>
        <w:tab/>
      </w:r>
      <w:r>
        <w:rPr>
          <w:rFonts w:hint="eastAsia"/>
        </w:rPr>
        <w:t>该报告指出（第</w:t>
      </w:r>
      <w:r>
        <w:rPr>
          <w:rFonts w:hint="eastAsia"/>
        </w:rPr>
        <w:t>92</w:t>
      </w:r>
      <w:r>
        <w:rPr>
          <w:rFonts w:hint="eastAsia"/>
        </w:rPr>
        <w:t>段），尽管妇女和男子拥有同样的投票权，但是在农村地区一些地方持续存在着家庭投票的做法，就是家庭的男户主决定投给谁，“妇女在大部分情况下予以服从”。波斯尼亚和黑塞哥维那的《选举法》规定定额制度（见第</w:t>
      </w:r>
      <w:r>
        <w:rPr>
          <w:rFonts w:hint="eastAsia"/>
        </w:rPr>
        <w:t>98</w:t>
      </w:r>
      <w:r>
        <w:rPr>
          <w:rFonts w:hint="eastAsia"/>
        </w:rPr>
        <w:t>段），所有政党提名的候选人至少三分之一必须是少数族裔的人。这个选举定额制度似乎在某种程度上被“公开名单”的存在抵消（第</w:t>
      </w:r>
      <w:r>
        <w:rPr>
          <w:rFonts w:hint="eastAsia"/>
        </w:rPr>
        <w:t>104</w:t>
      </w:r>
      <w:r>
        <w:rPr>
          <w:rFonts w:hint="eastAsia"/>
        </w:rPr>
        <w:t>段），“公开名单”即准许选民选举候选人，不考虑其在名单上的情况，而“在我们这里，</w:t>
      </w:r>
      <w:r>
        <w:rPr>
          <w:rFonts w:hint="eastAsia"/>
        </w:rPr>
        <w:t>选民选举男候选人”。鉴于这种情况，请叙述各级政府为提高妇女认识到她们有权根据自己的看法在无外来压力下投票所采取的措施。</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2528" w:right="1264" w:hanging="1264"/>
        <w:jc w:val="both"/>
        <w:rPr>
          <w:rFonts w:hint="eastAsia"/>
        </w:rPr>
      </w:pPr>
      <w:r>
        <w:rPr>
          <w:rFonts w:hint="eastAsia"/>
        </w:rPr>
        <w:t>第八条</w:t>
      </w:r>
    </w:p>
    <w:p w:rsidR="00000000" w:rsidRDefault="00614D54">
      <w:pPr>
        <w:pStyle w:val="SingleTxt"/>
        <w:rPr>
          <w:rFonts w:hint="eastAsia"/>
        </w:rPr>
      </w:pPr>
      <w:r>
        <w:rPr>
          <w:rFonts w:hint="eastAsia"/>
        </w:rPr>
        <w:t>18.</w:t>
      </w:r>
      <w:r>
        <w:rPr>
          <w:rFonts w:hint="eastAsia"/>
        </w:rPr>
        <w:tab/>
      </w:r>
      <w:r>
        <w:rPr>
          <w:rFonts w:hint="eastAsia"/>
        </w:rPr>
        <w:t>该报告指出（第</w:t>
      </w:r>
      <w:r>
        <w:rPr>
          <w:rFonts w:hint="eastAsia"/>
        </w:rPr>
        <w:t>120</w:t>
      </w:r>
      <w:r>
        <w:rPr>
          <w:rFonts w:hint="eastAsia"/>
        </w:rPr>
        <w:t>段）妇女“由于其在社会上的传统地位，因此在国际上代表国家的人数仍不够”。请提供资料，说明采取了什么措施来增加妇女担任外交部以及外交和领事使团决策职位的人数。</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2528" w:right="1264" w:hanging="1264"/>
        <w:jc w:val="both"/>
        <w:rPr>
          <w:rFonts w:hint="eastAsia"/>
          <w:sz w:val="10"/>
        </w:rPr>
      </w:pPr>
      <w:r>
        <w:rPr>
          <w:rFonts w:hint="eastAsia"/>
        </w:rPr>
        <w:t>第十条</w:t>
      </w:r>
    </w:p>
    <w:p w:rsidR="00000000" w:rsidRDefault="00614D54">
      <w:pPr>
        <w:pStyle w:val="SingleTxt"/>
        <w:rPr>
          <w:rFonts w:hint="eastAsia"/>
        </w:rPr>
      </w:pPr>
      <w:r>
        <w:rPr>
          <w:rFonts w:hint="eastAsia"/>
        </w:rPr>
        <w:t>19.</w:t>
      </w:r>
      <w:r>
        <w:rPr>
          <w:rFonts w:hint="eastAsia"/>
        </w:rPr>
        <w:tab/>
      </w:r>
      <w:r>
        <w:rPr>
          <w:rFonts w:hint="eastAsia"/>
        </w:rPr>
        <w:t>该报告说（第</w:t>
      </w:r>
      <w:r>
        <w:rPr>
          <w:rFonts w:hint="eastAsia"/>
        </w:rPr>
        <w:t>128</w:t>
      </w:r>
      <w:r>
        <w:rPr>
          <w:rFonts w:hint="eastAsia"/>
        </w:rPr>
        <w:t>段）已开始教育改革进程，旨在使在两个实体的现行教育制度协调和现代化，包括通过新的法律框架。请提供详细资料，说明这个改革，包括新法律以及已采取什么措施来订正在教科书、</w:t>
      </w:r>
      <w:r>
        <w:rPr>
          <w:rFonts w:hint="eastAsia"/>
        </w:rPr>
        <w:t>教学大纲和教师的态度和行为上持续存在的关于男子和妇女角色的陈规定型观念。</w:t>
      </w:r>
    </w:p>
    <w:p w:rsidR="00000000" w:rsidRDefault="00614D54">
      <w:pPr>
        <w:pStyle w:val="SingleTxt"/>
        <w:rPr>
          <w:rFonts w:hint="eastAsia"/>
        </w:rPr>
      </w:pPr>
      <w:r>
        <w:rPr>
          <w:rFonts w:hint="eastAsia"/>
        </w:rPr>
        <w:t>20.</w:t>
      </w:r>
      <w:r>
        <w:rPr>
          <w:rFonts w:hint="eastAsia"/>
        </w:rPr>
        <w:tab/>
      </w:r>
      <w:r>
        <w:rPr>
          <w:rFonts w:hint="eastAsia"/>
        </w:rPr>
        <w:t>请指出政府打算采取什么措施，以矫正目前在两个实体中女生和男生在教育程度和选择学科方面的不均衡。</w:t>
      </w:r>
    </w:p>
    <w:p w:rsidR="00000000" w:rsidRDefault="00614D54">
      <w:pPr>
        <w:pStyle w:val="SingleTxt"/>
        <w:rPr>
          <w:rFonts w:hint="eastAsia"/>
        </w:rPr>
      </w:pPr>
      <w:r>
        <w:rPr>
          <w:rFonts w:hint="eastAsia"/>
        </w:rPr>
        <w:t>21.</w:t>
      </w:r>
      <w:r>
        <w:rPr>
          <w:rFonts w:hint="eastAsia"/>
        </w:rPr>
        <w:tab/>
      </w:r>
      <w:r>
        <w:rPr>
          <w:rFonts w:hint="eastAsia"/>
        </w:rPr>
        <w:t>请说明国家和实体政府采取了什么措施，以确保农村地区女孩上学，防止和补救这些女孩在四年级后退学，促进她们念中学的机会，以消除农村老年妇女的文盲。</w:t>
      </w:r>
    </w:p>
    <w:p w:rsidR="00000000" w:rsidRDefault="00614D54">
      <w:pPr>
        <w:pStyle w:val="SingleTxt"/>
        <w:rPr>
          <w:rFonts w:hint="eastAsia"/>
        </w:rPr>
      </w:pPr>
      <w:r>
        <w:rPr>
          <w:rFonts w:hint="eastAsia"/>
        </w:rPr>
        <w:t>22.</w:t>
      </w:r>
      <w:r>
        <w:rPr>
          <w:rFonts w:hint="eastAsia"/>
        </w:rPr>
        <w:tab/>
      </w:r>
      <w:r>
        <w:rPr>
          <w:rFonts w:hint="eastAsia"/>
        </w:rPr>
        <w:t>该报告提到文盲严重影响罗姆人妇女。请说明正在计划或执行什么步骤解决罗姆人妇女中高文盲率问题以及确保罗姆人女孩上学。</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第十一条</w:t>
      </w:r>
    </w:p>
    <w:p w:rsidR="00000000" w:rsidRDefault="00614D54">
      <w:pPr>
        <w:pStyle w:val="SingleTxt"/>
        <w:spacing w:after="0" w:line="120" w:lineRule="exact"/>
        <w:rPr>
          <w:rFonts w:hint="eastAsia"/>
          <w:sz w:val="10"/>
        </w:rPr>
      </w:pPr>
    </w:p>
    <w:p w:rsidR="00000000" w:rsidRDefault="00614D54">
      <w:pPr>
        <w:pStyle w:val="SingleTxt"/>
        <w:rPr>
          <w:rFonts w:hint="eastAsia"/>
        </w:rPr>
      </w:pPr>
      <w:r>
        <w:rPr>
          <w:rFonts w:hint="eastAsia"/>
        </w:rPr>
        <w:t>23.</w:t>
      </w:r>
      <w:r>
        <w:rPr>
          <w:rFonts w:hint="eastAsia"/>
        </w:rPr>
        <w:tab/>
      </w:r>
      <w:r>
        <w:rPr>
          <w:rFonts w:hint="eastAsia"/>
        </w:rPr>
        <w:t>该报告指出（第</w:t>
      </w:r>
      <w:r>
        <w:rPr>
          <w:rFonts w:hint="eastAsia"/>
        </w:rPr>
        <w:t>166</w:t>
      </w:r>
      <w:r>
        <w:rPr>
          <w:rFonts w:hint="eastAsia"/>
        </w:rPr>
        <w:t>段），在波斯尼亚和</w:t>
      </w:r>
      <w:r>
        <w:rPr>
          <w:rFonts w:hint="eastAsia"/>
        </w:rPr>
        <w:t>黑塞哥维那过渡期间，雇主倾向于先结束妇女的就业。请提供资料，说明这些雇主是否是国家和公共部门的雇主，并且说明国家和实体政府正在采取哪些措施来防止和制裁这种倾向，以便充分执行公约第十一条。</w:t>
      </w:r>
    </w:p>
    <w:p w:rsidR="00000000" w:rsidRDefault="00614D54">
      <w:pPr>
        <w:pStyle w:val="SingleTxt"/>
        <w:rPr>
          <w:rFonts w:hint="eastAsia"/>
        </w:rPr>
      </w:pPr>
      <w:r>
        <w:rPr>
          <w:rFonts w:hint="eastAsia"/>
        </w:rPr>
        <w:t>24.</w:t>
      </w:r>
      <w:r>
        <w:rPr>
          <w:rFonts w:hint="eastAsia"/>
        </w:rPr>
        <w:tab/>
      </w:r>
      <w:r>
        <w:rPr>
          <w:rFonts w:hint="eastAsia"/>
        </w:rPr>
        <w:t>在波斯尼亚和黑塞哥维那，受教育最多的妇女失业率特别高是什么缘故？正在采取什么措施，取得了什么样的结果？如何支助在经济上赋予这群妇女权力？</w:t>
      </w:r>
    </w:p>
    <w:p w:rsidR="00000000" w:rsidRDefault="00614D54">
      <w:pPr>
        <w:pStyle w:val="SingleTxt"/>
        <w:rPr>
          <w:rFonts w:hint="eastAsia"/>
        </w:rPr>
      </w:pPr>
      <w:r>
        <w:rPr>
          <w:rFonts w:hint="eastAsia"/>
        </w:rPr>
        <w:t>25.</w:t>
      </w:r>
      <w:r>
        <w:rPr>
          <w:rFonts w:hint="eastAsia"/>
        </w:rPr>
        <w:tab/>
      </w:r>
      <w:r>
        <w:rPr>
          <w:rFonts w:hint="eastAsia"/>
        </w:rPr>
        <w:t>该报告叙述在</w:t>
      </w:r>
      <w:r>
        <w:rPr>
          <w:rFonts w:hint="eastAsia"/>
        </w:rPr>
        <w:t>1999-2001</w:t>
      </w:r>
      <w:r>
        <w:rPr>
          <w:rFonts w:hint="eastAsia"/>
        </w:rPr>
        <w:t>年期间在私营部门、特别是作为商店</w:t>
      </w:r>
      <w:r>
        <w:rPr>
          <w:rFonts w:hint="eastAsia"/>
        </w:rPr>
        <w:t>/</w:t>
      </w:r>
      <w:r>
        <w:rPr>
          <w:rFonts w:hint="eastAsia"/>
        </w:rPr>
        <w:t>小生意拥有者的妇女的情况（见第</w:t>
      </w:r>
      <w:r>
        <w:rPr>
          <w:rFonts w:hint="eastAsia"/>
        </w:rPr>
        <w:t>172</w:t>
      </w:r>
      <w:r>
        <w:rPr>
          <w:rFonts w:hint="eastAsia"/>
        </w:rPr>
        <w:t>和</w:t>
      </w:r>
      <w:r>
        <w:rPr>
          <w:rFonts w:hint="eastAsia"/>
        </w:rPr>
        <w:t>173</w:t>
      </w:r>
      <w:r>
        <w:rPr>
          <w:rFonts w:hint="eastAsia"/>
        </w:rPr>
        <w:t>段），一半的商店</w:t>
      </w:r>
      <w:r>
        <w:rPr>
          <w:rFonts w:hint="eastAsia"/>
        </w:rPr>
        <w:t>/</w:t>
      </w:r>
      <w:r>
        <w:rPr>
          <w:rFonts w:hint="eastAsia"/>
        </w:rPr>
        <w:t>小生意由妇女拥有，国家和实体当局正在采取什么</w:t>
      </w:r>
      <w:r>
        <w:rPr>
          <w:rFonts w:hint="eastAsia"/>
        </w:rPr>
        <w:t>措施来支持私营部门或自营职业的妇女的工作，包括通过提供小额信贷、培训和支助服务？还请说明妇女小生意登记的程度以及在这个部门的所有人和工人是否享有医疗保险、残疾和养恤金制度。</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第十二条</w:t>
      </w:r>
    </w:p>
    <w:p w:rsidR="00000000" w:rsidRDefault="00614D54">
      <w:pPr>
        <w:pStyle w:val="SingleTxt"/>
        <w:spacing w:after="0" w:line="120" w:lineRule="exact"/>
        <w:rPr>
          <w:rFonts w:hint="eastAsia"/>
          <w:sz w:val="10"/>
        </w:rPr>
      </w:pPr>
    </w:p>
    <w:p w:rsidR="00000000" w:rsidRDefault="00614D54">
      <w:pPr>
        <w:pStyle w:val="SingleTxt"/>
        <w:rPr>
          <w:rFonts w:hint="eastAsia"/>
        </w:rPr>
      </w:pPr>
      <w:r>
        <w:rPr>
          <w:rFonts w:hint="eastAsia"/>
        </w:rPr>
        <w:t>26.</w:t>
      </w:r>
      <w:r>
        <w:rPr>
          <w:rFonts w:hint="eastAsia"/>
        </w:rPr>
        <w:tab/>
      </w:r>
      <w:r>
        <w:rPr>
          <w:rFonts w:hint="eastAsia"/>
        </w:rPr>
        <w:t>该报告指出，人工流产被当作计划生育的一种方法，造成大量产妇死亡（第</w:t>
      </w:r>
      <w:r>
        <w:rPr>
          <w:rFonts w:hint="eastAsia"/>
        </w:rPr>
        <w:t>223</w:t>
      </w:r>
      <w:r>
        <w:rPr>
          <w:rFonts w:hint="eastAsia"/>
        </w:rPr>
        <w:t>段）。报告还指出，性教育仍不够，少女怀孕是普遍现象，很多女孩子未达法定年齡就结婚（第</w:t>
      </w:r>
      <w:r>
        <w:rPr>
          <w:rFonts w:hint="eastAsia"/>
        </w:rPr>
        <w:t>225</w:t>
      </w:r>
      <w:r>
        <w:rPr>
          <w:rFonts w:hint="eastAsia"/>
        </w:rPr>
        <w:t>段）。正在采取什么步骤来确保妇女和男子、包括少年能获得关于生殖保健和计划生育的资料以及负担得起的避孕方法？特别是有哪些计划减少少女怀孕？</w:t>
      </w:r>
    </w:p>
    <w:p w:rsidR="00000000" w:rsidRDefault="00614D54">
      <w:pPr>
        <w:pStyle w:val="SingleTxt"/>
        <w:rPr>
          <w:rFonts w:hint="eastAsia"/>
        </w:rPr>
      </w:pPr>
      <w:r>
        <w:rPr>
          <w:rFonts w:hint="eastAsia"/>
        </w:rPr>
        <w:t>27.</w:t>
      </w:r>
      <w:r>
        <w:rPr>
          <w:rFonts w:hint="eastAsia"/>
        </w:rPr>
        <w:tab/>
      </w:r>
      <w:r>
        <w:rPr>
          <w:rFonts w:hint="eastAsia"/>
        </w:rPr>
        <w:t>关于提供保</w:t>
      </w:r>
      <w:r>
        <w:rPr>
          <w:rFonts w:hint="eastAsia"/>
        </w:rPr>
        <w:t>健的数据溯自</w:t>
      </w:r>
      <w:r>
        <w:rPr>
          <w:rFonts w:hint="eastAsia"/>
        </w:rPr>
        <w:t>2001</w:t>
      </w:r>
      <w:r>
        <w:rPr>
          <w:rFonts w:hint="eastAsia"/>
        </w:rPr>
        <w:t>年。请提供资料，说明是否已实施保健改革以及妇女从这个改革中得到多少帮助、特别是遭受战争以及与战争有关的罪行如强奸等创伤的妇女、残疾妇女和农村地区的妇女。</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第十四条</w:t>
      </w:r>
    </w:p>
    <w:p w:rsidR="00000000" w:rsidRDefault="00614D54">
      <w:pPr>
        <w:pStyle w:val="SingleTxt"/>
        <w:spacing w:after="0" w:line="120" w:lineRule="exact"/>
        <w:rPr>
          <w:rFonts w:hint="eastAsia"/>
          <w:sz w:val="10"/>
        </w:rPr>
      </w:pPr>
    </w:p>
    <w:p w:rsidR="00000000" w:rsidRDefault="00614D54">
      <w:pPr>
        <w:pStyle w:val="SingleTxt"/>
        <w:rPr>
          <w:rFonts w:hint="eastAsia"/>
        </w:rPr>
      </w:pPr>
      <w:r>
        <w:rPr>
          <w:rFonts w:hint="eastAsia"/>
        </w:rPr>
        <w:t>28.</w:t>
      </w:r>
      <w:r>
        <w:rPr>
          <w:rFonts w:hint="eastAsia"/>
        </w:rPr>
        <w:tab/>
      </w:r>
      <w:r>
        <w:rPr>
          <w:rFonts w:hint="eastAsia"/>
        </w:rPr>
        <w:t>请说明国家和实体政府采取了哪些措施来改善农村情况，包括老年农村妇女的情况，诸如其获得教育、就业、小额信贷和援助的机会。还指出已做了哪些工作来提高妇女的认识和赋予妇女权力，以便主张其权力、诸如拥有财产和继承的权利。</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第十六条</w:t>
      </w:r>
    </w:p>
    <w:p w:rsidR="00000000" w:rsidRDefault="00614D54">
      <w:pPr>
        <w:pStyle w:val="SingleTxt"/>
        <w:spacing w:after="0" w:line="120" w:lineRule="exact"/>
        <w:rPr>
          <w:rFonts w:hint="eastAsia"/>
          <w:sz w:val="10"/>
        </w:rPr>
      </w:pPr>
    </w:p>
    <w:p w:rsidR="00000000" w:rsidRDefault="00614D54">
      <w:pPr>
        <w:pStyle w:val="SingleTxt"/>
        <w:rPr>
          <w:rFonts w:hint="eastAsia"/>
        </w:rPr>
      </w:pPr>
      <w:r>
        <w:rPr>
          <w:rFonts w:hint="eastAsia"/>
        </w:rPr>
        <w:t>29.</w:t>
      </w:r>
      <w:r>
        <w:rPr>
          <w:rFonts w:hint="eastAsia"/>
        </w:rPr>
        <w:tab/>
      </w:r>
      <w:r>
        <w:rPr>
          <w:rFonts w:hint="eastAsia"/>
        </w:rPr>
        <w:t>请提供进一步的资料，说明妇女为户主的家庭的情况。这些资料应包括此种家庭与双亲都在的家</w:t>
      </w:r>
      <w:r>
        <w:rPr>
          <w:rFonts w:hint="eastAsia"/>
        </w:rPr>
        <w:t>庭比较的百分比、其经济状况以及国家和实体政府采取了哪些措施来协助女户主家庭，特别是寡妇和离婚后的单身母亲。</w:t>
      </w:r>
    </w:p>
    <w:p w:rsidR="00000000" w:rsidRDefault="00614D54">
      <w:pPr>
        <w:pStyle w:val="SingleTxt"/>
        <w:rPr>
          <w:rFonts w:hint="eastAsia"/>
        </w:rPr>
      </w:pPr>
      <w:r>
        <w:rPr>
          <w:rFonts w:hint="eastAsia"/>
        </w:rPr>
        <w:t>30.</w:t>
      </w:r>
      <w:r>
        <w:rPr>
          <w:rFonts w:hint="eastAsia"/>
        </w:rPr>
        <w:tab/>
      </w:r>
      <w:r>
        <w:rPr>
          <w:rFonts w:hint="eastAsia"/>
        </w:rPr>
        <w:t>请提供资料，说明从前或现在是难民的妇女或境内流离失所的妇女的情况，特别是丈夫失踪的妇女、寡妇和被抛弃的妇女的情况。在这方面，指出已采取哪些步骤，来便利家庭团聚和取回财产以及向这群弱势妇女提供重建和重返社会的援助。</w:t>
      </w:r>
    </w:p>
    <w:p w:rsidR="00000000" w:rsidRDefault="00614D54">
      <w:pPr>
        <w:pStyle w:val="SingleTxt"/>
        <w:rPr>
          <w:rFonts w:hint="eastAsia"/>
        </w:rPr>
      </w:pPr>
      <w:r>
        <w:rPr>
          <w:rFonts w:hint="eastAsia"/>
        </w:rPr>
        <w:t>31</w:t>
      </w:r>
      <w:r>
        <w:rPr>
          <w:rFonts w:hint="eastAsia"/>
        </w:rPr>
        <w:t>．</w:t>
      </w:r>
      <w:r>
        <w:rPr>
          <w:rFonts w:hint="eastAsia"/>
        </w:rPr>
        <w:tab/>
      </w:r>
      <w:r>
        <w:rPr>
          <w:rFonts w:hint="eastAsia"/>
        </w:rPr>
        <w:t>秘书长关于境内流离失所者的人权问题的代表，在</w:t>
      </w:r>
      <w:r>
        <w:rPr>
          <w:rFonts w:hint="eastAsia"/>
        </w:rPr>
        <w:t>2005</w:t>
      </w:r>
      <w:r>
        <w:rPr>
          <w:rFonts w:hint="eastAsia"/>
        </w:rPr>
        <w:t>年</w:t>
      </w:r>
      <w:r>
        <w:rPr>
          <w:rFonts w:hint="eastAsia"/>
        </w:rPr>
        <w:t>6</w:t>
      </w:r>
      <w:r>
        <w:rPr>
          <w:rFonts w:hint="eastAsia"/>
        </w:rPr>
        <w:t>月访问了波斯尼亚和黑塞哥维那之后，建议开始有系统的努力，以便为特别脆弱的群体——诸如受创伤的或残疾的人、没有家庭扶持的</w:t>
      </w:r>
      <w:r>
        <w:rPr>
          <w:rFonts w:hint="eastAsia"/>
        </w:rPr>
        <w:t>老年人、罗姆人和那些很可能无法返回其以前的家的人——找出持久的解决方法。请提供资料，说明列入这些类别的妇女的百分比以及国家和实体政府根据这个建议采取了哪些措施，还请说明妇女将如何得到这些措施的帮助。</w:t>
      </w:r>
    </w:p>
    <w:p w:rsidR="00000000" w:rsidRDefault="00614D54">
      <w:pPr>
        <w:pStyle w:val="SingleTxt"/>
        <w:rPr>
          <w:rFonts w:hint="eastAsia"/>
        </w:rPr>
      </w:pPr>
      <w:r>
        <w:rPr>
          <w:rFonts w:hint="eastAsia"/>
        </w:rPr>
        <w:t>32.</w:t>
      </w:r>
      <w:r>
        <w:rPr>
          <w:rFonts w:hint="eastAsia"/>
        </w:rPr>
        <w:tab/>
      </w:r>
      <w:r>
        <w:rPr>
          <w:rFonts w:hint="eastAsia"/>
        </w:rPr>
        <w:t>已有或已计划制定什么样的方案来解决罗姆人妇女没有证件的问题？对于获得对实现基本的公民、政治、社会和经济权利必不可少的服务，这些证件十分必要，诸如出生证、身份证和护照。</w:t>
      </w:r>
    </w:p>
    <w:p w:rsidR="00000000" w:rsidRDefault="00614D54">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528" w:right="1264" w:hanging="1264"/>
        <w:jc w:val="both"/>
        <w:rPr>
          <w:rFonts w:hint="eastAsia"/>
        </w:rPr>
      </w:pPr>
      <w:r>
        <w:rPr>
          <w:rFonts w:hint="eastAsia"/>
        </w:rPr>
        <w:t>任择议定书</w:t>
      </w:r>
    </w:p>
    <w:p w:rsidR="00000000" w:rsidRDefault="00614D54">
      <w:pPr>
        <w:pStyle w:val="SingleTxt"/>
        <w:spacing w:after="0" w:line="120" w:lineRule="exact"/>
        <w:rPr>
          <w:rFonts w:hint="eastAsia"/>
          <w:sz w:val="10"/>
        </w:rPr>
      </w:pPr>
    </w:p>
    <w:p w:rsidR="00000000" w:rsidRDefault="00614D54">
      <w:pPr>
        <w:pStyle w:val="SingleTxt"/>
        <w:rPr>
          <w:rFonts w:hint="eastAsia"/>
        </w:rPr>
      </w:pPr>
      <w:r>
        <w:rPr>
          <w:rFonts w:hint="eastAsia"/>
        </w:rPr>
        <w:t>33.</w:t>
      </w:r>
      <w:r>
        <w:rPr>
          <w:rFonts w:hint="eastAsia"/>
        </w:rPr>
        <w:tab/>
      </w:r>
      <w:r>
        <w:rPr>
          <w:rFonts w:hint="eastAsia"/>
        </w:rPr>
        <w:t>请介绍政府已计划或已制定了哪些措施宣传《任择议定书》并鼓励利用它。</w:t>
      </w:r>
    </w:p>
    <w:p w:rsidR="00000000" w:rsidRDefault="00614D54">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614D54">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NO&gt;&gt;N0624226C&lt;&lt;ODS JOB</w:t>
      </w:r>
      <w:r>
        <w:t xml:space="preserve"> NO&gt;&gt;</w:t>
      </w:r>
    </w:p>
    <w:p w:rsidR="00000000" w:rsidRDefault="00614D54">
      <w:pPr>
        <w:pStyle w:val="CommentText"/>
      </w:pPr>
      <w:r>
        <w:t>&lt;&lt;ODS DOC SYMBOL1&gt;&gt;CEDAW/C/BIH/Q/3&lt;&lt;ODS DOC SYMBOL1&gt;&gt;</w:t>
      </w:r>
    </w:p>
    <w:p w:rsidR="00000000" w:rsidRDefault="00614D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14D54">
      <w:pPr>
        <w:spacing w:line="240" w:lineRule="auto"/>
      </w:pPr>
      <w:r>
        <w:separator/>
      </w:r>
    </w:p>
  </w:endnote>
  <w:endnote w:type="continuationSeparator" w:id="0">
    <w:p w:rsidR="00000000" w:rsidRDefault="00614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14D54">
          <w:pPr>
            <w:pStyle w:val="Footer"/>
          </w:pPr>
          <w:r>
            <w:fldChar w:fldCharType="begin"/>
          </w:r>
          <w:r>
            <w:instrText xml:space="preserve"> PAGE  \* MERG</w:instrText>
          </w:r>
          <w:r>
            <w:instrText xml:space="preserve">EFORMAT </w:instrText>
          </w:r>
          <w:r>
            <w:fldChar w:fldCharType="separate"/>
          </w:r>
          <w:r>
            <w:t>4</w:t>
          </w:r>
          <w:r>
            <w:fldChar w:fldCharType="end"/>
          </w:r>
        </w:p>
      </w:tc>
      <w:tc>
        <w:tcPr>
          <w:tcW w:w="5034" w:type="dxa"/>
          <w:vAlign w:val="bottom"/>
        </w:tcPr>
        <w:p w:rsidR="00000000" w:rsidRDefault="00614D54">
          <w:pPr>
            <w:pStyle w:val="Footer"/>
            <w:jc w:val="right"/>
          </w:pPr>
        </w:p>
      </w:tc>
    </w:tr>
  </w:tbl>
  <w:p w:rsidR="00000000" w:rsidRDefault="00614D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614D54">
          <w:pPr>
            <w:pStyle w:val="Footer"/>
          </w:pPr>
        </w:p>
      </w:tc>
      <w:tc>
        <w:tcPr>
          <w:tcW w:w="5034" w:type="dxa"/>
          <w:vAlign w:val="bottom"/>
        </w:tcPr>
        <w:p w:rsidR="00000000" w:rsidRDefault="00614D54">
          <w:pPr>
            <w:pStyle w:val="Footer"/>
            <w:jc w:val="right"/>
          </w:pPr>
          <w:r>
            <w:fldChar w:fldCharType="begin"/>
          </w:r>
          <w:r>
            <w:instrText xml:space="preserve"> PAGE  \* MERGEFORMAT </w:instrText>
          </w:r>
          <w:r>
            <w:fldChar w:fldCharType="separate"/>
          </w:r>
          <w:r>
            <w:t>5</w:t>
          </w:r>
          <w:r>
            <w:fldChar w:fldCharType="end"/>
          </w:r>
        </w:p>
      </w:tc>
    </w:tr>
  </w:tbl>
  <w:p w:rsidR="00000000" w:rsidRDefault="00614D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D54">
    <w:pPr>
      <w:pStyle w:val="Footer"/>
      <w:rPr>
        <w:b w:val="0"/>
        <w:sz w:val="21"/>
      </w:rPr>
    </w:pPr>
    <w:r>
      <w:rPr>
        <w:b w:val="0"/>
        <w:sz w:val="21"/>
      </w:rPr>
      <w:t>06-24226 (C)    060306    070306</w:t>
    </w:r>
  </w:p>
  <w:p w:rsidR="00000000" w:rsidRDefault="00614D54">
    <w:pPr>
      <w:spacing w:before="60" w:line="200" w:lineRule="exact"/>
      <w:rPr>
        <w:rFonts w:ascii="Barcode 3 of 9 by request" w:hAnsi="Barcode 3 of 9 by request"/>
        <w:b/>
      </w:rPr>
    </w:pPr>
    <w:r>
      <w:rPr>
        <w:rFonts w:ascii="Barcode 3 of 9 by request" w:hAnsi="Barcode 3 of 9 by request"/>
        <w:b/>
      </w:rPr>
      <w:t>*0624226*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14D54">
      <w:pPr>
        <w:spacing w:line="240" w:lineRule="auto"/>
      </w:pPr>
      <w:r>
        <w:separator/>
      </w:r>
    </w:p>
  </w:footnote>
  <w:footnote w:type="continuationSeparator" w:id="0">
    <w:p w:rsidR="00000000" w:rsidRDefault="00614D5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D5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14D54">
                      <w:pPr>
                        <w:pStyle w:val="Header"/>
                        <w:spacing w:after="80"/>
                        <w:rPr>
                          <w:b/>
                          <w:sz w:val="17"/>
                        </w:rPr>
                      </w:pPr>
                      <w:r>
                        <w:rPr>
                          <w:b/>
                          <w:sz w:val="17"/>
                        </w:rPr>
                        <w:t>CEDAW/C/BIH/Q/3</w:t>
                      </w:r>
                    </w:p>
                  </w:tc>
                  <w:tc>
                    <w:tcPr>
                      <w:tcW w:w="5048" w:type="dxa"/>
                      <w:vAlign w:val="bottom"/>
                    </w:tcPr>
                    <w:p w:rsidR="00000000" w:rsidRDefault="00614D54">
                      <w:pPr>
                        <w:pStyle w:val="Header"/>
                      </w:pPr>
                    </w:p>
                  </w:tc>
                </w:tr>
              </w:tbl>
              <w:p w:rsidR="00000000" w:rsidRDefault="00614D5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4D5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614D54">
                      <w:pPr>
                        <w:pStyle w:val="Header"/>
                      </w:pPr>
                    </w:p>
                  </w:tc>
                  <w:tc>
                    <w:tcPr>
                      <w:tcW w:w="5048" w:type="dxa"/>
                      <w:vAlign w:val="bottom"/>
                    </w:tcPr>
                    <w:p w:rsidR="00000000" w:rsidRDefault="00614D54">
                      <w:pPr>
                        <w:pStyle w:val="Header"/>
                        <w:spacing w:after="80"/>
                        <w:jc w:val="right"/>
                        <w:rPr>
                          <w:b/>
                          <w:sz w:val="17"/>
                        </w:rPr>
                      </w:pPr>
                      <w:r>
                        <w:rPr>
                          <w:b/>
                          <w:sz w:val="17"/>
                        </w:rPr>
                        <w:t>CEDAW/C/BIH/Q/3</w:t>
                      </w:r>
                    </w:p>
                  </w:tc>
                </w:tr>
              </w:tbl>
              <w:p w:rsidR="00000000" w:rsidRDefault="00614D5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614D54">
          <w:pPr>
            <w:pStyle w:val="Header"/>
            <w:spacing w:after="120"/>
          </w:pPr>
        </w:p>
      </w:tc>
      <w:tc>
        <w:tcPr>
          <w:tcW w:w="1872" w:type="dxa"/>
          <w:tcBorders>
            <w:top w:val="nil"/>
            <w:left w:val="nil"/>
            <w:bottom w:val="single" w:sz="4" w:space="0" w:color="auto"/>
            <w:right w:val="nil"/>
          </w:tcBorders>
          <w:vAlign w:val="bottom"/>
        </w:tcPr>
        <w:p w:rsidR="00000000" w:rsidRDefault="00614D54">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614D54">
          <w:pPr>
            <w:pStyle w:val="Header"/>
            <w:spacing w:after="120"/>
          </w:pPr>
        </w:p>
      </w:tc>
      <w:tc>
        <w:tcPr>
          <w:tcW w:w="6523" w:type="dxa"/>
          <w:gridSpan w:val="3"/>
          <w:tcBorders>
            <w:top w:val="nil"/>
            <w:left w:val="nil"/>
            <w:bottom w:val="single" w:sz="4" w:space="0" w:color="auto"/>
            <w:right w:val="nil"/>
          </w:tcBorders>
          <w:vAlign w:val="bottom"/>
        </w:tcPr>
        <w:p w:rsidR="00000000" w:rsidRDefault="00614D5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/C/BIH/Q/3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614D5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614D54">
          <w:pPr>
            <w:pStyle w:val="Header"/>
            <w:spacing w:before="109"/>
            <w:ind w:left="-72"/>
          </w:pPr>
        </w:p>
      </w:tc>
      <w:tc>
        <w:tcPr>
          <w:tcW w:w="5227" w:type="dxa"/>
          <w:gridSpan w:val="3"/>
          <w:tcBorders>
            <w:left w:val="nil"/>
            <w:bottom w:val="single" w:sz="12" w:space="0" w:color="auto"/>
            <w:right w:val="nil"/>
          </w:tcBorders>
        </w:tcPr>
        <w:p w:rsidR="00000000" w:rsidRDefault="00614D54">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614D54">
          <w:pPr>
            <w:pStyle w:val="Header"/>
            <w:spacing w:before="109"/>
          </w:pPr>
        </w:p>
      </w:tc>
      <w:tc>
        <w:tcPr>
          <w:tcW w:w="3180" w:type="dxa"/>
          <w:gridSpan w:val="2"/>
          <w:tcBorders>
            <w:left w:val="nil"/>
            <w:bottom w:val="single" w:sz="12" w:space="0" w:color="auto"/>
            <w:right w:val="nil"/>
          </w:tcBorders>
        </w:tcPr>
        <w:p w:rsidR="00000000" w:rsidRDefault="00614D54">
          <w:pPr>
            <w:spacing w:before="240" w:line="240" w:lineRule="exact"/>
            <w:rPr>
              <w:rFonts w:ascii="Times New Roman"/>
            </w:rPr>
          </w:pPr>
          <w:r>
            <w:rPr>
              <w:rFonts w:ascii="Times New Roman"/>
            </w:rPr>
            <w:t>Distr.: General</w:t>
          </w:r>
        </w:p>
        <w:p w:rsidR="00000000" w:rsidRDefault="00614D54">
          <w:pPr>
            <w:spacing w:line="240" w:lineRule="exact"/>
            <w:rPr>
              <w:rFonts w:ascii="Times New Roman"/>
            </w:rPr>
          </w:pPr>
          <w:r>
            <w:rPr>
              <w:rFonts w:ascii="Times New Roman"/>
            </w:rPr>
            <w:t>10 February 2006</w:t>
          </w:r>
        </w:p>
        <w:p w:rsidR="00000000" w:rsidRDefault="00614D54">
          <w:pPr>
            <w:spacing w:line="240" w:lineRule="exact"/>
            <w:rPr>
              <w:rFonts w:ascii="Times New Roman"/>
            </w:rPr>
          </w:pPr>
          <w:r>
            <w:rPr>
              <w:rFonts w:ascii="Times New Roman"/>
            </w:rPr>
            <w:t>Chinese</w:t>
          </w:r>
        </w:p>
        <w:p w:rsidR="00000000" w:rsidRDefault="00614D54">
          <w:pPr>
            <w:spacing w:line="240" w:lineRule="exact"/>
            <w:rPr>
              <w:rFonts w:ascii="Times New Roman"/>
            </w:rPr>
          </w:pPr>
          <w:r>
            <w:rPr>
              <w:rFonts w:ascii="Times New Roman"/>
            </w:rPr>
            <w:t>Original: English</w:t>
          </w:r>
        </w:p>
      </w:tc>
    </w:tr>
  </w:tbl>
  <w:p w:rsidR="00000000" w:rsidRDefault="00614D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3/2006 14:35:23"/>
    <w:docVar w:name="DocCategory" w:val="Doc"/>
    <w:docVar w:name="DocType" w:val="Final"/>
    <w:docVar w:name="JobNo" w:val="0624226C"/>
    <w:docVar w:name="OandT" w:val="Zhang jp"/>
    <w:docVar w:name="Symbol1" w:val="CEDAW/C/BIH/Q/3"/>
    <w:docVar w:name="Symbol2" w:val="-"/>
  </w:docVars>
  <w:rsids>
    <w:rsidRoot w:val="00614D54"/>
    <w:rsid w:val="00614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626</Words>
  <Characters>3571</Characters>
  <Application>Microsoft Office Word</Application>
  <DocSecurity>4</DocSecurity>
  <Lines>29</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4385</CharactersWithSpaces>
  <SharedDoc>false</SharedDoc>
  <HLinks>
    <vt:vector size="6" baseType="variant">
      <vt:variant>
        <vt:i4>4522087</vt:i4>
      </vt:variant>
      <vt:variant>
        <vt:i4>9870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Jiping.Zhang</dc:creator>
  <cp:keywords/>
  <dc:description/>
  <cp:lastModifiedBy>Jiping.Zhang</cp:lastModifiedBy>
  <cp:revision>12</cp:revision>
  <cp:lastPrinted>2006-03-07T13:48:00Z</cp:lastPrinted>
  <dcterms:created xsi:type="dcterms:W3CDTF">2006-03-07T13:35:00Z</dcterms:created>
  <dcterms:modified xsi:type="dcterms:W3CDTF">2006-03-07T13:48:00Z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0624226</vt:lpwstr>
  </property>
  <property fmtid="{D5CDD505-2E9C-101B-9397-08002B2CF9AE}" pid="3" name="Symbol1">
    <vt:lpwstr>CEDAW/C/BIH/Q/3</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