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4B0" w:rsidRDefault="00A124B0" w:rsidP="00A124B0">
      <w:pPr>
        <w:spacing w:line="60" w:lineRule="exact"/>
        <w:sectPr w:rsidR="00A124B0" w:rsidSect="00A124B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3Size =1Lang = C"/>
            <w10:wrap anchorx="page" anchory="page"/>
          </v:shape>
        </w:pict>
      </w:r>
      <w:commentRangeEnd w:id="0"/>
      <w:r>
        <w:rPr>
          <w:rStyle w:val="CommentReference"/>
        </w:rPr>
        <w:commentReference w:id="0"/>
      </w:r>
    </w:p>
    <w:p w:rsidR="00A124B0" w:rsidRDefault="00A124B0" w:rsidP="00A124B0">
      <w:pPr>
        <w:spacing w:line="60" w:lineRule="exact"/>
      </w:pPr>
    </w:p>
    <w:p w:rsidR="002C1747" w:rsidRPr="002C1747" w:rsidRDefault="002C1747" w:rsidP="002C174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sidRPr="002C1747">
        <w:rPr>
          <w:rFonts w:hint="eastAsia"/>
        </w:rPr>
        <w:t>消除对妇女歧视委员会</w:t>
      </w:r>
    </w:p>
    <w:p w:rsidR="002C1747" w:rsidRPr="002C1747" w:rsidRDefault="002C1747" w:rsidP="002C1747">
      <w:pPr>
        <w:pStyle w:val="SingleTxt"/>
        <w:spacing w:after="60"/>
        <w:ind w:left="0"/>
        <w:rPr>
          <w:rFonts w:ascii="SimHei" w:eastAsia="SimHei" w:hint="eastAsia"/>
        </w:rPr>
      </w:pPr>
      <w:r w:rsidRPr="002C1747">
        <w:rPr>
          <w:rFonts w:ascii="SimHei" w:eastAsia="SimHei" w:hint="eastAsia"/>
        </w:rPr>
        <w:t>第五十五届会议</w:t>
      </w:r>
    </w:p>
    <w:p w:rsidR="002C1747" w:rsidRDefault="002C1747" w:rsidP="002C1747">
      <w:pPr>
        <w:pStyle w:val="SingleTxt"/>
        <w:spacing w:after="60"/>
        <w:ind w:left="0"/>
        <w:rPr>
          <w:rFonts w:hint="eastAsia"/>
        </w:rPr>
      </w:pPr>
      <w:r>
        <w:rPr>
          <w:rFonts w:hint="eastAsia"/>
        </w:rPr>
        <w:t>2013年7月8日至26日</w:t>
      </w:r>
    </w:p>
    <w:p w:rsidR="002C1747" w:rsidRPr="002C1747" w:rsidRDefault="002C1747" w:rsidP="002C1747">
      <w:pPr>
        <w:framePr w:w="9792" w:h="432" w:hSpace="180" w:wrap="around" w:hAnchor="page" w:x="1210" w:yAlign="bottom"/>
        <w:spacing w:line="100" w:lineRule="exact"/>
        <w:rPr>
          <w:sz w:val="10"/>
        </w:rPr>
      </w:pPr>
    </w:p>
    <w:p w:rsidR="002C1747" w:rsidRPr="002C1747" w:rsidRDefault="002C1747" w:rsidP="002C1747">
      <w:pPr>
        <w:framePr w:w="9792" w:h="432" w:hSpace="180" w:wrap="around" w:hAnchor="page" w:x="1210" w:yAlign="bottom"/>
        <w:spacing w:line="60" w:lineRule="exact"/>
        <w:rPr>
          <w:sz w:val="6"/>
        </w:rPr>
      </w:pPr>
      <w:r w:rsidRPr="002C1747">
        <w:rPr>
          <w:noProof/>
          <w:sz w:val="6"/>
        </w:rPr>
        <w:pict>
          <v:line id="_x0000_s1028" style="position:absolute;left:0;text-align:left;z-index:2;mso-position-horizontal-relative:page" from="108pt,-1pt" to="180pt,-1pt" strokeweight=".25pt">
            <w10:wrap anchorx="page"/>
          </v:line>
        </w:pict>
      </w:r>
    </w:p>
    <w:p w:rsidR="002C1747" w:rsidRPr="002C1747" w:rsidRDefault="002C1747" w:rsidP="002C1747">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2C1747">
        <w:rPr>
          <w:rFonts w:ascii="Times New Roman"/>
          <w:sz w:val="18"/>
          <w:vertAlign w:val="superscript"/>
        </w:rPr>
        <w:t>*</w:t>
      </w:r>
      <w:r>
        <w:rPr>
          <w:rFonts w:hint="eastAsia"/>
          <w:sz w:val="18"/>
        </w:rPr>
        <w:tab/>
      </w:r>
      <w:r w:rsidRPr="002C1747">
        <w:rPr>
          <w:rFonts w:hint="eastAsia"/>
          <w:sz w:val="18"/>
        </w:rPr>
        <w:t>CEDAW/C/55/1。</w:t>
      </w:r>
    </w:p>
    <w:p w:rsidR="002C1747" w:rsidRDefault="002C1747" w:rsidP="002C1747">
      <w:pPr>
        <w:pStyle w:val="SingleTxt"/>
        <w:spacing w:after="60"/>
        <w:ind w:left="0"/>
        <w:rPr>
          <w:rFonts w:hint="eastAsia"/>
        </w:rPr>
      </w:pPr>
      <w:r>
        <w:rPr>
          <w:rFonts w:hint="eastAsia"/>
        </w:rPr>
        <w:t>临时议程</w:t>
      </w:r>
      <w:r w:rsidRPr="002C1747">
        <w:rPr>
          <w:rFonts w:ascii="Times New Roman"/>
          <w:vertAlign w:val="superscript"/>
        </w:rPr>
        <w:t>*</w:t>
      </w:r>
      <w:r>
        <w:rPr>
          <w:rFonts w:hint="eastAsia"/>
        </w:rPr>
        <w:t xml:space="preserve"> 项目6</w:t>
      </w:r>
    </w:p>
    <w:p w:rsidR="002C1747" w:rsidRPr="002C1747" w:rsidRDefault="002C1747" w:rsidP="002C1747">
      <w:pPr>
        <w:pStyle w:val="SingleTxt"/>
        <w:spacing w:after="60"/>
        <w:ind w:left="0"/>
        <w:rPr>
          <w:rFonts w:ascii="SimHei" w:eastAsia="SimHei" w:hint="eastAsia"/>
        </w:rPr>
      </w:pPr>
      <w:r w:rsidRPr="002C1747">
        <w:rPr>
          <w:rFonts w:ascii="SimHei" w:eastAsia="SimHei" w:hint="eastAsia"/>
        </w:rPr>
        <w:t>《消除对妇女一切形式歧视公约》</w:t>
      </w:r>
      <w:r>
        <w:rPr>
          <w:rFonts w:ascii="SimHei" w:eastAsia="SimHei"/>
        </w:rPr>
        <w:br/>
      </w:r>
      <w:r w:rsidRPr="002C1747">
        <w:rPr>
          <w:rFonts w:ascii="SimHei" w:eastAsia="SimHei" w:hint="eastAsia"/>
        </w:rPr>
        <w:t>第21条和第22条的执行情况</w:t>
      </w:r>
    </w:p>
    <w:p w:rsidR="002C1747" w:rsidRPr="002C1747" w:rsidRDefault="002C1747" w:rsidP="002C1747">
      <w:pPr>
        <w:pStyle w:val="SingleTxt"/>
        <w:spacing w:after="0" w:line="120" w:lineRule="exact"/>
        <w:rPr>
          <w:rFonts w:hint="eastAsia"/>
          <w:sz w:val="10"/>
        </w:rPr>
      </w:pPr>
    </w:p>
    <w:p w:rsidR="002C1747" w:rsidRPr="002C1747" w:rsidRDefault="002C1747" w:rsidP="002C1747">
      <w:pPr>
        <w:pStyle w:val="SingleTxt"/>
        <w:spacing w:after="0" w:line="120" w:lineRule="exact"/>
        <w:rPr>
          <w:rFonts w:hint="eastAsia"/>
          <w:sz w:val="10"/>
        </w:rPr>
      </w:pPr>
    </w:p>
    <w:p w:rsidR="002C1747" w:rsidRPr="002C1747" w:rsidRDefault="002C1747" w:rsidP="002C1747">
      <w:pPr>
        <w:pStyle w:val="SingleTxt"/>
        <w:spacing w:after="0" w:line="120" w:lineRule="exact"/>
        <w:rPr>
          <w:rFonts w:hint="eastAsia"/>
          <w:sz w:val="10"/>
        </w:rPr>
      </w:pPr>
    </w:p>
    <w:p w:rsidR="002C1747" w:rsidRPr="002C1747" w:rsidRDefault="002C1747" w:rsidP="002C174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2C1747">
        <w:rPr>
          <w:rFonts w:hint="eastAsia"/>
        </w:rPr>
        <w:t>各专门机构关于《消除对妇女一切形式歧视公约》在其活动所涉领域内的执行情况的报告</w:t>
      </w:r>
    </w:p>
    <w:p w:rsidR="002C1747" w:rsidRPr="002C1747" w:rsidRDefault="002C1747" w:rsidP="002C1747">
      <w:pPr>
        <w:pStyle w:val="SingleTxt"/>
        <w:spacing w:after="0" w:line="120" w:lineRule="exact"/>
        <w:rPr>
          <w:rFonts w:hint="eastAsia"/>
          <w:sz w:val="10"/>
        </w:rPr>
      </w:pPr>
    </w:p>
    <w:p w:rsidR="002C1747" w:rsidRPr="002C1747" w:rsidRDefault="002C1747" w:rsidP="002C1747">
      <w:pPr>
        <w:pStyle w:val="SingleTxt"/>
        <w:spacing w:after="0" w:line="120" w:lineRule="exact"/>
        <w:rPr>
          <w:rFonts w:hint="eastAsia"/>
          <w:sz w:val="10"/>
        </w:rPr>
      </w:pPr>
    </w:p>
    <w:p w:rsidR="002C1747" w:rsidRPr="002C1747" w:rsidRDefault="002C1747" w:rsidP="00B24F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r>
      <w:r w:rsidRPr="002C1747">
        <w:rPr>
          <w:rFonts w:hint="eastAsia"/>
        </w:rPr>
        <w:t>联合国教育、科学及文化组织的报告</w:t>
      </w:r>
    </w:p>
    <w:tbl>
      <w:tblPr>
        <w:tblW w:w="0" w:type="auto"/>
        <w:tblBorders>
          <w:left w:val="single" w:sz="2" w:space="0" w:color="auto"/>
          <w:right w:val="single" w:sz="2" w:space="0" w:color="auto"/>
        </w:tblBorders>
        <w:tblLayout w:type="fixed"/>
        <w:tblCellMar>
          <w:left w:w="0" w:type="dxa"/>
          <w:right w:w="0" w:type="dxa"/>
        </w:tblCellMar>
        <w:tblLook w:val="0000"/>
      </w:tblPr>
      <w:tblGrid>
        <w:gridCol w:w="9850"/>
      </w:tblGrid>
      <w:tr w:rsidR="002C1747" w:rsidTr="002C1747">
        <w:tblPrEx>
          <w:tblCellMar>
            <w:top w:w="0" w:type="dxa"/>
            <w:bottom w:w="0" w:type="dxa"/>
          </w:tblCellMar>
        </w:tblPrEx>
        <w:tc>
          <w:tcPr>
            <w:tcW w:w="9850" w:type="dxa"/>
            <w:tcBorders>
              <w:top w:val="single" w:sz="2" w:space="0" w:color="auto"/>
            </w:tcBorders>
            <w:shd w:val="clear" w:color="auto" w:fill="auto"/>
          </w:tcPr>
          <w:p w:rsidR="002C1747" w:rsidRPr="002C1747" w:rsidRDefault="002C1747" w:rsidP="002C1747">
            <w:pPr>
              <w:tabs>
                <w:tab w:val="left" w:pos="240"/>
              </w:tabs>
              <w:spacing w:before="240" w:after="120"/>
              <w:rPr>
                <w:rFonts w:eastAsia="KaiTi_GB2312" w:hint="eastAsia"/>
                <w:sz w:val="24"/>
              </w:rPr>
            </w:pPr>
            <w:r>
              <w:rPr>
                <w:rFonts w:eastAsia="KaiTi_GB2312" w:hint="eastAsia"/>
                <w:sz w:val="24"/>
              </w:rPr>
              <w:tab/>
            </w:r>
            <w:r>
              <w:rPr>
                <w:rFonts w:eastAsia="KaiTi_GB2312" w:hint="eastAsia"/>
                <w:sz w:val="24"/>
              </w:rPr>
              <w:t>摘要</w:t>
            </w:r>
          </w:p>
        </w:tc>
      </w:tr>
      <w:tr w:rsidR="002C1747" w:rsidTr="002C1747">
        <w:tblPrEx>
          <w:tblCellMar>
            <w:top w:w="0" w:type="dxa"/>
            <w:bottom w:w="0" w:type="dxa"/>
          </w:tblCellMar>
        </w:tblPrEx>
        <w:tc>
          <w:tcPr>
            <w:tcW w:w="9850" w:type="dxa"/>
            <w:shd w:val="clear" w:color="auto" w:fill="auto"/>
          </w:tcPr>
          <w:p w:rsidR="002C1747" w:rsidRPr="002C1747" w:rsidRDefault="002C1747" w:rsidP="002C1747">
            <w:pPr>
              <w:pStyle w:val="SingleTxt"/>
              <w:rPr>
                <w:rFonts w:hint="eastAsia"/>
              </w:rPr>
            </w:pPr>
            <w:r>
              <w:tab/>
            </w:r>
            <w:r>
              <w:rPr>
                <w:rFonts w:hint="eastAsia"/>
              </w:rPr>
              <w:t>依照《消除对妇女一切形式歧视公约》第22条的规定，消除对妇女歧视委员会邀请各专门机构向委员会第五十五届会议提交关于《公约》在其活动所涉领域内的执行情况的报告。</w:t>
            </w:r>
          </w:p>
        </w:tc>
      </w:tr>
      <w:tr w:rsidR="002C1747" w:rsidTr="002C1747">
        <w:tblPrEx>
          <w:tblCellMar>
            <w:top w:w="0" w:type="dxa"/>
            <w:bottom w:w="0" w:type="dxa"/>
          </w:tblCellMar>
        </w:tblPrEx>
        <w:tc>
          <w:tcPr>
            <w:tcW w:w="9850" w:type="dxa"/>
            <w:tcBorders>
              <w:bottom w:val="single" w:sz="2" w:space="0" w:color="auto"/>
            </w:tcBorders>
            <w:shd w:val="clear" w:color="auto" w:fill="auto"/>
          </w:tcPr>
          <w:p w:rsidR="002C1747" w:rsidRPr="002C1747" w:rsidRDefault="002C1747" w:rsidP="002C1747">
            <w:pPr>
              <w:pStyle w:val="SingleTxt"/>
              <w:spacing w:after="0" w:line="120" w:lineRule="exact"/>
              <w:rPr>
                <w:rFonts w:hint="eastAsia"/>
              </w:rPr>
            </w:pPr>
          </w:p>
        </w:tc>
      </w:tr>
    </w:tbl>
    <w:p w:rsidR="002C1747" w:rsidRDefault="002C1747" w:rsidP="002C1747">
      <w:pPr>
        <w:pStyle w:val="SingleTxt"/>
        <w:rPr>
          <w:rFonts w:hint="eastAsia"/>
        </w:rPr>
      </w:pPr>
    </w:p>
    <w:p w:rsidR="002C1747" w:rsidRPr="002C1747" w:rsidRDefault="002C1747" w:rsidP="002C174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sidRPr="002C1747">
        <w:rPr>
          <w:rFonts w:hint="eastAsia"/>
        </w:rPr>
        <w:t>一.</w:t>
      </w:r>
      <w:r w:rsidRPr="002C1747">
        <w:rPr>
          <w:rFonts w:hint="eastAsia"/>
        </w:rPr>
        <w:tab/>
        <w:t>导言</w:t>
      </w:r>
    </w:p>
    <w:p w:rsidR="002C1747" w:rsidRPr="002C1747" w:rsidRDefault="002C1747" w:rsidP="002C1747">
      <w:pPr>
        <w:pStyle w:val="SingleTxt"/>
        <w:spacing w:after="0" w:line="120" w:lineRule="exact"/>
        <w:rPr>
          <w:rFonts w:hint="eastAsia"/>
          <w:sz w:val="10"/>
        </w:rPr>
      </w:pPr>
    </w:p>
    <w:p w:rsidR="002C1747" w:rsidRPr="002C1747" w:rsidRDefault="002C1747" w:rsidP="002C1747">
      <w:pPr>
        <w:pStyle w:val="SingleTxt"/>
        <w:spacing w:after="0" w:line="120" w:lineRule="exact"/>
        <w:rPr>
          <w:rFonts w:hint="eastAsia"/>
          <w:sz w:val="10"/>
        </w:rPr>
      </w:pPr>
    </w:p>
    <w:p w:rsidR="002C1747" w:rsidRDefault="002C1747" w:rsidP="002C1747">
      <w:pPr>
        <w:pStyle w:val="SingleTxt"/>
        <w:rPr>
          <w:rFonts w:hint="eastAsia"/>
        </w:rPr>
      </w:pPr>
      <w:r>
        <w:rPr>
          <w:rFonts w:hint="eastAsia"/>
        </w:rPr>
        <w:t>1.</w:t>
      </w:r>
      <w:r>
        <w:rPr>
          <w:rFonts w:hint="eastAsia"/>
        </w:rPr>
        <w:tab/>
        <w:t>消除对妇女歧视委员会本届会议将审查以下各国的国家报告：阿富汗、波斯尼亚和黑塞哥维那、佛得角、古巴、刚果民主共和国、多米尼加共和国、塞尔维亚和大不列颠及北爱尔兰联合王国。上述各国的教育统计数字见本报告附件。</w:t>
      </w:r>
    </w:p>
    <w:p w:rsidR="002C1747" w:rsidRDefault="002C1747" w:rsidP="002C1747">
      <w:pPr>
        <w:pStyle w:val="SingleTxt"/>
        <w:rPr>
          <w:rFonts w:hint="eastAsia"/>
        </w:rPr>
      </w:pPr>
      <w:r>
        <w:rPr>
          <w:rFonts w:hint="eastAsia"/>
        </w:rPr>
        <w:t>2.</w:t>
      </w:r>
      <w:r>
        <w:rPr>
          <w:rFonts w:hint="eastAsia"/>
        </w:rPr>
        <w:tab/>
        <w:t>作为联合国系统的一个专门机构，联合国教育、科学及文化组织(教科文组织)通过教育、科学、文化、传播和信息，促进建设和平、减贫、可持续发展和不同文化间对话。按照教科文组织2008-2013年中期战略，性别平等已被定为组织两个全球优先事项之一。教科文组织通过双管齐下的方式落实性别平等优先事项：(a) 方案规划具体考虑到性别问题；及(b) 将性别平等观点纳入教科文组织所有主管领域的主流。</w:t>
      </w:r>
    </w:p>
    <w:p w:rsidR="002C1747" w:rsidRDefault="002C1747" w:rsidP="002C1747">
      <w:pPr>
        <w:pStyle w:val="SingleTxt"/>
        <w:rPr>
          <w:rFonts w:hint="eastAsia"/>
        </w:rPr>
      </w:pPr>
      <w:r>
        <w:rPr>
          <w:rFonts w:hint="eastAsia"/>
        </w:rPr>
        <w:t>3.</w:t>
      </w:r>
      <w:r>
        <w:rPr>
          <w:rFonts w:hint="eastAsia"/>
        </w:rPr>
        <w:tab/>
        <w:t>在联合国系统内，教科文组织对《消除对妇女一切形式歧视公约》的实施承担重大职责；《公约》第10条规定各缔约国应采取一切适当措施以消除对妇女的歧视，以确保妇女在教育方面享有与男子平等的权利。受教育的权利是教科文组织的中心使命，并构成其章程法定职责之一。</w:t>
      </w:r>
    </w:p>
    <w:p w:rsidR="002C1747" w:rsidRDefault="002C1747" w:rsidP="002C1747">
      <w:pPr>
        <w:pStyle w:val="SingleTxt"/>
        <w:rPr>
          <w:rFonts w:hint="eastAsia"/>
        </w:rPr>
      </w:pPr>
      <w:r>
        <w:rPr>
          <w:rFonts w:hint="eastAsia"/>
        </w:rPr>
        <w:t>4.</w:t>
      </w:r>
      <w:r>
        <w:rPr>
          <w:rFonts w:hint="eastAsia"/>
        </w:rPr>
        <w:tab/>
        <w:t>在教科文组织促进妇女赋权、妇女权利和性别平等的努力方面，指导其工作的文件包括：教科文组织2008</w:t>
      </w:r>
      <w:r w:rsidR="00B20249">
        <w:rPr>
          <w:rFonts w:hint="eastAsia"/>
        </w:rPr>
        <w:t>-</w:t>
      </w:r>
      <w:r>
        <w:rPr>
          <w:rFonts w:hint="eastAsia"/>
        </w:rPr>
        <w:t>2013年中期战略；教科文组织两年期方案和预算文件；教科文组织支持和指导实施其全球性别平等优先事项的2008-2013年全组织《性别平等优先行动计划》；《消除对妇女一切形式歧视公约》；《北京行动纲要》；及与其活动领域相关的决议和国际与区域文书。</w:t>
      </w:r>
    </w:p>
    <w:p w:rsidR="002C1747" w:rsidRDefault="002C1747" w:rsidP="002C1747">
      <w:pPr>
        <w:pStyle w:val="SingleTxt"/>
        <w:rPr>
          <w:rFonts w:hint="eastAsia"/>
        </w:rPr>
      </w:pPr>
      <w:r>
        <w:rPr>
          <w:rFonts w:hint="eastAsia"/>
        </w:rPr>
        <w:t>5.</w:t>
      </w:r>
      <w:r>
        <w:rPr>
          <w:rFonts w:hint="eastAsia"/>
        </w:rPr>
        <w:tab/>
        <w:t>总干事办公室的性别平等司负责推动教科文组织对落实性别平等优先事项的承诺。作为教科文组织的性别平等行动协调中心，该司向高层管理人员和方案部门提供政策指导和建议，以便将性别平等考虑因素纳入教科文组织政策、战略和方案的主流；开展能力建设活动；监测秘书处内的性别均等情况和平衡兼顾工作与生活的安排；与支持妇女赋权和性别平等举措的其他联合国机构、区域机构、政府间组织、非政府组织、私人基金会和私营部门伙伴建立伙伴关系。</w:t>
      </w:r>
    </w:p>
    <w:p w:rsidR="00B20249" w:rsidRPr="00B20249" w:rsidRDefault="00B20249" w:rsidP="00B2024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2C1747" w:rsidRPr="00B20249" w:rsidRDefault="00B20249" w:rsidP="00B2024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002C1747" w:rsidRPr="00B20249">
        <w:rPr>
          <w:rFonts w:hint="eastAsia"/>
        </w:rPr>
        <w:t>二.</w:t>
      </w:r>
      <w:r w:rsidR="002C1747" w:rsidRPr="00B20249">
        <w:rPr>
          <w:rFonts w:hint="eastAsia"/>
        </w:rPr>
        <w:tab/>
        <w:t>第五十五届会议将审议其报告的国家在国内为实施《公约》各项规定而采取的措施</w:t>
      </w:r>
    </w:p>
    <w:p w:rsidR="00B20249" w:rsidRPr="00B20249" w:rsidRDefault="00B20249" w:rsidP="00B20249">
      <w:pPr>
        <w:pStyle w:val="SingleTxt"/>
        <w:spacing w:after="0" w:line="120" w:lineRule="exact"/>
        <w:rPr>
          <w:rFonts w:hint="eastAsia"/>
          <w:sz w:val="10"/>
        </w:rPr>
      </w:pPr>
    </w:p>
    <w:p w:rsidR="00B20249" w:rsidRPr="00B20249" w:rsidRDefault="00B20249" w:rsidP="00B20249">
      <w:pPr>
        <w:pStyle w:val="SingleTxt"/>
        <w:spacing w:after="0" w:line="120" w:lineRule="exact"/>
        <w:rPr>
          <w:rFonts w:hint="eastAsia"/>
          <w:sz w:val="10"/>
        </w:rPr>
      </w:pPr>
    </w:p>
    <w:p w:rsidR="002C1747" w:rsidRPr="00B20249" w:rsidRDefault="002C1747" w:rsidP="002C1747">
      <w:pPr>
        <w:pStyle w:val="SingleTxt"/>
        <w:rPr>
          <w:rFonts w:ascii="SimHei" w:eastAsia="SimHei" w:hint="eastAsia"/>
        </w:rPr>
      </w:pPr>
      <w:r w:rsidRPr="00B20249">
        <w:rPr>
          <w:rFonts w:ascii="SimHei" w:eastAsia="SimHei" w:hint="eastAsia"/>
        </w:rPr>
        <w:t>阿富汗</w:t>
      </w:r>
    </w:p>
    <w:p w:rsidR="002C1747" w:rsidRDefault="002C1747" w:rsidP="002C1747">
      <w:pPr>
        <w:pStyle w:val="SingleTxt"/>
        <w:rPr>
          <w:rFonts w:hint="eastAsia"/>
        </w:rPr>
      </w:pPr>
      <w:r>
        <w:rPr>
          <w:rFonts w:hint="eastAsia"/>
        </w:rPr>
        <w:t>6.</w:t>
      </w:r>
      <w:r>
        <w:rPr>
          <w:rFonts w:hint="eastAsia"/>
        </w:rPr>
        <w:tab/>
        <w:t>阿富汗从2010年1月起成为教科文组织《取缔教育歧视公约》缔约国。阿富汗未被要求向教科文组织第七次协商报告为实施《公约》而采取的措施，因为协商覆盖2010年之前，即阿富汗成为《公约》缔约国之前的期间。</w:t>
      </w:r>
    </w:p>
    <w:p w:rsidR="002C1747" w:rsidRDefault="002C1747" w:rsidP="002C1747">
      <w:pPr>
        <w:pStyle w:val="SingleTxt"/>
        <w:rPr>
          <w:rFonts w:hint="eastAsia"/>
        </w:rPr>
      </w:pPr>
      <w:r>
        <w:rPr>
          <w:rFonts w:hint="eastAsia"/>
        </w:rPr>
        <w:t>7.</w:t>
      </w:r>
      <w:r>
        <w:rPr>
          <w:rFonts w:hint="eastAsia"/>
        </w:rPr>
        <w:tab/>
        <w:t>《阿富汗宪法》(2004年)第43条保障所有阿富汗公民受教育的权利；国立教育机构免费提供至学士一级(本科一级)的教育。关于教育的立法(2008年《教育法》)规定教育的主要目标包括：推广和发展普及、均衡和公平的教育，确保全体阿富汗公民受教育和培训的平等权利；加强尊重人权、保护妇女权利和民主及消除各种形式歧视。《教育法》第4条明确规定：(a)</w:t>
      </w:r>
      <w:r w:rsidR="00B20249">
        <w:rPr>
          <w:rFonts w:hint="eastAsia"/>
        </w:rPr>
        <w:t xml:space="preserve"> </w:t>
      </w:r>
      <w:r>
        <w:rPr>
          <w:rFonts w:hint="eastAsia"/>
        </w:rPr>
        <w:t>中级(基础)教育(包括1-9年级)实行义务教育；(b)</w:t>
      </w:r>
      <w:r w:rsidR="00B20249">
        <w:rPr>
          <w:rFonts w:hint="eastAsia"/>
        </w:rPr>
        <w:t xml:space="preserve"> </w:t>
      </w:r>
      <w:r>
        <w:rPr>
          <w:rFonts w:hint="eastAsia"/>
        </w:rPr>
        <w:t>公立教育机构免费提供学前、基础、中学、技术、专业、职业和高等教育。2010-2014年《阿富汗全国教育战略计划》显示，阿富汗政府的愿景是在伊斯兰教义、国家与国际承诺和尊重人权的基础上发展人力资本，并为此向所有人提供获得优质教育的公平机会，使他们能够积极参与阿富汗的可持续发展、经济增长、稳定与安全。为实现该愿景，政府无歧视地在阿富汗全国各地促进儿童和成年人的教育机会。</w:t>
      </w:r>
    </w:p>
    <w:p w:rsidR="002C1747" w:rsidRDefault="002C1747" w:rsidP="002C1747">
      <w:pPr>
        <w:pStyle w:val="SingleTxt"/>
        <w:rPr>
          <w:rFonts w:hint="eastAsia"/>
        </w:rPr>
      </w:pPr>
      <w:r>
        <w:rPr>
          <w:rFonts w:hint="eastAsia"/>
        </w:rPr>
        <w:t>8.</w:t>
      </w:r>
      <w:r>
        <w:rPr>
          <w:rFonts w:hint="eastAsia"/>
        </w:rPr>
        <w:tab/>
        <w:t>自2001年以来，全国各地在学人数激增。女孩和男孩回校人数达空前水平，目前的女孩上学人数超越阿富汗历史上任何其他时期。入学率从约90万增加至近640万。</w:t>
      </w:r>
      <w:r w:rsidR="00B20249">
        <w:rPr>
          <w:rStyle w:val="FootnoteReference"/>
        </w:rPr>
        <w:footnoteReference w:id="1"/>
      </w:r>
      <w:r>
        <w:rPr>
          <w:rFonts w:hint="eastAsia"/>
        </w:rPr>
        <w:t xml:space="preserve"> 在校女生比例从2001年接近0</w:t>
      </w:r>
      <w:r w:rsidR="00B20249">
        <w:rPr>
          <w:rFonts w:hint="eastAsia"/>
        </w:rPr>
        <w:t>%</w:t>
      </w:r>
      <w:r>
        <w:rPr>
          <w:rFonts w:hint="eastAsia"/>
        </w:rPr>
        <w:t>的水平增加到2007年的37</w:t>
      </w:r>
      <w:r w:rsidR="00B20249">
        <w:rPr>
          <w:rFonts w:hint="eastAsia"/>
        </w:rPr>
        <w:t>%</w:t>
      </w:r>
      <w:r>
        <w:rPr>
          <w:rFonts w:hint="eastAsia"/>
        </w:rPr>
        <w:t>强。数万名女教师同时也获得培训。每年兴建学校达数千所之多；预计未来三年将有一百万青年人和成年人参加成人扫盲方案。</w:t>
      </w:r>
    </w:p>
    <w:p w:rsidR="002C1747" w:rsidRDefault="002C1747" w:rsidP="002C1747">
      <w:pPr>
        <w:pStyle w:val="SingleTxt"/>
        <w:rPr>
          <w:rFonts w:hint="eastAsia"/>
        </w:rPr>
      </w:pPr>
      <w:r>
        <w:rPr>
          <w:rFonts w:hint="eastAsia"/>
        </w:rPr>
        <w:t>9.</w:t>
      </w:r>
      <w:r>
        <w:rPr>
          <w:rFonts w:hint="eastAsia"/>
        </w:rPr>
        <w:tab/>
        <w:t>阿富汗是世界上最穷和人口教育程度最低的国家之一，重大的性别差异因受教育机会的地域差异而更趋严重。据估计，75</w:t>
      </w:r>
      <w:r w:rsidR="00B20249">
        <w:rPr>
          <w:rFonts w:hint="eastAsia"/>
        </w:rPr>
        <w:t>%</w:t>
      </w:r>
      <w:r>
        <w:rPr>
          <w:rFonts w:hint="eastAsia"/>
        </w:rPr>
        <w:t>的人口为农村地区居民，其中约50</w:t>
      </w:r>
      <w:r w:rsidR="00B20249">
        <w:rPr>
          <w:rFonts w:hint="eastAsia"/>
        </w:rPr>
        <w:t>%</w:t>
      </w:r>
      <w:r>
        <w:rPr>
          <w:rFonts w:hint="eastAsia"/>
        </w:rPr>
        <w:t>未满18岁。因此，阿富汗的适龄儿童占比位于世界前列。统计数据显示，在塔利班控制下的地区，2000年没有女孩在校学习，因为女孩不准上学。然而，在2008年前五年期间，女孩入学率迅速增加到37%。</w:t>
      </w:r>
      <w:r w:rsidR="00B20249">
        <w:rPr>
          <w:rStyle w:val="FootnoteReference"/>
        </w:rPr>
        <w:footnoteReference w:id="2"/>
      </w:r>
      <w:r>
        <w:rPr>
          <w:rFonts w:hint="eastAsia"/>
        </w:rPr>
        <w:t xml:space="preserve"> 目前约有220万女孩在校学习。城市地区小学入学率高于农村地区，小学的男女生比例差不多是1比1。据2008年《全国学校调查》，农村地区平均入学率是女孩27</w:t>
      </w:r>
      <w:r w:rsidR="00B20249">
        <w:rPr>
          <w:rFonts w:hint="eastAsia"/>
        </w:rPr>
        <w:t>%</w:t>
      </w:r>
      <w:r>
        <w:rPr>
          <w:rFonts w:hint="eastAsia"/>
        </w:rPr>
        <w:t>、男孩44</w:t>
      </w:r>
      <w:r w:rsidR="00B20249">
        <w:rPr>
          <w:rFonts w:hint="eastAsia"/>
        </w:rPr>
        <w:t>%</w:t>
      </w:r>
      <w:r>
        <w:rPr>
          <w:rFonts w:hint="eastAsia"/>
        </w:rPr>
        <w:t>。女孩在上学学习方面仍然面对重重困难，如学校离家过远、行动受到限制、女教师不足、设施贫乏，以及最重要的是，妇女教育不受重视。阿富汗教育系统尚未充分实现包容性，但是，现在已有一个良好的开端，继续上学的女生越来越多，女教师人数有所增加。虽然差距缩小，但女孩入学率仍然远远落后于男孩，农村地区的情况尤其如此。</w:t>
      </w:r>
    </w:p>
    <w:p w:rsidR="002C1747" w:rsidRDefault="002C1747" w:rsidP="002C1747">
      <w:pPr>
        <w:pStyle w:val="SingleTxt"/>
        <w:rPr>
          <w:rFonts w:hint="eastAsia"/>
        </w:rPr>
      </w:pPr>
      <w:r>
        <w:rPr>
          <w:rFonts w:hint="eastAsia"/>
        </w:rPr>
        <w:t>10.</w:t>
      </w:r>
      <w:r>
        <w:rPr>
          <w:rFonts w:hint="eastAsia"/>
        </w:rPr>
        <w:tab/>
        <w:t>为了根据受教育权利的原则促进向所有阿富汗儿童，特别是最脆弱的儿童，提供优质基础教育，教科文组织集中努力于两个具体目标：提供资料以改善包容性教育政策；及加强能力以创造有利于学习的包容性环境。教科文组织与阿富汗教育部为包容性教育协调工作组的共同主席。在教科文组织支持下，教育部对阿富汗包容性教育的需求和权利进行了评估，从而为纳入全国教育行动计划的政策提供依据，将包容性教育提上工作日程，并解决易受排斥和边缘化的儿童的需要以实现全民教育举措的目标。</w:t>
      </w:r>
    </w:p>
    <w:p w:rsidR="002C1747" w:rsidRDefault="002C1747" w:rsidP="002C1747">
      <w:pPr>
        <w:pStyle w:val="SingleTxt"/>
        <w:rPr>
          <w:rFonts w:hint="eastAsia"/>
        </w:rPr>
      </w:pPr>
      <w:r>
        <w:rPr>
          <w:rFonts w:hint="eastAsia"/>
        </w:rPr>
        <w:t>11.</w:t>
      </w:r>
      <w:r>
        <w:rPr>
          <w:rFonts w:hint="eastAsia"/>
        </w:rPr>
        <w:tab/>
        <w:t>将性别平等问题纳入阿富汗重建进程的主流，特别是通过教育工作，是教科文组织拥有的一个主要比较优势。作为联合国女童教育倡议框架内的阿富汗女童教育倡议的成员，教科文组织支助阿富汗教育部制定和传播女童教育宣传战略，以支持实施《全国教育战略计划》。教科文组织喀布尔办事处支持阿富汗国内促进性别均等和平等的努力，最值得一提的是对教科文组织支助成立的喀布尔大学性别问题研究所开展的工作提供支持。教科文组织和联合国开发计划署(开发署)最近支助该所在阿富汗各大学进行多省研究项目，搜集有关阿富汗教育机构内的性别暴力行为及其性质的资料，以便决策者了解情况以及在政策和大学一级采取具体行动。教科文组织也是联合国国家工作队性别工作组和性别问题捐助方协调工作组的成员，并且是阿富汗女童教育倡议的一个积极成员。</w:t>
      </w:r>
    </w:p>
    <w:p w:rsidR="002C1747" w:rsidRDefault="002C1747" w:rsidP="002C1747">
      <w:pPr>
        <w:pStyle w:val="SingleTxt"/>
        <w:rPr>
          <w:rFonts w:hint="eastAsia"/>
        </w:rPr>
      </w:pPr>
      <w:r>
        <w:rPr>
          <w:rFonts w:hint="eastAsia"/>
        </w:rPr>
        <w:t>12.</w:t>
      </w:r>
      <w:r>
        <w:rPr>
          <w:rFonts w:hint="eastAsia"/>
        </w:rPr>
        <w:tab/>
        <w:t>尽管情况有所改善，但阿富汗妇女的地位继续是一个令人关注的问题。妇女仍然面临严峻的挑战，在获得保健和教育等基本服务、利用司法系统以及进入劳动力市场方面困难重重。为了建设妇女对国家的社会、政治、文化和经济发展作出贡献的能力，教科文组织的方案规划和执行工作一贯高度优先重视妇女需要，在其扫盲班(62</w:t>
      </w:r>
      <w:r w:rsidR="00B20249">
        <w:rPr>
          <w:rFonts w:hint="eastAsia"/>
        </w:rPr>
        <w:t>%</w:t>
      </w:r>
      <w:r>
        <w:rPr>
          <w:rFonts w:hint="eastAsia"/>
        </w:rPr>
        <w:t>受益人是妇女)、研究活动以及促进自由媒体的活动中强调妇女赋权。</w:t>
      </w:r>
    </w:p>
    <w:p w:rsidR="002C1747" w:rsidRPr="00B20249" w:rsidRDefault="002C1747" w:rsidP="002C1747">
      <w:pPr>
        <w:pStyle w:val="SingleTxt"/>
        <w:rPr>
          <w:rFonts w:hint="eastAsia"/>
          <w:spacing w:val="2"/>
        </w:rPr>
      </w:pPr>
      <w:r>
        <w:rPr>
          <w:rFonts w:hint="eastAsia"/>
        </w:rPr>
        <w:t>13.</w:t>
      </w:r>
      <w:r>
        <w:rPr>
          <w:rFonts w:hint="eastAsia"/>
        </w:rPr>
        <w:tab/>
      </w:r>
      <w:r w:rsidRPr="00B20249">
        <w:rPr>
          <w:rFonts w:hint="eastAsia"/>
          <w:spacing w:val="2"/>
        </w:rPr>
        <w:t>最近在教育领域取得的一大成果是教科文组织支持阿富汗教育部发展中央、省和县各级的规划能力，使1 000多名教育部工作人员获得关于基本教育规划、监测和汇报工作的培训，从而推动了省级教育计划的起草工作。教科文组织与开发署协作，支持喀布尔大学性别问题研究所研究妇女对阿富汗经济和农业发展的作用。该项研究已进入最后阶段，将于2013年公布成果。在传播和信息领域，已执行一个项目建设阿富汗偏远地区媒体组织的能力，重点是妇女营运的社区电台。</w:t>
      </w:r>
    </w:p>
    <w:p w:rsidR="002C1747" w:rsidRDefault="002C1747" w:rsidP="002C1747">
      <w:pPr>
        <w:pStyle w:val="SingleTxt"/>
        <w:rPr>
          <w:rFonts w:hint="eastAsia"/>
        </w:rPr>
      </w:pPr>
      <w:r>
        <w:rPr>
          <w:rFonts w:hint="eastAsia"/>
        </w:rPr>
        <w:t>14.</w:t>
      </w:r>
      <w:r>
        <w:rPr>
          <w:rFonts w:hint="eastAsia"/>
        </w:rPr>
        <w:tab/>
        <w:t>在教科文组织《共同参与方案》框架内，已应教科文组织阿富汗全国委员会的请求核可了三个有关性别平等和妇女赋权的项目：(a)</w:t>
      </w:r>
      <w:r w:rsidR="00B20249">
        <w:rPr>
          <w:rFonts w:hint="eastAsia"/>
        </w:rPr>
        <w:t xml:space="preserve"> </w:t>
      </w:r>
      <w:r>
        <w:rPr>
          <w:rFonts w:hint="eastAsia"/>
        </w:rPr>
        <w:t>举行研讨会和开展宣传运动以提高下列各省女童入学率：楠格哈尔、戴孔迪、萨曼甘、塔哈尔、巴达赫尚和拉格曼；(b)</w:t>
      </w:r>
      <w:r w:rsidR="00B20249">
        <w:rPr>
          <w:rFonts w:hint="eastAsia"/>
        </w:rPr>
        <w:t xml:space="preserve"> </w:t>
      </w:r>
      <w:r>
        <w:rPr>
          <w:rFonts w:hint="eastAsia"/>
        </w:rPr>
        <w:t>利用创新方法，包括现代信息技术设施，在阿富汗妇女事务部进行能力建设活动，以赋权妇女，使妇女能够更多地参与国家的政治、经济、文化和社会生活；(c)</w:t>
      </w:r>
      <w:r w:rsidR="00B20249">
        <w:rPr>
          <w:rFonts w:hint="eastAsia"/>
        </w:rPr>
        <w:t xml:space="preserve"> </w:t>
      </w:r>
      <w:r>
        <w:rPr>
          <w:rFonts w:hint="eastAsia"/>
        </w:rPr>
        <w:t>向教科文组织阿富汗全国委员会提供下列方面的能力建设培训方案：管理与传播、性别平等和计算机。</w:t>
      </w:r>
    </w:p>
    <w:p w:rsidR="002C1747" w:rsidRPr="00B20249" w:rsidRDefault="002C1747" w:rsidP="002C1747">
      <w:pPr>
        <w:pStyle w:val="SingleTxt"/>
        <w:rPr>
          <w:rFonts w:ascii="SimHei" w:eastAsia="SimHei" w:hint="eastAsia"/>
        </w:rPr>
      </w:pPr>
      <w:r w:rsidRPr="00B20249">
        <w:rPr>
          <w:rFonts w:ascii="SimHei" w:eastAsia="SimHei" w:hint="eastAsia"/>
        </w:rPr>
        <w:t>波斯尼亚和黑塞哥维那</w:t>
      </w:r>
    </w:p>
    <w:p w:rsidR="002C1747" w:rsidRDefault="002C1747" w:rsidP="002C1747">
      <w:pPr>
        <w:pStyle w:val="SingleTxt"/>
        <w:rPr>
          <w:rFonts w:hint="eastAsia"/>
        </w:rPr>
      </w:pPr>
      <w:r>
        <w:rPr>
          <w:rFonts w:hint="eastAsia"/>
        </w:rPr>
        <w:t>15.</w:t>
      </w:r>
      <w:r>
        <w:rPr>
          <w:rFonts w:hint="eastAsia"/>
        </w:rPr>
        <w:tab/>
        <w:t>波斯尼亚和黑塞哥维那为教科文组织《取缔教育歧视公约》缔约国，但没有向教科文组织第七次协商报告为实施《公约》而采取的措施。</w:t>
      </w:r>
    </w:p>
    <w:p w:rsidR="002C1747" w:rsidRDefault="002C1747" w:rsidP="002C1747">
      <w:pPr>
        <w:pStyle w:val="SingleTxt"/>
        <w:rPr>
          <w:rFonts w:hint="eastAsia"/>
        </w:rPr>
      </w:pPr>
      <w:r>
        <w:rPr>
          <w:rFonts w:hint="eastAsia"/>
        </w:rPr>
        <w:t>16.</w:t>
      </w:r>
      <w:r>
        <w:rPr>
          <w:rFonts w:hint="eastAsia"/>
        </w:rPr>
        <w:tab/>
        <w:t>根据《代顿巴黎协定》，自1995年以来，波斯尼亚和黑塞哥维那包括两个政治实体：波斯尼亚克族的波斯尼亚和黑塞哥维那联邦与波斯尼亚塞族领导的塞族共和国；两者各有自己的政治结构(县和市)和行政当局。</w:t>
      </w:r>
    </w:p>
    <w:p w:rsidR="002C1747" w:rsidRDefault="002C1747" w:rsidP="002C1747">
      <w:pPr>
        <w:pStyle w:val="SingleTxt"/>
        <w:rPr>
          <w:rFonts w:hint="eastAsia"/>
        </w:rPr>
      </w:pPr>
      <w:r>
        <w:rPr>
          <w:rFonts w:hint="eastAsia"/>
        </w:rPr>
        <w:t>17.</w:t>
      </w:r>
      <w:r>
        <w:rPr>
          <w:rFonts w:hint="eastAsia"/>
        </w:rPr>
        <w:tab/>
        <w:t>《波斯尼亚和黑塞哥维那宪法》(1994年通过，1997年修正)第2条规定，联邦确保适用最高一级的国际公认权利和自由，包括受教育的权利。同样地，《塞族共和国宪法》(1992年通过，1996年修正)第38条规定依照国际标准保障和保护人权和自由，包括受教育的权利。</w:t>
      </w:r>
    </w:p>
    <w:p w:rsidR="002C1747" w:rsidRPr="00B20249" w:rsidRDefault="002C1747" w:rsidP="002C1747">
      <w:pPr>
        <w:pStyle w:val="SingleTxt"/>
        <w:rPr>
          <w:rFonts w:hint="eastAsia"/>
          <w:spacing w:val="2"/>
        </w:rPr>
      </w:pPr>
      <w:r>
        <w:rPr>
          <w:rFonts w:hint="eastAsia"/>
        </w:rPr>
        <w:t>18.</w:t>
      </w:r>
      <w:r>
        <w:rPr>
          <w:rFonts w:hint="eastAsia"/>
        </w:rPr>
        <w:tab/>
      </w:r>
      <w:r w:rsidRPr="00B20249">
        <w:rPr>
          <w:rFonts w:hint="eastAsia"/>
          <w:spacing w:val="2"/>
        </w:rPr>
        <w:t>《初等和中等教育总纲法》(2003年)规定，教育的宗旨和总目标是确保平等教育机会，不论性别、种族、国民身份、社会和文化本源、家庭状况、宗教、心理生理和其他个人特征为何。该法保证每个孩子都享有在不受任何歧视的基础上获得适当教育的平等准入权和平等参与机会。平等准入和平等机会包括确保人人享有平等的条件和机会(第4条)。第16条规定，初等教育为强制性教育，免费向所有儿童提供。强制性教育从6岁开始，持续八年。第17条规定，中等教育根据小学成绩、个人兴趣和能力对所有人开放。公立教育机构的中等教育免收学费。</w:t>
      </w:r>
    </w:p>
    <w:p w:rsidR="002C1747" w:rsidRDefault="002C1747" w:rsidP="002C1747">
      <w:pPr>
        <w:pStyle w:val="SingleTxt"/>
        <w:rPr>
          <w:rFonts w:hint="eastAsia"/>
        </w:rPr>
      </w:pPr>
      <w:r>
        <w:rPr>
          <w:rFonts w:hint="eastAsia"/>
        </w:rPr>
        <w:t>19.</w:t>
      </w:r>
      <w:r>
        <w:rPr>
          <w:rFonts w:hint="eastAsia"/>
        </w:rPr>
        <w:tab/>
        <w:t>教科文组织在波斯尼亚和黑塞哥维那的活动，主要与联合国国家工作队和波斯尼亚和黑塞哥维那政府协作，通过在社会包容、环境、经济治理和人的安全等领域的一个合办项目实施。主要成果见诸旨在改善波斯尼亚和黑塞哥维那国内文化了解的合办方案。该方案的重点是：改善文化和教育部门的政策和战略规划；开发统计工具以收集数据和改进方案规划；分析文化产业及其对波斯尼亚和黑塞哥维那发展作出的贡献；加强各地市政府开发一系列综合文化旅游活动的能力；支持学校和媒体进行不同文化间对话；修缮和重修文化遗产以促进尊重多样性和提倡尊重不同文化；通过强调加强跨文化了解的行动在波斯尼亚和黑塞哥维那提高对文化共同性的认识。</w:t>
      </w:r>
    </w:p>
    <w:p w:rsidR="002C1747" w:rsidRDefault="002C1747" w:rsidP="002C1747">
      <w:pPr>
        <w:pStyle w:val="SingleTxt"/>
        <w:rPr>
          <w:rFonts w:hint="eastAsia"/>
        </w:rPr>
      </w:pPr>
      <w:r>
        <w:rPr>
          <w:rFonts w:hint="eastAsia"/>
        </w:rPr>
        <w:t>20.</w:t>
      </w:r>
      <w:r>
        <w:rPr>
          <w:rFonts w:hint="eastAsia"/>
        </w:rPr>
        <w:tab/>
        <w:t>教科文组织的研究金方案向波斯尼亚和黑塞哥维那一名女研究员颁发了研究金，供进行信息和传播技术领域一个题为“媒体作为民主化工具：在冲突后社会促进自由媒体”的研究项目。</w:t>
      </w:r>
    </w:p>
    <w:p w:rsidR="002C1747" w:rsidRPr="00B20249" w:rsidRDefault="002C1747" w:rsidP="002C1747">
      <w:pPr>
        <w:pStyle w:val="SingleTxt"/>
        <w:rPr>
          <w:rFonts w:ascii="SimHei" w:eastAsia="SimHei" w:hint="eastAsia"/>
        </w:rPr>
      </w:pPr>
      <w:r w:rsidRPr="00B20249">
        <w:rPr>
          <w:rFonts w:ascii="SimHei" w:eastAsia="SimHei" w:hint="eastAsia"/>
        </w:rPr>
        <w:t>佛得角</w:t>
      </w:r>
    </w:p>
    <w:p w:rsidR="002C1747" w:rsidRDefault="002C1747" w:rsidP="002C1747">
      <w:pPr>
        <w:pStyle w:val="SingleTxt"/>
        <w:rPr>
          <w:rFonts w:hint="eastAsia"/>
        </w:rPr>
      </w:pPr>
      <w:r>
        <w:rPr>
          <w:rFonts w:hint="eastAsia"/>
        </w:rPr>
        <w:t>21.</w:t>
      </w:r>
      <w:r>
        <w:rPr>
          <w:rFonts w:hint="eastAsia"/>
        </w:rPr>
        <w:tab/>
        <w:t>佛得角不是教科文组织《取缔教育歧视公约》缔约国，没有向教科文组织第七次协商报告为实施《公约》而采取的措施。</w:t>
      </w:r>
    </w:p>
    <w:p w:rsidR="002C1747" w:rsidRDefault="002C1747" w:rsidP="002C1747">
      <w:pPr>
        <w:pStyle w:val="SingleTxt"/>
        <w:rPr>
          <w:rFonts w:hint="eastAsia"/>
        </w:rPr>
      </w:pPr>
      <w:r>
        <w:rPr>
          <w:rFonts w:hint="eastAsia"/>
        </w:rPr>
        <w:t>22.</w:t>
      </w:r>
      <w:r>
        <w:rPr>
          <w:rFonts w:hint="eastAsia"/>
        </w:rPr>
        <w:tab/>
        <w:t>《佛得角宪法》(1992年通过，2010年修正)第50条保障所有人的学习、教育和教学自由。这项自由除其他外包括按照法律规定不受歧视地在教育机构学习和教学、选择学科和课程、开办学校和教育机构的权利。《宪法》禁止国家根据哲学理念和政治或宗教意识形态制定教育课程，并禁止在公立学校进行宗教教育。家庭有权依照源于自己的哲学、宗教、思想、美学、政治或其他信念的道德和社会原则教育子女。国家不具有教学和教育的专属权利，因为法律规定社区、社会团体和个人可自由创办学校和教育机构。《宪法》第78条保障所有人受教育的权利。教育必须激发创造力，鼓励民主参与国民生活，促进容忍和团结。国家保障在学校学习和取得优异成绩的平等机会。基础教育为免费强制性教育。国家鼓励并支持创建旨在促进教育和捍卫民族文化的机构及公共和民办协会。《宪法》(第80条)也保障体育和运动领域的男女平等权利。</w:t>
      </w:r>
    </w:p>
    <w:p w:rsidR="002C1747" w:rsidRDefault="002C1747" w:rsidP="002C1747">
      <w:pPr>
        <w:pStyle w:val="SingleTxt"/>
        <w:rPr>
          <w:rFonts w:hint="eastAsia"/>
        </w:rPr>
      </w:pPr>
      <w:r>
        <w:rPr>
          <w:rFonts w:hint="eastAsia"/>
        </w:rPr>
        <w:t>23.</w:t>
      </w:r>
      <w:r>
        <w:rPr>
          <w:rFonts w:hint="eastAsia"/>
        </w:rPr>
        <w:tab/>
        <w:t>教育领域的新立法规定了公立和私立教育系统的基本组织和运作原则。《教育总纲法》(2010年)重申作为一般原则，人人有权免费进入教育系统，不论其性别、年龄、社会经济地位、智力或文化水平、宗教信仰或哲学信念为何(第6条)。在此背景下，国家有责任逐步促进各级教育所有人的平等准入，以及学校准入方面的平等机会。该立法还明确提出一个多元性和多样性的教育体系理念；这个系统考虑到集体和个人的价值观、需求和愿望，使教育进程更切合佛得角的生活和文化。为了创造必要条件，实现公民的教育权利，国家有责任确保发展和完善公立教育系统，并以义务教育作为优先事项。该立法规定，政府应促进男女平等准入各级教育以及体育活动。上述规定消除了教育和文化领域内一切有关男女平等的疑问。此外，为了确保受教育的权利，《宪法》责成国家促进各级教育，并创造条件促进普遍准入各级教育和利用科研与艺术创作成果。为了实现上述目标，国家保障在学校准入和学习成绩方面获得平等机会的权利。佛得角小学教育在6至14岁之间为强制性教育，6至12岁学童免费。</w:t>
      </w:r>
    </w:p>
    <w:p w:rsidR="002C1747" w:rsidRDefault="002C1747" w:rsidP="002C1747">
      <w:pPr>
        <w:pStyle w:val="SingleTxt"/>
        <w:rPr>
          <w:rFonts w:hint="eastAsia"/>
        </w:rPr>
      </w:pPr>
      <w:r>
        <w:rPr>
          <w:rFonts w:hint="eastAsia"/>
        </w:rPr>
        <w:t>24.</w:t>
      </w:r>
      <w:r>
        <w:rPr>
          <w:rFonts w:hint="eastAsia"/>
        </w:rPr>
        <w:tab/>
        <w:t>佛得角已实现普及初等教育。该国过去十年的宏观经济和人口增长情况对国家儿童的教育非常有利，其特点是接近欧洲水平的低人口增长率，及国家资源和分配给教育部门的经费增加。对于向6至8岁儿童提供免费义务基础教育的举措来说，这都是良好的指标；该计划现已正式见诸关于基础教育的新法律。缓解包括初级中等教育在内的学费对家庭造成的财政负担，有助于促进全民教育，特别是最弱势家庭儿童的教育。</w:t>
      </w:r>
    </w:p>
    <w:p w:rsidR="002C1747" w:rsidRDefault="002C1747" w:rsidP="002C1747">
      <w:pPr>
        <w:pStyle w:val="SingleTxt"/>
        <w:rPr>
          <w:rFonts w:hint="eastAsia"/>
        </w:rPr>
      </w:pPr>
      <w:r>
        <w:rPr>
          <w:rFonts w:hint="eastAsia"/>
        </w:rPr>
        <w:t>25.</w:t>
      </w:r>
      <w:r>
        <w:rPr>
          <w:rFonts w:hint="eastAsia"/>
        </w:rPr>
        <w:tab/>
        <w:t>小学后教育的准入情况还存在一些城乡差距。然而，与其他非洲国家比较，中等教育的女童毛入学率一般高于男童。</w:t>
      </w:r>
    </w:p>
    <w:p w:rsidR="002C1747" w:rsidRDefault="002C1747" w:rsidP="002C1747">
      <w:pPr>
        <w:pStyle w:val="SingleTxt"/>
        <w:rPr>
          <w:rFonts w:hint="eastAsia"/>
        </w:rPr>
      </w:pPr>
      <w:r>
        <w:rPr>
          <w:rFonts w:hint="eastAsia"/>
        </w:rPr>
        <w:t>26.</w:t>
      </w:r>
      <w:r>
        <w:rPr>
          <w:rFonts w:hint="eastAsia"/>
        </w:rPr>
        <w:tab/>
        <w:t>最近有关性别平等问题和教育的活动包括向课程编制人员提供培训，以便他们使用《教育促进和平、公民意识和人权参考手册》及将冲突和灾害预防纳入教育政策。此外，教育部门官员也接受培训，以便将性教育编入课程，在性教育方面采用参与式教学法，以及利用符合本地实际情况的教材，进行适合社会经济文化背景的综合性教育。教科文组织最近评价了艾滋病毒与性教育的状况，研究重点之一是性别方面的问题。该项研究的主要结论是，全国小学和中学课程重视性别平等问题，但必须更明确地将其与性健康和生殖健康问题联系起来，才能影响青年人的健康和福祉。已在一个研讨会上与教育部分享上述结论；该研讨会旨在建设能力改善性教育课程，包括在其中讨论性别不平等和性别暴力行为的问题。在同一领域执行的一个项目涉及将性别问题转化为顾及性别问题的具体行动，如在学校实施健康和性教育，将性别问题纳入艾滋病毒/艾滋病和教育促进可持续发展的政策、战略和计划，以及开始向中学教师提供培训。</w:t>
      </w:r>
    </w:p>
    <w:p w:rsidR="002C1747" w:rsidRPr="00B20249" w:rsidRDefault="002C1747" w:rsidP="002C1747">
      <w:pPr>
        <w:pStyle w:val="SingleTxt"/>
        <w:rPr>
          <w:rFonts w:ascii="SimHei" w:eastAsia="SimHei" w:hint="eastAsia"/>
        </w:rPr>
      </w:pPr>
      <w:r w:rsidRPr="00B20249">
        <w:rPr>
          <w:rFonts w:ascii="SimHei" w:eastAsia="SimHei" w:hint="eastAsia"/>
        </w:rPr>
        <w:t>古巴</w:t>
      </w:r>
    </w:p>
    <w:p w:rsidR="002C1747" w:rsidRDefault="002C1747" w:rsidP="002C1747">
      <w:pPr>
        <w:pStyle w:val="SingleTxt"/>
        <w:rPr>
          <w:rFonts w:hint="eastAsia"/>
        </w:rPr>
      </w:pPr>
      <w:r>
        <w:rPr>
          <w:rFonts w:hint="eastAsia"/>
        </w:rPr>
        <w:t>27.</w:t>
      </w:r>
      <w:r>
        <w:rPr>
          <w:rFonts w:hint="eastAsia"/>
        </w:rPr>
        <w:tab/>
        <w:t>古巴为教科文组织《取缔教育歧视公约》缔约国，但没有向教科文组织第七次协商报告为实施《公约》而采取的措施。</w:t>
      </w:r>
    </w:p>
    <w:p w:rsidR="002C1747" w:rsidRDefault="002C1747" w:rsidP="002C1747">
      <w:pPr>
        <w:pStyle w:val="SingleTxt"/>
        <w:rPr>
          <w:rFonts w:hint="eastAsia"/>
        </w:rPr>
      </w:pPr>
      <w:r>
        <w:rPr>
          <w:rFonts w:hint="eastAsia"/>
        </w:rPr>
        <w:t>28.</w:t>
      </w:r>
      <w:r>
        <w:rPr>
          <w:rFonts w:hint="eastAsia"/>
        </w:rPr>
        <w:tab/>
        <w:t>《古巴宪法》(1976年通过，1992年修正)第51条规定人人有受教育的权利。为保障这种权利普遍设立了免费学校系统，包括半宿和全宿学校，以及在各级教育设立各类奖学金。此外，所有教材免费提供，使所有儿童和青年人，不论家境，都有学习机会。法律也保证成年人有权在特定设施免费获得教育，包括成人教育方案、技术和职业教育、国家机关和企事业单位的培训课程，以及工人进修课程。 《宪法》第52条保证人人享有参加体育运动和娱乐活动的权利。为确保人民享有这项权利而采取的措施包括：将体育运动的讲习列入国民教育系统课程，广泛提供教练指导和设备，从而使广大群众可以参加体育运动和娱乐活动。</w:t>
      </w:r>
    </w:p>
    <w:p w:rsidR="002C1747" w:rsidRDefault="002C1747" w:rsidP="002C1747">
      <w:pPr>
        <w:pStyle w:val="SingleTxt"/>
        <w:rPr>
          <w:rFonts w:hint="eastAsia"/>
        </w:rPr>
      </w:pPr>
      <w:r>
        <w:rPr>
          <w:rFonts w:hint="eastAsia"/>
        </w:rPr>
        <w:t>29.</w:t>
      </w:r>
      <w:r>
        <w:rPr>
          <w:rFonts w:hint="eastAsia"/>
        </w:rPr>
        <w:tab/>
        <w:t>教育和教育系统受若干法律规范。法律规定六年初等教育和三年中等教育为强制性教育。教育是国家的责任，免费提供。所有古巴人，不分贵贱，均可以获得教育。</w:t>
      </w:r>
    </w:p>
    <w:p w:rsidR="002C1747" w:rsidRDefault="002C1747" w:rsidP="002C1747">
      <w:pPr>
        <w:pStyle w:val="SingleTxt"/>
        <w:rPr>
          <w:rFonts w:hint="eastAsia"/>
        </w:rPr>
      </w:pPr>
      <w:r>
        <w:rPr>
          <w:rFonts w:hint="eastAsia"/>
        </w:rPr>
        <w:t>30.</w:t>
      </w:r>
      <w:r>
        <w:rPr>
          <w:rFonts w:hint="eastAsia"/>
        </w:rPr>
        <w:tab/>
        <w:t>在全国和区域范围内，教科文组织在古巴的一些举措将性别平等问题纳入各级方案主流。利用经常方案资源以及联合国促进性别平等和增强妇女权能署(妇女署)和一些捐助成员国政府等提供的预算外资源，展开了一些部门间、多部门和机构间活动。例如，在联合国秘书长的“联合国制止暴力侵害妇女行为联合运动”的范围内，与开发署、联合国人口基金(人口基金)和联合国儿童基金会(儿基会)合力在古巴进行了一系列促进性别平等、妇女赋权和妇女权利的行动。教科文组织哈瓦那区域办事处还在2005年《保护和促进文化表现形式多样性公约》的框架内执行了一些活动，包括通过题为 “多样性镜头”的方案和“艾滋病与文化”方案提高妇女在视听产品中的形象。此外还在该框架内实施一个项目，导致制定关于在古巴国内利用文化工具打击性别暴力行为和防治艾滋病毒/艾滋病的指导方针。</w:t>
      </w:r>
    </w:p>
    <w:p w:rsidR="002C1747" w:rsidRDefault="002C1747" w:rsidP="002C1747">
      <w:pPr>
        <w:pStyle w:val="SingleTxt"/>
        <w:rPr>
          <w:rFonts w:hint="eastAsia"/>
        </w:rPr>
      </w:pPr>
      <w:r>
        <w:rPr>
          <w:rFonts w:hint="eastAsia"/>
        </w:rPr>
        <w:t>31.</w:t>
      </w:r>
      <w:r>
        <w:rPr>
          <w:rFonts w:hint="eastAsia"/>
        </w:rPr>
        <w:tab/>
        <w:t>教科文组织积极参与草拟古巴的《联合国发展援助框架》，特别是确保将性别平等纳入整个提议的行动纲领的主流。已编制了一些关于性别平等问题的出版物和视听材料，分发各大学、法律部门、警队和医院。</w:t>
      </w:r>
    </w:p>
    <w:p w:rsidR="002C1747" w:rsidRDefault="002C1747" w:rsidP="002C1747">
      <w:pPr>
        <w:pStyle w:val="SingleTxt"/>
        <w:rPr>
          <w:rFonts w:hint="eastAsia"/>
        </w:rPr>
      </w:pPr>
      <w:r>
        <w:rPr>
          <w:rFonts w:hint="eastAsia"/>
        </w:rPr>
        <w:t>32.</w:t>
      </w:r>
      <w:r>
        <w:rPr>
          <w:rFonts w:hint="eastAsia"/>
        </w:rPr>
        <w:tab/>
        <w:t>2012年在教科文组织《共同参与方案》框架内与当地的非政府组织启动了一个项目，在地方一级鼓励青少年和青年人参与社会活动，并强调性别平等的重要性。教科文组织的研究金方案向六名从事自然科学和工程技术领域研究的古巴女科学家颁发了研究金。</w:t>
      </w:r>
    </w:p>
    <w:p w:rsidR="002C1747" w:rsidRPr="00B20249" w:rsidRDefault="002C1747" w:rsidP="002C1747">
      <w:pPr>
        <w:pStyle w:val="SingleTxt"/>
        <w:rPr>
          <w:rFonts w:ascii="SimHei" w:eastAsia="SimHei" w:hint="eastAsia"/>
        </w:rPr>
      </w:pPr>
      <w:r w:rsidRPr="00B20249">
        <w:rPr>
          <w:rFonts w:ascii="SimHei" w:eastAsia="SimHei" w:hint="eastAsia"/>
        </w:rPr>
        <w:t>刚果民主共和国</w:t>
      </w:r>
    </w:p>
    <w:p w:rsidR="002C1747" w:rsidRDefault="002C1747" w:rsidP="002C1747">
      <w:pPr>
        <w:pStyle w:val="SingleTxt"/>
        <w:rPr>
          <w:rFonts w:hint="eastAsia"/>
        </w:rPr>
      </w:pPr>
      <w:r>
        <w:rPr>
          <w:rFonts w:hint="eastAsia"/>
        </w:rPr>
        <w:t>33.</w:t>
      </w:r>
      <w:r>
        <w:rPr>
          <w:rFonts w:hint="eastAsia"/>
        </w:rPr>
        <w:tab/>
        <w:t>刚果民主共和国不是教科文组织《取缔教育歧视公约》缔约国。</w:t>
      </w:r>
    </w:p>
    <w:p w:rsidR="002C1747" w:rsidRDefault="002C1747" w:rsidP="002C1747">
      <w:pPr>
        <w:pStyle w:val="SingleTxt"/>
        <w:rPr>
          <w:rFonts w:hint="eastAsia"/>
        </w:rPr>
      </w:pPr>
      <w:r>
        <w:rPr>
          <w:rFonts w:hint="eastAsia"/>
        </w:rPr>
        <w:t>34.</w:t>
      </w:r>
      <w:r>
        <w:rPr>
          <w:rFonts w:hint="eastAsia"/>
        </w:rPr>
        <w:tab/>
        <w:t>《刚果民主共和国宪法》第13条(2006年)规定，不得基于任何刚果公民的宗教、家庭出身、社会地位、居住地、政治意见或信念、种族、族裔或部落本源、文化或语言少数地位，以法律或行政权力行为，在教育领域对其实施歧视性措施。《宪法》第43条规定人人有受教育的权利。家长有权选择子女所受教育类别。初等教育为强制性教育，公立学校免收学费。第45条规定政府当局有义务通过教育促进并确保尊重《宪法》规定的人权、基本自由和公民义务。1986年《全国教育总纲法》(修正中)规定6至15岁儿童接受强制性教育。</w:t>
      </w:r>
    </w:p>
    <w:p w:rsidR="002C1747" w:rsidRDefault="002C1747" w:rsidP="002C1747">
      <w:pPr>
        <w:pStyle w:val="SingleTxt"/>
        <w:rPr>
          <w:rFonts w:hint="eastAsia"/>
        </w:rPr>
      </w:pPr>
      <w:r>
        <w:rPr>
          <w:rFonts w:hint="eastAsia"/>
        </w:rPr>
        <w:t>35.</w:t>
      </w:r>
      <w:r>
        <w:rPr>
          <w:rFonts w:hint="eastAsia"/>
        </w:rPr>
        <w:tab/>
        <w:t>刚果民主共和国教育系统自1997年以来每况愈下，情况严重，因此现政府制定了一个重建教育系统的全国计划大纲。该计划确认全民教育为一个绝对优先事项，并确定这种新教育的最终目标是确保在一个民主、公平、繁荣与和平的刚果社会内，妇女和男子都获得基于人文、道德、精神、文化和公民价值观念的教育，成为有能力和创造力的人。刚果民主共和国在全部门范围内建立一个非中央化教育系统。利用教科文组织在一个教育规划和管理能力发展方案下提供的支助，该国目前正在修正其三个教育分部门的规范性框架：</w:t>
      </w:r>
      <w:r w:rsidR="00B20249">
        <w:t>(a)</w:t>
      </w:r>
      <w:r w:rsidR="00B20249">
        <w:rPr>
          <w:rFonts w:hint="eastAsia"/>
        </w:rPr>
        <w:t xml:space="preserve"> </w:t>
      </w:r>
      <w:r>
        <w:rPr>
          <w:rFonts w:hint="eastAsia"/>
        </w:rPr>
        <w:t>成人和非正规教育；</w:t>
      </w:r>
      <w:r w:rsidR="00B20249">
        <w:t>(b)</w:t>
      </w:r>
      <w:r w:rsidR="00B20249">
        <w:rPr>
          <w:rFonts w:hint="eastAsia"/>
        </w:rPr>
        <w:t xml:space="preserve"> </w:t>
      </w:r>
      <w:r>
        <w:rPr>
          <w:rFonts w:hint="eastAsia"/>
        </w:rPr>
        <w:t>初等、中等和专业教育；及</w:t>
      </w:r>
      <w:r w:rsidR="00B20249">
        <w:t>(c)</w:t>
      </w:r>
      <w:r w:rsidR="00B20249">
        <w:rPr>
          <w:rFonts w:hint="eastAsia"/>
        </w:rPr>
        <w:t xml:space="preserve"> </w:t>
      </w:r>
      <w:r>
        <w:rPr>
          <w:rFonts w:hint="eastAsia"/>
        </w:rPr>
        <w:t>高等教育。</w:t>
      </w:r>
      <w:r w:rsidR="00B20249">
        <w:t xml:space="preserve"> </w:t>
      </w:r>
    </w:p>
    <w:p w:rsidR="002C1747" w:rsidRDefault="002C1747" w:rsidP="002C1747">
      <w:pPr>
        <w:pStyle w:val="SingleTxt"/>
        <w:rPr>
          <w:rFonts w:hint="eastAsia"/>
        </w:rPr>
      </w:pPr>
      <w:r>
        <w:rPr>
          <w:rFonts w:hint="eastAsia"/>
        </w:rPr>
        <w:t>36.</w:t>
      </w:r>
      <w:r>
        <w:rPr>
          <w:rFonts w:hint="eastAsia"/>
        </w:rPr>
        <w:tab/>
        <w:t>在刚果民主共和国，教科文组织的活动的根本目标是确保实现小学普及教育。入学率目前普遍呈上升趋势。然而，主要由于贫穷问题，相当多儿童，尤其是女孩和来自贫困家庭的儿童，未能享有初等教育，从而严重损及到2015年实现千年发展目标的努力。第二个目标是促进性别平等和妇女赋权。尽管在规范层面取得一些进展，包括修正家庭法和制定促进性别平等全国计划，但不平等和性别歧视的问题依然严重，影响整个发展进程。</w:t>
      </w:r>
    </w:p>
    <w:p w:rsidR="002C1747" w:rsidRDefault="002C1747" w:rsidP="002C1747">
      <w:pPr>
        <w:pStyle w:val="SingleTxt"/>
        <w:rPr>
          <w:rFonts w:hint="eastAsia"/>
        </w:rPr>
      </w:pPr>
      <w:r>
        <w:rPr>
          <w:rFonts w:hint="eastAsia"/>
        </w:rPr>
        <w:t>37.</w:t>
      </w:r>
      <w:r>
        <w:rPr>
          <w:rFonts w:hint="eastAsia"/>
        </w:rPr>
        <w:tab/>
        <w:t>在受战争影响地区全国稳定和重建计划的框架内，教科文组织以联合国系统组织的协助执行了若干项目，关注暴力侵害妇女行为的后果并向受害人提供医疗、法律、心理和社会支持。其中一个项目结合政策和面向行动的研究活动，在学生的参与下研究对性暴力和其他暴力侵害妇女行为所持的各种不同看法和实施这些行为的动机。该项目促成建立一个科学数据库，供设计一项战略，将打击性暴力和其他暴力侵害妇女的问题纳入学校和大学课程。此外，在联合国艾滋病毒/艾滋病联合规划署(艾滋病署)制定的项目的范围内，对初等和中等教育的各种不同方案进行了分析，并考虑到其中的性教育方面。在刚果民主共和国内，与几个当地利益攸关方一起对艾滋病病毒与性教育进行了方案分析。分析考虑到各种方案，包括教育部、中央家庭生活教育服务处、各大宗教组织设计的方案，以及活跃于艾滋病毒与性教育领域的非政府组织推出的方案。分析着重于这些方案的差异和方案如何利用技术工具——《国际性教育技术指南》。主要结论之一是必须更突出与性别有关的问题，特别是性别暴力行为。在传播和信息领域，作为发展的一个要素，教科文组织设计和执行了一个方案，促使妇女有机会利用新信息和通信技术和因特网。</w:t>
      </w:r>
    </w:p>
    <w:p w:rsidR="002C1747" w:rsidRDefault="002C1747" w:rsidP="002C1747">
      <w:pPr>
        <w:pStyle w:val="SingleTxt"/>
        <w:rPr>
          <w:rFonts w:hint="eastAsia"/>
        </w:rPr>
      </w:pPr>
      <w:r>
        <w:rPr>
          <w:rFonts w:hint="eastAsia"/>
        </w:rPr>
        <w:t>38.</w:t>
      </w:r>
      <w:r>
        <w:rPr>
          <w:rFonts w:hint="eastAsia"/>
        </w:rPr>
        <w:tab/>
        <w:t>教科文组织对刚果民主共和国的支助集中于以下主要问题：促进和平文化；预防冲突；促进性别平等；防止性暴力和性别暴力；教科文组织各领域内妇女的参与和领导。已推出一些方案，包括一个针对性暴力和性别暴力行为采取社会文化手段的方案，以及与大学合办一个创新方案，动员男生参与成为防止性暴力和性别暴力的大使。该方案涉及制作关于性别平等和预防暴力的新教学模块和进行验证；这些教学模块现在已为南、北基伍省各大学所使用。从刚果民主共和国该试点项目得到的经验教训也用于规划一个项目，在其他非洲国家编制关于妇女参与政治和防止性暴力和性别暴力的教学和培训课程。在妇女的参与和领导领域，已实施一个方案支持妇女参与选举进程；另外还在着手落实多个项目，开办面向青年和妇女的农村广播电台。在同一领域内，还以国家四种正式语文印制了关于妇女权利的小册子，在全国各地广为分发。</w:t>
      </w:r>
    </w:p>
    <w:p w:rsidR="002C1747" w:rsidRDefault="002C1747" w:rsidP="002C1747">
      <w:pPr>
        <w:pStyle w:val="SingleTxt"/>
        <w:rPr>
          <w:rFonts w:hint="eastAsia"/>
        </w:rPr>
      </w:pPr>
      <w:r>
        <w:rPr>
          <w:rFonts w:hint="eastAsia"/>
        </w:rPr>
        <w:t>39.</w:t>
      </w:r>
      <w:r>
        <w:rPr>
          <w:rFonts w:hint="eastAsia"/>
        </w:rPr>
        <w:tab/>
        <w:t>教科文组织积极参与设于金沙萨的大湖区妇女、性别与建设和平区域研究和文献中心的建立和发展，尤其是在妇女参与建设和平和冲突后重建活动，以及防止性别暴力的问题方面。这一举措是与学术界、决策人士和民间社会网络发展伙伴关系的部分战略，重点是建立和发展一系列区域和国际性别平等研究和文献中心，以其作为性别平等问题的高级研究和教学中心，及通过虚拟网络和图书馆收集和传播文献和资源。教科文组织还与大湖区成员国相关部委举行规划会议和提供有关建立虚拟图书馆的培训，支持这些国家建立本国的有关中心。</w:t>
      </w:r>
    </w:p>
    <w:p w:rsidR="002C1747" w:rsidRDefault="002C1747" w:rsidP="002C1747">
      <w:pPr>
        <w:pStyle w:val="SingleTxt"/>
        <w:rPr>
          <w:rFonts w:hint="eastAsia"/>
        </w:rPr>
      </w:pPr>
      <w:r>
        <w:rPr>
          <w:rFonts w:hint="eastAsia"/>
        </w:rPr>
        <w:t>40.</w:t>
      </w:r>
      <w:r>
        <w:rPr>
          <w:rFonts w:hint="eastAsia"/>
        </w:rPr>
        <w:tab/>
        <w:t>在教科文组织《共同参与方案》框架内核可了一个项目，有关的运动旨在提高认识和加强农村妇女适应气候变化和保护环境的能力。教科文组织研究金方案向刚果民主共和国四名女研究员颁发了研究金，供从事关于微型企业的发展和管理的研究。</w:t>
      </w:r>
    </w:p>
    <w:p w:rsidR="002C1747" w:rsidRPr="00B20249" w:rsidRDefault="002C1747" w:rsidP="002C1747">
      <w:pPr>
        <w:pStyle w:val="SingleTxt"/>
        <w:rPr>
          <w:rFonts w:ascii="SimHei" w:eastAsia="SimHei" w:hint="eastAsia"/>
        </w:rPr>
      </w:pPr>
      <w:r w:rsidRPr="00B20249">
        <w:rPr>
          <w:rFonts w:ascii="SimHei" w:eastAsia="SimHei" w:hint="eastAsia"/>
        </w:rPr>
        <w:t>多米尼加共和国</w:t>
      </w:r>
    </w:p>
    <w:p w:rsidR="002C1747" w:rsidRDefault="002C1747" w:rsidP="002C1747">
      <w:pPr>
        <w:pStyle w:val="SingleTxt"/>
        <w:rPr>
          <w:rFonts w:hint="eastAsia"/>
        </w:rPr>
      </w:pPr>
      <w:r>
        <w:rPr>
          <w:rFonts w:hint="eastAsia"/>
        </w:rPr>
        <w:t>41.</w:t>
      </w:r>
      <w:r>
        <w:rPr>
          <w:rFonts w:hint="eastAsia"/>
        </w:rPr>
        <w:tab/>
        <w:t>多米尼加共和国为教科文组织《取缔教育歧视公约》缔约国，但没有向教科文组织第七次协商报告为实施《公约》而采取的措施。</w:t>
      </w:r>
    </w:p>
    <w:p w:rsidR="002C1747" w:rsidRDefault="002C1747" w:rsidP="002C1747">
      <w:pPr>
        <w:pStyle w:val="SingleTxt"/>
        <w:rPr>
          <w:rFonts w:hint="eastAsia"/>
        </w:rPr>
      </w:pPr>
      <w:r>
        <w:rPr>
          <w:rFonts w:hint="eastAsia"/>
        </w:rPr>
        <w:t>42.</w:t>
      </w:r>
      <w:r>
        <w:rPr>
          <w:rFonts w:hint="eastAsia"/>
        </w:rPr>
        <w:tab/>
        <w:t>《多米尼加共和国宪法》(2010年)第39条阐明法律面前人人平等的原则，并规定人人生而自由、平等，应得到相同的保护和待遇，并应享有相同的权利、自由和机会，不因性别、肤色、年龄、残疾、国籍、家庭关系、语言、宗教，或政治、哲学、社会或个人信念而受到歧视。法律面前男女平等。禁止以任何行为直接或间接地减损或废止对男女基本权利平等原则的承认、享有或行使。应当采取一切必要步骤，确保消除基于性别的不平等和歧视。国家应促进和保障下列方面的男女均衡参与：作为民选职位的候选人；在公共领域的管理和决策层、司法机关和具有监督职能的国家机构。《宪法》第63条保障受教育的权利，规定人人享有在平等的条件和机会下受教育的权利，除了与个人能力倾向、职业选择和愿望有关的考虑，不受任何限制。家长可自由选择其未成年子女的教育方式。国家保证免费提供公共教育，初等和基础教育以及初级中等教育共八年为强制性教育。《总教育法》(1997年)进一步阐明国家有义务确保受教育的平等机会，以及公平提供教育服务。</w:t>
      </w:r>
    </w:p>
    <w:p w:rsidR="002C1747" w:rsidRDefault="002C1747" w:rsidP="002C1747">
      <w:pPr>
        <w:pStyle w:val="SingleTxt"/>
        <w:rPr>
          <w:rFonts w:hint="eastAsia"/>
        </w:rPr>
      </w:pPr>
      <w:r>
        <w:rPr>
          <w:rFonts w:hint="eastAsia"/>
        </w:rPr>
        <w:t>43.</w:t>
      </w:r>
      <w:r>
        <w:rPr>
          <w:rFonts w:hint="eastAsia"/>
        </w:rPr>
        <w:tab/>
        <w:t>在多米尼加共和国，教科文组织有关性别平等和妇女赋权的主要活动包括参与联合国国家工作队的规划工作，确定四个可合办项目的优先领域：(a)</w:t>
      </w:r>
      <w:r w:rsidR="00B20249">
        <w:rPr>
          <w:rFonts w:hint="eastAsia"/>
        </w:rPr>
        <w:t xml:space="preserve"> </w:t>
      </w:r>
      <w:r>
        <w:rPr>
          <w:rFonts w:hint="eastAsia"/>
        </w:rPr>
        <w:t>促进社会和经济包容；(b)</w:t>
      </w:r>
      <w:r w:rsidR="00B20249">
        <w:rPr>
          <w:rFonts w:hint="eastAsia"/>
        </w:rPr>
        <w:t xml:space="preserve"> </w:t>
      </w:r>
      <w:r>
        <w:rPr>
          <w:rFonts w:hint="eastAsia"/>
        </w:rPr>
        <w:t>妇女赋权和权利；(c)</w:t>
      </w:r>
      <w:r w:rsidR="00B20249">
        <w:rPr>
          <w:rFonts w:hint="eastAsia"/>
        </w:rPr>
        <w:t xml:space="preserve"> </w:t>
      </w:r>
      <w:r>
        <w:rPr>
          <w:rFonts w:hint="eastAsia"/>
        </w:rPr>
        <w:t>保护儿童、青少年和青年的权利；及(d)</w:t>
      </w:r>
      <w:r w:rsidR="00B20249">
        <w:rPr>
          <w:rFonts w:hint="eastAsia"/>
        </w:rPr>
        <w:t xml:space="preserve"> </w:t>
      </w:r>
      <w:r>
        <w:rPr>
          <w:rFonts w:hint="eastAsia"/>
        </w:rPr>
        <w:t>环境可持续性和综合风险管理。教科文组织的重点是协助在项目的设计、实施和评价方面更广泛考虑性别问题；积极参与联合国性别平等问题协调中心的工作；在联合国秘书长终止暴力侵害妇女行为的运动(“我说不”)中发挥领导作用和与艺术家合作；努力扩大文化工具方案，以包括性别问题和暴力侵害妇女问题。</w:t>
      </w:r>
    </w:p>
    <w:p w:rsidR="002C1747" w:rsidRDefault="002C1747" w:rsidP="002C1747">
      <w:pPr>
        <w:pStyle w:val="SingleTxt"/>
        <w:rPr>
          <w:rFonts w:hint="eastAsia"/>
        </w:rPr>
      </w:pPr>
      <w:r>
        <w:rPr>
          <w:rFonts w:hint="eastAsia"/>
        </w:rPr>
        <w:t>44.</w:t>
      </w:r>
      <w:r>
        <w:rPr>
          <w:rFonts w:hint="eastAsia"/>
        </w:rPr>
        <w:tab/>
        <w:t>教科文组织与圣多明各大学密切合作，设立教科文组织水、性别和治理教席，研究妇女在有关水治理的本地知识方面所发挥的作用。在正式设立后，该教席将扩大该区域和全球范围内关于水与性别问题的教席网络。</w:t>
      </w:r>
    </w:p>
    <w:p w:rsidR="002C1747" w:rsidRPr="00B20249" w:rsidRDefault="002C1747" w:rsidP="002C1747">
      <w:pPr>
        <w:pStyle w:val="SingleTxt"/>
        <w:rPr>
          <w:rFonts w:hint="eastAsia"/>
          <w:spacing w:val="2"/>
        </w:rPr>
      </w:pPr>
      <w:r>
        <w:rPr>
          <w:rFonts w:hint="eastAsia"/>
        </w:rPr>
        <w:t>45.</w:t>
      </w:r>
      <w:r>
        <w:rPr>
          <w:rFonts w:hint="eastAsia"/>
        </w:rPr>
        <w:tab/>
      </w:r>
      <w:r w:rsidRPr="00B20249">
        <w:rPr>
          <w:rFonts w:hint="eastAsia"/>
          <w:spacing w:val="2"/>
        </w:rPr>
        <w:t>在教科文组织《共同参与方案》框架内，应多米尼加共和国全国委员会的请求核可了三个与性别平等和妇女赋权相关的项目：(a)</w:t>
      </w:r>
      <w:r w:rsidR="00B20249" w:rsidRPr="00B20249">
        <w:rPr>
          <w:rFonts w:hint="eastAsia"/>
          <w:spacing w:val="2"/>
        </w:rPr>
        <w:t xml:space="preserve"> </w:t>
      </w:r>
      <w:r w:rsidRPr="00B20249">
        <w:rPr>
          <w:rFonts w:hint="eastAsia"/>
          <w:spacing w:val="2"/>
        </w:rPr>
        <w:t>农村地区残疾妇女扫盲方案；(b)</w:t>
      </w:r>
      <w:r w:rsidR="00B20249" w:rsidRPr="00B20249">
        <w:rPr>
          <w:rFonts w:hint="eastAsia"/>
          <w:spacing w:val="2"/>
        </w:rPr>
        <w:t xml:space="preserve"> </w:t>
      </w:r>
      <w:r w:rsidRPr="00B20249">
        <w:rPr>
          <w:rFonts w:hint="eastAsia"/>
          <w:spacing w:val="2"/>
        </w:rPr>
        <w:t>关于利用信息和通信技术促进在多米尼加共和国终止暴力侵害妇女行为的项目；及(c)</w:t>
      </w:r>
      <w:r w:rsidR="00B20249" w:rsidRPr="00B20249">
        <w:rPr>
          <w:rFonts w:hint="eastAsia"/>
          <w:spacing w:val="2"/>
        </w:rPr>
        <w:t xml:space="preserve"> </w:t>
      </w:r>
      <w:r w:rsidRPr="00B20249">
        <w:rPr>
          <w:rFonts w:hint="eastAsia"/>
          <w:spacing w:val="2"/>
        </w:rPr>
        <w:t>利用音乐在多米尼加共和国10个省份进行教育，宣传和平与容忍文化及终止暴力侵害妇女行为。教科文组织的研究金方案向多米尼加共和国一名女科学家颁发了研究金，供从事环境领域有关水管理促进沿海可持续发展的研究。</w:t>
      </w:r>
    </w:p>
    <w:p w:rsidR="002C1747" w:rsidRPr="00B20249" w:rsidRDefault="002C1747" w:rsidP="002C1747">
      <w:pPr>
        <w:pStyle w:val="SingleTxt"/>
        <w:rPr>
          <w:rFonts w:ascii="SimHei" w:eastAsia="SimHei" w:hint="eastAsia"/>
        </w:rPr>
      </w:pPr>
      <w:r w:rsidRPr="00B20249">
        <w:rPr>
          <w:rFonts w:ascii="SimHei" w:eastAsia="SimHei" w:hint="eastAsia"/>
        </w:rPr>
        <w:t>塞尔维亚</w:t>
      </w:r>
    </w:p>
    <w:p w:rsidR="002C1747" w:rsidRDefault="002C1747" w:rsidP="002C1747">
      <w:pPr>
        <w:pStyle w:val="SingleTxt"/>
        <w:rPr>
          <w:rFonts w:hint="eastAsia"/>
        </w:rPr>
      </w:pPr>
      <w:r>
        <w:rPr>
          <w:rFonts w:hint="eastAsia"/>
        </w:rPr>
        <w:t>46.</w:t>
      </w:r>
      <w:r>
        <w:rPr>
          <w:rFonts w:hint="eastAsia"/>
        </w:rPr>
        <w:tab/>
        <w:t>塞尔维亚为教科文组织《取缔教育歧视公约》缔约国，但没有向教科文组织第七次协商报告为实施《公约》而采取的措施。</w:t>
      </w:r>
    </w:p>
    <w:p w:rsidR="002C1747" w:rsidRDefault="002C1747" w:rsidP="002C1747">
      <w:pPr>
        <w:pStyle w:val="SingleTxt"/>
        <w:rPr>
          <w:rFonts w:hint="eastAsia"/>
        </w:rPr>
      </w:pPr>
      <w:r>
        <w:rPr>
          <w:rFonts w:hint="eastAsia"/>
        </w:rPr>
        <w:t>47.</w:t>
      </w:r>
      <w:r>
        <w:rPr>
          <w:rFonts w:hint="eastAsia"/>
        </w:rPr>
        <w:tab/>
        <w:t>《塞尔维亚共和国宪法》(2006年)第21条规定，宪法和法律面前人人平等。每个人都享有无歧视地获得法律平等保护的权利。基于任何理由，尤其是基于种族、性别、民族本源、社会出身、出生、宗教、政治或其他见解、经济状况、文化、语言、年龄、精神或身体残疾的所有直接或间接歧视，均予禁止。关于相对于其他公民处于重大不平等地位的个人或集体，为实现其充分平等而可能采取的特别措施，不应视为歧视。此外，《宪法》第71条规定，人人有受教育的权利。初级教育为免费强制性教育，中等教育为免费教育。所有公民应当能够以同等条件获得高等教育。国家应依法向有才华但经济能力有限的优秀学生提供免费高等教育。</w:t>
      </w:r>
    </w:p>
    <w:p w:rsidR="002C1747" w:rsidRDefault="002C1747" w:rsidP="002C1747">
      <w:pPr>
        <w:pStyle w:val="SingleTxt"/>
        <w:rPr>
          <w:rFonts w:hint="eastAsia"/>
        </w:rPr>
      </w:pPr>
      <w:r>
        <w:rPr>
          <w:rFonts w:hint="eastAsia"/>
        </w:rPr>
        <w:t>48.</w:t>
      </w:r>
      <w:r>
        <w:rPr>
          <w:rFonts w:hint="eastAsia"/>
        </w:rPr>
        <w:tab/>
        <w:t>《教育系统基础法》(2009年)第6条规定，人人有受教育的权利。第91条规定，公立教育机构应当免费提供一年学前教育以及初等教育(1-8年级)和中等教育。第97条规定，所有儿童应在开始就读小学一年级前的一年在学前教育机构上学。义务教育也包括初级教育(1-8年级)。根据该部法律颁布的一系列法规构成教育系统各不同教育部门的规范基础，适用范围从学前教育开始，至初等、中等、职业教育和第三级教育，以及高等教育；其中一项法规旨在防止歧视残疾人和确保在教育领域适用平等原则。按照这些规范文书的规定，教育系统必须向儿童、学生和成人提供平等和可及的教育，不得有任何基于性别，或基于社会、文化、族裔、宗教或其他关系、居住地、经济状况，或基于健康状况、智力发展困难和残障的歧视或隔离。此外，教育系统必须根据儿童、学生和成人的需要和利益，提供获得各级各类教育的平等教育机会，使他们在继续和完成教育和终身学习方面不受任何障碍。这些规范文书所界定的教育目标包括促进尊重种族、民族、文化、语言、宗教、性别和年龄平等，促进容忍和尊重差异。</w:t>
      </w:r>
    </w:p>
    <w:p w:rsidR="002C1747" w:rsidRDefault="002C1747" w:rsidP="002C1747">
      <w:pPr>
        <w:pStyle w:val="SingleTxt"/>
        <w:rPr>
          <w:rFonts w:hint="eastAsia"/>
        </w:rPr>
      </w:pPr>
      <w:r>
        <w:rPr>
          <w:rFonts w:hint="eastAsia"/>
        </w:rPr>
        <w:t>49.</w:t>
      </w:r>
      <w:r>
        <w:rPr>
          <w:rFonts w:hint="eastAsia"/>
        </w:rPr>
        <w:tab/>
        <w:t>在教科文组织与其他联合国机构合作执行的塞尔维亚项目方面，该国适用新一代的联合国发展援助框架，从发展援助的形式转移到以伙伴关系促进发展的模式。在这个框架内，定期邀请国家专家和代表参加区域和全球一级的活动。联合国的塞尔维亚国家伙伴关系战略涉及19个联合国机构，执行三个优先领域的方案和活动：(a)</w:t>
      </w:r>
      <w:r w:rsidR="00B20249">
        <w:rPr>
          <w:rFonts w:hint="eastAsia"/>
        </w:rPr>
        <w:t xml:space="preserve"> </w:t>
      </w:r>
      <w:r>
        <w:rPr>
          <w:rFonts w:hint="eastAsia"/>
        </w:rPr>
        <w:t>加强善治；(b)</w:t>
      </w:r>
      <w:r w:rsidR="00B20249">
        <w:rPr>
          <w:rFonts w:hint="eastAsia"/>
        </w:rPr>
        <w:t xml:space="preserve"> </w:t>
      </w:r>
      <w:r>
        <w:rPr>
          <w:rFonts w:hint="eastAsia"/>
        </w:rPr>
        <w:t>可持续发展和社会包容；及(c)</w:t>
      </w:r>
      <w:r w:rsidR="00B20249">
        <w:rPr>
          <w:rFonts w:hint="eastAsia"/>
        </w:rPr>
        <w:t xml:space="preserve"> </w:t>
      </w:r>
      <w:r>
        <w:rPr>
          <w:rFonts w:hint="eastAsia"/>
        </w:rPr>
        <w:t>区域稳定与合作。</w:t>
      </w:r>
    </w:p>
    <w:p w:rsidR="002C1747" w:rsidRPr="00B20249" w:rsidRDefault="002C1747" w:rsidP="002C1747">
      <w:pPr>
        <w:pStyle w:val="SingleTxt"/>
        <w:rPr>
          <w:rFonts w:hint="eastAsia"/>
          <w:spacing w:val="-2"/>
        </w:rPr>
      </w:pPr>
      <w:r>
        <w:rPr>
          <w:rFonts w:hint="eastAsia"/>
        </w:rPr>
        <w:t>50.</w:t>
      </w:r>
      <w:r>
        <w:rPr>
          <w:rFonts w:hint="eastAsia"/>
        </w:rPr>
        <w:tab/>
      </w:r>
      <w:r w:rsidRPr="00B20249">
        <w:rPr>
          <w:rFonts w:hint="eastAsia"/>
          <w:spacing w:val="-2"/>
        </w:rPr>
        <w:t>教科文组织研究金方案在欧莱雅共同赞助下向塞尔维亚一名女科学家颁发了研究金，供从事医学领域关于尿液蛋白质组学应用于肾脏疾病和泌尿系癌的研究。</w:t>
      </w:r>
    </w:p>
    <w:p w:rsidR="002C1747" w:rsidRPr="00B20249" w:rsidRDefault="002C1747" w:rsidP="002C1747">
      <w:pPr>
        <w:pStyle w:val="SingleTxt"/>
        <w:rPr>
          <w:rFonts w:ascii="SimHei" w:eastAsia="SimHei" w:hint="eastAsia"/>
        </w:rPr>
      </w:pPr>
      <w:r w:rsidRPr="00B20249">
        <w:rPr>
          <w:rFonts w:ascii="SimHei" w:eastAsia="SimHei" w:hint="eastAsia"/>
        </w:rPr>
        <w:t>大不列颠及北爱尔兰联合王国</w:t>
      </w:r>
    </w:p>
    <w:p w:rsidR="002C1747" w:rsidRDefault="002C1747" w:rsidP="002C1747">
      <w:pPr>
        <w:pStyle w:val="SingleTxt"/>
        <w:rPr>
          <w:rFonts w:hint="eastAsia"/>
        </w:rPr>
      </w:pPr>
      <w:r>
        <w:rPr>
          <w:rFonts w:hint="eastAsia"/>
        </w:rPr>
        <w:t>51.</w:t>
      </w:r>
      <w:r>
        <w:rPr>
          <w:rFonts w:hint="eastAsia"/>
        </w:rPr>
        <w:tab/>
        <w:t>联合王国为教科文组织《取缔教育歧视公约》缔约国，并向教科文组织第七次协商报告了为实施《公约》而采取的措施。</w:t>
      </w:r>
    </w:p>
    <w:p w:rsidR="002C1747" w:rsidRDefault="002C1747" w:rsidP="002C1747">
      <w:pPr>
        <w:pStyle w:val="SingleTxt"/>
        <w:rPr>
          <w:rFonts w:hint="eastAsia"/>
        </w:rPr>
      </w:pPr>
      <w:r>
        <w:rPr>
          <w:rFonts w:hint="eastAsia"/>
        </w:rPr>
        <w:t>52.</w:t>
      </w:r>
      <w:r>
        <w:rPr>
          <w:rFonts w:hint="eastAsia"/>
        </w:rPr>
        <w:tab/>
        <w:t>联合王国教育系统的框架由若干议会立法，以及英格兰、北爱尔兰、苏格兰和威尔士当局的其他条例规定。向一特定年龄组(5-16岁)的所有人提供免费义务教育是联合王国教育系统的基础。在实施国际人权标准包括与受教育权有关的标准方面，最重要的立法是1998年《人权法》和2006年《平等法》。《人权法》将几乎所有国际人权文书所载权利纳入法律，并向公民申明公民依法享有的基本权利和基本自由。在教育方面，该法规定不得剥夺任何人受教育的权利。家长也有权获得保证，确保公共机构在教育或教导其子女时尊重其宗教或哲学信仰。《平等法》出台多项措施促进在多个领域实现平等，包括建立平等与人权委员会；这些措施旨在减少不平等，消除歧视，加强人与人之间的友好关系，促进和保护人权。该委员会执行与年龄、残疾、性别、种族、宗教或信仰，性取向或变性地位有关的平等立法，并鼓励遵行《人权法》。2010年修订的《平等法》汇集并取代先前各种反歧视法律，并规定一项新的公共部门平等责任(“普遍责任”)，取代以前分别就种族、残疾和性别平等规定的责任。</w:t>
      </w:r>
    </w:p>
    <w:p w:rsidR="002C1747" w:rsidRDefault="002C1747" w:rsidP="002C1747">
      <w:pPr>
        <w:pStyle w:val="SingleTxt"/>
        <w:rPr>
          <w:rFonts w:hint="eastAsia"/>
        </w:rPr>
      </w:pPr>
      <w:r>
        <w:rPr>
          <w:rFonts w:hint="eastAsia"/>
        </w:rPr>
        <w:t>53.</w:t>
      </w:r>
      <w:r>
        <w:rPr>
          <w:rFonts w:hint="eastAsia"/>
        </w:rPr>
        <w:tab/>
        <w:t>联合王国针对社会生活各个领域包括教育领域的种族歧视专门制定了一项法律。2000年《种族关系法》规定，公共当局包括学校和教育机构在履行其职能时实行歧视，即属违法。该法对特定机构，包括学校和高等教育机构的理事机构，规定一项普遍责任，以消除非法的种族歧视，及促进平等机会与不同种族的人之间的友好关系。</w:t>
      </w:r>
    </w:p>
    <w:p w:rsidR="002C1747" w:rsidRDefault="002C1747" w:rsidP="002C1747">
      <w:pPr>
        <w:pStyle w:val="SingleTxt"/>
        <w:rPr>
          <w:rFonts w:hint="eastAsia"/>
        </w:rPr>
      </w:pPr>
      <w:r>
        <w:rPr>
          <w:rFonts w:hint="eastAsia"/>
        </w:rPr>
        <w:t>54.</w:t>
      </w:r>
      <w:r>
        <w:rPr>
          <w:rFonts w:hint="eastAsia"/>
        </w:rPr>
        <w:tab/>
        <w:t>联合王国青少年孕产率居西欧之冠。为了履行确保上学学习的义务，同时又认识到可能需要提供普通学校以外的其他适当教育方式以适应学龄父母的需要，政府提供了一系列替代办法。一些备选办法包括以一个特设单位向怀孕少女和青少年母亲提供教育、继续教育或家庭教习，应当理解的是，当局并不强行要求学生接受任何一个选项，当局只是向学生、其父母或照护人和学校提供辅导，以制定一套符合学生的年龄、能力、才能和个别需要的办法。该政策明确规定，不得以怀孕为由开除出校。</w:t>
      </w:r>
    </w:p>
    <w:p w:rsidR="00FF5E0E" w:rsidRDefault="002C1747" w:rsidP="002706F3">
      <w:pPr>
        <w:pStyle w:val="SingleTxt"/>
        <w:tabs>
          <w:tab w:val="clear" w:pos="3850"/>
          <w:tab w:val="clear" w:pos="4281"/>
          <w:tab w:val="clear" w:pos="4712"/>
          <w:tab w:val="clear" w:pos="5143"/>
          <w:tab w:val="clear" w:pos="5574"/>
          <w:tab w:val="clear" w:pos="6005"/>
          <w:tab w:val="left" w:pos="3849"/>
          <w:tab w:val="left" w:pos="4280"/>
          <w:tab w:val="left" w:pos="4711"/>
          <w:tab w:val="left" w:pos="5142"/>
          <w:tab w:val="left" w:pos="5573"/>
          <w:tab w:val="left" w:pos="6004"/>
        </w:tabs>
        <w:rPr>
          <w:rFonts w:ascii="SimHei" w:eastAsia="SimHei" w:hint="eastAsia"/>
          <w:sz w:val="28"/>
        </w:rPr>
      </w:pPr>
      <w:r>
        <w:rPr>
          <w:rFonts w:hint="eastAsia"/>
        </w:rPr>
        <w:t>55.</w:t>
      </w:r>
      <w:r>
        <w:rPr>
          <w:rFonts w:hint="eastAsia"/>
        </w:rPr>
        <w:tab/>
        <w:t>联合王国在包容性教育方面发展了一些有特色的做法。例如，《特别教育需要与残疾法》(2001年)修订的包容性框架使人们更加认识到包容的好处，并导致具体的改进。该法将1995年《残疾歧视法》的适用扩展到学校、继续教育和高等教育机构，禁止校方在招生、筛选和教育及相关服务方面歧视残疾学生，并规定校方必须合理调整其政策和做法，防止残疾学生受到较不利待遇和被置于重大不利地位。学校和地方当局还必须预先规划，确保以替代方式向残疾学生提供信息，及所有学生得以无障碍进入学校。</w:t>
      </w:r>
      <w:r>
        <w:br/>
      </w:r>
      <w:r>
        <w:br w:type="page"/>
      </w:r>
      <w:r w:rsidRPr="00FF5E0E">
        <w:rPr>
          <w:rFonts w:ascii="SimHei" w:eastAsia="SimHei" w:hint="eastAsia"/>
          <w:sz w:val="28"/>
        </w:rPr>
        <w:t>附件</w:t>
      </w:r>
    </w:p>
    <w:p w:rsidR="002C1747" w:rsidRPr="00FF5E0E" w:rsidRDefault="00FF5E0E" w:rsidP="00FF5E0E">
      <w:pPr>
        <w:pStyle w:val="SingleTxt"/>
        <w:tabs>
          <w:tab w:val="clear" w:pos="3850"/>
          <w:tab w:val="clear" w:pos="4281"/>
          <w:tab w:val="clear" w:pos="4712"/>
          <w:tab w:val="clear" w:pos="5143"/>
          <w:tab w:val="clear" w:pos="5574"/>
          <w:tab w:val="clear" w:pos="6005"/>
          <w:tab w:val="clear" w:pos="6435"/>
          <w:tab w:val="right" w:pos="1020"/>
          <w:tab w:val="left" w:pos="3849"/>
          <w:tab w:val="left" w:pos="4280"/>
          <w:tab w:val="left" w:pos="4711"/>
          <w:tab w:val="left" w:pos="5142"/>
          <w:tab w:val="left" w:pos="5573"/>
          <w:tab w:val="left" w:pos="6004"/>
        </w:tabs>
        <w:ind w:left="0" w:right="1259"/>
        <w:rPr>
          <w:b/>
          <w:sz w:val="20"/>
          <w:lang w:val="en-GB"/>
        </w:rPr>
      </w:pPr>
      <w:r>
        <w:rPr>
          <w:rFonts w:ascii="SimHei" w:eastAsia="SimHei" w:hint="eastAsia"/>
          <w:sz w:val="28"/>
        </w:rPr>
        <w:tab/>
      </w:r>
      <w:r>
        <w:rPr>
          <w:rFonts w:ascii="SimHei" w:eastAsia="SimHei" w:hint="eastAsia"/>
          <w:sz w:val="28"/>
        </w:rPr>
        <w:tab/>
      </w:r>
      <w:r w:rsidR="002C1747" w:rsidRPr="00FF5E0E">
        <w:rPr>
          <w:rFonts w:ascii="SimHei" w:eastAsia="SimHei"/>
          <w:sz w:val="28"/>
        </w:rPr>
        <w:t>向</w:t>
      </w:r>
      <w:r w:rsidR="002C1747" w:rsidRPr="00FF5E0E">
        <w:rPr>
          <w:rFonts w:ascii="SimHei" w:eastAsia="SimHei" w:hint="eastAsia"/>
          <w:sz w:val="28"/>
        </w:rPr>
        <w:t>消除对妇女歧视委员会</w:t>
      </w:r>
      <w:r w:rsidR="002C1747" w:rsidRPr="00FF5E0E">
        <w:rPr>
          <w:rFonts w:ascii="SimHei" w:eastAsia="SimHei"/>
          <w:sz w:val="28"/>
        </w:rPr>
        <w:t>第五十</w:t>
      </w:r>
      <w:r w:rsidR="002C1747" w:rsidRPr="00FF5E0E">
        <w:rPr>
          <w:rFonts w:ascii="SimHei" w:eastAsia="SimHei" w:hint="eastAsia"/>
          <w:sz w:val="28"/>
        </w:rPr>
        <w:t>五</w:t>
      </w:r>
      <w:r w:rsidR="002C1747" w:rsidRPr="00FF5E0E">
        <w:rPr>
          <w:rFonts w:ascii="SimHei" w:eastAsia="SimHei"/>
          <w:sz w:val="28"/>
        </w:rPr>
        <w:t>届会议</w:t>
      </w:r>
      <w:r w:rsidR="002C1747" w:rsidRPr="00FF5E0E">
        <w:rPr>
          <w:rFonts w:ascii="SimHei" w:eastAsia="SimHei" w:hint="eastAsia"/>
          <w:sz w:val="28"/>
        </w:rPr>
        <w:t>提交</w:t>
      </w:r>
      <w:r w:rsidR="002C1747" w:rsidRPr="00FF5E0E">
        <w:rPr>
          <w:rFonts w:ascii="SimHei" w:eastAsia="SimHei"/>
          <w:sz w:val="28"/>
        </w:rPr>
        <w:t>报告的国家的</w:t>
      </w:r>
      <w:r>
        <w:rPr>
          <w:rFonts w:ascii="SimHei" w:eastAsia="SimHei" w:hint="eastAsia"/>
          <w:sz w:val="28"/>
        </w:rPr>
        <w:tab/>
      </w:r>
      <w:r>
        <w:rPr>
          <w:rFonts w:ascii="SimHei" w:eastAsia="SimHei" w:hint="eastAsia"/>
          <w:sz w:val="28"/>
        </w:rPr>
        <w:tab/>
      </w:r>
      <w:r w:rsidR="002C1747" w:rsidRPr="00FF5E0E">
        <w:rPr>
          <w:rFonts w:ascii="SimHei" w:eastAsia="SimHei"/>
          <w:sz w:val="28"/>
        </w:rPr>
        <w:t>教育统计资料</w:t>
      </w:r>
      <w:r w:rsidR="002C1747" w:rsidRPr="00FF5E0E">
        <w:rPr>
          <w:rFonts w:ascii="SimHei" w:eastAsia="SimHei" w:hint="eastAsia"/>
          <w:sz w:val="28"/>
        </w:rPr>
        <w:t>：男女毛入学率及性别均等指数</w:t>
      </w:r>
    </w:p>
    <w:tbl>
      <w:tblPr>
        <w:tblW w:w="9870" w:type="dxa"/>
        <w:tblLayout w:type="fixed"/>
        <w:tblCellMar>
          <w:left w:w="0" w:type="dxa"/>
          <w:right w:w="0" w:type="dxa"/>
        </w:tblCellMar>
        <w:tblLook w:val="01E0"/>
      </w:tblPr>
      <w:tblGrid>
        <w:gridCol w:w="1654"/>
        <w:gridCol w:w="647"/>
        <w:gridCol w:w="719"/>
        <w:gridCol w:w="720"/>
        <w:gridCol w:w="72"/>
        <w:gridCol w:w="720"/>
        <w:gridCol w:w="720"/>
        <w:gridCol w:w="72"/>
        <w:gridCol w:w="720"/>
        <w:gridCol w:w="720"/>
        <w:gridCol w:w="72"/>
        <w:gridCol w:w="1008"/>
        <w:gridCol w:w="1014"/>
        <w:gridCol w:w="1003"/>
        <w:gridCol w:w="9"/>
      </w:tblGrid>
      <w:tr w:rsidR="002C1747" w:rsidRPr="00B12522" w:rsidTr="00280022">
        <w:trPr>
          <w:gridAfter w:val="1"/>
          <w:wAfter w:w="8" w:type="dxa"/>
          <w:tblHeader/>
        </w:trPr>
        <w:tc>
          <w:tcPr>
            <w:tcW w:w="1654" w:type="dxa"/>
            <w:tcBorders>
              <w:top w:val="single" w:sz="4" w:space="0" w:color="auto"/>
            </w:tcBorders>
            <w:shd w:val="clear" w:color="auto" w:fill="auto"/>
            <w:vAlign w:val="bottom"/>
          </w:tcPr>
          <w:p w:rsidR="002C1747" w:rsidRPr="00B12522" w:rsidRDefault="002C1747" w:rsidP="00B20249">
            <w:pPr>
              <w:suppressAutoHyphens/>
              <w:spacing w:before="81" w:after="81" w:line="160" w:lineRule="exact"/>
              <w:ind w:right="40"/>
              <w:rPr>
                <w:rFonts w:ascii="KaiTi_GB2312" w:eastAsia="KaiTi_GB2312"/>
                <w:spacing w:val="4"/>
                <w:w w:val="103"/>
                <w:sz w:val="14"/>
                <w:lang w:val="en-GB"/>
              </w:rPr>
            </w:pPr>
          </w:p>
        </w:tc>
        <w:tc>
          <w:tcPr>
            <w:tcW w:w="648" w:type="dxa"/>
            <w:tcBorders>
              <w:top w:val="single" w:sz="4" w:space="0" w:color="auto"/>
            </w:tcBorders>
            <w:shd w:val="clear" w:color="auto" w:fill="auto"/>
            <w:vAlign w:val="bottom"/>
          </w:tcPr>
          <w:p w:rsidR="002C1747" w:rsidRPr="00B12522" w:rsidRDefault="002C1747" w:rsidP="00FF5E0E">
            <w:pPr>
              <w:tabs>
                <w:tab w:val="decimal" w:pos="679"/>
              </w:tabs>
              <w:suppressAutoHyphens/>
              <w:spacing w:before="81" w:after="81" w:line="160" w:lineRule="exact"/>
              <w:ind w:right="43"/>
              <w:jc w:val="left"/>
              <w:rPr>
                <w:rFonts w:ascii="KaiTi_GB2312" w:eastAsia="KaiTi_GB2312"/>
                <w:spacing w:val="4"/>
                <w:w w:val="103"/>
                <w:sz w:val="14"/>
                <w:lang w:val="en-GB"/>
              </w:rPr>
            </w:pPr>
          </w:p>
        </w:tc>
        <w:tc>
          <w:tcPr>
            <w:tcW w:w="1440" w:type="dxa"/>
            <w:gridSpan w:val="2"/>
            <w:tcBorders>
              <w:top w:val="single" w:sz="4" w:space="0" w:color="auto"/>
              <w:bottom w:val="single" w:sz="4" w:space="0" w:color="auto"/>
            </w:tcBorders>
            <w:shd w:val="clear" w:color="auto" w:fill="auto"/>
            <w:vAlign w:val="bottom"/>
          </w:tcPr>
          <w:p w:rsidR="002C1747" w:rsidRPr="00B12522" w:rsidRDefault="002C1747" w:rsidP="00B20249">
            <w:pPr>
              <w:suppressAutoHyphens/>
              <w:spacing w:before="81" w:after="81" w:line="160" w:lineRule="exact"/>
              <w:ind w:right="43"/>
              <w:jc w:val="center"/>
              <w:rPr>
                <w:rFonts w:ascii="KaiTi_GB2312" w:eastAsia="KaiTi_GB2312"/>
                <w:spacing w:val="4"/>
                <w:w w:val="103"/>
                <w:sz w:val="14"/>
                <w:lang w:val="en-GB" w:eastAsia="en-US"/>
              </w:rPr>
            </w:pPr>
            <w:r w:rsidRPr="00B12522">
              <w:rPr>
                <w:rFonts w:ascii="KaiTi_GB2312" w:eastAsia="KaiTi_GB2312" w:hAnsi="SimSun" w:cs="SimSun" w:hint="eastAsia"/>
                <w:sz w:val="16"/>
                <w:lang w:eastAsia="en-US"/>
              </w:rPr>
              <w:t>毛入学率</w:t>
            </w:r>
            <w:r w:rsidRPr="00B12522">
              <w:rPr>
                <w:rFonts w:ascii="KaiTi_GB2312" w:eastAsia="KaiTi_GB2312" w:hAnsi="SimSun" w:cs="SimSun" w:hint="eastAsia"/>
                <w:sz w:val="16"/>
              </w:rPr>
              <w:t>，</w:t>
            </w:r>
            <w:r w:rsidRPr="00B12522">
              <w:rPr>
                <w:rFonts w:ascii="KaiTi_GB2312" w:eastAsia="KaiTi_GB2312"/>
                <w:sz w:val="16"/>
                <w:lang w:eastAsia="en-US"/>
              </w:rPr>
              <w:br/>
            </w:r>
            <w:r w:rsidRPr="00B12522">
              <w:rPr>
                <w:rFonts w:ascii="KaiTi_GB2312" w:eastAsia="KaiTi_GB2312" w:hAnsi="SimSun" w:cs="SimSun" w:hint="eastAsia"/>
                <w:sz w:val="16"/>
                <w:lang w:eastAsia="en-US"/>
              </w:rPr>
              <w:t>初等教育</w:t>
            </w:r>
          </w:p>
        </w:tc>
        <w:tc>
          <w:tcPr>
            <w:tcW w:w="72" w:type="dxa"/>
            <w:tcBorders>
              <w:top w:val="single" w:sz="4" w:space="0" w:color="auto"/>
            </w:tcBorders>
            <w:shd w:val="clear" w:color="auto" w:fill="auto"/>
            <w:vAlign w:val="bottom"/>
          </w:tcPr>
          <w:p w:rsidR="002C1747" w:rsidRPr="00B12522" w:rsidRDefault="002C1747" w:rsidP="00B20249">
            <w:pPr>
              <w:suppressAutoHyphens/>
              <w:spacing w:before="81" w:after="81" w:line="160" w:lineRule="exact"/>
              <w:ind w:right="43"/>
              <w:jc w:val="right"/>
              <w:rPr>
                <w:rFonts w:ascii="KaiTi_GB2312" w:eastAsia="KaiTi_GB2312"/>
                <w:spacing w:val="4"/>
                <w:w w:val="103"/>
                <w:sz w:val="14"/>
                <w:lang w:val="en-GB" w:eastAsia="en-US"/>
              </w:rPr>
            </w:pPr>
          </w:p>
        </w:tc>
        <w:tc>
          <w:tcPr>
            <w:tcW w:w="1440" w:type="dxa"/>
            <w:gridSpan w:val="2"/>
            <w:tcBorders>
              <w:top w:val="single" w:sz="4" w:space="0" w:color="auto"/>
              <w:bottom w:val="single" w:sz="4" w:space="0" w:color="auto"/>
            </w:tcBorders>
            <w:shd w:val="clear" w:color="auto" w:fill="auto"/>
            <w:vAlign w:val="bottom"/>
          </w:tcPr>
          <w:p w:rsidR="002C1747" w:rsidRPr="00B12522" w:rsidRDefault="002C1747" w:rsidP="00B20249">
            <w:pPr>
              <w:suppressAutoHyphens/>
              <w:spacing w:before="81" w:after="81" w:line="160" w:lineRule="exact"/>
              <w:ind w:right="43"/>
              <w:jc w:val="center"/>
              <w:rPr>
                <w:rFonts w:ascii="KaiTi_GB2312" w:eastAsia="KaiTi_GB2312"/>
                <w:spacing w:val="4"/>
                <w:w w:val="103"/>
                <w:sz w:val="14"/>
                <w:lang w:val="en-GB" w:eastAsia="en-US"/>
              </w:rPr>
            </w:pPr>
            <w:r w:rsidRPr="00B12522">
              <w:rPr>
                <w:rFonts w:ascii="KaiTi_GB2312" w:eastAsia="KaiTi_GB2312" w:hAnsi="SimSun" w:cs="SimSun" w:hint="eastAsia"/>
                <w:sz w:val="16"/>
                <w:lang w:eastAsia="en-US"/>
              </w:rPr>
              <w:t>毛入学率</w:t>
            </w:r>
            <w:r w:rsidRPr="00B12522">
              <w:rPr>
                <w:rFonts w:ascii="KaiTi_GB2312" w:eastAsia="KaiTi_GB2312" w:hAnsi="SimSun" w:cs="SimSun" w:hint="eastAsia"/>
                <w:sz w:val="16"/>
              </w:rPr>
              <w:t>，</w:t>
            </w:r>
            <w:r w:rsidRPr="00B12522">
              <w:rPr>
                <w:rFonts w:ascii="KaiTi_GB2312" w:eastAsia="KaiTi_GB2312"/>
                <w:sz w:val="16"/>
                <w:lang w:eastAsia="en-US"/>
              </w:rPr>
              <w:br/>
            </w:r>
            <w:r w:rsidRPr="00B12522">
              <w:rPr>
                <w:rFonts w:ascii="KaiTi_GB2312" w:eastAsia="KaiTi_GB2312" w:hAnsi="SimSun" w:cs="SimSun" w:hint="eastAsia"/>
                <w:sz w:val="16"/>
              </w:rPr>
              <w:t>中等</w:t>
            </w:r>
            <w:r w:rsidRPr="00B12522">
              <w:rPr>
                <w:rFonts w:ascii="KaiTi_GB2312" w:eastAsia="KaiTi_GB2312" w:hAnsi="SimSun" w:cs="SimSun" w:hint="eastAsia"/>
                <w:sz w:val="16"/>
                <w:lang w:eastAsia="en-US"/>
              </w:rPr>
              <w:t>教育</w:t>
            </w:r>
          </w:p>
        </w:tc>
        <w:tc>
          <w:tcPr>
            <w:tcW w:w="72" w:type="dxa"/>
            <w:tcBorders>
              <w:top w:val="single" w:sz="4" w:space="0" w:color="auto"/>
            </w:tcBorders>
            <w:shd w:val="clear" w:color="auto" w:fill="auto"/>
            <w:vAlign w:val="bottom"/>
          </w:tcPr>
          <w:p w:rsidR="002C1747" w:rsidRPr="00B12522" w:rsidRDefault="002C1747" w:rsidP="00B20249">
            <w:pPr>
              <w:suppressAutoHyphens/>
              <w:spacing w:before="81" w:after="81" w:line="160" w:lineRule="exact"/>
              <w:ind w:right="43"/>
              <w:jc w:val="right"/>
              <w:rPr>
                <w:rFonts w:ascii="KaiTi_GB2312" w:eastAsia="KaiTi_GB2312"/>
                <w:spacing w:val="4"/>
                <w:w w:val="103"/>
                <w:sz w:val="14"/>
                <w:lang w:val="en-GB" w:eastAsia="en-US"/>
              </w:rPr>
            </w:pPr>
          </w:p>
        </w:tc>
        <w:tc>
          <w:tcPr>
            <w:tcW w:w="1440" w:type="dxa"/>
            <w:gridSpan w:val="2"/>
            <w:tcBorders>
              <w:top w:val="single" w:sz="4" w:space="0" w:color="auto"/>
              <w:bottom w:val="single" w:sz="4" w:space="0" w:color="auto"/>
            </w:tcBorders>
            <w:shd w:val="clear" w:color="auto" w:fill="auto"/>
            <w:vAlign w:val="bottom"/>
          </w:tcPr>
          <w:p w:rsidR="002C1747" w:rsidRPr="00B12522" w:rsidRDefault="002C1747" w:rsidP="00B20249">
            <w:pPr>
              <w:suppressAutoHyphens/>
              <w:spacing w:before="81" w:after="81" w:line="160" w:lineRule="exact"/>
              <w:jc w:val="center"/>
              <w:rPr>
                <w:rFonts w:ascii="KaiTi_GB2312" w:eastAsia="KaiTi_GB2312"/>
                <w:spacing w:val="4"/>
                <w:w w:val="103"/>
                <w:sz w:val="14"/>
                <w:lang w:val="en-GB" w:eastAsia="en-US"/>
              </w:rPr>
            </w:pPr>
            <w:r w:rsidRPr="00B12522">
              <w:rPr>
                <w:rFonts w:ascii="KaiTi_GB2312" w:eastAsia="KaiTi_GB2312" w:hAnsi="SimSun" w:cs="SimSun" w:hint="eastAsia"/>
                <w:sz w:val="16"/>
                <w:lang w:eastAsia="en-US"/>
              </w:rPr>
              <w:t>毛入学率</w:t>
            </w:r>
            <w:r w:rsidRPr="00B12522">
              <w:rPr>
                <w:rFonts w:ascii="KaiTi_GB2312" w:eastAsia="KaiTi_GB2312" w:hAnsi="SimSun" w:cs="SimSun" w:hint="eastAsia"/>
                <w:sz w:val="16"/>
              </w:rPr>
              <w:t>，</w:t>
            </w:r>
            <w:r w:rsidRPr="00B12522">
              <w:rPr>
                <w:rFonts w:ascii="KaiTi_GB2312" w:eastAsia="KaiTi_GB2312"/>
                <w:sz w:val="16"/>
                <w:lang w:eastAsia="en-US"/>
              </w:rPr>
              <w:br/>
            </w:r>
            <w:r w:rsidRPr="00B12522">
              <w:rPr>
                <w:rFonts w:ascii="KaiTi_GB2312" w:eastAsia="KaiTi_GB2312" w:hAnsi="SimSun" w:cs="SimSun" w:hint="eastAsia"/>
                <w:sz w:val="16"/>
              </w:rPr>
              <w:t>高</w:t>
            </w:r>
            <w:r w:rsidRPr="00B12522">
              <w:rPr>
                <w:rFonts w:ascii="KaiTi_GB2312" w:eastAsia="KaiTi_GB2312" w:hAnsi="SimSun" w:cs="SimSun" w:hint="eastAsia"/>
                <w:sz w:val="16"/>
                <w:lang w:eastAsia="en-US"/>
              </w:rPr>
              <w:t>等教育</w:t>
            </w:r>
          </w:p>
        </w:tc>
        <w:tc>
          <w:tcPr>
            <w:tcW w:w="72" w:type="dxa"/>
            <w:tcBorders>
              <w:top w:val="single" w:sz="4" w:space="0" w:color="auto"/>
            </w:tcBorders>
            <w:shd w:val="clear" w:color="auto" w:fill="auto"/>
            <w:vAlign w:val="bottom"/>
          </w:tcPr>
          <w:p w:rsidR="002C1747" w:rsidRPr="00B12522" w:rsidRDefault="002C1747" w:rsidP="00B20249">
            <w:pPr>
              <w:suppressAutoHyphens/>
              <w:spacing w:before="81" w:after="81" w:line="160" w:lineRule="exact"/>
              <w:ind w:right="43"/>
              <w:jc w:val="right"/>
              <w:rPr>
                <w:rFonts w:ascii="KaiTi_GB2312" w:eastAsia="KaiTi_GB2312"/>
                <w:spacing w:val="4"/>
                <w:w w:val="103"/>
                <w:sz w:val="14"/>
                <w:lang w:val="en-GB" w:eastAsia="en-US"/>
              </w:rPr>
            </w:pPr>
          </w:p>
        </w:tc>
        <w:tc>
          <w:tcPr>
            <w:tcW w:w="1007" w:type="dxa"/>
            <w:tcBorders>
              <w:top w:val="single" w:sz="4" w:space="0" w:color="auto"/>
              <w:bottom w:val="single" w:sz="4" w:space="0" w:color="auto"/>
            </w:tcBorders>
            <w:shd w:val="clear" w:color="auto" w:fill="auto"/>
            <w:vAlign w:val="bottom"/>
          </w:tcPr>
          <w:p w:rsidR="002C1747" w:rsidRPr="00B12522" w:rsidRDefault="002C1747" w:rsidP="00B20249">
            <w:pPr>
              <w:suppressAutoHyphens/>
              <w:spacing w:before="81" w:after="81" w:line="160" w:lineRule="exact"/>
              <w:ind w:right="43"/>
              <w:jc w:val="right"/>
              <w:rPr>
                <w:rFonts w:ascii="KaiTi_GB2312" w:eastAsia="KaiTi_GB2312" w:hAnsi="SimSun" w:cs="SimSun" w:hint="eastAsia"/>
                <w:sz w:val="16"/>
              </w:rPr>
            </w:pPr>
            <w:r w:rsidRPr="00B12522">
              <w:rPr>
                <w:rFonts w:ascii="KaiTi_GB2312" w:eastAsia="KaiTi_GB2312" w:hAnsi="SimSun" w:cs="SimSun" w:hint="eastAsia"/>
                <w:sz w:val="16"/>
              </w:rPr>
              <w:t>毛入学率性别均等指数</w:t>
            </w:r>
            <w:r w:rsidRPr="00B12522">
              <w:rPr>
                <w:rFonts w:ascii="KaiTi_GB2312" w:eastAsia="KaiTi_GB2312" w:hAnsi="SimSun" w:cs="SimSun"/>
                <w:sz w:val="16"/>
              </w:rPr>
              <w:t xml:space="preserve">, </w:t>
            </w:r>
            <w:r w:rsidRPr="00B12522">
              <w:rPr>
                <w:rFonts w:ascii="KaiTi_GB2312" w:eastAsia="KaiTi_GB2312" w:hAnsi="SimSun" w:cs="SimSun"/>
                <w:sz w:val="16"/>
              </w:rPr>
              <w:br/>
            </w:r>
            <w:r w:rsidRPr="00B12522">
              <w:rPr>
                <w:rFonts w:ascii="KaiTi_GB2312" w:eastAsia="KaiTi_GB2312" w:hAnsi="SimSun" w:cs="SimSun" w:hint="eastAsia"/>
                <w:sz w:val="16"/>
              </w:rPr>
              <w:t>初等教育</w:t>
            </w:r>
          </w:p>
        </w:tc>
        <w:tc>
          <w:tcPr>
            <w:tcW w:w="1014" w:type="dxa"/>
            <w:tcBorders>
              <w:top w:val="single" w:sz="4" w:space="0" w:color="auto"/>
              <w:bottom w:val="single" w:sz="4" w:space="0" w:color="auto"/>
            </w:tcBorders>
            <w:shd w:val="clear" w:color="auto" w:fill="auto"/>
            <w:vAlign w:val="bottom"/>
          </w:tcPr>
          <w:p w:rsidR="002C1747" w:rsidRPr="00B12522" w:rsidRDefault="002C1747" w:rsidP="00B20249">
            <w:pPr>
              <w:suppressAutoHyphens/>
              <w:spacing w:before="81" w:after="81" w:line="160" w:lineRule="exact"/>
              <w:ind w:right="43"/>
              <w:jc w:val="right"/>
              <w:rPr>
                <w:rFonts w:ascii="KaiTi_GB2312" w:eastAsia="KaiTi_GB2312"/>
                <w:spacing w:val="4"/>
                <w:w w:val="103"/>
                <w:sz w:val="14"/>
                <w:lang w:val="en-GB"/>
              </w:rPr>
            </w:pPr>
            <w:r w:rsidRPr="00B12522">
              <w:rPr>
                <w:rFonts w:ascii="KaiTi_GB2312" w:eastAsia="KaiTi_GB2312" w:hAnsi="SimSun" w:cs="SimSun" w:hint="eastAsia"/>
                <w:sz w:val="16"/>
              </w:rPr>
              <w:t>毛入学率性别均等指数</w:t>
            </w:r>
            <w:r w:rsidRPr="00B12522">
              <w:rPr>
                <w:rFonts w:ascii="KaiTi_GB2312" w:eastAsia="KaiTi_GB2312" w:hAnsi="SimSun" w:cs="SimSun"/>
                <w:sz w:val="16"/>
              </w:rPr>
              <w:t xml:space="preserve">, </w:t>
            </w:r>
            <w:r w:rsidRPr="00B12522">
              <w:rPr>
                <w:rFonts w:ascii="KaiTi_GB2312" w:eastAsia="KaiTi_GB2312" w:hAnsi="SimSun" w:cs="SimSun"/>
                <w:sz w:val="16"/>
              </w:rPr>
              <w:br/>
            </w:r>
            <w:r w:rsidRPr="00B12522">
              <w:rPr>
                <w:rFonts w:ascii="KaiTi_GB2312" w:eastAsia="KaiTi_GB2312" w:hAnsi="SimSun" w:cs="SimSun" w:hint="eastAsia"/>
                <w:sz w:val="16"/>
              </w:rPr>
              <w:t>中等教育</w:t>
            </w:r>
          </w:p>
        </w:tc>
        <w:tc>
          <w:tcPr>
            <w:tcW w:w="1003" w:type="dxa"/>
            <w:tcBorders>
              <w:top w:val="single" w:sz="4" w:space="0" w:color="auto"/>
              <w:bottom w:val="single" w:sz="4" w:space="0" w:color="auto"/>
            </w:tcBorders>
            <w:shd w:val="clear" w:color="auto" w:fill="auto"/>
            <w:vAlign w:val="bottom"/>
          </w:tcPr>
          <w:p w:rsidR="002C1747" w:rsidRPr="00B12522" w:rsidRDefault="002C1747" w:rsidP="00B20249">
            <w:pPr>
              <w:suppressAutoHyphens/>
              <w:spacing w:before="81" w:after="81" w:line="160" w:lineRule="exact"/>
              <w:ind w:right="43"/>
              <w:jc w:val="right"/>
              <w:rPr>
                <w:rFonts w:ascii="KaiTi_GB2312" w:eastAsia="KaiTi_GB2312"/>
                <w:spacing w:val="4"/>
                <w:w w:val="103"/>
                <w:sz w:val="14"/>
                <w:lang w:val="en-GB"/>
              </w:rPr>
            </w:pPr>
            <w:r w:rsidRPr="00B12522">
              <w:rPr>
                <w:rFonts w:ascii="KaiTi_GB2312" w:eastAsia="KaiTi_GB2312" w:hAnsi="SimSun" w:cs="SimSun" w:hint="eastAsia"/>
                <w:sz w:val="16"/>
              </w:rPr>
              <w:t>毛入学率性别均等指数</w:t>
            </w:r>
            <w:r w:rsidRPr="00B12522">
              <w:rPr>
                <w:rFonts w:ascii="KaiTi_GB2312" w:eastAsia="KaiTi_GB2312" w:hAnsi="SimSun" w:cs="SimSun"/>
                <w:sz w:val="16"/>
              </w:rPr>
              <w:t xml:space="preserve">, </w:t>
            </w:r>
            <w:r w:rsidRPr="00B12522">
              <w:rPr>
                <w:rFonts w:ascii="KaiTi_GB2312" w:eastAsia="KaiTi_GB2312" w:hAnsi="SimSun" w:cs="SimSun"/>
                <w:sz w:val="16"/>
              </w:rPr>
              <w:br/>
            </w:r>
            <w:r w:rsidRPr="00B12522">
              <w:rPr>
                <w:rFonts w:ascii="KaiTi_GB2312" w:eastAsia="KaiTi_GB2312" w:hAnsi="SimSun" w:cs="SimSun" w:hint="eastAsia"/>
                <w:sz w:val="16"/>
              </w:rPr>
              <w:t>高等教育</w:t>
            </w:r>
          </w:p>
        </w:tc>
      </w:tr>
      <w:tr w:rsidR="002C1747" w:rsidRPr="00B12522" w:rsidTr="00B20249">
        <w:trPr>
          <w:tblHeader/>
        </w:trPr>
        <w:tc>
          <w:tcPr>
            <w:tcW w:w="1656" w:type="dxa"/>
            <w:tcBorders>
              <w:bottom w:val="single" w:sz="12" w:space="0" w:color="auto"/>
            </w:tcBorders>
            <w:shd w:val="clear" w:color="auto" w:fill="auto"/>
            <w:vAlign w:val="bottom"/>
          </w:tcPr>
          <w:p w:rsidR="002C1747" w:rsidRPr="00B12522" w:rsidRDefault="002C1747" w:rsidP="00B20249">
            <w:pPr>
              <w:suppressAutoHyphens/>
              <w:spacing w:before="81" w:after="81" w:line="160" w:lineRule="exact"/>
              <w:ind w:right="40"/>
              <w:rPr>
                <w:rFonts w:ascii="KaiTi_GB2312" w:eastAsia="KaiTi_GB2312" w:hint="eastAsia"/>
                <w:spacing w:val="4"/>
                <w:w w:val="103"/>
                <w:sz w:val="14"/>
                <w:lang w:val="en-GB"/>
              </w:rPr>
            </w:pPr>
            <w:r w:rsidRPr="00B12522">
              <w:rPr>
                <w:rFonts w:ascii="KaiTi_GB2312" w:eastAsia="KaiTi_GB2312" w:hint="eastAsia"/>
                <w:spacing w:val="4"/>
                <w:w w:val="103"/>
                <w:sz w:val="14"/>
                <w:lang w:val="en-GB"/>
              </w:rPr>
              <w:t>国家</w:t>
            </w:r>
          </w:p>
        </w:tc>
        <w:tc>
          <w:tcPr>
            <w:tcW w:w="648" w:type="dxa"/>
            <w:tcBorders>
              <w:bottom w:val="single" w:sz="12" w:space="0" w:color="auto"/>
            </w:tcBorders>
            <w:shd w:val="clear" w:color="auto" w:fill="auto"/>
            <w:vAlign w:val="bottom"/>
          </w:tcPr>
          <w:p w:rsidR="002C1747" w:rsidRPr="00B12522" w:rsidRDefault="002C1747" w:rsidP="00FF5E0E">
            <w:pPr>
              <w:tabs>
                <w:tab w:val="decimal" w:pos="679"/>
              </w:tabs>
              <w:suppressAutoHyphens/>
              <w:spacing w:before="81" w:after="81" w:line="160" w:lineRule="exact"/>
              <w:ind w:right="43"/>
              <w:jc w:val="left"/>
              <w:rPr>
                <w:rFonts w:ascii="KaiTi_GB2312" w:eastAsia="KaiTi_GB2312" w:hint="eastAsia"/>
                <w:spacing w:val="4"/>
                <w:w w:val="103"/>
                <w:sz w:val="14"/>
                <w:lang w:val="en-GB"/>
              </w:rPr>
            </w:pPr>
            <w:r w:rsidRPr="00B12522">
              <w:rPr>
                <w:rFonts w:ascii="KaiTi_GB2312" w:eastAsia="KaiTi_GB2312" w:hint="eastAsia"/>
                <w:spacing w:val="4"/>
                <w:w w:val="103"/>
                <w:sz w:val="14"/>
                <w:lang w:val="en-GB"/>
              </w:rPr>
              <w:t>年份</w:t>
            </w:r>
          </w:p>
        </w:tc>
        <w:tc>
          <w:tcPr>
            <w:tcW w:w="720" w:type="dxa"/>
            <w:tcBorders>
              <w:top w:val="single" w:sz="4" w:space="0" w:color="auto"/>
              <w:bottom w:val="single" w:sz="12" w:space="0" w:color="auto"/>
            </w:tcBorders>
            <w:shd w:val="clear" w:color="auto" w:fill="auto"/>
            <w:vAlign w:val="bottom"/>
          </w:tcPr>
          <w:p w:rsidR="002C1747" w:rsidRPr="00B12522" w:rsidRDefault="002C1747" w:rsidP="00B20249">
            <w:pPr>
              <w:suppressAutoHyphens/>
              <w:spacing w:before="81" w:after="81" w:line="160" w:lineRule="exact"/>
              <w:ind w:right="43"/>
              <w:jc w:val="right"/>
              <w:rPr>
                <w:rFonts w:ascii="KaiTi_GB2312" w:eastAsia="KaiTi_GB2312" w:hint="eastAsia"/>
                <w:spacing w:val="4"/>
                <w:w w:val="103"/>
                <w:sz w:val="14"/>
                <w:lang w:val="en-GB"/>
              </w:rPr>
            </w:pPr>
            <w:r w:rsidRPr="00B12522">
              <w:rPr>
                <w:rFonts w:ascii="KaiTi_GB2312" w:eastAsia="KaiTi_GB2312" w:hint="eastAsia"/>
                <w:spacing w:val="4"/>
                <w:w w:val="103"/>
                <w:sz w:val="14"/>
                <w:lang w:val="en-GB"/>
              </w:rPr>
              <w:t>女</w:t>
            </w:r>
          </w:p>
        </w:tc>
        <w:tc>
          <w:tcPr>
            <w:tcW w:w="720" w:type="dxa"/>
            <w:tcBorders>
              <w:top w:val="single" w:sz="4" w:space="0" w:color="auto"/>
              <w:bottom w:val="single" w:sz="12" w:space="0" w:color="auto"/>
            </w:tcBorders>
            <w:shd w:val="clear" w:color="auto" w:fill="auto"/>
            <w:vAlign w:val="bottom"/>
          </w:tcPr>
          <w:p w:rsidR="002C1747" w:rsidRPr="00B12522" w:rsidRDefault="002C1747" w:rsidP="00B20249">
            <w:pPr>
              <w:suppressAutoHyphens/>
              <w:spacing w:before="81" w:after="81" w:line="160" w:lineRule="exact"/>
              <w:ind w:right="43"/>
              <w:jc w:val="right"/>
              <w:rPr>
                <w:rFonts w:ascii="KaiTi_GB2312" w:eastAsia="KaiTi_GB2312" w:hint="eastAsia"/>
                <w:spacing w:val="4"/>
                <w:w w:val="103"/>
                <w:sz w:val="14"/>
                <w:lang w:val="en-GB"/>
              </w:rPr>
            </w:pPr>
            <w:r w:rsidRPr="00B12522">
              <w:rPr>
                <w:rFonts w:ascii="KaiTi_GB2312" w:eastAsia="KaiTi_GB2312" w:hint="eastAsia"/>
                <w:spacing w:val="4"/>
                <w:w w:val="103"/>
                <w:sz w:val="14"/>
                <w:lang w:val="en-GB"/>
              </w:rPr>
              <w:t>男</w:t>
            </w:r>
          </w:p>
        </w:tc>
        <w:tc>
          <w:tcPr>
            <w:tcW w:w="792" w:type="dxa"/>
            <w:gridSpan w:val="2"/>
            <w:tcBorders>
              <w:bottom w:val="single" w:sz="12" w:space="0" w:color="auto"/>
            </w:tcBorders>
            <w:shd w:val="clear" w:color="auto" w:fill="auto"/>
            <w:vAlign w:val="bottom"/>
          </w:tcPr>
          <w:p w:rsidR="002C1747" w:rsidRPr="00B12522" w:rsidRDefault="002C1747" w:rsidP="00B20249">
            <w:pPr>
              <w:suppressAutoHyphens/>
              <w:spacing w:before="81" w:after="81" w:line="160" w:lineRule="exact"/>
              <w:ind w:right="43"/>
              <w:jc w:val="right"/>
              <w:rPr>
                <w:rFonts w:ascii="KaiTi_GB2312" w:eastAsia="KaiTi_GB2312"/>
                <w:spacing w:val="4"/>
                <w:w w:val="103"/>
                <w:sz w:val="14"/>
                <w:lang w:val="en-GB" w:eastAsia="en-US"/>
              </w:rPr>
            </w:pPr>
            <w:r w:rsidRPr="00B12522">
              <w:rPr>
                <w:rFonts w:ascii="KaiTi_GB2312" w:eastAsia="KaiTi_GB2312" w:hint="eastAsia"/>
                <w:spacing w:val="4"/>
                <w:w w:val="103"/>
                <w:sz w:val="14"/>
                <w:lang w:val="en-GB"/>
              </w:rPr>
              <w:t>女</w:t>
            </w:r>
          </w:p>
        </w:tc>
        <w:tc>
          <w:tcPr>
            <w:tcW w:w="720" w:type="dxa"/>
            <w:tcBorders>
              <w:bottom w:val="single" w:sz="12" w:space="0" w:color="auto"/>
            </w:tcBorders>
            <w:shd w:val="clear" w:color="auto" w:fill="auto"/>
            <w:vAlign w:val="bottom"/>
          </w:tcPr>
          <w:p w:rsidR="002C1747" w:rsidRPr="00B12522" w:rsidRDefault="002C1747" w:rsidP="00B20249">
            <w:pPr>
              <w:suppressAutoHyphens/>
              <w:spacing w:before="81" w:after="81" w:line="160" w:lineRule="exact"/>
              <w:ind w:right="43"/>
              <w:jc w:val="right"/>
              <w:rPr>
                <w:rFonts w:ascii="KaiTi_GB2312" w:eastAsia="KaiTi_GB2312" w:hint="eastAsia"/>
                <w:spacing w:val="4"/>
                <w:w w:val="103"/>
                <w:sz w:val="14"/>
                <w:lang w:val="en-GB"/>
              </w:rPr>
            </w:pPr>
            <w:r w:rsidRPr="00B12522">
              <w:rPr>
                <w:rFonts w:ascii="KaiTi_GB2312" w:eastAsia="KaiTi_GB2312" w:hint="eastAsia"/>
                <w:spacing w:val="4"/>
                <w:w w:val="103"/>
                <w:sz w:val="14"/>
                <w:lang w:val="en-GB"/>
              </w:rPr>
              <w:t>男</w:t>
            </w:r>
          </w:p>
        </w:tc>
        <w:tc>
          <w:tcPr>
            <w:tcW w:w="792" w:type="dxa"/>
            <w:gridSpan w:val="2"/>
            <w:tcBorders>
              <w:bottom w:val="single" w:sz="12" w:space="0" w:color="auto"/>
            </w:tcBorders>
            <w:shd w:val="clear" w:color="auto" w:fill="auto"/>
            <w:vAlign w:val="bottom"/>
          </w:tcPr>
          <w:p w:rsidR="002C1747" w:rsidRPr="00B12522" w:rsidRDefault="002C1747" w:rsidP="00B20249">
            <w:pPr>
              <w:suppressAutoHyphens/>
              <w:spacing w:before="81" w:after="81" w:line="160" w:lineRule="exact"/>
              <w:ind w:right="43"/>
              <w:jc w:val="right"/>
              <w:rPr>
                <w:rFonts w:ascii="KaiTi_GB2312" w:eastAsia="KaiTi_GB2312"/>
                <w:spacing w:val="4"/>
                <w:w w:val="103"/>
                <w:sz w:val="14"/>
                <w:lang w:val="en-GB" w:eastAsia="en-US"/>
              </w:rPr>
            </w:pPr>
            <w:r w:rsidRPr="00B12522">
              <w:rPr>
                <w:rFonts w:ascii="KaiTi_GB2312" w:eastAsia="KaiTi_GB2312" w:hint="eastAsia"/>
                <w:spacing w:val="4"/>
                <w:w w:val="103"/>
                <w:sz w:val="14"/>
                <w:lang w:val="en-GB"/>
              </w:rPr>
              <w:t>女</w:t>
            </w:r>
          </w:p>
        </w:tc>
        <w:tc>
          <w:tcPr>
            <w:tcW w:w="720" w:type="dxa"/>
            <w:tcBorders>
              <w:bottom w:val="single" w:sz="12" w:space="0" w:color="auto"/>
            </w:tcBorders>
            <w:shd w:val="clear" w:color="auto" w:fill="auto"/>
            <w:vAlign w:val="bottom"/>
          </w:tcPr>
          <w:p w:rsidR="002C1747" w:rsidRPr="00B12522" w:rsidRDefault="002C1747" w:rsidP="00B20249">
            <w:pPr>
              <w:suppressAutoHyphens/>
              <w:spacing w:before="81" w:after="81" w:line="160" w:lineRule="exact"/>
              <w:ind w:right="43"/>
              <w:jc w:val="right"/>
              <w:rPr>
                <w:rFonts w:ascii="KaiTi_GB2312" w:eastAsia="KaiTi_GB2312" w:hint="eastAsia"/>
                <w:spacing w:val="4"/>
                <w:w w:val="103"/>
                <w:sz w:val="14"/>
                <w:lang w:val="en-GB"/>
              </w:rPr>
            </w:pPr>
            <w:r w:rsidRPr="00B12522">
              <w:rPr>
                <w:rFonts w:ascii="KaiTi_GB2312" w:eastAsia="KaiTi_GB2312" w:hint="eastAsia"/>
                <w:spacing w:val="4"/>
                <w:w w:val="103"/>
                <w:sz w:val="14"/>
                <w:lang w:val="en-GB"/>
              </w:rPr>
              <w:t>男</w:t>
            </w:r>
          </w:p>
        </w:tc>
        <w:tc>
          <w:tcPr>
            <w:tcW w:w="3102" w:type="dxa"/>
            <w:gridSpan w:val="5"/>
            <w:tcBorders>
              <w:bottom w:val="single" w:sz="12" w:space="0" w:color="auto"/>
            </w:tcBorders>
            <w:shd w:val="clear" w:color="auto" w:fill="auto"/>
            <w:vAlign w:val="bottom"/>
          </w:tcPr>
          <w:p w:rsidR="002C1747" w:rsidRPr="00B12522" w:rsidRDefault="002C1747" w:rsidP="00B20249">
            <w:pPr>
              <w:suppressAutoHyphens/>
              <w:spacing w:before="81" w:after="81" w:line="160" w:lineRule="exact"/>
              <w:ind w:right="43"/>
              <w:jc w:val="center"/>
              <w:rPr>
                <w:rFonts w:ascii="KaiTi_GB2312" w:eastAsia="KaiTi_GB2312"/>
                <w:spacing w:val="4"/>
                <w:w w:val="103"/>
                <w:sz w:val="14"/>
                <w:lang w:val="en-GB" w:eastAsia="en-US"/>
              </w:rPr>
            </w:pPr>
            <w:r w:rsidRPr="00B12522">
              <w:rPr>
                <w:rFonts w:ascii="KaiTi_GB2312" w:eastAsia="KaiTi_GB2312" w:hint="eastAsia"/>
                <w:spacing w:val="4"/>
                <w:w w:val="103"/>
                <w:sz w:val="14"/>
                <w:lang w:val="en-GB"/>
              </w:rPr>
              <w:t>(所有方案)</w:t>
            </w:r>
          </w:p>
        </w:tc>
      </w:tr>
      <w:tr w:rsidR="002C1747" w:rsidRPr="0092542A" w:rsidTr="00B20249">
        <w:trPr>
          <w:trHeight w:hRule="exact" w:val="115"/>
          <w:tblHeader/>
        </w:trPr>
        <w:tc>
          <w:tcPr>
            <w:tcW w:w="1656" w:type="dxa"/>
            <w:tcBorders>
              <w:top w:val="single" w:sz="12" w:space="0" w:color="auto"/>
            </w:tcBorders>
            <w:shd w:val="clear" w:color="auto" w:fill="auto"/>
            <w:vAlign w:val="bottom"/>
          </w:tcPr>
          <w:p w:rsidR="002C1747" w:rsidRPr="0092542A" w:rsidRDefault="002C1747" w:rsidP="00B20249">
            <w:pPr>
              <w:suppressAutoHyphens/>
              <w:spacing w:before="40" w:after="40" w:line="210" w:lineRule="exact"/>
              <w:ind w:right="40"/>
              <w:rPr>
                <w:rFonts w:eastAsia="Times New Roman"/>
                <w:spacing w:val="4"/>
                <w:w w:val="103"/>
                <w:sz w:val="17"/>
                <w:lang w:val="en-GB" w:eastAsia="en-US"/>
              </w:rPr>
            </w:pPr>
          </w:p>
        </w:tc>
        <w:tc>
          <w:tcPr>
            <w:tcW w:w="648" w:type="dxa"/>
            <w:tcBorders>
              <w:top w:val="single" w:sz="12" w:space="0" w:color="auto"/>
            </w:tcBorders>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p>
        </w:tc>
        <w:tc>
          <w:tcPr>
            <w:tcW w:w="720" w:type="dxa"/>
            <w:tcBorders>
              <w:top w:val="single" w:sz="12" w:space="0" w:color="auto"/>
            </w:tcBorders>
            <w:shd w:val="clear" w:color="auto" w:fill="auto"/>
            <w:vAlign w:val="bottom"/>
          </w:tcPr>
          <w:p w:rsidR="002C1747" w:rsidRPr="0092542A" w:rsidRDefault="002C1747" w:rsidP="00B20249">
            <w:pPr>
              <w:suppressAutoHyphens/>
              <w:spacing w:before="40" w:after="40" w:line="210" w:lineRule="exact"/>
              <w:ind w:right="43"/>
              <w:jc w:val="right"/>
              <w:rPr>
                <w:rFonts w:eastAsia="Times New Roman"/>
                <w:spacing w:val="4"/>
                <w:w w:val="103"/>
                <w:sz w:val="17"/>
                <w:lang w:val="en-GB" w:eastAsia="en-US"/>
              </w:rPr>
            </w:pPr>
          </w:p>
        </w:tc>
        <w:tc>
          <w:tcPr>
            <w:tcW w:w="720" w:type="dxa"/>
            <w:tcBorders>
              <w:top w:val="single" w:sz="12" w:space="0" w:color="auto"/>
            </w:tcBorders>
            <w:shd w:val="clear" w:color="auto" w:fill="auto"/>
            <w:vAlign w:val="bottom"/>
          </w:tcPr>
          <w:p w:rsidR="002C1747" w:rsidRPr="0092542A" w:rsidRDefault="002C1747" w:rsidP="00B20249">
            <w:pPr>
              <w:suppressAutoHyphens/>
              <w:spacing w:before="40" w:after="40" w:line="210" w:lineRule="exact"/>
              <w:ind w:right="43"/>
              <w:jc w:val="right"/>
              <w:rPr>
                <w:rFonts w:eastAsia="Times New Roman"/>
                <w:spacing w:val="4"/>
                <w:w w:val="103"/>
                <w:sz w:val="17"/>
                <w:lang w:val="en-GB" w:eastAsia="en-US"/>
              </w:rPr>
            </w:pPr>
          </w:p>
        </w:tc>
        <w:tc>
          <w:tcPr>
            <w:tcW w:w="792" w:type="dxa"/>
            <w:gridSpan w:val="2"/>
            <w:tcBorders>
              <w:top w:val="single" w:sz="12" w:space="0" w:color="auto"/>
            </w:tcBorders>
            <w:shd w:val="clear" w:color="auto" w:fill="auto"/>
            <w:vAlign w:val="bottom"/>
          </w:tcPr>
          <w:p w:rsidR="002C1747" w:rsidRPr="0092542A" w:rsidRDefault="002C1747" w:rsidP="00B20249">
            <w:pPr>
              <w:suppressAutoHyphens/>
              <w:spacing w:before="40" w:after="40" w:line="210" w:lineRule="exact"/>
              <w:ind w:right="43"/>
              <w:jc w:val="right"/>
              <w:rPr>
                <w:rFonts w:eastAsia="Times New Roman"/>
                <w:spacing w:val="4"/>
                <w:w w:val="103"/>
                <w:sz w:val="17"/>
                <w:lang w:val="en-GB" w:eastAsia="en-US"/>
              </w:rPr>
            </w:pPr>
          </w:p>
        </w:tc>
        <w:tc>
          <w:tcPr>
            <w:tcW w:w="720" w:type="dxa"/>
            <w:tcBorders>
              <w:top w:val="single" w:sz="12" w:space="0" w:color="auto"/>
            </w:tcBorders>
            <w:shd w:val="clear" w:color="auto" w:fill="auto"/>
            <w:vAlign w:val="bottom"/>
          </w:tcPr>
          <w:p w:rsidR="002C1747" w:rsidRPr="0092542A" w:rsidRDefault="002C1747" w:rsidP="00B20249">
            <w:pPr>
              <w:suppressAutoHyphens/>
              <w:spacing w:before="40" w:after="40" w:line="210" w:lineRule="exact"/>
              <w:ind w:right="43"/>
              <w:jc w:val="right"/>
              <w:rPr>
                <w:rFonts w:eastAsia="Times New Roman"/>
                <w:spacing w:val="4"/>
                <w:w w:val="103"/>
                <w:sz w:val="17"/>
                <w:lang w:val="en-GB" w:eastAsia="en-US"/>
              </w:rPr>
            </w:pPr>
          </w:p>
        </w:tc>
        <w:tc>
          <w:tcPr>
            <w:tcW w:w="792" w:type="dxa"/>
            <w:gridSpan w:val="2"/>
            <w:tcBorders>
              <w:top w:val="single" w:sz="12" w:space="0" w:color="auto"/>
            </w:tcBorders>
            <w:shd w:val="clear" w:color="auto" w:fill="auto"/>
            <w:vAlign w:val="bottom"/>
          </w:tcPr>
          <w:p w:rsidR="002C1747" w:rsidRPr="0092542A" w:rsidRDefault="002C1747" w:rsidP="00B20249">
            <w:pPr>
              <w:suppressAutoHyphens/>
              <w:spacing w:before="40" w:after="40" w:line="210" w:lineRule="exact"/>
              <w:ind w:right="43"/>
              <w:jc w:val="right"/>
              <w:rPr>
                <w:rFonts w:eastAsia="Times New Roman"/>
                <w:spacing w:val="4"/>
                <w:w w:val="103"/>
                <w:sz w:val="17"/>
                <w:lang w:val="en-GB" w:eastAsia="en-US"/>
              </w:rPr>
            </w:pPr>
          </w:p>
        </w:tc>
        <w:tc>
          <w:tcPr>
            <w:tcW w:w="720" w:type="dxa"/>
            <w:tcBorders>
              <w:top w:val="single" w:sz="12" w:space="0" w:color="auto"/>
            </w:tcBorders>
            <w:shd w:val="clear" w:color="auto" w:fill="auto"/>
            <w:vAlign w:val="bottom"/>
          </w:tcPr>
          <w:p w:rsidR="002C1747" w:rsidRPr="0092542A" w:rsidRDefault="002C1747" w:rsidP="00B20249">
            <w:pPr>
              <w:suppressAutoHyphens/>
              <w:spacing w:before="40" w:after="40" w:line="210" w:lineRule="exact"/>
              <w:ind w:right="43"/>
              <w:jc w:val="right"/>
              <w:rPr>
                <w:rFonts w:eastAsia="Times New Roman"/>
                <w:spacing w:val="4"/>
                <w:w w:val="103"/>
                <w:sz w:val="17"/>
                <w:lang w:val="en-GB" w:eastAsia="en-US"/>
              </w:rPr>
            </w:pPr>
          </w:p>
        </w:tc>
        <w:tc>
          <w:tcPr>
            <w:tcW w:w="1080" w:type="dxa"/>
            <w:gridSpan w:val="2"/>
            <w:tcBorders>
              <w:top w:val="single" w:sz="12" w:space="0" w:color="auto"/>
            </w:tcBorders>
            <w:shd w:val="clear" w:color="auto" w:fill="auto"/>
            <w:vAlign w:val="bottom"/>
          </w:tcPr>
          <w:p w:rsidR="002C1747" w:rsidRPr="0092542A" w:rsidRDefault="002C1747" w:rsidP="00B20249">
            <w:pPr>
              <w:suppressAutoHyphens/>
              <w:spacing w:before="40" w:after="40" w:line="210" w:lineRule="exact"/>
              <w:ind w:right="43"/>
              <w:jc w:val="right"/>
              <w:rPr>
                <w:rFonts w:eastAsia="Times New Roman"/>
                <w:spacing w:val="4"/>
                <w:w w:val="103"/>
                <w:sz w:val="17"/>
                <w:lang w:val="en-GB" w:eastAsia="en-US"/>
              </w:rPr>
            </w:pPr>
          </w:p>
        </w:tc>
        <w:tc>
          <w:tcPr>
            <w:tcW w:w="1010" w:type="dxa"/>
            <w:tcBorders>
              <w:top w:val="single" w:sz="12" w:space="0" w:color="auto"/>
            </w:tcBorders>
            <w:shd w:val="clear" w:color="auto" w:fill="auto"/>
            <w:vAlign w:val="bottom"/>
          </w:tcPr>
          <w:p w:rsidR="002C1747" w:rsidRPr="0092542A" w:rsidRDefault="002C1747" w:rsidP="00B20249">
            <w:pPr>
              <w:suppressAutoHyphens/>
              <w:spacing w:before="40" w:after="40" w:line="210" w:lineRule="exact"/>
              <w:ind w:right="43"/>
              <w:jc w:val="right"/>
              <w:rPr>
                <w:rFonts w:eastAsia="Times New Roman"/>
                <w:spacing w:val="4"/>
                <w:w w:val="103"/>
                <w:sz w:val="17"/>
                <w:lang w:val="en-GB" w:eastAsia="en-US"/>
              </w:rPr>
            </w:pPr>
          </w:p>
        </w:tc>
        <w:tc>
          <w:tcPr>
            <w:tcW w:w="1012" w:type="dxa"/>
            <w:gridSpan w:val="2"/>
            <w:tcBorders>
              <w:top w:val="single" w:sz="12" w:space="0" w:color="auto"/>
            </w:tcBorders>
            <w:shd w:val="clear" w:color="auto" w:fill="auto"/>
            <w:vAlign w:val="bottom"/>
          </w:tcPr>
          <w:p w:rsidR="002C1747" w:rsidRPr="0092542A" w:rsidRDefault="002C1747" w:rsidP="00B20249">
            <w:pPr>
              <w:suppressAutoHyphens/>
              <w:spacing w:before="40" w:after="40" w:line="210" w:lineRule="exact"/>
              <w:ind w:right="43"/>
              <w:jc w:val="right"/>
              <w:rPr>
                <w:rFonts w:eastAsia="Times New Roman"/>
                <w:spacing w:val="4"/>
                <w:w w:val="103"/>
                <w:sz w:val="17"/>
                <w:lang w:val="en-GB" w:eastAsia="en-US"/>
              </w:rPr>
            </w:pPr>
          </w:p>
        </w:tc>
      </w:tr>
      <w:tr w:rsidR="002C1747" w:rsidRPr="0092542A" w:rsidTr="00FF5E0E">
        <w:trPr>
          <w:trHeight w:hRule="exact" w:val="284"/>
        </w:trPr>
        <w:tc>
          <w:tcPr>
            <w:tcW w:w="1656"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hint="eastAsia"/>
                <w:spacing w:val="4"/>
                <w:w w:val="103"/>
                <w:sz w:val="17"/>
                <w:lang w:val="en-GB"/>
              </w:rPr>
            </w:pPr>
            <w:r>
              <w:rPr>
                <w:rFonts w:hint="eastAsia"/>
                <w:spacing w:val="4"/>
                <w:w w:val="103"/>
                <w:sz w:val="17"/>
                <w:lang w:val="en-GB"/>
              </w:rPr>
              <w:t>阿富汗</w:t>
            </w: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2008</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74</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114</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20</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47</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1080"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0.65</w:t>
            </w:r>
          </w:p>
        </w:tc>
        <w:tc>
          <w:tcPr>
            <w:tcW w:w="101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0.43</w:t>
            </w:r>
          </w:p>
        </w:tc>
        <w:tc>
          <w:tcPr>
            <w:tcW w:w="101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r>
      <w:tr w:rsidR="002C1747" w:rsidRPr="0092542A" w:rsidTr="00FF5E0E">
        <w:trPr>
          <w:trHeight w:hRule="exact" w:val="284"/>
        </w:trPr>
        <w:tc>
          <w:tcPr>
            <w:tcW w:w="1656"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2009</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74</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110</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26</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53</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5</w:t>
            </w:r>
          </w:p>
        </w:tc>
        <w:tc>
          <w:tcPr>
            <w:tcW w:w="1080"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0.67</w:t>
            </w:r>
          </w:p>
        </w:tc>
        <w:tc>
          <w:tcPr>
            <w:tcW w:w="101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0.49</w:t>
            </w:r>
          </w:p>
        </w:tc>
        <w:tc>
          <w:tcPr>
            <w:tcW w:w="101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0.24</w:t>
            </w:r>
          </w:p>
        </w:tc>
      </w:tr>
      <w:tr w:rsidR="002C1747" w:rsidRPr="0092542A" w:rsidTr="00FF5E0E">
        <w:trPr>
          <w:trHeight w:hRule="exact" w:val="284"/>
        </w:trPr>
        <w:tc>
          <w:tcPr>
            <w:tcW w:w="1656"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2010</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79</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114</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30</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60</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1080"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0.69</w:t>
            </w:r>
          </w:p>
        </w:tc>
        <w:tc>
          <w:tcPr>
            <w:tcW w:w="101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0.51</w:t>
            </w:r>
          </w:p>
        </w:tc>
        <w:tc>
          <w:tcPr>
            <w:tcW w:w="101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r>
      <w:tr w:rsidR="002C1747" w:rsidRPr="0092542A" w:rsidTr="00FF5E0E">
        <w:trPr>
          <w:trHeight w:hRule="exact" w:val="284"/>
        </w:trPr>
        <w:tc>
          <w:tcPr>
            <w:tcW w:w="1656"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2011</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81</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114</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34</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62</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1080"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0.71</w:t>
            </w:r>
          </w:p>
        </w:tc>
        <w:tc>
          <w:tcPr>
            <w:tcW w:w="101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0.55</w:t>
            </w:r>
          </w:p>
        </w:tc>
        <w:tc>
          <w:tcPr>
            <w:tcW w:w="101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r>
      <w:tr w:rsidR="00280022" w:rsidRPr="0092542A" w:rsidTr="00280022">
        <w:trPr>
          <w:trHeight w:hRule="exact" w:val="284"/>
        </w:trPr>
        <w:tc>
          <w:tcPr>
            <w:tcW w:w="1656" w:type="dxa"/>
            <w:vMerge w:val="restart"/>
            <w:shd w:val="clear" w:color="auto" w:fill="auto"/>
          </w:tcPr>
          <w:p w:rsidR="00280022" w:rsidRPr="0092542A" w:rsidRDefault="00280022"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rPr>
            </w:pPr>
            <w:r w:rsidRPr="00B13107">
              <w:rPr>
                <w:rFonts w:hAnsi="SimSun" w:cs="SimSun" w:hint="eastAsia"/>
                <w:sz w:val="18"/>
                <w:szCs w:val="12"/>
                <w:lang w:eastAsia="fr-FR"/>
              </w:rPr>
              <w:t>波斯尼亚和</w:t>
            </w:r>
            <w:r>
              <w:rPr>
                <w:rFonts w:hAnsi="SimSun" w:cs="SimSun"/>
                <w:sz w:val="18"/>
                <w:szCs w:val="12"/>
              </w:rPr>
              <w:br/>
            </w:r>
            <w:r w:rsidRPr="00B13107">
              <w:rPr>
                <w:rFonts w:hAnsi="SimSun" w:cs="SimSun" w:hint="eastAsia"/>
                <w:sz w:val="18"/>
                <w:szCs w:val="12"/>
                <w:lang w:eastAsia="fr-FR"/>
              </w:rPr>
              <w:t>黑塞哥维那</w:t>
            </w:r>
          </w:p>
        </w:tc>
        <w:tc>
          <w:tcPr>
            <w:tcW w:w="648" w:type="dxa"/>
            <w:shd w:val="clear" w:color="auto" w:fill="auto"/>
            <w:vAlign w:val="bottom"/>
          </w:tcPr>
          <w:p w:rsidR="00280022" w:rsidRPr="0092542A" w:rsidRDefault="00280022"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2008</w:t>
            </w:r>
          </w:p>
        </w:tc>
        <w:tc>
          <w:tcPr>
            <w:tcW w:w="720" w:type="dxa"/>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106</w:t>
            </w:r>
          </w:p>
        </w:tc>
        <w:tc>
          <w:tcPr>
            <w:tcW w:w="720" w:type="dxa"/>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105</w:t>
            </w:r>
          </w:p>
        </w:tc>
        <w:tc>
          <w:tcPr>
            <w:tcW w:w="792" w:type="dxa"/>
            <w:gridSpan w:val="2"/>
            <w:shd w:val="clear" w:color="auto" w:fill="auto"/>
            <w:vAlign w:val="bottom"/>
          </w:tcPr>
          <w:p w:rsidR="00280022" w:rsidRPr="0092542A" w:rsidRDefault="00280022"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93</w:t>
            </w:r>
          </w:p>
        </w:tc>
        <w:tc>
          <w:tcPr>
            <w:tcW w:w="720" w:type="dxa"/>
            <w:shd w:val="clear" w:color="auto" w:fill="auto"/>
            <w:vAlign w:val="bottom"/>
          </w:tcPr>
          <w:p w:rsidR="00280022" w:rsidRPr="0092542A" w:rsidRDefault="00280022"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91</w:t>
            </w:r>
          </w:p>
        </w:tc>
        <w:tc>
          <w:tcPr>
            <w:tcW w:w="792" w:type="dxa"/>
            <w:gridSpan w:val="2"/>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39</w:t>
            </w:r>
          </w:p>
        </w:tc>
        <w:tc>
          <w:tcPr>
            <w:tcW w:w="720" w:type="dxa"/>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31</w:t>
            </w:r>
          </w:p>
        </w:tc>
        <w:tc>
          <w:tcPr>
            <w:tcW w:w="1080" w:type="dxa"/>
            <w:gridSpan w:val="2"/>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1.01</w:t>
            </w:r>
          </w:p>
        </w:tc>
        <w:tc>
          <w:tcPr>
            <w:tcW w:w="1010" w:type="dxa"/>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1.02</w:t>
            </w:r>
          </w:p>
        </w:tc>
        <w:tc>
          <w:tcPr>
            <w:tcW w:w="1012" w:type="dxa"/>
            <w:gridSpan w:val="2"/>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1.29</w:t>
            </w:r>
          </w:p>
        </w:tc>
      </w:tr>
      <w:tr w:rsidR="00280022" w:rsidRPr="0092542A" w:rsidTr="00280022">
        <w:trPr>
          <w:trHeight w:hRule="exact" w:val="284"/>
        </w:trPr>
        <w:tc>
          <w:tcPr>
            <w:tcW w:w="1654" w:type="dxa"/>
            <w:vMerge/>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80022" w:rsidRPr="0092542A" w:rsidRDefault="00280022"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2009</w:t>
            </w:r>
          </w:p>
        </w:tc>
        <w:tc>
          <w:tcPr>
            <w:tcW w:w="720" w:type="dxa"/>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106</w:t>
            </w:r>
          </w:p>
        </w:tc>
        <w:tc>
          <w:tcPr>
            <w:tcW w:w="720" w:type="dxa"/>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104</w:t>
            </w:r>
          </w:p>
        </w:tc>
        <w:tc>
          <w:tcPr>
            <w:tcW w:w="792" w:type="dxa"/>
            <w:gridSpan w:val="2"/>
            <w:shd w:val="clear" w:color="auto" w:fill="auto"/>
            <w:vAlign w:val="bottom"/>
          </w:tcPr>
          <w:p w:rsidR="00280022" w:rsidRPr="0092542A" w:rsidRDefault="00280022"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94</w:t>
            </w:r>
          </w:p>
        </w:tc>
        <w:tc>
          <w:tcPr>
            <w:tcW w:w="720" w:type="dxa"/>
            <w:shd w:val="clear" w:color="auto" w:fill="auto"/>
            <w:vAlign w:val="bottom"/>
          </w:tcPr>
          <w:p w:rsidR="00280022" w:rsidRPr="0092542A" w:rsidRDefault="00280022"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92</w:t>
            </w:r>
          </w:p>
        </w:tc>
        <w:tc>
          <w:tcPr>
            <w:tcW w:w="792" w:type="dxa"/>
            <w:gridSpan w:val="2"/>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41</w:t>
            </w:r>
          </w:p>
        </w:tc>
        <w:tc>
          <w:tcPr>
            <w:tcW w:w="720" w:type="dxa"/>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31</w:t>
            </w:r>
          </w:p>
        </w:tc>
        <w:tc>
          <w:tcPr>
            <w:tcW w:w="1079" w:type="dxa"/>
            <w:gridSpan w:val="2"/>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1.02</w:t>
            </w:r>
          </w:p>
        </w:tc>
        <w:tc>
          <w:tcPr>
            <w:tcW w:w="1014" w:type="dxa"/>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1.02</w:t>
            </w:r>
          </w:p>
        </w:tc>
        <w:tc>
          <w:tcPr>
            <w:tcW w:w="1011" w:type="dxa"/>
            <w:gridSpan w:val="2"/>
            <w:shd w:val="clear" w:color="auto" w:fill="auto"/>
            <w:vAlign w:val="bottom"/>
          </w:tcPr>
          <w:p w:rsidR="00280022" w:rsidRPr="0092542A" w:rsidRDefault="00280022"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1.3</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2010</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88</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87</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91</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88</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41</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31</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1.02</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1.03</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1.3</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2011</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91</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90</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91</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88</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43</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33</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1.01</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1.03</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1.29</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hint="eastAsia"/>
                <w:spacing w:val="4"/>
                <w:w w:val="103"/>
                <w:sz w:val="17"/>
                <w:lang w:val="en-GB"/>
              </w:rPr>
            </w:pPr>
            <w:r>
              <w:rPr>
                <w:rFonts w:hint="eastAsia"/>
                <w:spacing w:val="4"/>
                <w:w w:val="103"/>
                <w:sz w:val="17"/>
                <w:lang w:val="en-GB"/>
              </w:rPr>
              <w:t>佛得角</w:t>
            </w: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2008</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108</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115</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91</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82</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14</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0.93</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1.11</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1.31</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2009</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106</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115</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93</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78</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17</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13</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0.92</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1.19</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1.35</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2010</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105</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114</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95</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80</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20</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16</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0.92</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1.19</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1.29</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2011</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105</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114</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97</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83</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24</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17</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0.92</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1.17</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1.37</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hint="eastAsia"/>
                <w:spacing w:val="4"/>
                <w:w w:val="103"/>
                <w:sz w:val="17"/>
                <w:lang w:val="en-GB"/>
              </w:rPr>
            </w:pPr>
            <w:r>
              <w:rPr>
                <w:rFonts w:hint="eastAsia"/>
                <w:spacing w:val="4"/>
                <w:w w:val="103"/>
                <w:sz w:val="17"/>
                <w:lang w:val="en-GB"/>
              </w:rPr>
              <w:t>古巴</w:t>
            </w: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2008</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101</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103</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91</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91</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149</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89</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0.97</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1.67</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2009</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102</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104</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89</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89</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145</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87</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0.98</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0.99</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1.67</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2010</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102</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104</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89</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90</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119</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72</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0.98</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0.99</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1.65</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2011</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100</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102</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90</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91</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101</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61</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0.98</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0.99</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1.65</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rPr>
                <w:rFonts w:hint="eastAsia"/>
                <w:spacing w:val="4"/>
                <w:w w:val="103"/>
                <w:sz w:val="17"/>
                <w:lang w:val="en-GB"/>
              </w:rPr>
            </w:pPr>
            <w:r>
              <w:rPr>
                <w:rFonts w:hint="eastAsia"/>
                <w:spacing w:val="4"/>
                <w:w w:val="103"/>
                <w:sz w:val="17"/>
                <w:lang w:val="en-GB"/>
              </w:rPr>
              <w:t>刚果民主共和国</w:t>
            </w: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2008</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85</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101</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26</w:t>
            </w:r>
            <w:r w:rsidRPr="0092542A">
              <w:rPr>
                <w:rFonts w:eastAsia="Times New Roman"/>
                <w:i/>
                <w:spacing w:val="4"/>
                <w:w w:val="103"/>
                <w:sz w:val="17"/>
                <w:vertAlign w:val="superscript"/>
                <w:lang w:val="en-GB" w:eastAsia="en-US"/>
              </w:rPr>
              <w:t>a</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46</w:t>
            </w:r>
            <w:r w:rsidRPr="0092542A">
              <w:rPr>
                <w:rFonts w:eastAsia="Times New Roman"/>
                <w:i/>
                <w:spacing w:val="4"/>
                <w:w w:val="103"/>
                <w:sz w:val="17"/>
                <w:vertAlign w:val="superscript"/>
                <w:lang w:val="en-GB" w:eastAsia="en-US"/>
              </w:rPr>
              <w:t>a</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3</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8</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0.84</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jc w:val="right"/>
              <w:rPr>
                <w:rFonts w:eastAsia="Times New Roman"/>
                <w:spacing w:val="4"/>
                <w:w w:val="103"/>
                <w:sz w:val="17"/>
                <w:lang w:val="en-GB" w:eastAsia="en-US"/>
              </w:rPr>
            </w:pPr>
            <w:r w:rsidRPr="0092542A">
              <w:rPr>
                <w:rFonts w:eastAsia="Times New Roman"/>
                <w:spacing w:val="4"/>
                <w:w w:val="103"/>
                <w:sz w:val="17"/>
                <w:lang w:val="en-GB" w:eastAsia="en-US"/>
              </w:rPr>
              <w:t>0.56</w:t>
            </w:r>
            <w:r w:rsidRPr="0092542A">
              <w:rPr>
                <w:rFonts w:eastAsia="Times New Roman"/>
                <w:i/>
                <w:spacing w:val="4"/>
                <w:w w:val="103"/>
                <w:sz w:val="17"/>
                <w:vertAlign w:val="superscript"/>
                <w:lang w:val="en-GB" w:eastAsia="en-US"/>
              </w:rPr>
              <w:t>a</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0.36</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2009</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86</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100</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27</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49</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3</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9</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0.86</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0.56</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0.31</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2010</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87</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100</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28</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48</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0.87</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0.58</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2011</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89</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103</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29</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50</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5</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0.87</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0.59</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0.45</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hint="eastAsia"/>
                <w:spacing w:val="4"/>
                <w:w w:val="103"/>
                <w:sz w:val="17"/>
                <w:lang w:val="en-GB"/>
              </w:rPr>
            </w:pPr>
            <w:r>
              <w:rPr>
                <w:rFonts w:hint="eastAsia"/>
                <w:spacing w:val="4"/>
                <w:w w:val="103"/>
                <w:sz w:val="17"/>
                <w:lang w:val="en-GB"/>
              </w:rPr>
              <w:t>多米尼加共和国</w:t>
            </w: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2008</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105</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112</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84</w:t>
            </w:r>
          </w:p>
        </w:tc>
        <w:tc>
          <w:tcPr>
            <w:tcW w:w="720" w:type="dxa"/>
            <w:shd w:val="clear" w:color="auto" w:fill="auto"/>
            <w:vAlign w:val="bottom"/>
          </w:tcPr>
          <w:p w:rsidR="002C1747" w:rsidRPr="0092542A" w:rsidRDefault="002C1747" w:rsidP="00B20249">
            <w:pPr>
              <w:keepNext/>
              <w:keepLines/>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71</w:t>
            </w:r>
          </w:p>
        </w:tc>
        <w:tc>
          <w:tcPr>
            <w:tcW w:w="792" w:type="dxa"/>
            <w:gridSpan w:val="2"/>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720" w:type="dxa"/>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1079" w:type="dxa"/>
            <w:gridSpan w:val="2"/>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0.93</w:t>
            </w:r>
          </w:p>
        </w:tc>
        <w:tc>
          <w:tcPr>
            <w:tcW w:w="1014" w:type="dxa"/>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1.19</w:t>
            </w:r>
          </w:p>
        </w:tc>
        <w:tc>
          <w:tcPr>
            <w:tcW w:w="1011" w:type="dxa"/>
            <w:gridSpan w:val="2"/>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2009</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102</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118</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84</w:t>
            </w:r>
          </w:p>
        </w:tc>
        <w:tc>
          <w:tcPr>
            <w:tcW w:w="720" w:type="dxa"/>
            <w:shd w:val="clear" w:color="auto" w:fill="auto"/>
            <w:vAlign w:val="bottom"/>
          </w:tcPr>
          <w:p w:rsidR="002C1747" w:rsidRPr="0092542A" w:rsidRDefault="002C1747" w:rsidP="00B20249">
            <w:pPr>
              <w:keepNext/>
              <w:keepLines/>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74</w:t>
            </w:r>
          </w:p>
        </w:tc>
        <w:tc>
          <w:tcPr>
            <w:tcW w:w="792" w:type="dxa"/>
            <w:gridSpan w:val="2"/>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720" w:type="dxa"/>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1079" w:type="dxa"/>
            <w:gridSpan w:val="2"/>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0.86</w:t>
            </w:r>
          </w:p>
        </w:tc>
        <w:tc>
          <w:tcPr>
            <w:tcW w:w="1014" w:type="dxa"/>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1.13</w:t>
            </w:r>
          </w:p>
        </w:tc>
        <w:tc>
          <w:tcPr>
            <w:tcW w:w="1011" w:type="dxa"/>
            <w:gridSpan w:val="2"/>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2010</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102</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115</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81</w:t>
            </w:r>
          </w:p>
        </w:tc>
        <w:tc>
          <w:tcPr>
            <w:tcW w:w="720" w:type="dxa"/>
            <w:shd w:val="clear" w:color="auto" w:fill="auto"/>
            <w:vAlign w:val="bottom"/>
          </w:tcPr>
          <w:p w:rsidR="002C1747" w:rsidRPr="0092542A" w:rsidRDefault="002C1747" w:rsidP="00B20249">
            <w:pPr>
              <w:keepNext/>
              <w:keepLines/>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72</w:t>
            </w:r>
          </w:p>
        </w:tc>
        <w:tc>
          <w:tcPr>
            <w:tcW w:w="792" w:type="dxa"/>
            <w:gridSpan w:val="2"/>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720" w:type="dxa"/>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1079" w:type="dxa"/>
            <w:gridSpan w:val="2"/>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0.88</w:t>
            </w:r>
          </w:p>
        </w:tc>
        <w:tc>
          <w:tcPr>
            <w:tcW w:w="1014" w:type="dxa"/>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1.12</w:t>
            </w:r>
          </w:p>
        </w:tc>
        <w:tc>
          <w:tcPr>
            <w:tcW w:w="1011" w:type="dxa"/>
            <w:gridSpan w:val="2"/>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2011</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102</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112</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81</w:t>
            </w:r>
          </w:p>
        </w:tc>
        <w:tc>
          <w:tcPr>
            <w:tcW w:w="720" w:type="dxa"/>
            <w:shd w:val="clear" w:color="auto" w:fill="auto"/>
            <w:vAlign w:val="bottom"/>
          </w:tcPr>
          <w:p w:rsidR="002C1747" w:rsidRPr="0092542A" w:rsidRDefault="002C1747" w:rsidP="00B20249">
            <w:pPr>
              <w:keepNext/>
              <w:keepLines/>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72</w:t>
            </w:r>
          </w:p>
        </w:tc>
        <w:tc>
          <w:tcPr>
            <w:tcW w:w="792" w:type="dxa"/>
            <w:gridSpan w:val="2"/>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720" w:type="dxa"/>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1079" w:type="dxa"/>
            <w:gridSpan w:val="2"/>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0.91</w:t>
            </w:r>
          </w:p>
        </w:tc>
        <w:tc>
          <w:tcPr>
            <w:tcW w:w="1014" w:type="dxa"/>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1.13</w:t>
            </w:r>
          </w:p>
        </w:tc>
        <w:tc>
          <w:tcPr>
            <w:tcW w:w="1011" w:type="dxa"/>
            <w:gridSpan w:val="2"/>
            <w:shd w:val="clear" w:color="auto" w:fill="auto"/>
            <w:vAlign w:val="bottom"/>
          </w:tcPr>
          <w:p w:rsidR="002C1747" w:rsidRPr="0092542A" w:rsidRDefault="002C1747" w:rsidP="00B20249">
            <w:pPr>
              <w:keepNext/>
              <w:keepLines/>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hint="eastAsia"/>
                <w:spacing w:val="4"/>
                <w:w w:val="103"/>
                <w:sz w:val="17"/>
                <w:lang w:val="en-GB"/>
              </w:rPr>
            </w:pPr>
            <w:r>
              <w:rPr>
                <w:rFonts w:hint="eastAsia"/>
                <w:spacing w:val="4"/>
                <w:w w:val="103"/>
                <w:sz w:val="17"/>
                <w:lang w:val="en-GB"/>
              </w:rPr>
              <w:t>塞尔维亚</w:t>
            </w: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2008</w:t>
            </w:r>
            <w:r w:rsidRPr="0092542A">
              <w:rPr>
                <w:rFonts w:eastAsia="Times New Roman"/>
                <w:i/>
                <w:spacing w:val="4"/>
                <w:w w:val="103"/>
                <w:sz w:val="17"/>
                <w:vertAlign w:val="superscript"/>
                <w:lang w:val="en-GB" w:eastAsia="en-US"/>
              </w:rPr>
              <w:t>a</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101</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101</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92</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89</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55</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42</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1.00</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1.03</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1.30</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2009</w:t>
            </w:r>
            <w:r w:rsidRPr="0092542A">
              <w:rPr>
                <w:rFonts w:eastAsia="Times New Roman"/>
                <w:i/>
                <w:spacing w:val="4"/>
                <w:w w:val="103"/>
                <w:sz w:val="17"/>
                <w:vertAlign w:val="superscript"/>
                <w:lang w:val="en-GB" w:eastAsia="en-US"/>
              </w:rPr>
              <w:t>a</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97</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98</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93</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90</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56</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44</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0.99</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1.03</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1.29</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2010</w:t>
            </w:r>
            <w:r w:rsidRPr="0092542A">
              <w:rPr>
                <w:rFonts w:eastAsia="Times New Roman"/>
                <w:i/>
                <w:spacing w:val="4"/>
                <w:w w:val="103"/>
                <w:sz w:val="17"/>
                <w:vertAlign w:val="superscript"/>
                <w:lang w:val="en-GB" w:eastAsia="en-US"/>
              </w:rPr>
              <w:t>a</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96</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96</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92</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91</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56</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43</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0.99</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1.02</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1.30</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2011</w:t>
            </w:r>
            <w:r w:rsidRPr="0092542A">
              <w:rPr>
                <w:rFonts w:eastAsia="Times New Roman"/>
                <w:i/>
                <w:spacing w:val="4"/>
                <w:w w:val="103"/>
                <w:sz w:val="17"/>
                <w:vertAlign w:val="superscript"/>
                <w:lang w:val="en-GB" w:eastAsia="en-US"/>
              </w:rPr>
              <w:t>a</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95</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95</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92</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91</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57</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44</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1.00</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1.02</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1.32</w:t>
            </w:r>
          </w:p>
        </w:tc>
      </w:tr>
      <w:tr w:rsidR="002C1747" w:rsidRPr="0092542A" w:rsidTr="00280022">
        <w:trPr>
          <w:trHeight w:hRule="exact" w:val="284"/>
        </w:trPr>
        <w:tc>
          <w:tcPr>
            <w:tcW w:w="1654" w:type="dxa"/>
            <w:shd w:val="clear" w:color="auto" w:fill="auto"/>
            <w:vAlign w:val="bottom"/>
          </w:tcPr>
          <w:p w:rsidR="002C1747" w:rsidRPr="00FF5E0E" w:rsidRDefault="002C1747" w:rsidP="00B20249">
            <w:pPr>
              <w:tabs>
                <w:tab w:val="left" w:pos="288"/>
                <w:tab w:val="left" w:pos="576"/>
                <w:tab w:val="left" w:pos="864"/>
                <w:tab w:val="left" w:pos="1152"/>
              </w:tabs>
              <w:suppressAutoHyphens/>
              <w:spacing w:before="40" w:after="40" w:line="210" w:lineRule="exact"/>
              <w:ind w:right="40"/>
              <w:rPr>
                <w:rFonts w:hint="eastAsia"/>
                <w:spacing w:val="4"/>
                <w:w w:val="103"/>
                <w:sz w:val="17"/>
              </w:rPr>
            </w:pPr>
            <w:r w:rsidRPr="009D34D6">
              <w:rPr>
                <w:rFonts w:hAnsi="SimSun" w:cs="SimSun" w:hint="eastAsia"/>
                <w:spacing w:val="4"/>
                <w:w w:val="103"/>
                <w:sz w:val="17"/>
              </w:rPr>
              <w:t>大不列颠及北爱尔兰联合王国</w:t>
            </w: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2008</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106</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107</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101</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98</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67</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48</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1.02</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1.41</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2009</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106</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106</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103</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101</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69</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49</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1.02</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1.4</w:t>
            </w:r>
          </w:p>
        </w:tc>
      </w:tr>
      <w:tr w:rsidR="002C1747" w:rsidRPr="0092542A" w:rsidTr="00280022">
        <w:trPr>
          <w:trHeight w:hRule="exact" w:val="284"/>
        </w:trPr>
        <w:tc>
          <w:tcPr>
            <w:tcW w:w="165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2010</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107</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107</w:t>
            </w:r>
          </w:p>
        </w:tc>
        <w:tc>
          <w:tcPr>
            <w:tcW w:w="792" w:type="dxa"/>
            <w:gridSpan w:val="2"/>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106</w:t>
            </w:r>
          </w:p>
        </w:tc>
        <w:tc>
          <w:tcPr>
            <w:tcW w:w="720" w:type="dxa"/>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105</w:t>
            </w:r>
          </w:p>
        </w:tc>
        <w:tc>
          <w:tcPr>
            <w:tcW w:w="792"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70</w:t>
            </w:r>
          </w:p>
        </w:tc>
        <w:tc>
          <w:tcPr>
            <w:tcW w:w="720"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50</w:t>
            </w:r>
          </w:p>
        </w:tc>
        <w:tc>
          <w:tcPr>
            <w:tcW w:w="1079"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0.99</w:t>
            </w:r>
          </w:p>
        </w:tc>
        <w:tc>
          <w:tcPr>
            <w:tcW w:w="1014" w:type="dxa"/>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1.01</w:t>
            </w:r>
          </w:p>
        </w:tc>
        <w:tc>
          <w:tcPr>
            <w:tcW w:w="1011" w:type="dxa"/>
            <w:gridSpan w:val="2"/>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1.38</w:t>
            </w:r>
          </w:p>
        </w:tc>
      </w:tr>
      <w:tr w:rsidR="002C1747" w:rsidRPr="0092542A" w:rsidTr="00280022">
        <w:trPr>
          <w:trHeight w:hRule="exact" w:val="284"/>
        </w:trPr>
        <w:tc>
          <w:tcPr>
            <w:tcW w:w="1654" w:type="dxa"/>
            <w:tcBorders>
              <w:bottom w:val="single" w:sz="12" w:space="0" w:color="auto"/>
            </w:tcBorders>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0"/>
              <w:rPr>
                <w:rFonts w:eastAsia="Times New Roman"/>
                <w:spacing w:val="4"/>
                <w:w w:val="103"/>
                <w:sz w:val="17"/>
                <w:lang w:val="en-GB" w:eastAsia="en-US"/>
              </w:rPr>
            </w:pPr>
          </w:p>
        </w:tc>
        <w:tc>
          <w:tcPr>
            <w:tcW w:w="648" w:type="dxa"/>
            <w:tcBorders>
              <w:bottom w:val="single" w:sz="12" w:space="0" w:color="auto"/>
            </w:tcBorders>
            <w:shd w:val="clear" w:color="auto" w:fill="auto"/>
            <w:vAlign w:val="bottom"/>
          </w:tcPr>
          <w:p w:rsidR="002C1747" w:rsidRPr="0092542A" w:rsidRDefault="002C1747" w:rsidP="00FF5E0E">
            <w:pPr>
              <w:tabs>
                <w:tab w:val="decimal" w:pos="679"/>
              </w:tabs>
              <w:suppressAutoHyphens/>
              <w:spacing w:before="40" w:after="40" w:line="210" w:lineRule="exact"/>
              <w:ind w:right="43"/>
              <w:jc w:val="left"/>
              <w:rPr>
                <w:rFonts w:eastAsia="Times New Roman"/>
                <w:spacing w:val="4"/>
                <w:w w:val="103"/>
                <w:sz w:val="17"/>
                <w:lang w:val="en-GB" w:eastAsia="en-US"/>
              </w:rPr>
            </w:pPr>
            <w:r w:rsidRPr="0092542A">
              <w:rPr>
                <w:rFonts w:eastAsia="Times New Roman"/>
                <w:spacing w:val="4"/>
                <w:w w:val="103"/>
                <w:sz w:val="17"/>
                <w:lang w:val="en-GB" w:eastAsia="en-US"/>
              </w:rPr>
              <w:t>2011</w:t>
            </w:r>
          </w:p>
        </w:tc>
        <w:tc>
          <w:tcPr>
            <w:tcW w:w="720" w:type="dxa"/>
            <w:tcBorders>
              <w:bottom w:val="single" w:sz="12" w:space="0" w:color="auto"/>
            </w:tcBorders>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720" w:type="dxa"/>
            <w:tcBorders>
              <w:bottom w:val="single" w:sz="12" w:space="0" w:color="auto"/>
            </w:tcBorders>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792" w:type="dxa"/>
            <w:gridSpan w:val="2"/>
            <w:tcBorders>
              <w:bottom w:val="single" w:sz="12" w:space="0" w:color="auto"/>
            </w:tcBorders>
            <w:shd w:val="clear" w:color="auto" w:fill="auto"/>
            <w:vAlign w:val="bottom"/>
          </w:tcPr>
          <w:p w:rsidR="002C1747" w:rsidRPr="0092542A" w:rsidRDefault="002C1747" w:rsidP="00B20249">
            <w:pPr>
              <w:tabs>
                <w:tab w:val="decimal" w:pos="624"/>
              </w:tabs>
              <w:suppressAutoHyphens/>
              <w:spacing w:before="40" w:after="40" w:line="210" w:lineRule="exact"/>
              <w:ind w:right="43"/>
              <w:rPr>
                <w:rFonts w:eastAsia="Times New Roman"/>
                <w:spacing w:val="4"/>
                <w:w w:val="103"/>
                <w:sz w:val="17"/>
                <w:lang w:val="en-GB" w:eastAsia="en-US"/>
              </w:rPr>
            </w:pPr>
            <w:r w:rsidRPr="0092542A">
              <w:rPr>
                <w:rFonts w:eastAsia="Times New Roman"/>
                <w:spacing w:val="4"/>
                <w:w w:val="103"/>
                <w:sz w:val="17"/>
                <w:lang w:val="en-GB" w:eastAsia="en-US"/>
              </w:rPr>
              <w:t>..</w:t>
            </w:r>
          </w:p>
        </w:tc>
        <w:tc>
          <w:tcPr>
            <w:tcW w:w="720" w:type="dxa"/>
            <w:tcBorders>
              <w:bottom w:val="single" w:sz="12" w:space="0" w:color="auto"/>
            </w:tcBorders>
            <w:shd w:val="clear" w:color="auto" w:fill="auto"/>
            <w:vAlign w:val="bottom"/>
          </w:tcPr>
          <w:p w:rsidR="002C1747" w:rsidRPr="0092542A" w:rsidRDefault="002C1747" w:rsidP="00B20249">
            <w:pPr>
              <w:tabs>
                <w:tab w:val="decimal" w:pos="615"/>
              </w:tabs>
              <w:suppressAutoHyphens/>
              <w:spacing w:before="40" w:after="40" w:line="210" w:lineRule="exact"/>
              <w:ind w:right="58"/>
              <w:rPr>
                <w:rFonts w:eastAsia="Times New Roman"/>
                <w:spacing w:val="4"/>
                <w:w w:val="103"/>
                <w:sz w:val="17"/>
                <w:lang w:val="en-GB" w:eastAsia="en-US"/>
              </w:rPr>
            </w:pPr>
            <w:r w:rsidRPr="0092542A">
              <w:rPr>
                <w:rFonts w:eastAsia="Times New Roman"/>
                <w:spacing w:val="4"/>
                <w:w w:val="103"/>
                <w:sz w:val="17"/>
                <w:lang w:val="en-GB" w:eastAsia="en-US"/>
              </w:rPr>
              <w:t>..</w:t>
            </w:r>
          </w:p>
        </w:tc>
        <w:tc>
          <w:tcPr>
            <w:tcW w:w="792" w:type="dxa"/>
            <w:gridSpan w:val="2"/>
            <w:tcBorders>
              <w:bottom w:val="single" w:sz="12" w:space="0" w:color="auto"/>
            </w:tcBorders>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720" w:type="dxa"/>
            <w:tcBorders>
              <w:bottom w:val="single" w:sz="12" w:space="0" w:color="auto"/>
            </w:tcBorders>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1079" w:type="dxa"/>
            <w:gridSpan w:val="2"/>
            <w:tcBorders>
              <w:bottom w:val="single" w:sz="12" w:space="0" w:color="auto"/>
            </w:tcBorders>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1014" w:type="dxa"/>
            <w:tcBorders>
              <w:bottom w:val="single" w:sz="12" w:space="0" w:color="auto"/>
            </w:tcBorders>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c>
          <w:tcPr>
            <w:tcW w:w="1011" w:type="dxa"/>
            <w:gridSpan w:val="2"/>
            <w:tcBorders>
              <w:bottom w:val="single" w:sz="12" w:space="0" w:color="auto"/>
            </w:tcBorders>
            <w:shd w:val="clear" w:color="auto" w:fill="auto"/>
            <w:vAlign w:val="bottom"/>
          </w:tcPr>
          <w:p w:rsidR="002C1747" w:rsidRPr="0092542A" w:rsidRDefault="002C1747" w:rsidP="00B20249">
            <w:pPr>
              <w:tabs>
                <w:tab w:val="left" w:pos="288"/>
                <w:tab w:val="left" w:pos="576"/>
                <w:tab w:val="left" w:pos="864"/>
                <w:tab w:val="left" w:pos="1152"/>
              </w:tabs>
              <w:suppressAutoHyphens/>
              <w:spacing w:before="40" w:after="40" w:line="210" w:lineRule="exact"/>
              <w:ind w:right="43"/>
              <w:jc w:val="right"/>
              <w:rPr>
                <w:rFonts w:eastAsia="Times New Roman"/>
                <w:spacing w:val="4"/>
                <w:w w:val="103"/>
                <w:sz w:val="17"/>
                <w:lang w:val="en-GB" w:eastAsia="en-US"/>
              </w:rPr>
            </w:pPr>
            <w:r w:rsidRPr="0092542A">
              <w:rPr>
                <w:rFonts w:eastAsia="Times New Roman"/>
                <w:spacing w:val="4"/>
                <w:w w:val="103"/>
                <w:sz w:val="17"/>
                <w:lang w:val="en-GB" w:eastAsia="en-US"/>
              </w:rPr>
              <w:t>..</w:t>
            </w:r>
          </w:p>
        </w:tc>
      </w:tr>
    </w:tbl>
    <w:p w:rsidR="00FF5E0E" w:rsidRPr="00FF5E0E" w:rsidRDefault="00FF5E0E" w:rsidP="00FF5E0E">
      <w:pPr>
        <w:widowControl w:val="0"/>
        <w:tabs>
          <w:tab w:val="right" w:pos="216"/>
          <w:tab w:val="left" w:pos="288"/>
          <w:tab w:val="right" w:pos="576"/>
          <w:tab w:val="left" w:pos="648"/>
        </w:tabs>
        <w:suppressAutoHyphens/>
        <w:spacing w:line="120" w:lineRule="exact"/>
        <w:ind w:left="288" w:hanging="288"/>
        <w:rPr>
          <w:rFonts w:hint="eastAsia"/>
          <w:i/>
          <w:spacing w:val="5"/>
          <w:w w:val="104"/>
          <w:sz w:val="10"/>
        </w:rPr>
      </w:pPr>
    </w:p>
    <w:p w:rsidR="002C1747" w:rsidRPr="00FF5E0E" w:rsidRDefault="002C1747" w:rsidP="00424B90">
      <w:pPr>
        <w:widowControl w:val="0"/>
        <w:tabs>
          <w:tab w:val="right" w:pos="216"/>
          <w:tab w:val="left" w:pos="288"/>
          <w:tab w:val="right" w:pos="576"/>
          <w:tab w:val="left" w:pos="648"/>
        </w:tabs>
        <w:suppressAutoHyphens/>
        <w:spacing w:after="120" w:line="240" w:lineRule="exact"/>
        <w:ind w:left="289" w:hanging="289"/>
        <w:rPr>
          <w:rFonts w:hint="eastAsia"/>
          <w:noProof/>
          <w:w w:val="104"/>
          <w:sz w:val="18"/>
        </w:rPr>
      </w:pPr>
      <w:r w:rsidRPr="00FF5E0E">
        <w:rPr>
          <w:rFonts w:ascii="KaiTi_GB2312" w:eastAsia="KaiTi_GB2312" w:hint="eastAsia"/>
          <w:noProof/>
          <w:w w:val="104"/>
          <w:sz w:val="18"/>
        </w:rPr>
        <w:t>资料来源</w:t>
      </w:r>
      <w:r w:rsidRPr="00FF5E0E">
        <w:rPr>
          <w:rFonts w:hint="eastAsia"/>
          <w:noProof/>
          <w:w w:val="104"/>
          <w:sz w:val="18"/>
        </w:rPr>
        <w:t>：教科文组织统计研究所(</w:t>
      </w:r>
      <w:r w:rsidR="00FF5E0E" w:rsidRPr="00FF5E0E">
        <w:rPr>
          <w:noProof/>
          <w:w w:val="104"/>
          <w:sz w:val="18"/>
        </w:rPr>
        <w:t>www.uis.unesco.org</w:t>
      </w:r>
      <w:r w:rsidRPr="00FF5E0E">
        <w:rPr>
          <w:rFonts w:hint="eastAsia"/>
          <w:noProof/>
          <w:w w:val="104"/>
          <w:sz w:val="18"/>
        </w:rPr>
        <w:t>)。</w:t>
      </w:r>
    </w:p>
    <w:p w:rsidR="002C1747" w:rsidRPr="00FF5E0E" w:rsidRDefault="00FF5E0E" w:rsidP="00CB6DDB">
      <w:pPr>
        <w:pStyle w:val="FootnoteText"/>
        <w:tabs>
          <w:tab w:val="clear" w:pos="418"/>
          <w:tab w:val="right" w:pos="216"/>
          <w:tab w:val="left" w:pos="288"/>
          <w:tab w:val="right" w:pos="576"/>
          <w:tab w:val="left" w:pos="648"/>
        </w:tabs>
        <w:ind w:left="288" w:hanging="288"/>
        <w:rPr>
          <w:rFonts w:hint="eastAsia"/>
          <w:w w:val="104"/>
          <w:sz w:val="20"/>
        </w:rPr>
      </w:pPr>
      <w:r>
        <w:rPr>
          <w:rFonts w:hint="eastAsia"/>
        </w:rPr>
        <w:pict>
          <v:line id="_x0000_s1029" style="position:absolute;left:0;text-align:left;z-index:3;mso-position-horizontal:center" from="0,30pt" to="1in,30pt" strokeweight=".25pt"/>
        </w:pict>
      </w:r>
      <w:r w:rsidRPr="00FF5E0E">
        <w:rPr>
          <w:rFonts w:hint="eastAsia"/>
          <w:w w:val="104"/>
        </w:rPr>
        <w:tab/>
      </w:r>
      <w:r w:rsidR="002C1747" w:rsidRPr="00FF5E0E">
        <w:rPr>
          <w:rFonts w:ascii="Times New Roman"/>
          <w:w w:val="104"/>
          <w:vertAlign w:val="superscript"/>
        </w:rPr>
        <w:t>a</w:t>
      </w:r>
      <w:r w:rsidRPr="00FF5E0E">
        <w:rPr>
          <w:rFonts w:hint="eastAsia"/>
          <w:w w:val="104"/>
        </w:rPr>
        <w:tab/>
      </w:r>
      <w:r w:rsidR="002C1747" w:rsidRPr="00FF5E0E">
        <w:rPr>
          <w:rFonts w:hint="eastAsia"/>
          <w:w w:val="104"/>
        </w:rPr>
        <w:t>缺乏数据；国家估计数。</w:t>
      </w:r>
    </w:p>
    <w:sectPr w:rsidR="002C1747" w:rsidRPr="00FF5E0E" w:rsidSect="00A124B0">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6-25T10:26:00Z" w:initials="Start">
    <w:p w:rsidR="0038721A" w:rsidRDefault="0038721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NO&gt;&gt;N1335196C&lt;&lt;ODS JOB NO&gt;&gt;</w:t>
      </w:r>
    </w:p>
    <w:p w:rsidR="0038721A" w:rsidRDefault="0038721A">
      <w:pPr>
        <w:pStyle w:val="CommentText"/>
      </w:pPr>
      <w:r>
        <w:t>&lt;&lt;ODS DOC SYMBOL1&gt;&gt;CEDAW/C/55/3&lt;&lt;ODS DOC SYMBOL1&gt;&gt;</w:t>
      </w:r>
    </w:p>
    <w:p w:rsidR="0038721A" w:rsidRDefault="0038721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61E7" w:rsidRDefault="004B61E7">
      <w:r>
        <w:separator/>
      </w:r>
    </w:p>
  </w:endnote>
  <w:endnote w:type="continuationSeparator" w:id="0">
    <w:p w:rsidR="004B61E7" w:rsidRDefault="004B61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8721A" w:rsidTr="00A124B0">
      <w:tblPrEx>
        <w:tblCellMar>
          <w:top w:w="0" w:type="dxa"/>
          <w:bottom w:w="0" w:type="dxa"/>
        </w:tblCellMar>
      </w:tblPrEx>
      <w:tc>
        <w:tcPr>
          <w:tcW w:w="5033" w:type="dxa"/>
          <w:shd w:val="clear" w:color="auto" w:fill="auto"/>
        </w:tcPr>
        <w:p w:rsidR="0038721A" w:rsidRPr="00A124B0" w:rsidRDefault="0038721A" w:rsidP="00A124B0">
          <w:pPr>
            <w:pStyle w:val="Footer"/>
            <w:jc w:val="right"/>
            <w:rPr>
              <w:b w:val="0"/>
              <w:w w:val="103"/>
              <w:sz w:val="14"/>
            </w:rPr>
          </w:pPr>
          <w:fldSimple w:instr=" DOCVARIABLE &quot;FooterJN&quot; \* MERGEFORMAT ">
            <w:r w:rsidR="00280022">
              <w:rPr>
                <w:b w:val="0"/>
                <w:w w:val="103"/>
                <w:sz w:val="14"/>
              </w:rPr>
              <w:t>13-35196 (C)</w:t>
            </w:r>
          </w:fldSimple>
        </w:p>
      </w:tc>
      <w:tc>
        <w:tcPr>
          <w:tcW w:w="5033" w:type="dxa"/>
          <w:shd w:val="clear" w:color="auto" w:fill="auto"/>
        </w:tcPr>
        <w:p w:rsidR="0038721A" w:rsidRPr="00A124B0" w:rsidRDefault="0038721A" w:rsidP="00A124B0">
          <w:pPr>
            <w:pStyle w:val="Footer"/>
            <w:jc w:val="left"/>
            <w:rPr>
              <w:w w:val="103"/>
            </w:rPr>
          </w:pPr>
          <w:r>
            <w:rPr>
              <w:w w:val="103"/>
            </w:rPr>
            <w:fldChar w:fldCharType="begin"/>
          </w:r>
          <w:r>
            <w:rPr>
              <w:w w:val="103"/>
            </w:rPr>
            <w:instrText xml:space="preserve"> PAGE  \* MERGEFORMAT </w:instrText>
          </w:r>
          <w:r>
            <w:rPr>
              <w:w w:val="103"/>
            </w:rPr>
            <w:fldChar w:fldCharType="separate"/>
          </w:r>
          <w:r w:rsidR="00B12522">
            <w:rPr>
              <w:w w:val="103"/>
            </w:rPr>
            <w:t>12</w:t>
          </w:r>
          <w:r>
            <w:rPr>
              <w:w w:val="103"/>
            </w:rPr>
            <w:fldChar w:fldCharType="end"/>
          </w:r>
        </w:p>
      </w:tc>
    </w:tr>
  </w:tbl>
  <w:p w:rsidR="0038721A" w:rsidRPr="00A124B0" w:rsidRDefault="0038721A" w:rsidP="00A124B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8721A" w:rsidTr="00A124B0">
      <w:tblPrEx>
        <w:tblCellMar>
          <w:top w:w="0" w:type="dxa"/>
          <w:bottom w:w="0" w:type="dxa"/>
        </w:tblCellMar>
      </w:tblPrEx>
      <w:tc>
        <w:tcPr>
          <w:tcW w:w="5033" w:type="dxa"/>
          <w:shd w:val="clear" w:color="auto" w:fill="auto"/>
        </w:tcPr>
        <w:p w:rsidR="0038721A" w:rsidRPr="00A124B0" w:rsidRDefault="0038721A" w:rsidP="00A124B0">
          <w:pPr>
            <w:pStyle w:val="Footer"/>
            <w:jc w:val="right"/>
          </w:pPr>
          <w:fldSimple w:instr=" PAGE  \* MERGEFORMAT ">
            <w:r w:rsidR="00B12522">
              <w:t>13</w:t>
            </w:r>
          </w:fldSimple>
        </w:p>
      </w:tc>
      <w:tc>
        <w:tcPr>
          <w:tcW w:w="5033" w:type="dxa"/>
          <w:shd w:val="clear" w:color="auto" w:fill="auto"/>
        </w:tcPr>
        <w:p w:rsidR="0038721A" w:rsidRPr="00A124B0" w:rsidRDefault="0038721A" w:rsidP="00A124B0">
          <w:pPr>
            <w:pStyle w:val="Footer"/>
            <w:jc w:val="left"/>
            <w:rPr>
              <w:b w:val="0"/>
              <w:w w:val="103"/>
              <w:sz w:val="14"/>
            </w:rPr>
          </w:pPr>
          <w:fldSimple w:instr=" DOCVARIABLE &quot;FooterJN&quot; \* MERGEFORMAT ">
            <w:r w:rsidR="00280022">
              <w:rPr>
                <w:b w:val="0"/>
                <w:w w:val="103"/>
                <w:sz w:val="14"/>
              </w:rPr>
              <w:t>13-35196 (C)</w:t>
            </w:r>
          </w:fldSimple>
        </w:p>
      </w:tc>
    </w:tr>
  </w:tbl>
  <w:p w:rsidR="0038721A" w:rsidRPr="00A124B0" w:rsidRDefault="0038721A" w:rsidP="00A124B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38721A" w:rsidTr="00A124B0">
      <w:tblPrEx>
        <w:tblCellMar>
          <w:top w:w="0" w:type="dxa"/>
          <w:bottom w:w="0" w:type="dxa"/>
        </w:tblCellMar>
      </w:tblPrEx>
      <w:tc>
        <w:tcPr>
          <w:tcW w:w="5033" w:type="dxa"/>
        </w:tcPr>
        <w:p w:rsidR="0038721A" w:rsidRDefault="0038721A" w:rsidP="00A124B0">
          <w:pPr>
            <w:pStyle w:val="Footer"/>
            <w:rPr>
              <w:b w:val="0"/>
              <w:sz w:val="21"/>
            </w:rPr>
          </w:pPr>
          <w:r w:rsidRPr="002C1747">
            <w:rPr>
              <w:b w:val="0"/>
              <w:sz w:val="21"/>
            </w:rPr>
            <w:t>13-35196 X (C)</w:t>
          </w:r>
          <w:r>
            <w:rPr>
              <w:b w:val="0"/>
              <w:sz w:val="21"/>
            </w:rPr>
            <w:t xml:space="preserve">    </w:t>
          </w:r>
          <w:r>
            <w:rPr>
              <w:rFonts w:hint="eastAsia"/>
              <w:b w:val="0"/>
              <w:sz w:val="21"/>
            </w:rPr>
            <w:t>19</w:t>
          </w:r>
          <w:r>
            <w:rPr>
              <w:b w:val="0"/>
              <w:sz w:val="21"/>
            </w:rPr>
            <w:t>0613    2</w:t>
          </w:r>
          <w:r>
            <w:rPr>
              <w:rFonts w:hint="eastAsia"/>
              <w:b w:val="0"/>
              <w:sz w:val="21"/>
            </w:rPr>
            <w:t>6</w:t>
          </w:r>
          <w:r>
            <w:rPr>
              <w:b w:val="0"/>
              <w:sz w:val="21"/>
            </w:rPr>
            <w:t>0613</w:t>
          </w:r>
        </w:p>
        <w:p w:rsidR="0038721A" w:rsidRPr="00A124B0" w:rsidRDefault="0038721A" w:rsidP="00A124B0">
          <w:pPr>
            <w:spacing w:before="80" w:line="210" w:lineRule="exact"/>
            <w:rPr>
              <w:rFonts w:ascii="Barcode 3 of 9 by request" w:hAnsi="Barcode 3 of 9 by request"/>
              <w:sz w:val="24"/>
            </w:rPr>
          </w:pPr>
          <w:r>
            <w:rPr>
              <w:rFonts w:ascii="Barcode 3 of 9 by request" w:hAnsi="Barcode 3 of 9 by request" w:hint="eastAsia"/>
              <w:sz w:val="24"/>
            </w:rPr>
            <w:t>*1335196C*</w:t>
          </w:r>
        </w:p>
      </w:tc>
      <w:tc>
        <w:tcPr>
          <w:tcW w:w="3686" w:type="dxa"/>
        </w:tcPr>
        <w:p w:rsidR="0038721A" w:rsidRDefault="0038721A" w:rsidP="00A124B0">
          <w:pPr>
            <w:pStyle w:val="Footer"/>
            <w:jc w:val="right"/>
            <w:rPr>
              <w:b w:val="0"/>
              <w:sz w:val="21"/>
            </w:rPr>
          </w:pPr>
          <w:r w:rsidRPr="00A124B0">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38721A" w:rsidRPr="00A124B0" w:rsidRDefault="0038721A" w:rsidP="00A124B0">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61E7" w:rsidRPr="00B20249" w:rsidRDefault="004B61E7" w:rsidP="00B20249">
      <w:pPr>
        <w:pStyle w:val="Footer"/>
        <w:spacing w:after="80"/>
        <w:ind w:left="792"/>
        <w:rPr>
          <w:sz w:val="16"/>
        </w:rPr>
      </w:pPr>
      <w:r w:rsidRPr="00B20249">
        <w:rPr>
          <w:sz w:val="16"/>
        </w:rPr>
        <w:t>__________________</w:t>
      </w:r>
    </w:p>
  </w:footnote>
  <w:footnote w:type="continuationSeparator" w:id="0">
    <w:p w:rsidR="004B61E7" w:rsidRPr="00B20249" w:rsidRDefault="004B61E7" w:rsidP="00B20249">
      <w:pPr>
        <w:pStyle w:val="Footer"/>
        <w:spacing w:after="80"/>
        <w:ind w:left="792"/>
        <w:rPr>
          <w:sz w:val="16"/>
        </w:rPr>
      </w:pPr>
      <w:r w:rsidRPr="00B20249">
        <w:rPr>
          <w:sz w:val="16"/>
        </w:rPr>
        <w:t>__________________</w:t>
      </w:r>
    </w:p>
  </w:footnote>
  <w:footnote w:id="1">
    <w:p w:rsidR="0038721A" w:rsidRPr="00CE398A" w:rsidRDefault="0038721A" w:rsidP="00B2024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CE398A">
        <w:rPr>
          <w:rFonts w:hint="eastAsia"/>
        </w:rPr>
        <w:t>阿富汗教育部，2008年《全国学校调查》。</w:t>
      </w:r>
    </w:p>
  </w:footnote>
  <w:footnote w:id="2">
    <w:p w:rsidR="0038721A" w:rsidRPr="00CE398A" w:rsidRDefault="0038721A" w:rsidP="00B2024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CE398A">
        <w:rPr>
          <w:rFonts w:hint="eastAsia"/>
        </w:rPr>
        <w:t>教育部，《教育的发展：阿富汗伊斯兰共和国国家报告》</w:t>
      </w:r>
      <w:r>
        <w:rPr>
          <w:rFonts w:hint="eastAsia"/>
        </w:rPr>
        <w:t>(</w:t>
      </w:r>
      <w:r w:rsidRPr="00CE398A">
        <w:rPr>
          <w:rFonts w:hint="eastAsia"/>
        </w:rPr>
        <w:t>2008年10月15日，喀布尔</w:t>
      </w:r>
      <w:r>
        <w:rPr>
          <w:rFonts w:hint="eastAsia"/>
        </w:rPr>
        <w:t>)</w:t>
      </w:r>
      <w:r w:rsidRPr="00CE398A">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8721A" w:rsidTr="00A124B0">
      <w:tblPrEx>
        <w:tblCellMar>
          <w:top w:w="0" w:type="dxa"/>
          <w:bottom w:w="0" w:type="dxa"/>
        </w:tblCellMar>
      </w:tblPrEx>
      <w:trPr>
        <w:trHeight w:hRule="exact" w:val="864"/>
      </w:trPr>
      <w:tc>
        <w:tcPr>
          <w:tcW w:w="4838" w:type="dxa"/>
          <w:shd w:val="clear" w:color="auto" w:fill="auto"/>
          <w:vAlign w:val="bottom"/>
        </w:tcPr>
        <w:p w:rsidR="0038721A" w:rsidRPr="00A124B0" w:rsidRDefault="0038721A" w:rsidP="00A124B0">
          <w:pPr>
            <w:pStyle w:val="Header"/>
            <w:spacing w:after="80"/>
            <w:jc w:val="left"/>
            <w:rPr>
              <w:b/>
              <w:sz w:val="17"/>
            </w:rPr>
          </w:pPr>
          <w:fldSimple w:instr=" DOCVARIABLE &quot;sss1&quot; \* MERGEFORMAT ">
            <w:r w:rsidR="00280022">
              <w:rPr>
                <w:b/>
                <w:sz w:val="17"/>
              </w:rPr>
              <w:t>CEDAW/C/55/3</w:t>
            </w:r>
          </w:fldSimple>
        </w:p>
      </w:tc>
      <w:tc>
        <w:tcPr>
          <w:tcW w:w="5033" w:type="dxa"/>
          <w:shd w:val="clear" w:color="auto" w:fill="auto"/>
          <w:vAlign w:val="bottom"/>
        </w:tcPr>
        <w:p w:rsidR="0038721A" w:rsidRDefault="0038721A" w:rsidP="00A124B0">
          <w:pPr>
            <w:pStyle w:val="Header"/>
          </w:pPr>
        </w:p>
      </w:tc>
    </w:tr>
  </w:tbl>
  <w:p w:rsidR="0038721A" w:rsidRPr="00A124B0" w:rsidRDefault="0038721A" w:rsidP="00A124B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8721A" w:rsidTr="00A124B0">
      <w:tblPrEx>
        <w:tblCellMar>
          <w:top w:w="0" w:type="dxa"/>
          <w:bottom w:w="0" w:type="dxa"/>
        </w:tblCellMar>
      </w:tblPrEx>
      <w:trPr>
        <w:trHeight w:hRule="exact" w:val="864"/>
      </w:trPr>
      <w:tc>
        <w:tcPr>
          <w:tcW w:w="4838" w:type="dxa"/>
          <w:shd w:val="clear" w:color="auto" w:fill="auto"/>
          <w:vAlign w:val="bottom"/>
        </w:tcPr>
        <w:p w:rsidR="0038721A" w:rsidRDefault="0038721A" w:rsidP="00A124B0">
          <w:pPr>
            <w:pStyle w:val="Header"/>
          </w:pPr>
        </w:p>
      </w:tc>
      <w:tc>
        <w:tcPr>
          <w:tcW w:w="5033" w:type="dxa"/>
          <w:shd w:val="clear" w:color="auto" w:fill="auto"/>
          <w:vAlign w:val="bottom"/>
        </w:tcPr>
        <w:p w:rsidR="0038721A" w:rsidRPr="00A124B0" w:rsidRDefault="0038721A" w:rsidP="00A124B0">
          <w:pPr>
            <w:pStyle w:val="Header"/>
            <w:spacing w:after="80"/>
            <w:jc w:val="right"/>
            <w:rPr>
              <w:b/>
              <w:sz w:val="17"/>
            </w:rPr>
          </w:pPr>
          <w:fldSimple w:instr=" DOCVARIABLE &quot;sss1&quot; \* MERGEFORMAT ">
            <w:r w:rsidR="00280022">
              <w:rPr>
                <w:b/>
                <w:sz w:val="17"/>
              </w:rPr>
              <w:t>CEDAW/C/55/3</w:t>
            </w:r>
          </w:fldSimple>
        </w:p>
      </w:tc>
    </w:tr>
  </w:tbl>
  <w:p w:rsidR="0038721A" w:rsidRPr="00A124B0" w:rsidRDefault="0038721A" w:rsidP="00A124B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38721A" w:rsidTr="00A124B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8721A" w:rsidRDefault="0038721A" w:rsidP="00A124B0">
          <w:pPr>
            <w:pStyle w:val="Header"/>
            <w:spacing w:after="120"/>
          </w:pPr>
        </w:p>
      </w:tc>
      <w:tc>
        <w:tcPr>
          <w:tcW w:w="1872" w:type="dxa"/>
          <w:tcBorders>
            <w:bottom w:val="single" w:sz="4" w:space="0" w:color="auto"/>
          </w:tcBorders>
          <w:shd w:val="clear" w:color="auto" w:fill="auto"/>
          <w:vAlign w:val="bottom"/>
        </w:tcPr>
        <w:p w:rsidR="0038721A" w:rsidRPr="00A124B0" w:rsidRDefault="0038721A" w:rsidP="00A124B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8721A" w:rsidRDefault="0038721A" w:rsidP="00A124B0">
          <w:pPr>
            <w:pStyle w:val="Header"/>
            <w:spacing w:after="120"/>
          </w:pPr>
        </w:p>
      </w:tc>
      <w:tc>
        <w:tcPr>
          <w:tcW w:w="6523" w:type="dxa"/>
          <w:gridSpan w:val="3"/>
          <w:tcBorders>
            <w:bottom w:val="single" w:sz="4" w:space="0" w:color="auto"/>
          </w:tcBorders>
          <w:shd w:val="clear" w:color="auto" w:fill="auto"/>
          <w:vAlign w:val="bottom"/>
        </w:tcPr>
        <w:p w:rsidR="0038721A" w:rsidRPr="00A124B0" w:rsidRDefault="0038721A" w:rsidP="00A124B0">
          <w:pPr>
            <w:spacing w:after="80" w:line="240" w:lineRule="auto"/>
            <w:jc w:val="right"/>
            <w:rPr>
              <w:rFonts w:ascii="Times New Roman"/>
              <w:position w:val="-4"/>
            </w:rPr>
          </w:pPr>
          <w:r>
            <w:rPr>
              <w:rFonts w:ascii="Times New Roman"/>
              <w:position w:val="-4"/>
              <w:sz w:val="40"/>
            </w:rPr>
            <w:t>CEDAW</w:t>
          </w:r>
          <w:r>
            <w:rPr>
              <w:rFonts w:ascii="Times New Roman"/>
              <w:position w:val="-4"/>
            </w:rPr>
            <w:t>/C/55/3</w:t>
          </w:r>
        </w:p>
      </w:tc>
    </w:tr>
    <w:tr w:rsidR="0038721A" w:rsidRPr="00A124B0" w:rsidTr="00A124B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8721A" w:rsidRDefault="0038721A" w:rsidP="00A124B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8721A" w:rsidRPr="00A124B0" w:rsidRDefault="0038721A" w:rsidP="00A124B0">
          <w:pPr>
            <w:pStyle w:val="Header"/>
            <w:spacing w:before="109"/>
            <w:ind w:left="-72"/>
          </w:pPr>
        </w:p>
      </w:tc>
      <w:tc>
        <w:tcPr>
          <w:tcW w:w="5227" w:type="dxa"/>
          <w:gridSpan w:val="3"/>
          <w:tcBorders>
            <w:top w:val="single" w:sz="4" w:space="0" w:color="auto"/>
            <w:bottom w:val="single" w:sz="12" w:space="0" w:color="auto"/>
          </w:tcBorders>
          <w:shd w:val="clear" w:color="auto" w:fill="auto"/>
        </w:tcPr>
        <w:p w:rsidR="0038721A" w:rsidRPr="00A124B0" w:rsidRDefault="0038721A" w:rsidP="00A124B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8721A" w:rsidRPr="00A124B0" w:rsidRDefault="0038721A" w:rsidP="00A124B0">
          <w:pPr>
            <w:pStyle w:val="Header"/>
            <w:spacing w:before="109"/>
          </w:pPr>
        </w:p>
      </w:tc>
      <w:tc>
        <w:tcPr>
          <w:tcW w:w="3180" w:type="dxa"/>
          <w:gridSpan w:val="2"/>
          <w:tcBorders>
            <w:top w:val="single" w:sz="4" w:space="0" w:color="auto"/>
            <w:bottom w:val="single" w:sz="12" w:space="0" w:color="auto"/>
          </w:tcBorders>
          <w:shd w:val="clear" w:color="auto" w:fill="auto"/>
        </w:tcPr>
        <w:p w:rsidR="0038721A" w:rsidRDefault="0038721A" w:rsidP="00A124B0">
          <w:pPr>
            <w:spacing w:before="240" w:line="240" w:lineRule="exact"/>
            <w:rPr>
              <w:rFonts w:ascii="Times New Roman"/>
            </w:rPr>
          </w:pPr>
          <w:r>
            <w:rPr>
              <w:rFonts w:ascii="Times New Roman"/>
            </w:rPr>
            <w:t>Distr.: General</w:t>
          </w:r>
        </w:p>
        <w:p w:rsidR="0038721A" w:rsidRDefault="0038721A" w:rsidP="00A124B0">
          <w:pPr>
            <w:spacing w:line="240" w:lineRule="exact"/>
            <w:rPr>
              <w:rFonts w:ascii="Times New Roman"/>
            </w:rPr>
          </w:pPr>
          <w:r>
            <w:rPr>
              <w:rFonts w:ascii="Times New Roman"/>
            </w:rPr>
            <w:t>3 June 2013</w:t>
          </w:r>
        </w:p>
        <w:p w:rsidR="0038721A" w:rsidRDefault="0038721A" w:rsidP="00A124B0">
          <w:pPr>
            <w:spacing w:line="240" w:lineRule="exact"/>
            <w:rPr>
              <w:rFonts w:ascii="Times New Roman"/>
            </w:rPr>
          </w:pPr>
          <w:r>
            <w:rPr>
              <w:rFonts w:ascii="Times New Roman"/>
            </w:rPr>
            <w:t>Chinese</w:t>
          </w:r>
        </w:p>
        <w:p w:rsidR="0038721A" w:rsidRPr="00A124B0" w:rsidRDefault="0038721A" w:rsidP="00A124B0">
          <w:pPr>
            <w:spacing w:line="240" w:lineRule="exact"/>
            <w:rPr>
              <w:rFonts w:ascii="Times New Roman"/>
            </w:rPr>
          </w:pPr>
          <w:r>
            <w:rPr>
              <w:rFonts w:ascii="Times New Roman"/>
            </w:rPr>
            <w:t>Original: English</w:t>
          </w:r>
        </w:p>
      </w:tc>
    </w:tr>
  </w:tbl>
  <w:p w:rsidR="0038721A" w:rsidRPr="00A124B0" w:rsidRDefault="0038721A" w:rsidP="00A124B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5196*"/>
    <w:docVar w:name="CreationDt" w:val="25/06/2013 09:55:15"/>
    <w:docVar w:name="DocCategory" w:val="Doc"/>
    <w:docVar w:name="DocType" w:val="Final"/>
    <w:docVar w:name="FooterJN" w:val="13-35196 (C)"/>
    <w:docVar w:name="jobn" w:val="13-35196 (C)"/>
    <w:docVar w:name="jobnDT" w:val="13-35196 (C)   250613"/>
    <w:docVar w:name="jobnDTDT" w:val="13-35196 (C)   250613   250613"/>
    <w:docVar w:name="JobNo" w:val="1335196C"/>
    <w:docVar w:name="OandT" w:val="jxw"/>
    <w:docVar w:name="sss1" w:val="CEDAW/C/55/3"/>
    <w:docVar w:name="sss2" w:val="-"/>
    <w:docVar w:name="Symbol1" w:val="CEDAW/C/55/3"/>
    <w:docVar w:name="Symbol2" w:val="-"/>
  </w:docVars>
  <w:rsids>
    <w:rsidRoot w:val="000B3E1C"/>
    <w:rsid w:val="0000347C"/>
    <w:rsid w:val="000125BC"/>
    <w:rsid w:val="0001645E"/>
    <w:rsid w:val="00021A2B"/>
    <w:rsid w:val="00036AA2"/>
    <w:rsid w:val="00037B39"/>
    <w:rsid w:val="00044CA4"/>
    <w:rsid w:val="00044EE9"/>
    <w:rsid w:val="00045EFE"/>
    <w:rsid w:val="0007337D"/>
    <w:rsid w:val="000758DF"/>
    <w:rsid w:val="00076EB8"/>
    <w:rsid w:val="00077AEE"/>
    <w:rsid w:val="00082CCB"/>
    <w:rsid w:val="00083CAB"/>
    <w:rsid w:val="00095C67"/>
    <w:rsid w:val="000A31F9"/>
    <w:rsid w:val="000B3E1C"/>
    <w:rsid w:val="000C1786"/>
    <w:rsid w:val="000C4DDE"/>
    <w:rsid w:val="000E240F"/>
    <w:rsid w:val="000E49A4"/>
    <w:rsid w:val="000F1058"/>
    <w:rsid w:val="000F55DC"/>
    <w:rsid w:val="00101C4E"/>
    <w:rsid w:val="001113F8"/>
    <w:rsid w:val="001212F9"/>
    <w:rsid w:val="00121328"/>
    <w:rsid w:val="0012708E"/>
    <w:rsid w:val="001329F7"/>
    <w:rsid w:val="0014050D"/>
    <w:rsid w:val="00141322"/>
    <w:rsid w:val="0015066B"/>
    <w:rsid w:val="00150D3A"/>
    <w:rsid w:val="00153D29"/>
    <w:rsid w:val="00161E69"/>
    <w:rsid w:val="00161F54"/>
    <w:rsid w:val="00170FBE"/>
    <w:rsid w:val="00174233"/>
    <w:rsid w:val="0017506F"/>
    <w:rsid w:val="001B2814"/>
    <w:rsid w:val="001B4F95"/>
    <w:rsid w:val="001C3F7F"/>
    <w:rsid w:val="001C5166"/>
    <w:rsid w:val="001D0354"/>
    <w:rsid w:val="001D3F72"/>
    <w:rsid w:val="001E20EC"/>
    <w:rsid w:val="001E4442"/>
    <w:rsid w:val="001E5A51"/>
    <w:rsid w:val="001F03A7"/>
    <w:rsid w:val="001F2F76"/>
    <w:rsid w:val="00203760"/>
    <w:rsid w:val="00207135"/>
    <w:rsid w:val="002145EA"/>
    <w:rsid w:val="00231575"/>
    <w:rsid w:val="00241DB7"/>
    <w:rsid w:val="00247382"/>
    <w:rsid w:val="00252E35"/>
    <w:rsid w:val="00254858"/>
    <w:rsid w:val="00257053"/>
    <w:rsid w:val="00263B7B"/>
    <w:rsid w:val="00266257"/>
    <w:rsid w:val="002706F3"/>
    <w:rsid w:val="00271BE6"/>
    <w:rsid w:val="0027454D"/>
    <w:rsid w:val="00277AAE"/>
    <w:rsid w:val="00280022"/>
    <w:rsid w:val="00280671"/>
    <w:rsid w:val="002814F9"/>
    <w:rsid w:val="00282D17"/>
    <w:rsid w:val="002A4AEF"/>
    <w:rsid w:val="002B305F"/>
    <w:rsid w:val="002B564F"/>
    <w:rsid w:val="002B5F5D"/>
    <w:rsid w:val="002B62ED"/>
    <w:rsid w:val="002C1747"/>
    <w:rsid w:val="002C2254"/>
    <w:rsid w:val="002C3BC9"/>
    <w:rsid w:val="002C54DB"/>
    <w:rsid w:val="002D039F"/>
    <w:rsid w:val="002D0694"/>
    <w:rsid w:val="002D0B62"/>
    <w:rsid w:val="002D4ACE"/>
    <w:rsid w:val="002D5503"/>
    <w:rsid w:val="002E66D5"/>
    <w:rsid w:val="002F41E2"/>
    <w:rsid w:val="00320C99"/>
    <w:rsid w:val="003274A9"/>
    <w:rsid w:val="00331221"/>
    <w:rsid w:val="00346223"/>
    <w:rsid w:val="00352235"/>
    <w:rsid w:val="00363610"/>
    <w:rsid w:val="003649EE"/>
    <w:rsid w:val="00371BC6"/>
    <w:rsid w:val="00373A15"/>
    <w:rsid w:val="00383ACA"/>
    <w:rsid w:val="00384CB1"/>
    <w:rsid w:val="0038721A"/>
    <w:rsid w:val="00394A02"/>
    <w:rsid w:val="003966E8"/>
    <w:rsid w:val="003C7B20"/>
    <w:rsid w:val="003D075F"/>
    <w:rsid w:val="003E4565"/>
    <w:rsid w:val="003E748F"/>
    <w:rsid w:val="003E7612"/>
    <w:rsid w:val="00414423"/>
    <w:rsid w:val="00424B90"/>
    <w:rsid w:val="00433853"/>
    <w:rsid w:val="004411AD"/>
    <w:rsid w:val="004424EF"/>
    <w:rsid w:val="00442CE7"/>
    <w:rsid w:val="00453BB0"/>
    <w:rsid w:val="00460162"/>
    <w:rsid w:val="004620A8"/>
    <w:rsid w:val="00466BB5"/>
    <w:rsid w:val="004700CF"/>
    <w:rsid w:val="00487444"/>
    <w:rsid w:val="00493C9C"/>
    <w:rsid w:val="004A06D1"/>
    <w:rsid w:val="004A11FC"/>
    <w:rsid w:val="004B2C67"/>
    <w:rsid w:val="004B61E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35B9"/>
    <w:rsid w:val="00536CCE"/>
    <w:rsid w:val="00552CE5"/>
    <w:rsid w:val="005541E4"/>
    <w:rsid w:val="00562FE7"/>
    <w:rsid w:val="0057094A"/>
    <w:rsid w:val="00570BD4"/>
    <w:rsid w:val="0057450D"/>
    <w:rsid w:val="0058302A"/>
    <w:rsid w:val="005A175A"/>
    <w:rsid w:val="005B7338"/>
    <w:rsid w:val="005C02AB"/>
    <w:rsid w:val="005C5FC3"/>
    <w:rsid w:val="005D0F04"/>
    <w:rsid w:val="005F12F0"/>
    <w:rsid w:val="005F1AAD"/>
    <w:rsid w:val="005F3273"/>
    <w:rsid w:val="005F34A3"/>
    <w:rsid w:val="00610CF2"/>
    <w:rsid w:val="006328DE"/>
    <w:rsid w:val="006353DE"/>
    <w:rsid w:val="006479F1"/>
    <w:rsid w:val="00650BEE"/>
    <w:rsid w:val="006520FA"/>
    <w:rsid w:val="0065377D"/>
    <w:rsid w:val="00666F57"/>
    <w:rsid w:val="006740A7"/>
    <w:rsid w:val="006767D5"/>
    <w:rsid w:val="00691524"/>
    <w:rsid w:val="006926DF"/>
    <w:rsid w:val="006A654B"/>
    <w:rsid w:val="006C4BB3"/>
    <w:rsid w:val="006D7BBE"/>
    <w:rsid w:val="006E2924"/>
    <w:rsid w:val="006E7A26"/>
    <w:rsid w:val="006F04EF"/>
    <w:rsid w:val="006F2B3D"/>
    <w:rsid w:val="007052CC"/>
    <w:rsid w:val="007251F5"/>
    <w:rsid w:val="007319E0"/>
    <w:rsid w:val="007345AA"/>
    <w:rsid w:val="00737B00"/>
    <w:rsid w:val="0075155C"/>
    <w:rsid w:val="00753A05"/>
    <w:rsid w:val="00757193"/>
    <w:rsid w:val="00761190"/>
    <w:rsid w:val="00776537"/>
    <w:rsid w:val="00783A25"/>
    <w:rsid w:val="007877F4"/>
    <w:rsid w:val="007C74B9"/>
    <w:rsid w:val="007E1B5E"/>
    <w:rsid w:val="007E6253"/>
    <w:rsid w:val="007F2278"/>
    <w:rsid w:val="00803014"/>
    <w:rsid w:val="00805783"/>
    <w:rsid w:val="008060C9"/>
    <w:rsid w:val="00806F57"/>
    <w:rsid w:val="00806F90"/>
    <w:rsid w:val="008246FC"/>
    <w:rsid w:val="00824C19"/>
    <w:rsid w:val="00826250"/>
    <w:rsid w:val="0083056F"/>
    <w:rsid w:val="008378D1"/>
    <w:rsid w:val="00846462"/>
    <w:rsid w:val="00860742"/>
    <w:rsid w:val="0086691F"/>
    <w:rsid w:val="00883DB0"/>
    <w:rsid w:val="00884C8F"/>
    <w:rsid w:val="00896D38"/>
    <w:rsid w:val="008A0216"/>
    <w:rsid w:val="008C3296"/>
    <w:rsid w:val="008C3413"/>
    <w:rsid w:val="008E2D03"/>
    <w:rsid w:val="008E7BDF"/>
    <w:rsid w:val="008F2BB5"/>
    <w:rsid w:val="008F425D"/>
    <w:rsid w:val="008F5472"/>
    <w:rsid w:val="008F5D0F"/>
    <w:rsid w:val="009122E0"/>
    <w:rsid w:val="00913351"/>
    <w:rsid w:val="0096193C"/>
    <w:rsid w:val="009769E1"/>
    <w:rsid w:val="00977E0D"/>
    <w:rsid w:val="00982D5C"/>
    <w:rsid w:val="00986132"/>
    <w:rsid w:val="00986C04"/>
    <w:rsid w:val="009A11E3"/>
    <w:rsid w:val="009A2F76"/>
    <w:rsid w:val="009D2AC2"/>
    <w:rsid w:val="009E1774"/>
    <w:rsid w:val="009E2668"/>
    <w:rsid w:val="009E40A3"/>
    <w:rsid w:val="009E5C8C"/>
    <w:rsid w:val="009F10B1"/>
    <w:rsid w:val="009F47E3"/>
    <w:rsid w:val="009F6938"/>
    <w:rsid w:val="00A0537D"/>
    <w:rsid w:val="00A057EA"/>
    <w:rsid w:val="00A069AD"/>
    <w:rsid w:val="00A124B0"/>
    <w:rsid w:val="00A17A85"/>
    <w:rsid w:val="00A20856"/>
    <w:rsid w:val="00A24399"/>
    <w:rsid w:val="00A24CA5"/>
    <w:rsid w:val="00A33D6D"/>
    <w:rsid w:val="00A37345"/>
    <w:rsid w:val="00A40AAE"/>
    <w:rsid w:val="00A40EA9"/>
    <w:rsid w:val="00A4532A"/>
    <w:rsid w:val="00A5206D"/>
    <w:rsid w:val="00A72E47"/>
    <w:rsid w:val="00A90956"/>
    <w:rsid w:val="00A95404"/>
    <w:rsid w:val="00A968C5"/>
    <w:rsid w:val="00AA3C28"/>
    <w:rsid w:val="00AA759D"/>
    <w:rsid w:val="00AB2786"/>
    <w:rsid w:val="00AD0CF7"/>
    <w:rsid w:val="00AD4308"/>
    <w:rsid w:val="00AE52A2"/>
    <w:rsid w:val="00AF2A33"/>
    <w:rsid w:val="00B03EFA"/>
    <w:rsid w:val="00B12522"/>
    <w:rsid w:val="00B20249"/>
    <w:rsid w:val="00B24F2A"/>
    <w:rsid w:val="00B309DD"/>
    <w:rsid w:val="00B36621"/>
    <w:rsid w:val="00B36D64"/>
    <w:rsid w:val="00B41B48"/>
    <w:rsid w:val="00B55E1D"/>
    <w:rsid w:val="00B56194"/>
    <w:rsid w:val="00B60F41"/>
    <w:rsid w:val="00B61A34"/>
    <w:rsid w:val="00B64E8E"/>
    <w:rsid w:val="00B65E8B"/>
    <w:rsid w:val="00B8025A"/>
    <w:rsid w:val="00B827B1"/>
    <w:rsid w:val="00BB23A4"/>
    <w:rsid w:val="00BC2276"/>
    <w:rsid w:val="00BD1BFF"/>
    <w:rsid w:val="00BD2150"/>
    <w:rsid w:val="00BE1CC3"/>
    <w:rsid w:val="00BE365A"/>
    <w:rsid w:val="00BE47C4"/>
    <w:rsid w:val="00C052A2"/>
    <w:rsid w:val="00C06A4A"/>
    <w:rsid w:val="00C1391A"/>
    <w:rsid w:val="00C14CE6"/>
    <w:rsid w:val="00C15218"/>
    <w:rsid w:val="00C22BB2"/>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B2B1E"/>
    <w:rsid w:val="00CB6DDB"/>
    <w:rsid w:val="00CC3E8B"/>
    <w:rsid w:val="00CC4E84"/>
    <w:rsid w:val="00CD5641"/>
    <w:rsid w:val="00CE398A"/>
    <w:rsid w:val="00CE64AC"/>
    <w:rsid w:val="00CF49BA"/>
    <w:rsid w:val="00CF7718"/>
    <w:rsid w:val="00D177F1"/>
    <w:rsid w:val="00D323B5"/>
    <w:rsid w:val="00D42ACC"/>
    <w:rsid w:val="00D51DC5"/>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742A"/>
    <w:rsid w:val="00E041F4"/>
    <w:rsid w:val="00E050BA"/>
    <w:rsid w:val="00E052E3"/>
    <w:rsid w:val="00E165ED"/>
    <w:rsid w:val="00E25442"/>
    <w:rsid w:val="00E25A1F"/>
    <w:rsid w:val="00E35B72"/>
    <w:rsid w:val="00E37EEB"/>
    <w:rsid w:val="00E710FB"/>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40463"/>
    <w:rsid w:val="00F50336"/>
    <w:rsid w:val="00F55E5B"/>
    <w:rsid w:val="00F569BC"/>
    <w:rsid w:val="00F62E3F"/>
    <w:rsid w:val="00F670F7"/>
    <w:rsid w:val="00F67F90"/>
    <w:rsid w:val="00F77B3E"/>
    <w:rsid w:val="00F833CB"/>
    <w:rsid w:val="00F87754"/>
    <w:rsid w:val="00F90A4B"/>
    <w:rsid w:val="00F90C56"/>
    <w:rsid w:val="00FA185E"/>
    <w:rsid w:val="00FB20AE"/>
    <w:rsid w:val="00FC1CE4"/>
    <w:rsid w:val="00FD594E"/>
    <w:rsid w:val="00FD75B9"/>
    <w:rsid w:val="00FE5FE8"/>
    <w:rsid w:val="00FF5E0E"/>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TotalTime>
  <Pages>1</Pages>
  <Words>2057</Words>
  <Characters>11729</Characters>
  <Application>Microsoft Office Outlook</Application>
  <DocSecurity>4</DocSecurity>
  <Lines>97</Lines>
  <Paragraphs>27</Paragraphs>
  <ScaleCrop>false</ScaleCrop>
  <Company>United Nations</Company>
  <LinksUpToDate>false</LinksUpToDate>
  <CharactersWithSpaces>13759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xiaowei.ji</dc:creator>
  <cp:keywords/>
  <dc:description/>
  <cp:lastModifiedBy>FrontDesk2</cp:lastModifiedBy>
  <cp:revision>22</cp:revision>
  <cp:lastPrinted>2013-06-25T08:34:00Z</cp:lastPrinted>
  <dcterms:created xsi:type="dcterms:W3CDTF">2013-06-25T07:54:00Z</dcterms:created>
  <dcterms:modified xsi:type="dcterms:W3CDTF">2013-06-26T07:16:00Z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1335196</vt:lpwstr>
  </property>
  <property fmtid="{D5CDD505-2E9C-101B-9397-08002B2CF9AE}" pid="3" name="Symbol1">
    <vt:lpwstr>CEDAW/C/55/3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jxw</vt:lpwstr>
  </property>
</Properties>
</file>