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83° período de sesiones</w:t>
      </w:r>
    </w:p>
    <w:p w:rsidR="00000000" w:rsidRDefault="00000000">
      <w:pPr>
        <w:spacing w:line="240" w:lineRule="auto"/>
        <w:rPr>
          <w:sz w:val="12"/>
        </w:rPr>
      </w:pPr>
    </w:p>
    <w:p w:rsidR="00000000" w:rsidRDefault="00000000">
      <w:pPr>
        <w:pStyle w:val="H23"/>
      </w:pPr>
      <w:r>
        <w:t>Acta resumida de la 2267ª sesión</w:t>
      </w:r>
    </w:p>
    <w:p w:rsidR="00000000" w:rsidRDefault="00000000">
      <w:r>
        <w:t>Celebrada en la Sede, Nueva York, el viernes 22 de marzo de 2005, al as 15.00 horas</w:t>
      </w:r>
    </w:p>
    <w:p w:rsidR="00000000" w:rsidRDefault="00000000">
      <w:pPr>
        <w:spacing w:line="120" w:lineRule="exact"/>
        <w:rPr>
          <w:sz w:val="10"/>
        </w:rPr>
      </w:pPr>
    </w:p>
    <w:p w:rsidR="00000000" w:rsidRDefault="00000000">
      <w:pPr>
        <w:tabs>
          <w:tab w:val="left" w:pos="1267"/>
          <w:tab w:val="right" w:leader="dot" w:pos="8568"/>
        </w:tabs>
        <w:ind w:right="1267"/>
        <w:rPr>
          <w:i/>
          <w:lang w:val="en-US"/>
        </w:rPr>
      </w:pPr>
      <w:r>
        <w:rPr>
          <w:i/>
          <w:lang w:val="en-US"/>
        </w:rPr>
        <w:t>Presidenta:</w:t>
      </w:r>
      <w:r>
        <w:rPr>
          <w:i/>
          <w:lang w:val="en-US"/>
        </w:rPr>
        <w:tab/>
      </w:r>
      <w:r>
        <w:rPr>
          <w:lang w:val="en-US"/>
        </w:rPr>
        <w:t>Sra. Chanet</w:t>
      </w:r>
    </w:p>
    <w:p w:rsidR="00000000" w:rsidRDefault="00000000">
      <w:pPr>
        <w:tabs>
          <w:tab w:val="left" w:pos="1267"/>
          <w:tab w:val="right" w:leader="dot" w:pos="8568"/>
        </w:tabs>
        <w:ind w:right="1267"/>
      </w:pPr>
      <w:r>
        <w:rPr>
          <w:i/>
          <w:lang w:val="en-US"/>
        </w:rPr>
        <w:t xml:space="preserve"> más tarde: </w:t>
      </w:r>
      <w:r>
        <w:rPr>
          <w:i/>
          <w:lang w:val="en-US"/>
        </w:rPr>
        <w:tab/>
      </w:r>
      <w:r>
        <w:rPr>
          <w:lang w:val="en-US"/>
        </w:rPr>
        <w:t>Sra. Palm (</w:t>
      </w:r>
      <w:r>
        <w:rPr>
          <w:i/>
          <w:lang w:val="en-US"/>
        </w:rPr>
        <w:t>Vicepresidenta</w:t>
      </w:r>
      <w:r>
        <w:t>)</w:t>
      </w:r>
    </w:p>
    <w:p w:rsidR="00000000" w:rsidRDefault="00000000">
      <w:pPr>
        <w:tabs>
          <w:tab w:val="right" w:pos="1714"/>
          <w:tab w:val="left" w:pos="1800"/>
          <w:tab w:val="right" w:leader="dot" w:pos="8568"/>
        </w:tabs>
        <w:spacing w:line="120" w:lineRule="exact"/>
        <w:ind w:right="1267"/>
        <w:rPr>
          <w:sz w:val="10"/>
        </w:rPr>
      </w:pPr>
    </w:p>
    <w:p w:rsidR="00000000" w:rsidRDefault="00000000">
      <w:pPr>
        <w:tabs>
          <w:tab w:val="right" w:pos="1714"/>
          <w:tab w:val="left" w:pos="1800"/>
          <w:tab w:val="right" w:leader="dot" w:pos="8568"/>
        </w:tabs>
        <w:spacing w:line="120" w:lineRule="exact"/>
        <w:ind w:right="1267"/>
        <w:rPr>
          <w:sz w:val="10"/>
        </w:rPr>
      </w:pPr>
    </w:p>
    <w:p w:rsidR="00000000" w:rsidRDefault="00000000">
      <w:pPr>
        <w:tabs>
          <w:tab w:val="right" w:pos="1714"/>
          <w:tab w:val="left" w:pos="1800"/>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 xml:space="preserve">Examen de los informes presentados por los Estados Partes de conformidad </w:t>
      </w:r>
      <w:r>
        <w:br/>
        <w:t>con el artículo 40 del Pacto y de las situaciones de los países (</w:t>
      </w:r>
      <w:r>
        <w:rPr>
          <w:i/>
        </w:rPr>
        <w:t>continuación</w:t>
      </w:r>
      <w:r>
        <w:t>)</w:t>
      </w:r>
    </w:p>
    <w:p w:rsidR="00000000" w:rsidRDefault="00000000">
      <w:pPr>
        <w:pStyle w:val="SingleTxt"/>
        <w:suppressAutoHyphens/>
        <w:jc w:val="left"/>
      </w:pPr>
      <w:r>
        <w:tab/>
      </w:r>
      <w:r>
        <w:rPr>
          <w:i/>
        </w:rPr>
        <w:t>Segundo informe periódico de Uzbekistán</w:t>
      </w:r>
      <w:r>
        <w:t xml:space="preserve"> (</w:t>
      </w:r>
      <w:r>
        <w:rPr>
          <w:i/>
        </w:rPr>
        <w:t>continuación</w:t>
      </w:r>
      <w:r>
        <w:t>)</w:t>
      </w:r>
    </w:p>
    <w:p w:rsidR="00000000" w:rsidRDefault="00000000">
      <w:pPr>
        <w:pStyle w:val="SingleTxt"/>
        <w:suppressAutoHyphens/>
        <w:jc w:val="left"/>
      </w:pPr>
      <w:r>
        <w:tab/>
      </w:r>
      <w:r>
        <w:rPr>
          <w:i/>
        </w:rPr>
        <w:t>Informe inicial de Grecia</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w:t>
      </w:r>
      <w:r>
        <w:br/>
        <w:t xml:space="preserve">los Estados Partes de conformidad con </w:t>
      </w:r>
      <w:r>
        <w:br/>
        <w:t>el artículo 40 del Pacto y de las situaciones</w:t>
      </w:r>
      <w:r>
        <w:br/>
        <w:t xml:space="preserve">de los países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Segundo informe periódico de Uzbekistán </w:t>
      </w:r>
      <w:r>
        <w:rPr>
          <w:i w:val="0"/>
        </w:rPr>
        <w:t>(</w:t>
      </w:r>
      <w:r>
        <w:t>continuación</w:t>
      </w:r>
      <w:r>
        <w:rPr>
          <w:i w:val="0"/>
        </w:rPr>
        <w:t>) (CCPR/C/83/L/UZB y CCPR/C/UZB/2004/2</w:t>
      </w:r>
      <w:r>
        <w:t>)</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Por invitación de la Presidenta, la delegación de U</w:t>
      </w:r>
      <w:r>
        <w:t>z</w:t>
      </w:r>
      <w:r>
        <w:t>bekistán toma asiento en la mesa del Comité.</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Lista de cuestiones</w:t>
      </w:r>
      <w:r>
        <w:rPr>
          <w:i w:val="0"/>
        </w:rPr>
        <w:t xml:space="preserve"> (</w:t>
      </w:r>
      <w:r>
        <w:t>continuación</w:t>
      </w:r>
      <w:r>
        <w:rPr>
          <w:i w:val="0"/>
        </w:rPr>
        <w:t>) (CCPR/C/83/L/UZB)</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Kälin</w:t>
      </w:r>
      <w:r>
        <w:t>, al tiempo que toma nota de la re</w:t>
      </w:r>
      <w:r>
        <w:t>s</w:t>
      </w:r>
      <w:r>
        <w:t>puesta de la delegación a las preguntas 19 y 20 de la lista de cuestiones, referentes a los sospechosos de t</w:t>
      </w:r>
      <w:r>
        <w:t>e</w:t>
      </w:r>
      <w:r>
        <w:t>rrorismo, propone que se comunique al Comité el texto de las disposiciones pertinentes. No está claro si una persona acusada tiene derecho a los servicios de un abogado defensor en el período previo al juicio o ún</w:t>
      </w:r>
      <w:r>
        <w:t>i</w:t>
      </w:r>
      <w:r>
        <w:t>camente cuando el caso ha sido trasladado al Tribunal. Tampoco está claro en qué momento se informa al ac</w:t>
      </w:r>
      <w:r>
        <w:t>u</w:t>
      </w:r>
      <w:r>
        <w:t>sado de los cargos que pesan sobre él.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cuanto a la libertad de expresión (pregunta 24 de la lista de cuestiones), el conocido caso del peri</w:t>
      </w:r>
      <w:r>
        <w:t>o</w:t>
      </w:r>
      <w:r>
        <w:t>dista Ruslan Sharipov le hace preguntarse si el Sr. Sh</w:t>
      </w:r>
      <w:r>
        <w:t>a</w:t>
      </w:r>
      <w:r>
        <w:t>ripov ha sido condenado por motivos distintos de los enumerados en la sentencia, dado que ha escrito a</w:t>
      </w:r>
      <w:r>
        <w:t>r</w:t>
      </w:r>
      <w:r>
        <w:t>tículos sobre los derechos humanos. Al parecer, el Sr. Sharipov ha escrito a las autoridades uzbekas, pero no ha recibido respuesta. Agradecería que la deleg</w:t>
      </w:r>
      <w:r>
        <w:t>a</w:t>
      </w:r>
      <w:r>
        <w:t>ción se expresara a propósito de estas cuestiones.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Como se han modificado las leyes que rigen la inscripción de los partidos políticos, resulta extraño que no se haya inscrito ningún partido de la oposición hasta la fecha y que se hayan rechazado las solicitudes de partidos políticos. ¿Cómo tiene previsto abordar el G</w:t>
      </w:r>
      <w:r>
        <w:t>o</w:t>
      </w:r>
      <w:r>
        <w:t>bierno esta situación?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Khalil</w:t>
      </w:r>
      <w:r>
        <w:t>, a propósito del párrafo 274 del i</w:t>
      </w:r>
      <w:r>
        <w:t>n</w:t>
      </w:r>
      <w:r>
        <w:t>forme (CCPR/C/UZB/2004/2) y del artículo 24 del Pacto, pregunta si el apoyo del Estado a las familias pobres puede ayudar a romper el círculo vicioso de la pobreza, que da lugar al trabajo infantil, práctica que a su vez impide la asistencia a los establecimientos e</w:t>
      </w:r>
      <w:r>
        <w:t>s</w:t>
      </w:r>
      <w:r>
        <w:t>colares y perpetúa con ello la pobreza. El orador o</w:t>
      </w:r>
      <w:r>
        <w:t>b</w:t>
      </w:r>
      <w:r>
        <w:t xml:space="preserve">serva que la necesidad de tener mano de obra que </w:t>
      </w:r>
      <w:r>
        <w:br/>
        <w:t>recoja el algodón ha impedido a Uzbekistán ratificar el Convenio No. 182 de la Organización Internacional del Trabajo (OIT) sobre el trabajo infantil.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Ando</w:t>
      </w:r>
      <w:r>
        <w:t xml:space="preserve"> se pregunta si el párrafo 155 del i</w:t>
      </w:r>
      <w:r>
        <w:t>n</w:t>
      </w:r>
      <w:r>
        <w:t>forme, relativo a las personas reasentadas, constituye la respuesta de Uzbekistán a las observaciones finales del Comité sobre su informe inicial; de ser así, se precisan más detalles, por ejemplo, en lo que respecta a la i</w:t>
      </w:r>
      <w:r>
        <w:t>n</w:t>
      </w:r>
      <w:r>
        <w:t>demnización que esas personas perciben.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Saidov</w:t>
      </w:r>
      <w:r>
        <w:t xml:space="preserve"> (Uzbekistán) dice que, de confo</w:t>
      </w:r>
      <w:r>
        <w:t>r</w:t>
      </w:r>
      <w:r>
        <w:t>midad con la Declaración y Programa de Acción de Viena, se han creado instituciones nacionales de pr</w:t>
      </w:r>
      <w:r>
        <w:t>o</w:t>
      </w:r>
      <w:r>
        <w:t>moción de los derechos humanos, consistentes en un Defensor del Ciudadano parlamentario, el Centro N</w:t>
      </w:r>
      <w:r>
        <w:t>a</w:t>
      </w:r>
      <w:r>
        <w:t>cional de Derechos Humanos y un mecanismo parl</w:t>
      </w:r>
      <w:r>
        <w:t>a</w:t>
      </w:r>
      <w:r>
        <w:t>mentario de supervisión de las medidas legislativas. Además, se ha creado una red de organizaciones no gubernamentales, de la que forman parte las que se ocupan de los der</w:t>
      </w:r>
      <w:r>
        <w:t>e</w:t>
      </w:r>
      <w:r>
        <w:t>chos humanos.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año pasado, el Parlamento promulgó una nueva ley que amplía las facultades del Defensor del Ciud</w:t>
      </w:r>
      <w:r>
        <w:t>a</w:t>
      </w:r>
      <w:r>
        <w:t>dano y garantiza su independencia. Actualmente, el Defensor del Ciudadano recibe más de 5.000 quejas de ciudadanos al año, número que va en aumento. Durante el decenio anterior, el Centro Nacional de Derechos Humanos publicó más de 100 tratados internacionales de der</w:t>
      </w:r>
      <w:r>
        <w:t>e</w:t>
      </w:r>
      <w:r>
        <w:t>chos humanos en uzbeko.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Parlamento va a efectuar un examen de la Ley de secretos estatales, promulgada hace diez años, a fin de asegurar la trasparencia en la esfera de la justicia penal.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las elecciones parlamentarias del año anterior participaron cinco partidos políticos. Además, un nu</w:t>
      </w:r>
      <w:r>
        <w:t>e</w:t>
      </w:r>
      <w:r>
        <w:t>vo sistema autorizó la presentación a las elecciones de candidatos independientes, hecho éste de suma impo</w:t>
      </w:r>
      <w:r>
        <w:t>r</w:t>
      </w:r>
      <w:r>
        <w:t>tancia, ya que únicamente 1 millón de personas de los 26 millones de habitantes del país son miembros de los cinco partidos políticos mencionados.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cuanto a qué constituye una respuesta “of</w:t>
      </w:r>
      <w:r>
        <w:t>i</w:t>
      </w:r>
      <w:r>
        <w:t>cial”, su delegación no entiende por qué algunos miembros del Comité ponen en tela de juicio el cará</w:t>
      </w:r>
      <w:r>
        <w:t>c</w:t>
      </w:r>
      <w:r>
        <w:t>ter de sus respuestas y solicitan más información “of</w:t>
      </w:r>
      <w:r>
        <w:t>i</w:t>
      </w:r>
      <w:r>
        <w:t>cial” sobre una cuestión. La delegación ha sido facu</w:t>
      </w:r>
      <w:r>
        <w:t>l</w:t>
      </w:r>
      <w:r>
        <w:t>tada por el Gobierno para facilitar respuestas oficiales, y todas sus respuestas representan la opinión del G</w:t>
      </w:r>
      <w:r>
        <w:t>o</w:t>
      </w:r>
      <w:r>
        <w:t>bierno. Tal vez por limitaciones de tiempo, su deleg</w:t>
      </w:r>
      <w:r>
        <w:t>a</w:t>
      </w:r>
      <w:r>
        <w:t>ción no ha sido capaz de dar respuestas tan exhaustivas como las que el Comité hubiere podido desear, pero, sea como fuere, su delegación facilitará respuestas d</w:t>
      </w:r>
      <w:r>
        <w:t>e</w:t>
      </w:r>
      <w:r>
        <w:t>talladas por escrito a las preguntas específicas en el plazo de un mes.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cuanto al tiempo que los jueces desempeñan sus funciones, el orador está de acuerdo en que debe aumentarse a diez años. Por lo que se refiere a por qué es el Presidente quien designa a los jueces, en muchos países existe un sistema similar. Acerca de cómo se determina si un juez desempeña a conciencia sus deb</w:t>
      </w:r>
      <w:r>
        <w:t>e</w:t>
      </w:r>
      <w:r>
        <w:t>res profesionales, existe un Comité Supremo de Calif</w:t>
      </w:r>
      <w:r>
        <w:t>i</w:t>
      </w:r>
      <w:r>
        <w:t>cación, que rinde cuentas al Presidente, encargado de valorar las actividades desempeñadas por los jueces.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No debe sorprender que se haya establecido entre Uzbekistán y sus países vecinos (Tayikistán, Tur</w:t>
      </w:r>
      <w:r>
        <w:t>k</w:t>
      </w:r>
      <w:r>
        <w:t>menistán y Kirguistán) procedimientos de visado de entrada y salida de sus territorios. Todos ellos son E</w:t>
      </w:r>
      <w:r>
        <w:t>s</w:t>
      </w:r>
      <w:r>
        <w:t>tados soberanos y cada Estado determina sus propios procedimientos de entrada y salida en y de su territorio.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Las leyes de Uzbekistán relativas a la libertad de conciencia y religión prohíben el proselitismo religi</w:t>
      </w:r>
      <w:r>
        <w:t>o</w:t>
      </w:r>
      <w:r>
        <w:t>so, porque los uzbekos profesan 14 religiones difere</w:t>
      </w:r>
      <w:r>
        <w:t>n</w:t>
      </w:r>
      <w:r>
        <w:t>tes y un llamamiento declarado a adoptar otra fe podría provocar tensiones interétnicas. Además, más del 80% de la población profesa el Islam. También existe el riesgo de incitar al extremismo religioso; los actos t</w:t>
      </w:r>
      <w:r>
        <w:t>e</w:t>
      </w:r>
      <w:r>
        <w:t>rroristas perpetrados más recientemente en Uzbekistán han sido cometidos por extremistas.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cuanto al caso Sharipov, dice que se le ha d</w:t>
      </w:r>
      <w:r>
        <w:t>a</w:t>
      </w:r>
      <w:r>
        <w:t>do amplia publicidad por un conocimiento insuficiente de la legislación penal de Uzbekistán. El Sr. Sharipov ha sido encarcelado no sólo por homosexualidad, sino también acusado de pedofilia y de hacer participar a menores en actividades antisociales. Los expertos e</w:t>
      </w:r>
      <w:r>
        <w:t>x</w:t>
      </w:r>
      <w:r>
        <w:t>tranjeros deberían haber ahondado más en los motivos de su detención. El Gobierno niega haber recibido en ningún m</w:t>
      </w:r>
      <w:r>
        <w:t>o</w:t>
      </w:r>
      <w:r>
        <w:t>mento una carta del Sr. Sharipov.</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cuanto a por qué no se han creado partidas de la posición, es una pregunta que debería ser formulada a los ciudadanos; incluso el Presidente ha alentado a que se cr</w:t>
      </w:r>
      <w:r>
        <w:t>e</w:t>
      </w:r>
      <w:r>
        <w:t>en.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Uzbekistán, donde el 40% de la población tiene menos de 18 años de edad, ha ratificado la mayoría de los convenios internacionales de protección de la i</w:t>
      </w:r>
      <w:r>
        <w:t>n</w:t>
      </w:r>
      <w:r>
        <w:t>fancia, comprendidos los convenios de la OIT. Aunque está prohibido el trabajo infantil, el orador reconoce que en las actividades agrícolas persiste cierta cantidad de trabajo infa</w:t>
      </w:r>
      <w:r>
        <w:t>n</w:t>
      </w:r>
      <w:r>
        <w:t>til.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Las respuestas escritas al Gobierno han inform</w:t>
      </w:r>
      <w:r>
        <w:t>a</w:t>
      </w:r>
      <w:r>
        <w:t>do plenamente acerca del reasentamiento de poblaci</w:t>
      </w:r>
      <w:r>
        <w:t>o</w:t>
      </w:r>
      <w:r>
        <w:t>nes de Surxondaryo, región montañosa en la que se han infiltrado extremistas islámicos y donde se están ll</w:t>
      </w:r>
      <w:r>
        <w:t>e</w:t>
      </w:r>
      <w:r>
        <w:t>vando a cabo operaciones militares. El Gobierno ha reasentado a la población local para garantizar su der</w:t>
      </w:r>
      <w:r>
        <w:t>e</w:t>
      </w:r>
      <w:r>
        <w:t>cho a la vida. Sigue facilitándole los medios de su</w:t>
      </w:r>
      <w:r>
        <w:t>b</w:t>
      </w:r>
      <w:r>
        <w:t>sistencia necesarios y se ha indemnizado a unas 1.300 personas re</w:t>
      </w:r>
      <w:r>
        <w:t>a</w:t>
      </w:r>
      <w:r>
        <w:t>sentadas.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Sharafuntdinov</w:t>
      </w:r>
      <w:r>
        <w:t xml:space="preserve"> (Uzbekistán) dice que t</w:t>
      </w:r>
      <w:r>
        <w:t>o</w:t>
      </w:r>
      <w:r>
        <w:t>dos los años se decreta una amnistía presidencial, que da a decenas de miles de presos la posibilidad de reto</w:t>
      </w:r>
      <w:r>
        <w:t>r</w:t>
      </w:r>
      <w:r>
        <w:t>nar a la vida normal. Desde la independencia el Pres</w:t>
      </w:r>
      <w:r>
        <w:t>i</w:t>
      </w:r>
      <w:r>
        <w:t>dente ha promulgado 15 amnistías y desde 1997 se ha indultado a más de 200.000 personas. Las amnistías se aplican a personas convictas de delitos menos graves; a las personas de más de 60 años de edad, las mujeres y los menores de edad y, recientemente, a los extranj</w:t>
      </w:r>
      <w:r>
        <w:t>e</w:t>
      </w:r>
      <w:r>
        <w:t>ros; y a las personas convictas de afiliación a grupos religiosos extremistas, pero que se han enmendado. Forman asimismo parte de las amnistías reducciones de p</w:t>
      </w:r>
      <w:r>
        <w:t>e</w:t>
      </w:r>
      <w:r>
        <w:t>nas.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Saidov</w:t>
      </w:r>
      <w:r>
        <w:t xml:space="preserve"> (Uzbekistán), quien corrige una d</w:t>
      </w:r>
      <w:r>
        <w:t>e</w:t>
      </w:r>
      <w:r>
        <w:t>claración anterior, dice que la persona convicta de t</w:t>
      </w:r>
      <w:r>
        <w:t>e</w:t>
      </w:r>
      <w:r>
        <w:t>rrorismo tiene derecho a solicitar un abogado defensor desde el momento en que se da a conocer que es sosp</w:t>
      </w:r>
      <w:r>
        <w:t>e</w:t>
      </w:r>
      <w:r>
        <w:t>chosa, o bien desde el momento de su detención.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corrupción es realmente un problema. En el curso de una sesión del Parlamento, el Presidente K</w:t>
      </w:r>
      <w:r>
        <w:t>a</w:t>
      </w:r>
      <w:r>
        <w:t>rimov exhortó a que se adoptase medidas más rigurosas contra cualquier señal de corrupción en Uzbekistán. La eficacia de esas medidas dependerá en gran parte de cómo combatan la corrupción los funcionarios enca</w:t>
      </w:r>
      <w:r>
        <w:t>r</w:t>
      </w:r>
      <w:r>
        <w:t>gados de hacer aplicar la ley, la fiscalía y la judicatura. Se están preparando medidas legislativas para combatir las malversaciones.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Sharafutdinov</w:t>
      </w:r>
      <w:r>
        <w:t xml:space="preserve"> (Uzbekistán) dice que el Gobierno está estudiando la experiencia de los países europeos y de los Estados Unidos de América en mat</w:t>
      </w:r>
      <w:r>
        <w:t>e</w:t>
      </w:r>
      <w:r>
        <w:t>ria de erradicación de la corru</w:t>
      </w:r>
      <w:r>
        <w:t>p</w:t>
      </w:r>
      <w:r>
        <w:t>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Tribunal Supremo ha analizado la cuestión de la admisibilidad de pruebas obtenidas de una persona carente de abogado defensor. En septiembre de 2004, determinó que toda prueba obtenida mediante una vi</w:t>
      </w:r>
      <w:r>
        <w:t>o</w:t>
      </w:r>
      <w:r>
        <w:t>lación del debido respeto a las garantías legales es inadmisible. Se están elaborando las correspondientes medidas legislativas basadas en esa se</w:t>
      </w:r>
      <w:r>
        <w:t>n</w:t>
      </w:r>
      <w:r>
        <w:t>tencia.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Sharafutdinov</w:t>
      </w:r>
      <w:r>
        <w:t xml:space="preserve"> (Uzbekistán) dice que se aplican los mismos requisitos procedimentales a las personas acusadas de actividades terroristas que a las sospech</w:t>
      </w:r>
      <w:r>
        <w:t>o</w:t>
      </w:r>
      <w:r>
        <w:t>sas de otros delitos.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Es de lamentar que en los locales de detención no exista equipamiento audiovisual. El Gobierno, con asistencia del Programa de las Naciones Unidas para el Desarrollo (PNUD) está equipando las celdas de aisl</w:t>
      </w:r>
      <w:r>
        <w:t>a</w:t>
      </w:r>
      <w:r>
        <w:t>miento y las celdas de detención temporal con esa te</w:t>
      </w:r>
      <w:r>
        <w:t>c</w:t>
      </w:r>
      <w:r>
        <w:t>nología para que se pueda supervisar las actuaciones previas a los juicios. Gracias a ese mecanismo se podrá determinar si se han empleado medidas ilegales, por ejemplo, torturas contra detenidos.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Sr. Gaziev</w:t>
      </w:r>
      <w:r>
        <w:t xml:space="preserve"> (Uzbekistán), a propósito de la in</w:t>
      </w:r>
      <w:r>
        <w:t>s</w:t>
      </w:r>
      <w:r>
        <w:t>cripción de las asociaciones públicas, comprendidos los partidos políticos, dice que dará ejemplos concr</w:t>
      </w:r>
      <w:r>
        <w:t>e</w:t>
      </w:r>
      <w:r>
        <w:t>tos: el de la Organización Política Musulmana y el del partido político Birlik. Ambas entidades han solicitado su inscripción ante el Ministerio de Justicia, pero se ha constatado que su documentación contravenía la ley. Por consiguiente, no se han aceptado sus solicitudes, aunque ambas organizaciones tienen derecho a volver a presentar la documentación pertinente, pero no lo han hecho hasta la fecha. En cuanto al Grupo Internacional Crisis y el Partido Democrático Erk, no han solicitado su inscripción. El Gobierno se ha negado a inscribir al Instituto para una Sociedad Abierta y el Frente de A</w:t>
      </w:r>
      <w:r>
        <w:t>c</w:t>
      </w:r>
      <w:r>
        <w:t>ción, en el caso del segundo porque muchas de sus a</w:t>
      </w:r>
      <w:r>
        <w:t>c</w:t>
      </w:r>
      <w:r>
        <w:t>tividades y la utilización de los fondos que hace no han sido transparentes.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Presidenta</w:t>
      </w:r>
      <w:r>
        <w:t xml:space="preserve"> señala la evolución positiva rec</w:t>
      </w:r>
      <w:r>
        <w:t>o</w:t>
      </w:r>
      <w:r>
        <w:t>gida en el informe de Uzbekistán, pero subraya que el Comité solicita más información acerca de la violencia contra la mujer, la represión de la homosexualidad, la tortura y los malos tratos perpetrados contra deten</w:t>
      </w:r>
      <w:r>
        <w:t>i</w:t>
      </w:r>
      <w:r>
        <w:t>dos y las posibles formas disimuladas de censura de partidos políticos y organizaciones no gubername</w:t>
      </w:r>
      <w:r>
        <w:t>n</w:t>
      </w:r>
      <w:r>
        <w:t>tales. Además, la exigencia de obtener un visado de salida para poder dejar el país parece contravenir el artículo 12 del Pacto. El Comité también desea obtener más detalles acerca de las actividades antiterroristas de Uzbekistán y de su definición de acto t</w:t>
      </w:r>
      <w:r>
        <w:t>e</w:t>
      </w:r>
      <w:r>
        <w:t>rrorista.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Saidov</w:t>
      </w:r>
      <w:r>
        <w:t xml:space="preserve"> (Uzbekistán) dice que se ha mant</w:t>
      </w:r>
      <w:r>
        <w:t>e</w:t>
      </w:r>
      <w:r>
        <w:t>nido un diálogo muy constructivo con el Comité y l</w:t>
      </w:r>
      <w:r>
        <w:t>a</w:t>
      </w:r>
      <w:r>
        <w:t>menta las incomprensiones que hayan podido produci</w:t>
      </w:r>
      <w:r>
        <w:t>r</w:t>
      </w:r>
      <w:r>
        <w:t>se. Su Gobierno valora altamente la labor del Comité, que es muy instructiva para sus informes nacionales y para los exámenes de las quejas individuales formul</w:t>
      </w:r>
      <w:r>
        <w:t>a</w:t>
      </w:r>
      <w:r>
        <w:t>das acogiéndose al Protocolo Facultativo. El Gobierno también valora altamente las más de 30 observaciones generales formuladas por el Comité y aguarda con int</w:t>
      </w:r>
      <w:r>
        <w:t>e</w:t>
      </w:r>
      <w:r>
        <w:t>rés sus observaciones finales, que constituirán la base de las actividades de Uzbekistán para poner en práctica las disposiciones del Pacto. Su Gobierno combatirá a ultranza las violaciones de los derechos humanos y atribuye gran importancia a proseguir el diálogo con el Comité.</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delegación de Uzbekistán se retira.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Se suspende la sesión a las 15.55 horas y se re</w:t>
      </w:r>
      <w:r>
        <w:t>a</w:t>
      </w:r>
      <w:r>
        <w:t>nuda a las 16.15 horas.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spacing w:val="0"/>
          <w:w w:val="100"/>
        </w:rPr>
      </w:pPr>
      <w:r>
        <w:rPr>
          <w:b/>
          <w:spacing w:val="0"/>
          <w:w w:val="100"/>
        </w:rPr>
        <w:t>La Sra. Palm</w:t>
      </w:r>
      <w:r>
        <w:rPr>
          <w:spacing w:val="0"/>
          <w:w w:val="100"/>
        </w:rPr>
        <w:t>, Vicepresidenta, ocupa la Preside</w:t>
      </w:r>
      <w:r>
        <w:rPr>
          <w:spacing w:val="0"/>
          <w:w w:val="100"/>
        </w:rPr>
        <w:t>n</w:t>
      </w:r>
      <w:r>
        <w:rPr>
          <w:spacing w:val="0"/>
          <w:w w:val="100"/>
        </w:rPr>
        <w:t>cia.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Informe inicial de Grecia </w:t>
      </w:r>
      <w:r>
        <w:rPr>
          <w:i w:val="0"/>
        </w:rPr>
        <w:t>(CCPR/C/83/L/GRC y CCPR/C/GCR/2004/1)</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Talalian</w:t>
      </w:r>
      <w:r>
        <w:t xml:space="preserve"> (Grecia), quien presenta el i</w:t>
      </w:r>
      <w:r>
        <w:t>n</w:t>
      </w:r>
      <w:r>
        <w:t>forme de su país (CCPR/C/GRC/2004/1), dice que, i</w:t>
      </w:r>
      <w:r>
        <w:t>n</w:t>
      </w:r>
      <w:r>
        <w:t>mediatamente después de que Grecia ratificara el Pacto en 1997, los tribunales griegos reconocieron su prim</w:t>
      </w:r>
      <w:r>
        <w:t>a</w:t>
      </w:r>
      <w:r>
        <w:t xml:space="preserve">cía sobre las leyes nacionales y que sus disposiciones se aplican cada vez más de manera directa. Además, se ha invocado el Pacto para colmar las lagunas de la </w:t>
      </w:r>
      <w:r>
        <w:rPr>
          <w:spacing w:val="2"/>
        </w:rPr>
        <w:t>Constitución en lo que se refiere a la protección jud</w:t>
      </w:r>
      <w:r>
        <w:rPr>
          <w:spacing w:val="2"/>
        </w:rPr>
        <w:t>i</w:t>
      </w:r>
      <w:r>
        <w:rPr>
          <w:spacing w:val="2"/>
        </w:rPr>
        <w:t>cial</w:t>
      </w:r>
      <w:r>
        <w:t>.</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Habiendo pasado recientemente de ser un país de emigración a ser un país de inmigración, Grecia está tratando de establecer un ordenamiento jurídico fu</w:t>
      </w:r>
      <w:r>
        <w:t>n</w:t>
      </w:r>
      <w:r>
        <w:t>cional que proteja los derechos de los inmigrantes. Aunque el rápido aumento de la población migrante no ha provocado odio racial, las autoridades se esfuerzan en inculcar a los ciudadanos los principios de los der</w:t>
      </w:r>
      <w:r>
        <w:t>e</w:t>
      </w:r>
      <w:r>
        <w:t>chos humanos y la tolerancia y se ha adoptado una s</w:t>
      </w:r>
      <w:r>
        <w:t>e</w:t>
      </w:r>
      <w:r>
        <w:t>rie de medidas legislativas pertinentes para combatir el racismo y la intolerancia en los medios de comunic</w:t>
      </w:r>
      <w:r>
        <w:t>a</w:t>
      </w:r>
      <w:r>
        <w:t>ción. El mes pasado, el Parlamento aprobó una ley por la que se transpone en la legislación nacional las dire</w:t>
      </w:r>
      <w:r>
        <w:t>c</w:t>
      </w:r>
      <w:r>
        <w:t>tivas de la Unión Europea para luchar contra la discr</w:t>
      </w:r>
      <w:r>
        <w:t>i</w:t>
      </w:r>
      <w:r>
        <w:t>minación y recientemente ha ratificado el Protocolo No. 13 de la Convención europea para la protección de los derechos humanos y de las libertades fundament</w:t>
      </w:r>
      <w:r>
        <w:t>a</w:t>
      </w:r>
      <w:r>
        <w:t>les, relativo a la abolición de la pena de muerte. La ley por la que se ha ratificado el Protocolo suprime todas las referencias a la pena de muerte en el Código Penal Mil</w:t>
      </w:r>
      <w:r>
        <w:t>i</w:t>
      </w:r>
      <w:r>
        <w:t>tar.</w:t>
      </w:r>
    </w:p>
    <w:p w:rsidR="00000000" w:rsidRDefault="00000000">
      <w:pPr>
        <w:pStyle w:val="DualTxt"/>
        <w:numPr>
          <w:ilvl w:val="0"/>
          <w:numId w:val="3"/>
        </w:numPr>
        <w:tabs>
          <w:tab w:val="clear" w:pos="960"/>
          <w:tab w:val="left" w:pos="475"/>
          <w:tab w:val="left" w:pos="965"/>
        </w:tabs>
        <w:rPr>
          <w:spacing w:val="2"/>
        </w:rPr>
      </w:pPr>
      <w:r>
        <w:rPr>
          <w:spacing w:val="2"/>
        </w:rPr>
        <w:t>Se han promulgado nuevas medidas legislativas y se han adoptado iniciativas para impedir y sancionar r</w:t>
      </w:r>
      <w:r>
        <w:rPr>
          <w:spacing w:val="2"/>
        </w:rPr>
        <w:t>i</w:t>
      </w:r>
      <w:r>
        <w:rPr>
          <w:spacing w:val="2"/>
        </w:rPr>
        <w:t>gurosamente la trata de seres humanos y, gracias a ello, ya se ha desmantelado varias redes de delincuencia o</w:t>
      </w:r>
      <w:r>
        <w:rPr>
          <w:spacing w:val="2"/>
        </w:rPr>
        <w:t>r</w:t>
      </w:r>
      <w:r>
        <w:rPr>
          <w:spacing w:val="2"/>
        </w:rPr>
        <w:t>ganizada y se ha prestado asistencia a sus víct</w:t>
      </w:r>
      <w:r>
        <w:rPr>
          <w:spacing w:val="2"/>
        </w:rPr>
        <w:t>i</w:t>
      </w:r>
      <w:r>
        <w:rPr>
          <w:spacing w:val="2"/>
        </w:rPr>
        <w:t>mas.</w:t>
      </w:r>
    </w:p>
    <w:p w:rsidR="00000000" w:rsidRDefault="00000000">
      <w:pPr>
        <w:pStyle w:val="DualTxt"/>
        <w:numPr>
          <w:ilvl w:val="0"/>
          <w:numId w:val="3"/>
        </w:numPr>
        <w:tabs>
          <w:tab w:val="clear" w:pos="960"/>
          <w:tab w:val="left" w:pos="475"/>
          <w:tab w:val="left" w:pos="965"/>
        </w:tabs>
      </w:pPr>
      <w:r>
        <w:t>También se han adoptado nuevas medidas para incorporar el respeto de los derechos humanos en la deontología de la policía, establecer un marco jurídico del empleo de armas de fuego por la policía y aumentar la eficacia del reglamento di</w:t>
      </w:r>
      <w:r>
        <w:t>s</w:t>
      </w:r>
      <w:r>
        <w:t>ciplinario de la policía.</w:t>
      </w:r>
    </w:p>
    <w:p w:rsidR="00000000" w:rsidRDefault="00000000">
      <w:pPr>
        <w:pStyle w:val="DualTxt"/>
        <w:numPr>
          <w:ilvl w:val="0"/>
          <w:numId w:val="3"/>
        </w:numPr>
        <w:tabs>
          <w:tab w:val="clear" w:pos="960"/>
          <w:tab w:val="left" w:pos="475"/>
          <w:tab w:val="left" w:pos="965"/>
        </w:tabs>
      </w:pPr>
      <w:r>
        <w:t>El Ministerio del Interior coopera sistemátic</w:t>
      </w:r>
      <w:r>
        <w:t>a</w:t>
      </w:r>
      <w:r>
        <w:t>mente con los representantes de los romaníes en torno a medidas para mejorar sus condiciones de vida e int</w:t>
      </w:r>
      <w:r>
        <w:t>e</w:t>
      </w:r>
      <w:r>
        <w:t>grarlos en la sociedad griega. Se están ejecutando pr</w:t>
      </w:r>
      <w:r>
        <w:t>o</w:t>
      </w:r>
      <w:r>
        <w:t>gramas que tienen por objeto facilitar prestamos hip</w:t>
      </w:r>
      <w:r>
        <w:t>o</w:t>
      </w:r>
      <w:r>
        <w:t>tecarios, transferirles viviendas y construir otras, au</w:t>
      </w:r>
      <w:r>
        <w:t>n</w:t>
      </w:r>
      <w:r>
        <w:t>que en ocasiones sean de carácter te</w:t>
      </w:r>
      <w:r>
        <w:t>m</w:t>
      </w:r>
      <w:r>
        <w:t>poral.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Ha mejorado más la situación de la minoría m</w:t>
      </w:r>
      <w:r>
        <w:t>u</w:t>
      </w:r>
      <w:r>
        <w:t>sulmana de Tracia, cuyos miembros disfrutan de los mismos derechos y protecciones jurídicas que la may</w:t>
      </w:r>
      <w:r>
        <w:t>o</w:t>
      </w:r>
      <w:r>
        <w:t>ría de la población y se benefician de medidas positivas en materia de educación, religión y cultura.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Presidenta</w:t>
      </w:r>
      <w:r>
        <w:t xml:space="preserve"> invita a la delegación a abordar la lista de cuesti</w:t>
      </w:r>
      <w:r>
        <w:t>o</w:t>
      </w:r>
      <w:r>
        <w:t>nes (CCPR/C/83/L/GRC).</w:t>
      </w:r>
    </w:p>
    <w:p w:rsidR="00000000" w:rsidRDefault="00000000">
      <w:pPr>
        <w:pStyle w:val="SingleTxt"/>
        <w:tabs>
          <w:tab w:val="clear" w:pos="1742"/>
        </w:tabs>
        <w:spacing w:after="0" w:line="120" w:lineRule="exact"/>
        <w:ind w:left="0"/>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Marco constitucional y jurídico en que se aplica el Pacto (artículos 2 y 4 del Pacto).</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Kourakis</w:t>
      </w:r>
      <w:r>
        <w:t xml:space="preserve"> (Grecia), refiriéndose a la pr</w:t>
      </w:r>
      <w:r>
        <w:t>e</w:t>
      </w:r>
      <w:r>
        <w:t>gunta 1, dice que el Gobierno ha ratificado todos los convenios de las Naciones Unidas relativos al terrori</w:t>
      </w:r>
      <w:r>
        <w:t>s</w:t>
      </w:r>
      <w:r>
        <w:t>mo y ratificará en breve la Convención de las Naciones Unidas contra la Delincuencia Transnacional Organ</w:t>
      </w:r>
      <w:r>
        <w:t>i</w:t>
      </w:r>
      <w:r>
        <w:t>zada y sus tres protocolos adicionales, así como el Protocolo por el que se enmienda el Convenio Europeo para la Represión del Terrorismo. Las principales leyes griegas en materia de terrorismo son la ley de 2001 que protege a los ciudadanos frente a actos punibles perp</w:t>
      </w:r>
      <w:r>
        <w:t>e</w:t>
      </w:r>
      <w:r>
        <w:t>trados por organizaciones criminales, enmendada en 2004 por una ley en virtud de la cual se implanta la o</w:t>
      </w:r>
      <w:r>
        <w:t>r</w:t>
      </w:r>
      <w:r>
        <w:t>den de detención europea en el ordenamiento jurídico griego. Ambas leyes respetan plenamente los derechos humanos de los acusados y han sido aprobadas por consenso por el Parlamento. El orador señala a la ate</w:t>
      </w:r>
      <w:r>
        <w:t>n</w:t>
      </w:r>
      <w:r>
        <w:t>ción de los presentes el párrafo 8 del artículo 40 de la ley de 2004, según el cual los delitos enumerados en él no constituyen actos de terrorismo si han sido comet</w:t>
      </w:r>
      <w:r>
        <w:t>i</w:t>
      </w:r>
      <w:r>
        <w:t>dos con objeto de establecer, salvaguardar o establecer un régimen democrático, llevar a cabo una acción en favor de la libertad o ejercer los derechos o libertades fundamentales consagrados en la Constitución. Por consiguiente, las manifestaciones pacíficas no serán nunca actos de terrorismo. La ley de 2001 ha sido apl</w:t>
      </w:r>
      <w:r>
        <w:t>i</w:t>
      </w:r>
      <w:r>
        <w:t>cada en juicios de personas acusadas de pertenecer a organizaciones terroristas, en particular el grupo d</w:t>
      </w:r>
      <w:r>
        <w:t>e</w:t>
      </w:r>
      <w:r>
        <w:t>nominado “17 de noviembre”. Según el Presidente de la Comisión Nacional de Derechos Humanos, la ley ha logrado suprimir esa organización y se ha aplicado sin violar los derechos de los acusados. Así pues, la legi</w:t>
      </w:r>
      <w:r>
        <w:t>s</w:t>
      </w:r>
      <w:r>
        <w:t>lación griega contra el terrorismo ha demostrado ser suficiente y eficaz.</w:t>
      </w:r>
    </w:p>
    <w:p w:rsidR="00000000" w:rsidRDefault="00000000">
      <w:pPr>
        <w:pStyle w:val="DualTxt"/>
        <w:numPr>
          <w:ilvl w:val="0"/>
          <w:numId w:val="21"/>
        </w:numPr>
        <w:tabs>
          <w:tab w:val="clear" w:pos="960"/>
          <w:tab w:val="left" w:pos="475"/>
          <w:tab w:val="left" w:pos="965"/>
          <w:tab w:val="left" w:pos="1440"/>
          <w:tab w:val="left" w:pos="1915"/>
          <w:tab w:val="left" w:pos="2405"/>
          <w:tab w:val="left" w:pos="2880"/>
          <w:tab w:val="left" w:pos="3355"/>
        </w:tabs>
      </w:pPr>
      <w:r>
        <w:t>Por último, es creencia general que las medidas de contraterrorismo adoptadas en relación con los Ju</w:t>
      </w:r>
      <w:r>
        <w:t>e</w:t>
      </w:r>
      <w:r>
        <w:t>gos Olímpicos de 2004 han sido adecuadas y que los organismos encargados de hacer aplicar la ley no han violado los derechos humanos de los ciudadanos. Así pues, las medidas de lucha contra el terrorismo adopt</w:t>
      </w:r>
      <w:r>
        <w:t>a</w:t>
      </w:r>
      <w:r>
        <w:t>das desde 2001 no han menoscabado los derechos que el Pacto g</w:t>
      </w:r>
      <w:r>
        <w:t>a</w:t>
      </w:r>
      <w:r>
        <w:t>rantiza.</w:t>
      </w:r>
    </w:p>
    <w:p w:rsidR="00000000" w:rsidRDefault="00000000">
      <w:pPr>
        <w:pStyle w:val="DualTxt"/>
        <w:numPr>
          <w:ilvl w:val="0"/>
          <w:numId w:val="21"/>
        </w:numPr>
        <w:tabs>
          <w:tab w:val="clear" w:pos="960"/>
          <w:tab w:val="left" w:pos="475"/>
          <w:tab w:val="left" w:pos="965"/>
        </w:tabs>
      </w:pPr>
      <w:r>
        <w:rPr>
          <w:b/>
        </w:rPr>
        <w:t>La Sra. Telalian</w:t>
      </w:r>
      <w:r>
        <w:t xml:space="preserve"> (Grecia) añade que Grecia pa</w:t>
      </w:r>
      <w:r>
        <w:t>r</w:t>
      </w:r>
      <w:r>
        <w:t>ticipa activamente en los esfuerzos del Consejo de E</w:t>
      </w:r>
      <w:r>
        <w:t>u</w:t>
      </w:r>
      <w:r>
        <w:t>ropa para elaborar unos principios de la lucha contra el terrorismo basados en los derechos humanos y las d</w:t>
      </w:r>
      <w:r>
        <w:t>e</w:t>
      </w:r>
      <w:r>
        <w:t>bidas garantías procesales.</w:t>
      </w:r>
    </w:p>
    <w:p w:rsidR="00000000" w:rsidRDefault="00000000">
      <w:pPr>
        <w:pStyle w:val="DualTxt"/>
        <w:numPr>
          <w:ilvl w:val="0"/>
          <w:numId w:val="21"/>
        </w:numPr>
        <w:tabs>
          <w:tab w:val="clear" w:pos="960"/>
          <w:tab w:val="left" w:pos="475"/>
          <w:tab w:val="left" w:pos="965"/>
        </w:tabs>
      </w:pPr>
      <w:r>
        <w:rPr>
          <w:b/>
          <w:spacing w:val="0"/>
        </w:rPr>
        <w:t>El Sr. Gogos</w:t>
      </w:r>
      <w:r>
        <w:rPr>
          <w:spacing w:val="0"/>
        </w:rPr>
        <w:t xml:space="preserve"> (Grecia), refiriéndose a la pregunta 2,</w:t>
      </w:r>
      <w:r>
        <w:t xml:space="preserve"> dice que lo declarado en el párrafo 190 del informe está en consonancia con el artículo 4 del Pacto, el cual permite a los Estados partes adoptar, en circunstancias excepcionales y con arreglo a condiciones fijadas rig</w:t>
      </w:r>
      <w:r>
        <w:t>u</w:t>
      </w:r>
      <w:r>
        <w:t>rosamente, medidas que en tiempos normales no serían restricciones permisibles de los derechos establecidos en el Pacto. El artículo 48 de la Constitución somete las medidas de derogación y sus consecuencias juríd</w:t>
      </w:r>
      <w:r>
        <w:t>i</w:t>
      </w:r>
      <w:r>
        <w:t>cas a una serie de salvaguardas eficaces y define expl</w:t>
      </w:r>
      <w:r>
        <w:t>í</w:t>
      </w:r>
      <w:r>
        <w:t>citamente los requisitos previos necesarios para poder declarar el estado de sitio: todas las disposiciones constitucionales que prohíben la discriminación siguen vigentes y no se pueden violar en ninguna circunsta</w:t>
      </w:r>
      <w:r>
        <w:t>n</w:t>
      </w:r>
      <w:r>
        <w:t>cia los derechos individuales básicos. Desde la revisión de 1986 de la Constitución, ya no se puede declarar el estado de sitio en caso de producirse un trastorno grave o una amenaza evidente al orden público y la seguridad motivados por peligros internos. Además, el Parl</w:t>
      </w:r>
      <w:r>
        <w:t>a</w:t>
      </w:r>
      <w:r>
        <w:t>mento debe aprobar la declaración de estado de sitio y decidir qué derechos se derogarán en virtud de él, y d</w:t>
      </w:r>
      <w:r>
        <w:t>e</w:t>
      </w:r>
      <w:r>
        <w:t>sempeña una función esencial en la aprobación de las medidas que adopta el ejecutivo en el marco del estado de sitio. El estado de sitio no puede durar más de 15 días sin mediar otra decisión del Parlamento y, además, tiene por objeto restaurar el funcionamiento de las instituciones constitucionales lo antes posible. Además, como el Pacto prevalece sobre el orden</w:t>
      </w:r>
      <w:r>
        <w:t>a</w:t>
      </w:r>
      <w:r>
        <w:t>miento jurídico interno, sería inaplicable cualquier norma o decisión contraria a la Constitución o al art</w:t>
      </w:r>
      <w:r>
        <w:t>í</w:t>
      </w:r>
      <w:r>
        <w:t>culo 4 del Pacto.</w:t>
      </w:r>
    </w:p>
    <w:p w:rsidR="00000000" w:rsidRDefault="00000000">
      <w:pPr>
        <w:pStyle w:val="DualTxt"/>
        <w:numPr>
          <w:ilvl w:val="0"/>
          <w:numId w:val="21"/>
        </w:numPr>
        <w:tabs>
          <w:tab w:val="clear" w:pos="960"/>
          <w:tab w:val="left" w:pos="475"/>
          <w:tab w:val="left" w:pos="965"/>
          <w:tab w:val="left" w:pos="1440"/>
          <w:tab w:val="left" w:pos="1915"/>
          <w:tab w:val="left" w:pos="2405"/>
          <w:tab w:val="left" w:pos="2880"/>
          <w:tab w:val="left" w:pos="3355"/>
        </w:tabs>
      </w:pPr>
      <w:r>
        <w:t>Por último, el orador añade que no se ha declar</w:t>
      </w:r>
      <w:r>
        <w:t>a</w:t>
      </w:r>
      <w:r>
        <w:t>do en Grecia ningún estado de sitio en virtud de la Constit</w:t>
      </w:r>
      <w:r>
        <w:t>u</w:t>
      </w:r>
      <w:r>
        <w:t>ción de 1974.</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Prohibición de la discriminación y derecho </w:t>
      </w:r>
      <w:r>
        <w:br/>
        <w:t>a un recurso eficaz (artículo 2 del Pacto)</w:t>
      </w:r>
    </w:p>
    <w:p w:rsidR="00000000" w:rsidRDefault="00000000">
      <w:pPr>
        <w:pStyle w:val="DualTxt"/>
        <w:spacing w:after="0" w:line="120" w:lineRule="exact"/>
        <w:rPr>
          <w:sz w:val="10"/>
        </w:rPr>
      </w:pP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rPr>
          <w:b/>
        </w:rPr>
        <w:t>La Sra. Telalian</w:t>
      </w:r>
      <w:r>
        <w:t xml:space="preserve"> (Grecia), refiriéndose a la pr</w:t>
      </w:r>
      <w:r>
        <w:t>e</w:t>
      </w:r>
      <w:r>
        <w:t>gunta 3 dice que, aunque la Constitución reserva el di</w:t>
      </w:r>
      <w:r>
        <w:t>s</w:t>
      </w:r>
      <w:r>
        <w:t>frute de determinados derechos civiles a los ciudadanos griegos, no prohíbe en modo alguno el disfrute de los derechos civiles por los extranjeros; antes bien, remite las cuestiones pertinentes a los legisladores, quienes están obligados por las disposiciones constitucionales a no hacer distingos basados en la ciudadanía. Esas di</w:t>
      </w:r>
      <w:r>
        <w:t>s</w:t>
      </w:r>
      <w:r>
        <w:t>posiciones son el artículo 2, referente a la protección de la dignidad humana, y el párrafo 2 del artículo 5, que garantiza la plena protección de la vida, la honra y la libertad de todas las personas que viven en el territ</w:t>
      </w:r>
      <w:r>
        <w:t>o</w:t>
      </w:r>
      <w:r>
        <w:t>rio griego, sean cuales fueren su nacionalidad, etnia, idioma, religión o creencias pol</w:t>
      </w:r>
      <w:r>
        <w:t>í</w:t>
      </w:r>
      <w:r>
        <w:t>ticas.</w:t>
      </w: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t>Los legisladores deben también tener plenamente en cuenta y aplicar los tratados internacionales de d</w:t>
      </w:r>
      <w:r>
        <w:t>e</w:t>
      </w:r>
      <w:r>
        <w:t>rechos humanos que ha ratificado Grecia, que preval</w:t>
      </w:r>
      <w:r>
        <w:t>e</w:t>
      </w:r>
      <w:r>
        <w:t>cen sobre la legislación nacional y que pueden ser i</w:t>
      </w:r>
      <w:r>
        <w:t>n</w:t>
      </w:r>
      <w:r>
        <w:t>vocados directamente ante los tribunales. Por cons</w:t>
      </w:r>
      <w:r>
        <w:t>i</w:t>
      </w:r>
      <w:r>
        <w:t>guiente, los legisladores no pueden hacer distingos por motivos de ciudadanía, ya que los tratados internaci</w:t>
      </w:r>
      <w:r>
        <w:t>o</w:t>
      </w:r>
      <w:r>
        <w:t>nales de derechos humanos no distinguen entre naci</w:t>
      </w:r>
      <w:r>
        <w:t>o</w:t>
      </w:r>
      <w:r>
        <w:t>nales y extranjeros. En la práctica, todos los extranj</w:t>
      </w:r>
      <w:r>
        <w:t>e</w:t>
      </w:r>
      <w:r>
        <w:t>ros tienen libertad para establecer asociaciones y eje</w:t>
      </w:r>
      <w:r>
        <w:t>r</w:t>
      </w:r>
      <w:r>
        <w:t>cer la l</w:t>
      </w:r>
      <w:r>
        <w:t>i</w:t>
      </w:r>
      <w:r>
        <w:t>bertad de reunión pacífica.</w:t>
      </w: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t>El principio de no discriminación se refleja ad</w:t>
      </w:r>
      <w:r>
        <w:t>e</w:t>
      </w:r>
      <w:r>
        <w:t>más en el artículo 4 del Código Civil. Según un estudio comparado de la legislación constitucional, muchas constituciones europeas reservan los mismos derechos constitucionales a sus ciudadanos que la Constitución griega a los suyos. Ahora bien, el hecho de que por motivos históricos o de otra índole algunos derechos estén reservados a los nacionales no significa que se niegue esos derechos a los extranjeros, ni en la ley ni en el práctica. Por último, la oradora subraya que ni las organizaciones no gubernamentales, ni los abogados constitucionalistas, ni cualesquiera otros miembros de la sociedad civil han planteado esa cuestión durante la rev</w:t>
      </w:r>
      <w:r>
        <w:t>i</w:t>
      </w:r>
      <w:r>
        <w:t>sión de la Constitución efectuada en 2001.</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La igualdad entre los sexos y la prohibición </w:t>
      </w:r>
      <w:r>
        <w:br/>
        <w:t>de la discriminación (artículos 2, 3 y 26 del Pacto)</w:t>
      </w:r>
    </w:p>
    <w:p w:rsidR="00000000" w:rsidRDefault="00000000">
      <w:pPr>
        <w:pStyle w:val="DualTxt"/>
        <w:spacing w:after="0" w:line="120" w:lineRule="exact"/>
        <w:rPr>
          <w:sz w:val="10"/>
        </w:rPr>
      </w:pP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rPr>
          <w:b/>
        </w:rPr>
        <w:t>La Sra. Grigoriou</w:t>
      </w:r>
      <w:r>
        <w:t xml:space="preserve"> (Grecia), a propósito de la pregunta 4 dice que se han adoptado varias medidas en relación con las prioridades y actividades básicas de Grecia en materia de igualdad entre los sexos para el período 2004-2008, que tienen en cuenta las recome</w:t>
      </w:r>
      <w:r>
        <w:t>n</w:t>
      </w:r>
      <w:r>
        <w:t>daciones formuladas por el Comité para la Eliminación de la Discriminación contra la Mujer, en particular las referentes a la violencia en el hogar. Aunque esta vi</w:t>
      </w:r>
      <w:r>
        <w:t>o</w:t>
      </w:r>
      <w:r>
        <w:t>lencia ya es sancionable en virtud de las leyes existe</w:t>
      </w:r>
      <w:r>
        <w:t>n</w:t>
      </w:r>
      <w:r>
        <w:t>tes, es evidente que hacen falta nuevas medidas legi</w:t>
      </w:r>
      <w:r>
        <w:t>s</w:t>
      </w:r>
      <w:r>
        <w:t>lativas, cuya elaboración han solicitado las 11 parl</w:t>
      </w:r>
      <w:r>
        <w:t>a</w:t>
      </w:r>
      <w:r>
        <w:t>mentarias griegas a finales de 2004. Se ha establecido un comité de trabajo encargado de redactar un proyecto de ley que defina la violencia doméstica como delito específico. Una de las preocupaciones de ese comité es la prestación de apoyo financiero a las víctimas que no pueden dejar el hogar por razones puramente económ</w:t>
      </w:r>
      <w:r>
        <w:t>i</w:t>
      </w:r>
      <w:r>
        <w:t>cas. Se han adoptado medidas para educar a las víct</w:t>
      </w:r>
      <w:r>
        <w:t>i</w:t>
      </w:r>
      <w:r>
        <w:t>mas y sensibilizar a los ciudadanos. La Secretaría G</w:t>
      </w:r>
      <w:r>
        <w:t>e</w:t>
      </w:r>
      <w:r>
        <w:t>neral para la Igualdad entre los Sexos sigue colabora</w:t>
      </w:r>
      <w:r>
        <w:t>n</w:t>
      </w:r>
      <w:r>
        <w:t>do con ONG que llevan a cabo campañas de inform</w:t>
      </w:r>
      <w:r>
        <w:t>a</w:t>
      </w:r>
      <w:r>
        <w:t>ción y ha establecido centros de consulta y organizado conferencias para especialistas y miembros de prof</w:t>
      </w:r>
      <w:r>
        <w:t>e</w:t>
      </w:r>
      <w:r>
        <w:t>siones clave en los ámbitos local y regional. Además, el Centro de Investigaciones sobre Cuestiones de Igualdad presta a las víctimas apoyo psicológico y j</w:t>
      </w:r>
      <w:r>
        <w:t>u</w:t>
      </w:r>
      <w:r>
        <w:t>rídico y asesoramiento laboral en cinco ciudades i</w:t>
      </w:r>
      <w:r>
        <w:t>m</w:t>
      </w:r>
      <w:r>
        <w:t>portantes del país. La filial griega de la Red de Mujeres Europeas también ha creado una línea telefónica de u</w:t>
      </w:r>
      <w:r>
        <w:t>r</w:t>
      </w:r>
      <w:r>
        <w:t>gencia gratuita que abarca todo el país. Por último, la Secretaría General, junto con los servicios municipales, ha abierto albergues en Atenas y va a abrir otros en T</w:t>
      </w:r>
      <w:r>
        <w:t>e</w:t>
      </w:r>
      <w:r>
        <w:t>salónica. Varias organizaciones no gubernamentales prestan servicios similares en otras tres ciudades i</w:t>
      </w:r>
      <w:r>
        <w:t>m</w:t>
      </w:r>
      <w:r>
        <w:t>portantes, en cooperación con la S</w:t>
      </w:r>
      <w:r>
        <w:t>e</w:t>
      </w:r>
      <w:r>
        <w:t>cretaría General.</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El derecho a la vida y la prohibición de la</w:t>
      </w:r>
      <w:r>
        <w:br/>
        <w:t xml:space="preserve">tortura y de los tratos crueles, inhumanos </w:t>
      </w:r>
      <w:r>
        <w:br/>
        <w:t>o degradantes (artículos 6 y 7 del Pacto)</w:t>
      </w:r>
    </w:p>
    <w:p w:rsidR="00000000" w:rsidRDefault="00000000">
      <w:pPr>
        <w:pStyle w:val="DualTxt"/>
        <w:spacing w:after="0" w:line="120" w:lineRule="exact"/>
        <w:rPr>
          <w:sz w:val="10"/>
        </w:rPr>
      </w:pP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rPr>
          <w:b/>
        </w:rPr>
        <w:t>El Sr. Stavrou</w:t>
      </w:r>
      <w:r>
        <w:t xml:space="preserve"> (Grecia), a propósito de la pr</w:t>
      </w:r>
      <w:r>
        <w:t>e</w:t>
      </w:r>
      <w:r>
        <w:t>gunta 5, dice que se ha adoptado una serie de medidas para asegurar el pleno respeto del derecho a la vida, prevenir y sancionar los malos tratos y aumentar la responsabilización de los funcionarios de policía. Al respecto, remite a la ley de 2003 titulada “Porte y e</w:t>
      </w:r>
      <w:r>
        <w:t>m</w:t>
      </w:r>
      <w:r>
        <w:t>pleo de armas de fuego por las fuerzas de policía, fo</w:t>
      </w:r>
      <w:r>
        <w:t>r</w:t>
      </w:r>
      <w:r>
        <w:t>mación al respecto y otras disposiciones”. En 2004, Grecia adoptó un código de deontología policial del que forman parte normas y orientaciones concretas s</w:t>
      </w:r>
      <w:r>
        <w:t>o</w:t>
      </w:r>
      <w:r>
        <w:t>bre el respeto de los derechos humanos y la protección de los colectivos vulnerables. En virtud de la Ley Di</w:t>
      </w:r>
      <w:r>
        <w:t>s</w:t>
      </w:r>
      <w:r>
        <w:t>ciplinaria del Personal de Policía de 1996, se ordena realizar investigaciones administrativas bajo juramento de todas las denuncias de comportamiento incorrecto de funcionarios de policía y se han adoptado medidas para facilitar las investigaci</w:t>
      </w:r>
      <w:r>
        <w:t>o</w:t>
      </w:r>
      <w:r>
        <w:t>nes.</w:t>
      </w: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t>Las demoras que pudieren ocurrir no son indicio de intentos de echar tierra sobre las denuncias o de i</w:t>
      </w:r>
      <w:r>
        <w:t>m</w:t>
      </w:r>
      <w:r>
        <w:t>punidad, sino que se deben a la observancia estricta de las normas procedimentales. La policía está sometida a control judicial y administrativo. El Defensor del Ci</w:t>
      </w:r>
      <w:r>
        <w:t>u</w:t>
      </w:r>
      <w:r>
        <w:t>dadano tiene competencia para supervisar la legalidad de las actuaciones disciplinarias y formular recome</w:t>
      </w:r>
      <w:r>
        <w:t>n</w:t>
      </w:r>
      <w:r>
        <w:t>daciones cuando sea preciso hacerlo. El Ministerio de Orden Público ha reaccionado inmediatamente ante un informe reciente del Defensor del Ciudadano referente a malos tratos perpetrados por la policía y ha creado un comité encargado de examinar la legislación vigente. Por consiguiente, las alegaciones de que los funcion</w:t>
      </w:r>
      <w:r>
        <w:t>a</w:t>
      </w:r>
      <w:r>
        <w:t>rios encargados de hacer cumplir la ley disfrutan de impunidad carecen claramente de fundamento y las d</w:t>
      </w:r>
      <w:r>
        <w:t>e</w:t>
      </w:r>
      <w:r>
        <w:t>nuncias de malos tratos corresponden a casos aisl</w:t>
      </w:r>
      <w:r>
        <w:t>a</w:t>
      </w:r>
      <w:r>
        <w:t>dos.</w:t>
      </w: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t>En cuanto a los recursos jurídicos, en virtud del Código de Procedimiento Penal, las víctimas de un s</w:t>
      </w:r>
      <w:r>
        <w:t>u</w:t>
      </w:r>
      <w:r>
        <w:t>puesto uso excesivo de la fuerza por la policía pueden reclamar daños y perjuicios en tanto en que partes c</w:t>
      </w:r>
      <w:r>
        <w:t>i</w:t>
      </w:r>
      <w:r>
        <w:t>viles en una actuación penal y, en virtud de la Ley I</w:t>
      </w:r>
      <w:r>
        <w:t>n</w:t>
      </w:r>
      <w:r>
        <w:t>troductoria del Código Civil, el Estado debe indemn</w:t>
      </w:r>
      <w:r>
        <w:t>i</w:t>
      </w:r>
      <w:r>
        <w:t>zar a cualquier persona víctima de actos u omisiones ilegales por parte de agentes estatales.</w:t>
      </w: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t>Por último, el orador reitera la determinación de Grecia de evitar la propagación del racismo y la xen</w:t>
      </w:r>
      <w:r>
        <w:t>o</w:t>
      </w:r>
      <w:r>
        <w:t>fobia e</w:t>
      </w:r>
      <w:r>
        <w:t>n</w:t>
      </w:r>
      <w:r>
        <w:t>tre las fuerzas de policía.</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Prohibición de la esclavitud y del trabajo forzado u obligatorio (artículos 3, 7, 8 y 24 del Pacto)</w:t>
      </w:r>
    </w:p>
    <w:p w:rsidR="00000000" w:rsidRDefault="00000000">
      <w:pPr>
        <w:pStyle w:val="DualTxt"/>
        <w:spacing w:after="0" w:line="120" w:lineRule="exact"/>
        <w:rPr>
          <w:sz w:val="10"/>
        </w:rPr>
      </w:pP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rPr>
          <w:b/>
        </w:rPr>
        <w:t>La Sra. Despotopoulou</w:t>
      </w:r>
      <w:r>
        <w:t xml:space="preserve"> (Grecia), refiriéndose a la pregunta 6, dice que, de enero a mediados de octubre de 2004, la policía investigó 50 casos de violación de la legislación contra la trata de personas. Se ha incu</w:t>
      </w:r>
      <w:r>
        <w:t>l</w:t>
      </w:r>
      <w:r>
        <w:t>pado a 225 personas. Treinta y cuatro de las 156 víct</w:t>
      </w:r>
      <w:r>
        <w:t>i</w:t>
      </w:r>
      <w:r>
        <w:t>mas han recibido asistencia y protección del Estado y de ONG y se ha suspendido la expulsión de 17 de ellas. La oradora subraya que la mayoría de las víctimas r</w:t>
      </w:r>
      <w:r>
        <w:t>e</w:t>
      </w:r>
      <w:r>
        <w:t>sidían legalmente en el país y, por consiguiente, no d</w:t>
      </w:r>
      <w:r>
        <w:t>e</w:t>
      </w:r>
      <w:r>
        <w:t>seaban ser colocadas bajo la protección del Estado. El Gobierno ha adoptado un plan de acción nacional co</w:t>
      </w:r>
      <w:r>
        <w:t>n</w:t>
      </w:r>
      <w:r>
        <w:t>tra la trata de personas y creado un Comité de Coord</w:t>
      </w:r>
      <w:r>
        <w:t>i</w:t>
      </w:r>
      <w:r>
        <w:t>nación Interministerial para facilitar la comunicación dentro del Gobierno y entre éste, las ONG y los as</w:t>
      </w:r>
      <w:r>
        <w:t>o</w:t>
      </w:r>
      <w:r>
        <w:t>ciados internacionales. El Comité tiene por misión v</w:t>
      </w:r>
      <w:r>
        <w:t>e</w:t>
      </w:r>
      <w:r>
        <w:t>lar por que se enjuicie a los tratantes de personas, r</w:t>
      </w:r>
      <w:r>
        <w:t>e</w:t>
      </w:r>
      <w:r>
        <w:t>mitir a las víctimas a los refugios y protegerlas de la deportación y sensibilizar a los ciudadanos. Las med</w:t>
      </w:r>
      <w:r>
        <w:t>i</w:t>
      </w:r>
      <w:r>
        <w:t>das adoptadas para proteger a las víctimas consisten en la creación de un grupo de trabajo para luchar contra la trata de seres humanos, escuadras especiales contra la trata y las redes internacionales; formación compl</w:t>
      </w:r>
      <w:r>
        <w:t>e</w:t>
      </w:r>
      <w:r>
        <w:t>mentaria de jueces y fiscales y asignación de fiscales especiales; creación de una línea telefónica de urgencia y prestación de servicios a las víctimas, entre ellos as</w:t>
      </w:r>
      <w:r>
        <w:t>e</w:t>
      </w:r>
      <w:r>
        <w:t>soramiento jurídico gratuito y programas de repatri</w:t>
      </w:r>
      <w:r>
        <w:t>a</w:t>
      </w:r>
      <w:r>
        <w:t>ción de víctimas extranjeras; medidas legislativas por las que se conceden permisos de residencia a las víct</w:t>
      </w:r>
      <w:r>
        <w:t>i</w:t>
      </w:r>
      <w:r>
        <w:t>mas; financiación complementaria de ONG; acuerdos con los países vecinos, entre ellos un acuerdo bilateral con Albania; y creación de una b</w:t>
      </w:r>
      <w:r>
        <w:t>a</w:t>
      </w:r>
      <w:r>
        <w:t>se de datos nacional.</w:t>
      </w: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t>Como los tratantes de personas se ajustan al r</w:t>
      </w:r>
      <w:r>
        <w:t>e</w:t>
      </w:r>
      <w:r>
        <w:t>forzamiento de la legislación, seguirá siendo difícil r</w:t>
      </w:r>
      <w:r>
        <w:t>e</w:t>
      </w:r>
      <w:r>
        <w:t>conocer a las víctimas y remitirlas a los organismos pertinentes. Como ha observado recientemente el R</w:t>
      </w:r>
      <w:r>
        <w:t>e</w:t>
      </w:r>
      <w:r>
        <w:t>presentante Especial sobre la lucha contra la trata de seres humanos de la Organización para la Seguridad y la Cooperación en Europa (OSCE), en toda Europa los refugiados están vacíos, a pesar de lo cual, no hay ind</w:t>
      </w:r>
      <w:r>
        <w:t>i</w:t>
      </w:r>
      <w:r>
        <w:t>cios de que haya disminuido la trata. Además, un n</w:t>
      </w:r>
      <w:r>
        <w:t>ú</w:t>
      </w:r>
      <w:r>
        <w:t>mero cada vez mayor de las personas víctimas de los tratantes ha entrado l</w:t>
      </w:r>
      <w:r>
        <w:t>e</w:t>
      </w:r>
      <w:r>
        <w:t>galmente en el país.</w:t>
      </w: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rPr>
          <w:b/>
        </w:rPr>
        <w:t>El Sr. Stavrou</w:t>
      </w:r>
      <w:r>
        <w:t xml:space="preserve"> (Grecia), a propósito de la pr</w:t>
      </w:r>
      <w:r>
        <w:t>e</w:t>
      </w:r>
      <w:r>
        <w:t>gunta 3, dice que se han desmantelado redes delictivas organizadas que explotaban a niños albaneses en Gr</w:t>
      </w:r>
      <w:r>
        <w:t>e</w:t>
      </w:r>
      <w:r>
        <w:t>cia y que se ha detenido a ciudadanos albaneses por llevar menores de familias pobres a trabajar a Grecia con el consentimiento de sus padres. Se había obligado a esos menores a vender pañuelos de papel en varios lugares de Atenas y los tratantes se apoderaban de los beneficios ilegales. A raíz de un allanamiento de mor</w:t>
      </w:r>
      <w:r>
        <w:t>a</w:t>
      </w:r>
      <w:r>
        <w:t xml:space="preserve">da, </w:t>
      </w:r>
      <w:r>
        <w:rPr>
          <w:spacing w:val="2"/>
        </w:rPr>
        <w:t>se determinó que seis niños de 10 a 13 años de edad eran víctimas y fueron trasladados a un albergue juvenil administrado por la organización no gubernamental M</w:t>
      </w:r>
      <w:r>
        <w:rPr>
          <w:spacing w:val="2"/>
        </w:rPr>
        <w:t>é</w:t>
      </w:r>
      <w:r>
        <w:rPr>
          <w:spacing w:val="2"/>
        </w:rPr>
        <w:t>dicos del Mundo. Posteriormente</w:t>
      </w:r>
      <w:r>
        <w:t xml:space="preserve"> fueron repatri</w:t>
      </w:r>
      <w:r>
        <w:t>a</w:t>
      </w:r>
      <w:r>
        <w:t>dos.</w:t>
      </w: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rPr>
          <w:spacing w:val="2"/>
        </w:rPr>
        <w:t>En 2000, se llevó a comisarías de policía a 352 n</w:t>
      </w:r>
      <w:r>
        <w:rPr>
          <w:spacing w:val="2"/>
        </w:rPr>
        <w:t>i</w:t>
      </w:r>
      <w:r>
        <w:rPr>
          <w:spacing w:val="2"/>
        </w:rPr>
        <w:t>ños mendigos, cifra que disminuyó a 12 en 2004. La mayoría de ellos habían sido enviados a mendigar por sus padres, inmigrantes ilegales, que tenían problemas para encontrar trabajo. La regularización de los migra</w:t>
      </w:r>
      <w:r>
        <w:rPr>
          <w:spacing w:val="2"/>
        </w:rPr>
        <w:t>n</w:t>
      </w:r>
      <w:r>
        <w:rPr>
          <w:spacing w:val="2"/>
        </w:rPr>
        <w:t>tes indocumentados casi</w:t>
      </w:r>
      <w:r>
        <w:t xml:space="preserve"> ha acabado con este probl</w:t>
      </w:r>
      <w:r>
        <w:t>e</w:t>
      </w:r>
      <w:r>
        <w:t>ma.</w:t>
      </w: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rPr>
          <w:b/>
        </w:rPr>
        <w:t>El Sr. Kourakis</w:t>
      </w:r>
      <w:r>
        <w:t xml:space="preserve"> (Grecia), a propósito de la pr</w:t>
      </w:r>
      <w:r>
        <w:t>e</w:t>
      </w:r>
      <w:r>
        <w:t>gunta 8 dice que el número de presos casi se ha tripl</w:t>
      </w:r>
      <w:r>
        <w:t>i</w:t>
      </w:r>
      <w:r>
        <w:t>cado en los últimos 25 años y asciende en la actualidad a algo más de 8.700. Ahora bien, sólo existen 4.000 celdas por haberse cerrado algunas cárceles situadas en fortalezas antiguas de Tesalónica y la isla de Égina en el decenio de 1980. Un ambicioso proyecto de con</w:t>
      </w:r>
      <w:r>
        <w:t>s</w:t>
      </w:r>
      <w:r>
        <w:t>trucción de seis nuevas cárceles aumentará la capac</w:t>
      </w:r>
      <w:r>
        <w:t>i</w:t>
      </w:r>
      <w:r>
        <w:t>dad en aproximadamente un 45% a finales de 2007.</w:t>
      </w: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t>Aproximadamente la mitad de los presos de Gr</w:t>
      </w:r>
      <w:r>
        <w:t>e</w:t>
      </w:r>
      <w:r>
        <w:t>cia son extranjeros. Se está concluyendo un acuerdo para construir en Albania una nueva cárcel, financiada por Grecia, para ciudadanos albaneses detenidos a</w:t>
      </w:r>
      <w:r>
        <w:t>c</w:t>
      </w:r>
      <w:r>
        <w:t>tualmente en Grecia. Se está celebrando negociaciones similares con los Gobiernos de Bulgaria, Rumania y Serbia y Montenegro, en virtud de las cuales los presos serán trasladados a sus países de origen únicamente con su consentimiento y de conformidad con los co</w:t>
      </w:r>
      <w:r>
        <w:t>n</w:t>
      </w:r>
      <w:r>
        <w:t>venios internacionales y europeos pertinentes. Entre las prisiones modernas que están en construcción en las zonas del gran Atenas están la de Thiva, en la que se internará a drogadictos y habrá programas de desint</w:t>
      </w:r>
      <w:r>
        <w:t>o</w:t>
      </w:r>
      <w:r>
        <w:t>xicación de los presos y para su reintegración a la s</w:t>
      </w:r>
      <w:r>
        <w:t>o</w:t>
      </w:r>
      <w:r>
        <w:t>ciedad, y el centro de detención de menores de Avlona, que tendrá una escuela dotada de biblioteca, comput</w:t>
      </w:r>
      <w:r>
        <w:t>a</w:t>
      </w:r>
      <w:r>
        <w:t>doras, laboratorio de química y una sala de deportes.</w:t>
      </w: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t>Las medidas alternativas como los servicios a la comunidad están aliviando el problema del hacin</w:t>
      </w:r>
      <w:r>
        <w:t>a</w:t>
      </w:r>
      <w:r>
        <w:t>miento en las cárceles. Unas 68 organizaciones coop</w:t>
      </w:r>
      <w:r>
        <w:t>e</w:t>
      </w:r>
      <w:r>
        <w:t>ran con las autoridades judiciales para ejecutar un pr</w:t>
      </w:r>
      <w:r>
        <w:t>o</w:t>
      </w:r>
      <w:r>
        <w:t>grama de servicios a la comunidad prestados por pe</w:t>
      </w:r>
      <w:r>
        <w:t>r</w:t>
      </w:r>
      <w:r>
        <w:t>sonas convictas de delitos menores que conllevan una pena de prisión inferior a tres años. Cada vez se separa más a los presos no sólo por su condición, sexo y edad, sino también con arreglo al delito cometido, la pena de prisión impuesta y problemas concretos como la dr</w:t>
      </w:r>
      <w:r>
        <w:t>o</w:t>
      </w:r>
      <w:r>
        <w:t>gadicción. Ya se practica esta separación en 14 centros de detención y se está ampliando gradualmente a otros 10 ce</w:t>
      </w:r>
      <w:r>
        <w:t>n</w:t>
      </w:r>
      <w:r>
        <w:t>tros.</w:t>
      </w: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rPr>
          <w:b/>
        </w:rPr>
        <w:t>El Sr. Stavrakakis</w:t>
      </w:r>
      <w:r>
        <w:t xml:space="preserve"> (Grecia) dice que se presta más atención a las condiciones higiénicas de los ce</w:t>
      </w:r>
      <w:r>
        <w:t>n</w:t>
      </w:r>
      <w:r>
        <w:t>tros de detección de extranjeros en espera de ser d</w:t>
      </w:r>
      <w:r>
        <w:t>e</w:t>
      </w:r>
      <w:r>
        <w:t>portados y que está a punto de completarse unos nu</w:t>
      </w:r>
      <w:r>
        <w:t>e</w:t>
      </w:r>
      <w:r>
        <w:t>vos locales de detención en la región del Ática. La l</w:t>
      </w:r>
      <w:r>
        <w:t>e</w:t>
      </w:r>
      <w:r>
        <w:t>gislación mejora la protección al imponer un límite de tres meses a la detención de los extranjeros en espera de deportación y permitirles impugnar las órdenes de detención ante los tribunales administrativos de prim</w:t>
      </w:r>
      <w:r>
        <w:t>e</w:t>
      </w:r>
      <w:r>
        <w:t>ra instancia. En caso de que sea imposible la expulsión administrativa del extranjero, esa persona podrá pe</w:t>
      </w:r>
      <w:r>
        <w:t>r</w:t>
      </w:r>
      <w:r>
        <w:t>manecer temporalmente en el país, sometida a determ</w:t>
      </w:r>
      <w:r>
        <w:t>i</w:t>
      </w:r>
      <w:r>
        <w:t>nadas restricciones. Además, la regularización de la documentación de los extranjeros está contribuyendo a reducir la congestión en los centros de detención pol</w:t>
      </w:r>
      <w:r>
        <w:t>i</w:t>
      </w:r>
      <w:r>
        <w:t>ciales y a mej</w:t>
      </w:r>
      <w:r>
        <w:t>o</w:t>
      </w:r>
      <w:r>
        <w:t>rar las condiciones de detención.</w:t>
      </w: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rPr>
          <w:b/>
          <w:spacing w:val="2"/>
        </w:rPr>
        <w:t>La Sra. Despotopoulou</w:t>
      </w:r>
      <w:r>
        <w:rPr>
          <w:spacing w:val="2"/>
        </w:rPr>
        <w:t xml:space="preserve"> (Grecia), refiriéndose a la pregunta 10, dice que en los medios de comunicación y las organizaciones de la sociedad civil se ha prestado atención a la reforma de los servicios de psiquiatría, que constituye una línea divisoria en la actitud de la soci</w:t>
      </w:r>
      <w:r>
        <w:rPr>
          <w:spacing w:val="2"/>
        </w:rPr>
        <w:t>e</w:t>
      </w:r>
      <w:r>
        <w:rPr>
          <w:spacing w:val="2"/>
        </w:rPr>
        <w:t>dad griega hacia la enfermedad mental. Basándose en las recomendaciones de la Organización Mundial de la S</w:t>
      </w:r>
      <w:r>
        <w:rPr>
          <w:spacing w:val="2"/>
        </w:rPr>
        <w:t>a</w:t>
      </w:r>
      <w:r>
        <w:rPr>
          <w:spacing w:val="2"/>
        </w:rPr>
        <w:t>lud (OMS) y los convenios internacionales ratificados por Grecia, el programa nacional denominado “Psycha</w:t>
      </w:r>
      <w:r>
        <w:rPr>
          <w:spacing w:val="2"/>
        </w:rPr>
        <w:t>r</w:t>
      </w:r>
      <w:r>
        <w:rPr>
          <w:spacing w:val="2"/>
        </w:rPr>
        <w:t>gos” se encuentra ya en la segunda fase de ejecución. En virtud de él, se cerrarán los hospitales psiquiátricos mal acondicionados (situados en Petra Olybou, Khaniá y Corfú), que serán sustituidos por estructuras comunit</w:t>
      </w:r>
      <w:r>
        <w:rPr>
          <w:spacing w:val="2"/>
        </w:rPr>
        <w:t>a</w:t>
      </w:r>
      <w:r>
        <w:rPr>
          <w:spacing w:val="2"/>
        </w:rPr>
        <w:t>rias; a más tardar en 2015 se cerrarán otros tres hospit</w:t>
      </w:r>
      <w:r>
        <w:rPr>
          <w:spacing w:val="2"/>
        </w:rPr>
        <w:t>a</w:t>
      </w:r>
      <w:r>
        <w:rPr>
          <w:spacing w:val="2"/>
        </w:rPr>
        <w:t>les psiquiátricos de Atenas y Tesalónica. El programa dispone además la mejora de la calidad de los servicios y condiciones de vida en los hospitales psiquiátricos y formación complementaria del personal superior y nu</w:t>
      </w:r>
      <w:r>
        <w:rPr>
          <w:spacing w:val="2"/>
        </w:rPr>
        <w:t>e</w:t>
      </w:r>
      <w:r>
        <w:rPr>
          <w:spacing w:val="2"/>
        </w:rPr>
        <w:t>vo, en la que se pondrá el acento en la política y la l</w:t>
      </w:r>
      <w:r>
        <w:rPr>
          <w:spacing w:val="2"/>
        </w:rPr>
        <w:t>e</w:t>
      </w:r>
      <w:r>
        <w:rPr>
          <w:spacing w:val="2"/>
        </w:rPr>
        <w:t>gislación, la atención de los pacientes internados, la atención permanente, la rehabilitación, los servicios diurnos y residenciales, los programas profesionales y la modernización de las actitudes con</w:t>
      </w:r>
      <w:r>
        <w:t xml:space="preserve"> respecto a la ate</w:t>
      </w:r>
      <w:r>
        <w:t>n</w:t>
      </w:r>
      <w:r>
        <w:t>ción en materia de salud me</w:t>
      </w:r>
      <w:r>
        <w:t>n</w:t>
      </w:r>
      <w:r>
        <w:t>tal.</w:t>
      </w: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t>Se han establecido procedimientos para proteger a los pacientes frente a ingresos innecesarios o inv</w:t>
      </w:r>
      <w:r>
        <w:t>o</w:t>
      </w:r>
      <w:r>
        <w:t>luntarios, tratamientos incorrectos o malos tratos, y v</w:t>
      </w:r>
      <w:r>
        <w:t>a</w:t>
      </w:r>
      <w:r>
        <w:t>rios organismos especializados, entre ellos el Comité Especial para Protección de los Derechos de las Pers</w:t>
      </w:r>
      <w:r>
        <w:t>o</w:t>
      </w:r>
      <w:r>
        <w:t>nas con Trastornos Mentales, supervisan los derechos de las personas que padecen trastornos mentales. Est</w:t>
      </w:r>
      <w:r>
        <w:t>a</w:t>
      </w:r>
      <w:r>
        <w:t>blecido en 1963, el Departamento de Salud Mental del Ministerio de Salud y Solidaridad Social ha puesto en práctica las instrucciones del Comité Europeo para la Prevención de la Tortura y de los Tratos o Sanciones Inhumanos o Degradantes y ha presentado informes y recomendaciones sobre sus tres visitas a los hospitales psiquiátricos al Ministerio de Salud y Solidaridad S</w:t>
      </w:r>
      <w:r>
        <w:t>o</w:t>
      </w:r>
      <w:r>
        <w:t>cial. Se ha formulado una política nacional de servicios de salud mental con aportaciones de los usuarios y prestatarios de los servicios de salud mental, las fam</w:t>
      </w:r>
      <w:r>
        <w:t>i</w:t>
      </w:r>
      <w:r>
        <w:t>lias de los pacientes y la comunidad. El Ministerio de Salud y Solidaridad Social ha dado instrucciones a los hospitales generales para que aumenten el número de camas disponibles para atención de casos agudos de trastorno mental y, gracias a la propagación de los se</w:t>
      </w:r>
      <w:r>
        <w:t>r</w:t>
      </w:r>
      <w:r>
        <w:t>vicios comunitarios de salud mental, ahora hay menos experiencias negativas en los hospitales psiquiátricos. Las quejas por malos tratos en un hospital se investigan por su Junta Directiva y, en caso necesario, se remite la cuestión al Consejo Disciplinario para que adopte las medidas pertinentes. Si los hechos conllevan una re</w:t>
      </w:r>
      <w:r>
        <w:t>s</w:t>
      </w:r>
      <w:r>
        <w:t>ponsabilidad penal, se ponen en conocimiento del fi</w:t>
      </w:r>
      <w:r>
        <w:t>s</w:t>
      </w:r>
      <w:r>
        <w:t>cal del distrito para que adopte las medidas del caso.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Encarcelamiento por incumplimiento de una obligación contractual (artículo 11 del Pacto)</w:t>
      </w:r>
    </w:p>
    <w:p w:rsidR="00000000" w:rsidRDefault="00000000">
      <w:pPr>
        <w:pStyle w:val="DualTxt"/>
        <w:spacing w:after="0" w:line="120" w:lineRule="exact"/>
        <w:rPr>
          <w:sz w:val="10"/>
        </w:rPr>
      </w:pP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rPr>
          <w:b/>
        </w:rPr>
        <w:t>El Sr. Kourakis</w:t>
      </w:r>
      <w:r>
        <w:t xml:space="preserve"> (Grecia), respondiendo a la pr</w:t>
      </w:r>
      <w:r>
        <w:t>e</w:t>
      </w:r>
      <w:r>
        <w:t>gunta 11, dice que actualmente hay 28 personas deten</w:t>
      </w:r>
      <w:r>
        <w:t>i</w:t>
      </w:r>
      <w:r>
        <w:t>das por impago de deudas contractuales. En el decenio anterior, ese número fluctuó entre 7 y 19 y, en todo momento, representó menos del 1% del número de pr</w:t>
      </w:r>
      <w:r>
        <w:t>e</w:t>
      </w:r>
      <w:r>
        <w:t>sos en el país. Ahora bien, en 1994, un conocido cat</w:t>
      </w:r>
      <w:r>
        <w:t>e</w:t>
      </w:r>
      <w:r>
        <w:t>drático de derecho constitucional consideró que el e</w:t>
      </w:r>
      <w:r>
        <w:t>n</w:t>
      </w:r>
      <w:r>
        <w:t>carcelamiento de los deudores es contrario a los princ</w:t>
      </w:r>
      <w:r>
        <w:t>i</w:t>
      </w:r>
      <w:r>
        <w:t>pios fundamentales de la Constitución griega, opinión que ganó predicamento a raíz de la ratificación del Pacto por Grecia en 1997. En 2004, el Tribunal Adm</w:t>
      </w:r>
      <w:r>
        <w:t>i</w:t>
      </w:r>
      <w:r>
        <w:t>nistrativo Supremo puso en tela de juicio la práctica de la detención personal como medio de resolver cuesti</w:t>
      </w:r>
      <w:r>
        <w:t>o</w:t>
      </w:r>
      <w:r>
        <w:t>nes referentes a deudas. En 1997, el Tribunal Supremo declaró que la detención de comerciantes por deudas comerciales sólo era permisible si habían eludido del</w:t>
      </w:r>
      <w:r>
        <w:t>i</w:t>
      </w:r>
      <w:r>
        <w:t>beradamente sus obligaciones contractuales. Se cons</w:t>
      </w:r>
      <w:r>
        <w:t>i</w:t>
      </w:r>
      <w:r>
        <w:t>dera que esa posición es plenamente compatible con el artículo 11 del Pacto.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El derecho a un juicio imparcial (artículo 14 del Pacto)</w:t>
      </w:r>
    </w:p>
    <w:p w:rsidR="00000000" w:rsidRDefault="00000000">
      <w:pPr>
        <w:pStyle w:val="DualTxt"/>
        <w:spacing w:after="0" w:line="120" w:lineRule="exact"/>
        <w:rPr>
          <w:sz w:val="10"/>
        </w:rPr>
      </w:pP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rPr>
          <w:b/>
        </w:rPr>
        <w:t>El Sr. Kourakis</w:t>
      </w:r>
      <w:r>
        <w:t xml:space="preserve"> (Grecia), respondiendo a la pr</w:t>
      </w:r>
      <w:r>
        <w:t>e</w:t>
      </w:r>
      <w:r>
        <w:t>gunta 12, dice que el texto final de la Ley No. 3068/2002 incorpora varias de las enmiendas pr</w:t>
      </w:r>
      <w:r>
        <w:t>o</w:t>
      </w:r>
      <w:r>
        <w:t>puestas por la Comisión Nacional Griega de Derechos Humanos, en particular en lo relativo a la brevedad de los plazos fijados en el curso de las actuaciones jud</w:t>
      </w:r>
      <w:r>
        <w:t>i</w:t>
      </w:r>
      <w:r>
        <w:t>ciales, de conformidad con el párrafo 1 del artículo 3, y la imposición de multas complementarias al depart</w:t>
      </w:r>
      <w:r>
        <w:t>a</w:t>
      </w:r>
      <w:r>
        <w:t>mento fiscal por demora no razonable en la aplicación de los procedimientos establecidos en el párrafo 3 del articulo 3. En cambio otras propuestas no se tuvieron en cuenta, en la creencia de que la jurisprudencia r</w:t>
      </w:r>
      <w:r>
        <w:t>e</w:t>
      </w:r>
      <w:r>
        <w:t>solvería con el paso del tiempo determinados probl</w:t>
      </w:r>
      <w:r>
        <w:t>e</w:t>
      </w:r>
      <w:r>
        <w:t>mas con más eficacia. A propósito de la pregunta 13, el orador dice que la Comisión Europea contra el Raci</w:t>
      </w:r>
      <w:r>
        <w:t>s</w:t>
      </w:r>
      <w:r>
        <w:t>mo y la Intolerancia ha dicho que la nueva ley sobre asistencia jurídica es un importante progreso. Las nu</w:t>
      </w:r>
      <w:r>
        <w:t>e</w:t>
      </w:r>
      <w:r>
        <w:t>vas disposiciones no sólo facilitan una importante asistencia jurídica a las personas de bajos ingresos, con independencia de que su país aplique o no el principio de reciprocidad, sino que además prestan especial ate</w:t>
      </w:r>
      <w:r>
        <w:t>n</w:t>
      </w:r>
      <w:r>
        <w:t>ción a la asistencia a las víctimas de torturas y otros delitos contra la dignidad humana. Se garantiza asi</w:t>
      </w:r>
      <w:r>
        <w:t>s</w:t>
      </w:r>
      <w:r>
        <w:t>tencia jurídica a los migrantes, solicitantes de asilo y otros nacionales de países no pertenecientes a la Unión Europea convocados ante un juez instructor o el trib</w:t>
      </w:r>
      <w:r>
        <w:t>u</w:t>
      </w:r>
      <w:r>
        <w:t>nal penal de primera o segunda instancia, o que prec</w:t>
      </w:r>
      <w:r>
        <w:t>i</w:t>
      </w:r>
      <w:r>
        <w:t>san servicios psiquiátricos o desean un aplazamiento de un proceso penal incoado contra ellos por haber sido detenidos en flagrante delito</w:t>
      </w:r>
      <w:r>
        <w:rPr>
          <w:i/>
        </w:rPr>
        <w:t xml:space="preserve">. </w:t>
      </w:r>
      <w:r>
        <w:t>Abogados de organiz</w:t>
      </w:r>
      <w:r>
        <w:t>a</w:t>
      </w:r>
      <w:r>
        <w:t>ciones no gubernamentales como el Consejo Griego de</w:t>
      </w:r>
      <w:r>
        <w:rPr>
          <w:spacing w:val="2"/>
        </w:rPr>
        <w:t xml:space="preserve"> Ayuda a los Refugiados prestan asistencia gratuita</w:t>
      </w:r>
      <w:r>
        <w:t>me</w:t>
      </w:r>
      <w:r>
        <w:t>n</w:t>
      </w:r>
      <w:r>
        <w:t>te. También participan representantes de ONG en la l</w:t>
      </w:r>
      <w:r>
        <w:t>a</w:t>
      </w:r>
      <w:r>
        <w:t>bor de la Junta de Apelación que examina las solicit</w:t>
      </w:r>
      <w:r>
        <w:t>u</w:t>
      </w:r>
      <w:r>
        <w:t>des de as</w:t>
      </w:r>
      <w:r>
        <w:t>i</w:t>
      </w:r>
      <w:r>
        <w:t>lo.</w:t>
      </w: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rPr>
          <w:b/>
        </w:rPr>
        <w:t>La Presidenta</w:t>
      </w:r>
      <w:r>
        <w:t xml:space="preserve"> invita a los miembros del Comité a formular otras preguntas si desean h</w:t>
      </w:r>
      <w:r>
        <w:t>a</w:t>
      </w:r>
      <w:r>
        <w:t>cerlo.</w:t>
      </w: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rPr>
          <w:b/>
        </w:rPr>
        <w:t>La Sra. Wedgwood</w:t>
      </w:r>
      <w:r>
        <w:t xml:space="preserve"> se pregunta si la respuesta legislativa del Estado parte frente al terrorismo no es tan amplia que, en nombre del establecimiento o el restablecimiento de la democracia, sobrepasa la defin</w:t>
      </w:r>
      <w:r>
        <w:t>i</w:t>
      </w:r>
      <w:r>
        <w:t>ción de terrorismo establecida por el Grupo de alto n</w:t>
      </w:r>
      <w:r>
        <w:t>i</w:t>
      </w:r>
      <w:r>
        <w:t>vel sobre las amenazas, los desafíos y el cambio (pr</w:t>
      </w:r>
      <w:r>
        <w:t>i</w:t>
      </w:r>
      <w:r>
        <w:t>vación deliberada de la vida de un civil inocente). R</w:t>
      </w:r>
      <w:r>
        <w:t>e</w:t>
      </w:r>
      <w:r>
        <w:t>mitiendo al Estado parte a la observación general No. 29 del Comité, la oradora pregunta si se considera que los actos terroristas, así como los golpes de Estado, son excepciones de la legislación griega que prohíbe la i</w:t>
      </w:r>
      <w:r>
        <w:t>m</w:t>
      </w:r>
      <w:r>
        <w:t>posición del estado de emergencia para sofocar distu</w:t>
      </w:r>
      <w:r>
        <w:t>r</w:t>
      </w:r>
      <w:r>
        <w:t>bios internos.</w:t>
      </w: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t>La existencia de una legislación más explícita s</w:t>
      </w:r>
      <w:r>
        <w:t>o</w:t>
      </w:r>
      <w:r>
        <w:t>bre la primacía del Pacto en el ordenamiento jurídico griego contribuiría a garantizar que observaran el Pacto todos los jueces, incluso los que ejercen sus funciones en las zonas rurales más remotas. La oradora se co</w:t>
      </w:r>
      <w:r>
        <w:t>n</w:t>
      </w:r>
      <w:r>
        <w:t>gratula de los cambios efectuados en la legislación griega en virtud de los cuales se reconocen los Princ</w:t>
      </w:r>
      <w:r>
        <w:t>i</w:t>
      </w:r>
      <w:r>
        <w:t>pios Básicos de las Naciones Unidas para el empleo de la fuerza por los funcionarios encargados de hacer cumplir la ley y pregunta si se observan rigurosamente (es decir, si se reserva el recurso a la fuerza únicamente a las amenazas graves contra la vida humana). ¿Existe en Grecia una junta civil de examen, o una entidad s</w:t>
      </w:r>
      <w:r>
        <w:t>i</w:t>
      </w:r>
      <w:r>
        <w:t>milar, que contrapese la negativa de los funcionarios de policía a incriminar a sus colegas? Remitiendo al i</w:t>
      </w:r>
      <w:r>
        <w:t>n</w:t>
      </w:r>
      <w:r>
        <w:t>forme de la ONG Helsinki Watch titulado “Operaci</w:t>
      </w:r>
      <w:r>
        <w:t>o</w:t>
      </w:r>
      <w:r>
        <w:t>nes de depuración: la exclusión de los romaníes en Grecia”, pregunta acerca de la aparente impotencia del sistema judicial griego para sancionar a los funcion</w:t>
      </w:r>
      <w:r>
        <w:t>a</w:t>
      </w:r>
      <w:r>
        <w:t>rios de policía por los abusos cometidos contra mie</w:t>
      </w:r>
      <w:r>
        <w:t>m</w:t>
      </w:r>
      <w:r>
        <w:t>bros de la comunidad romaní. (Sólo se ha sancionado judicialmente a un funcionario, por disparar de frente contra un hombre desarmado, y se ha dejado en su</w:t>
      </w:r>
      <w:r>
        <w:t>s</w:t>
      </w:r>
      <w:r>
        <w:t>penso su condena.) ¿Ha habido algún intento de asi</w:t>
      </w:r>
      <w:r>
        <w:t>g</w:t>
      </w:r>
      <w:r>
        <w:t>nar monitores romaníes a departamentos de policía p</w:t>
      </w:r>
      <w:r>
        <w:t>a</w:t>
      </w:r>
      <w:r>
        <w:t>ra controlar el uso excesivo de la fuerza?</w:t>
      </w: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t>La oradora elogia al Estado parte por autorizar a miembros del Comité Internacional de la Cruz Roja a visitar cárceles; la apertura de los centros de detención policial sería también otra medida útil. Pregunta por las medidas provisionales adoptadas para disminuir el h</w:t>
      </w:r>
      <w:r>
        <w:t>a</w:t>
      </w:r>
      <w:r>
        <w:t>cinamiento en las cárceles mientras se construyen nu</w:t>
      </w:r>
      <w:r>
        <w:t>e</w:t>
      </w:r>
      <w:r>
        <w:t>vas cárceles. ¿Se están adoptando medidas para mitigar las duras condiciones en que se encuentran los deten</w:t>
      </w:r>
      <w:r>
        <w:t>i</w:t>
      </w:r>
      <w:r>
        <w:t xml:space="preserve">dos en espera de deportación en locales vetustos? </w:t>
      </w:r>
    </w:p>
    <w:p w:rsidR="00000000" w:rsidRDefault="00000000">
      <w:pPr>
        <w:pStyle w:val="DualTxt"/>
        <w:numPr>
          <w:ilvl w:val="0"/>
          <w:numId w:val="22"/>
        </w:numPr>
        <w:tabs>
          <w:tab w:val="clear" w:pos="960"/>
          <w:tab w:val="left" w:pos="965"/>
          <w:tab w:val="left" w:pos="1440"/>
          <w:tab w:val="left" w:pos="1915"/>
          <w:tab w:val="left" w:pos="2405"/>
          <w:tab w:val="left" w:pos="2880"/>
          <w:tab w:val="left" w:pos="3355"/>
        </w:tabs>
      </w:pPr>
      <w:r>
        <w:t>Por último, la oradora pone en tela de juicio el que sea correcto el encarcelar a deudores en una época en que la tecnología permite detectar y confiscar los bienes de una persona. En cuanto a la afirmación de la delegación de que, en la práctica, los jueces respetan lo dispuesto en el artículo 11 del Pacto, subraya que la ley griega debe ser lo suficientemente transparente como para que todos los magistrados observen en todo m</w:t>
      </w:r>
      <w:r>
        <w:t>o</w:t>
      </w:r>
      <w:r>
        <w:t>mento esos principios y para evitar que los acreedores abusen de la ingenuidad de los deudores amenazánd</w:t>
      </w:r>
      <w:r>
        <w:t>o</w:t>
      </w:r>
      <w:r>
        <w:t>los con encarcelamiento.</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18.05 h</w:t>
      </w:r>
      <w:r>
        <w:t>o</w:t>
      </w:r>
      <w:r>
        <w:t>ras.</w:t>
      </w:r>
    </w:p>
    <w:p w:rsidR="00000000" w:rsidRDefault="00000000">
      <w:pPr>
        <w:pStyle w:val="DualTxt"/>
        <w:tabs>
          <w:tab w:val="clear" w:pos="480"/>
          <w:tab w:val="clear" w:pos="960"/>
          <w:tab w:val="left" w:pos="965"/>
          <w:tab w:val="left" w:pos="1440"/>
          <w:tab w:val="left" w:pos="1915"/>
          <w:tab w:val="left" w:pos="2405"/>
          <w:tab w:val="left" w:pos="2880"/>
          <w:tab w:val="left" w:pos="3355"/>
        </w:tabs>
      </w:pP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NO&gt;&gt;N0527967S&lt;&lt;ODS JOB NO&gt;&gt;</w:t>
      </w:r>
    </w:p>
    <w:p w:rsidR="00000000" w:rsidRDefault="00000000">
      <w:pPr>
        <w:pStyle w:val="CommentText"/>
      </w:pPr>
      <w:r>
        <w:t>&lt;&lt;ODS DOC SYMBOL1&gt;&gt;CCPR/C/SR.2267&lt;&lt;ODS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0527967s.doc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0527967s.doc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05-27967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*0527967*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CCPR/C/SR.2267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CCPR/C/SR.2267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/C/SR.2267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9 de enero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1350C"/>
    <w:multiLevelType w:val="singleLevel"/>
    <w:tmpl w:val="E35865DC"/>
    <w:lvl w:ilvl="0">
      <w:start w:val="53"/>
      <w:numFmt w:val="decimal"/>
      <w:lvlRestart w:val="0"/>
      <w:lvlText w:val="%1."/>
      <w:lvlJc w:val="left"/>
      <w:pPr>
        <w:tabs>
          <w:tab w:val="num" w:pos="1742"/>
        </w:tabs>
        <w:ind w:left="1267" w:firstLine="0"/>
      </w:pPr>
      <w:rPr>
        <w:spacing w:val="0"/>
        <w:w w:val="100"/>
      </w:rPr>
    </w:lvl>
  </w:abstractNum>
  <w:abstractNum w:abstractNumId="1">
    <w:nsid w:val="01C63879"/>
    <w:multiLevelType w:val="singleLevel"/>
    <w:tmpl w:val="DD0CC51A"/>
    <w:lvl w:ilvl="0">
      <w:start w:val="40"/>
      <w:numFmt w:val="decimal"/>
      <w:lvlRestart w:val="0"/>
      <w:lvlText w:val="%1."/>
      <w:lvlJc w:val="left"/>
      <w:pPr>
        <w:tabs>
          <w:tab w:val="num" w:pos="1742"/>
        </w:tabs>
        <w:ind w:left="1267" w:firstLine="0"/>
      </w:pPr>
      <w:rPr>
        <w:spacing w:val="0"/>
        <w:w w:val="100"/>
      </w:rPr>
    </w:lvl>
  </w:abstractNum>
  <w:abstractNum w:abstractNumId="2">
    <w:nsid w:val="08984EF0"/>
    <w:multiLevelType w:val="singleLevel"/>
    <w:tmpl w:val="1526B44A"/>
    <w:lvl w:ilvl="0">
      <w:start w:val="62"/>
      <w:numFmt w:val="decimal"/>
      <w:lvlRestart w:val="0"/>
      <w:lvlText w:val="%1."/>
      <w:lvlJc w:val="left"/>
      <w:pPr>
        <w:tabs>
          <w:tab w:val="num" w:pos="1742"/>
        </w:tabs>
        <w:ind w:left="1267" w:firstLine="0"/>
      </w:pPr>
      <w:rPr>
        <w:spacing w:val="0"/>
        <w:w w:val="100"/>
      </w:rPr>
    </w:lvl>
  </w:abstractNum>
  <w:abstractNum w:abstractNumId="3">
    <w:nsid w:val="1BDC7F3B"/>
    <w:multiLevelType w:val="singleLevel"/>
    <w:tmpl w:val="0809000F"/>
    <w:lvl w:ilvl="0">
      <w:start w:val="1"/>
      <w:numFmt w:val="decimal"/>
      <w:lvlText w:val="%1."/>
      <w:lvlJc w:val="left"/>
      <w:pPr>
        <w:tabs>
          <w:tab w:val="num" w:pos="360"/>
        </w:tabs>
        <w:ind w:left="360" w:hanging="360"/>
      </w:pPr>
      <w:rPr>
        <w:rFonts w:hint="default"/>
      </w:rPr>
    </w:lvl>
  </w:abstractNum>
  <w:abstractNum w:abstractNumId="4">
    <w:nsid w:val="2AE83BD6"/>
    <w:multiLevelType w:val="singleLevel"/>
    <w:tmpl w:val="4828A430"/>
    <w:lvl w:ilvl="0">
      <w:start w:val="16"/>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5">
    <w:nsid w:val="2D4440DC"/>
    <w:multiLevelType w:val="singleLevel"/>
    <w:tmpl w:val="753AA55C"/>
    <w:lvl w:ilvl="0">
      <w:start w:val="47"/>
      <w:numFmt w:val="decimal"/>
      <w:lvlRestart w:val="0"/>
      <w:lvlText w:val="%1."/>
      <w:lvlJc w:val="left"/>
      <w:pPr>
        <w:tabs>
          <w:tab w:val="num" w:pos="1742"/>
        </w:tabs>
        <w:ind w:left="1267" w:firstLine="0"/>
      </w:pPr>
      <w:rPr>
        <w:spacing w:val="0"/>
        <w:w w:val="100"/>
      </w:rPr>
    </w:lvl>
  </w:abstractNum>
  <w:abstractNum w:abstractNumId="6">
    <w:nsid w:val="32885162"/>
    <w:multiLevelType w:val="singleLevel"/>
    <w:tmpl w:val="CC705DCA"/>
    <w:lvl w:ilvl="0">
      <w:start w:val="34"/>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7">
    <w:nsid w:val="36940BD1"/>
    <w:multiLevelType w:val="singleLevel"/>
    <w:tmpl w:val="2242A15A"/>
    <w:lvl w:ilvl="0">
      <w:start w:val="45"/>
      <w:numFmt w:val="decimal"/>
      <w:lvlRestart w:val="0"/>
      <w:lvlText w:val="%1."/>
      <w:lvlJc w:val="left"/>
      <w:pPr>
        <w:tabs>
          <w:tab w:val="num" w:pos="1742"/>
        </w:tabs>
        <w:ind w:left="1267" w:firstLine="0"/>
      </w:pPr>
      <w:rPr>
        <w:spacing w:val="0"/>
        <w:w w:val="100"/>
      </w:rPr>
    </w:lvl>
  </w:abstractNum>
  <w:abstractNum w:abstractNumId="8">
    <w:nsid w:val="449664B9"/>
    <w:multiLevelType w:val="singleLevel"/>
    <w:tmpl w:val="DE8C494C"/>
    <w:lvl w:ilvl="0">
      <w:start w:val="1"/>
      <w:numFmt w:val="decimal"/>
      <w:lvlRestart w:val="0"/>
      <w:lvlText w:val="%1."/>
      <w:lvlJc w:val="left"/>
      <w:pPr>
        <w:tabs>
          <w:tab w:val="num" w:pos="475"/>
        </w:tabs>
        <w:ind w:left="0" w:firstLine="0"/>
      </w:pPr>
      <w:rPr>
        <w:spacing w:val="0"/>
        <w:w w:val="100"/>
      </w:rPr>
    </w:lvl>
  </w:abstractNum>
  <w:abstractNum w:abstractNumId="9">
    <w:nsid w:val="54E92630"/>
    <w:multiLevelType w:val="singleLevel"/>
    <w:tmpl w:val="9ACE72B0"/>
    <w:lvl w:ilvl="0">
      <w:start w:val="1"/>
      <w:numFmt w:val="decimal"/>
      <w:lvlRestart w:val="0"/>
      <w:lvlText w:val="%1."/>
      <w:lvlJc w:val="left"/>
      <w:pPr>
        <w:tabs>
          <w:tab w:val="num" w:pos="475"/>
        </w:tabs>
        <w:ind w:left="0" w:firstLine="0"/>
      </w:pPr>
      <w:rPr>
        <w:b w:val="0"/>
        <w:i w:val="0"/>
        <w:spacing w:val="0"/>
        <w:w w:val="100"/>
      </w:rPr>
    </w:lvl>
  </w:abstractNum>
  <w:abstractNum w:abstractNumId="10">
    <w:nsid w:val="561C2676"/>
    <w:multiLevelType w:val="singleLevel"/>
    <w:tmpl w:val="8C40120C"/>
    <w:lvl w:ilvl="0">
      <w:start w:val="40"/>
      <w:numFmt w:val="decimal"/>
      <w:lvlRestart w:val="0"/>
      <w:lvlText w:val="%1."/>
      <w:lvlJc w:val="left"/>
      <w:pPr>
        <w:tabs>
          <w:tab w:val="num" w:pos="475"/>
        </w:tabs>
        <w:ind w:left="0" w:firstLine="0"/>
      </w:pPr>
      <w:rPr>
        <w:b w:val="0"/>
        <w:i w:val="0"/>
        <w:spacing w:val="0"/>
        <w:w w:val="100"/>
      </w:rPr>
    </w:lvl>
  </w:abstractNum>
  <w:abstractNum w:abstractNumId="11">
    <w:nsid w:val="57B45C50"/>
    <w:multiLevelType w:val="singleLevel"/>
    <w:tmpl w:val="BBDEAE06"/>
    <w:lvl w:ilvl="0">
      <w:start w:val="44"/>
      <w:numFmt w:val="decimal"/>
      <w:lvlRestart w:val="0"/>
      <w:lvlText w:val="%1."/>
      <w:lvlJc w:val="left"/>
      <w:pPr>
        <w:tabs>
          <w:tab w:val="num" w:pos="1742"/>
        </w:tabs>
        <w:ind w:left="1267" w:firstLine="0"/>
      </w:pPr>
      <w:rPr>
        <w:b w:val="0"/>
        <w:i w:val="0"/>
        <w:spacing w:val="0"/>
        <w:w w:val="100"/>
      </w:rPr>
    </w:lvl>
  </w:abstractNum>
  <w:abstractNum w:abstractNumId="12">
    <w:nsid w:val="5A924CBD"/>
    <w:multiLevelType w:val="singleLevel"/>
    <w:tmpl w:val="50E86D76"/>
    <w:lvl w:ilvl="0">
      <w:start w:val="45"/>
      <w:numFmt w:val="decimal"/>
      <w:lvlRestart w:val="0"/>
      <w:lvlText w:val="%1."/>
      <w:lvlJc w:val="left"/>
      <w:pPr>
        <w:tabs>
          <w:tab w:val="num" w:pos="1742"/>
        </w:tabs>
        <w:ind w:left="1267" w:firstLine="0"/>
      </w:pPr>
      <w:rPr>
        <w:spacing w:val="0"/>
        <w:w w:val="100"/>
      </w:rPr>
    </w:lvl>
  </w:abstractNum>
  <w:abstractNum w:abstractNumId="13">
    <w:nsid w:val="5B300DF3"/>
    <w:multiLevelType w:val="singleLevel"/>
    <w:tmpl w:val="14A20122"/>
    <w:lvl w:ilvl="0">
      <w:start w:val="62"/>
      <w:numFmt w:val="decimal"/>
      <w:lvlRestart w:val="0"/>
      <w:lvlText w:val="%1."/>
      <w:lvlJc w:val="left"/>
      <w:pPr>
        <w:tabs>
          <w:tab w:val="num" w:pos="1742"/>
        </w:tabs>
        <w:ind w:left="1267" w:firstLine="0"/>
      </w:pPr>
      <w:rPr>
        <w:spacing w:val="0"/>
        <w:w w:val="100"/>
      </w:rPr>
    </w:lvl>
  </w:abstractNum>
  <w:abstractNum w:abstractNumId="14">
    <w:nsid w:val="5B354ECC"/>
    <w:multiLevelType w:val="singleLevel"/>
    <w:tmpl w:val="7D48CEB0"/>
    <w:lvl w:ilvl="0">
      <w:start w:val="53"/>
      <w:numFmt w:val="decimal"/>
      <w:lvlRestart w:val="0"/>
      <w:lvlText w:val="%1."/>
      <w:lvlJc w:val="left"/>
      <w:pPr>
        <w:tabs>
          <w:tab w:val="num" w:pos="1742"/>
        </w:tabs>
        <w:ind w:left="1267" w:firstLine="0"/>
      </w:pPr>
      <w:rPr>
        <w:spacing w:val="0"/>
        <w:w w:val="100"/>
      </w:rPr>
    </w:lvl>
  </w:abstractNum>
  <w:abstractNum w:abstractNumId="15">
    <w:nsid w:val="65AF34C8"/>
    <w:multiLevelType w:val="singleLevel"/>
    <w:tmpl w:val="14A20122"/>
    <w:lvl w:ilvl="0">
      <w:start w:val="62"/>
      <w:numFmt w:val="decimal"/>
      <w:lvlRestart w:val="0"/>
      <w:lvlText w:val="%1."/>
      <w:lvlJc w:val="left"/>
      <w:pPr>
        <w:tabs>
          <w:tab w:val="num" w:pos="1742"/>
        </w:tabs>
        <w:ind w:left="1267" w:firstLine="0"/>
      </w:pPr>
      <w:rPr>
        <w:spacing w:val="0"/>
        <w:w w:val="100"/>
      </w:rPr>
    </w:lvl>
  </w:abstractNum>
  <w:abstractNum w:abstractNumId="16">
    <w:nsid w:val="6C5673E9"/>
    <w:multiLevelType w:val="singleLevel"/>
    <w:tmpl w:val="8D265C3C"/>
    <w:lvl w:ilvl="0">
      <w:start w:val="44"/>
      <w:numFmt w:val="decimal"/>
      <w:lvlRestart w:val="0"/>
      <w:lvlText w:val="%1."/>
      <w:lvlJc w:val="left"/>
      <w:pPr>
        <w:tabs>
          <w:tab w:val="num" w:pos="475"/>
        </w:tabs>
        <w:ind w:left="0" w:firstLine="0"/>
      </w:pPr>
      <w:rPr>
        <w:b w:val="0"/>
        <w:i w:val="0"/>
        <w:spacing w:val="0"/>
        <w:w w:val="100"/>
      </w:rPr>
    </w:lvl>
  </w:abstractNum>
  <w:abstractNum w:abstractNumId="17">
    <w:nsid w:val="741B014A"/>
    <w:multiLevelType w:val="singleLevel"/>
    <w:tmpl w:val="DE8C494C"/>
    <w:lvl w:ilvl="0">
      <w:start w:val="1"/>
      <w:numFmt w:val="decimal"/>
      <w:lvlRestart w:val="0"/>
      <w:lvlText w:val="%1."/>
      <w:lvlJc w:val="left"/>
      <w:pPr>
        <w:tabs>
          <w:tab w:val="num" w:pos="475"/>
        </w:tabs>
        <w:ind w:left="0" w:firstLine="0"/>
      </w:pPr>
      <w:rPr>
        <w:spacing w:val="0"/>
        <w:w w:val="100"/>
      </w:rPr>
    </w:lvl>
  </w:abstractNum>
  <w:abstractNum w:abstractNumId="18">
    <w:nsid w:val="745C3508"/>
    <w:multiLevelType w:val="singleLevel"/>
    <w:tmpl w:val="6204AA2C"/>
    <w:lvl w:ilvl="0">
      <w:start w:val="1"/>
      <w:numFmt w:val="decimal"/>
      <w:lvlRestart w:val="0"/>
      <w:lvlText w:val="%1."/>
      <w:lvlJc w:val="left"/>
      <w:pPr>
        <w:tabs>
          <w:tab w:val="num" w:pos="475"/>
        </w:tabs>
        <w:ind w:left="0" w:firstLine="0"/>
      </w:pPr>
      <w:rPr>
        <w:spacing w:val="0"/>
        <w:w w:val="100"/>
      </w:rPr>
    </w:lvl>
  </w:abstractNum>
  <w:abstractNum w:abstractNumId="19">
    <w:nsid w:val="7C2B4F3E"/>
    <w:multiLevelType w:val="singleLevel"/>
    <w:tmpl w:val="C17C4C06"/>
    <w:lvl w:ilvl="0">
      <w:start w:val="40"/>
      <w:numFmt w:val="decimal"/>
      <w:lvlRestart w:val="0"/>
      <w:lvlText w:val="%1."/>
      <w:lvlJc w:val="left"/>
      <w:pPr>
        <w:tabs>
          <w:tab w:val="num" w:pos="475"/>
        </w:tabs>
        <w:ind w:left="0" w:firstLine="0"/>
      </w:pPr>
      <w:rPr>
        <w:spacing w:val="0"/>
        <w:w w:val="100"/>
      </w:rPr>
    </w:lvl>
  </w:abstractNum>
  <w:num w:numId="1">
    <w:abstractNumId w:val="17"/>
  </w:num>
  <w:num w:numId="2">
    <w:abstractNumId w:val="3"/>
  </w:num>
  <w:num w:numId="3">
    <w:abstractNumId w:val="8"/>
  </w:num>
  <w:num w:numId="4">
    <w:abstractNumId w:val="8"/>
  </w:num>
  <w:num w:numId="5">
    <w:abstractNumId w:val="6"/>
  </w:num>
  <w:num w:numId="6">
    <w:abstractNumId w:val="11"/>
  </w:num>
  <w:num w:numId="7">
    <w:abstractNumId w:val="18"/>
  </w:num>
  <w:num w:numId="8">
    <w:abstractNumId w:val="1"/>
  </w:num>
  <w:num w:numId="9">
    <w:abstractNumId w:val="7"/>
  </w:num>
  <w:num w:numId="10">
    <w:abstractNumId w:val="12"/>
  </w:num>
  <w:num w:numId="11">
    <w:abstractNumId w:val="0"/>
  </w:num>
  <w:num w:numId="12">
    <w:abstractNumId w:val="14"/>
  </w:num>
  <w:num w:numId="13">
    <w:abstractNumId w:val="7"/>
    <w:lvlOverride w:ilvl="0">
      <w:lvl w:ilvl="0">
        <w:start w:val="53"/>
        <w:numFmt w:val="decimal"/>
        <w:lvlRestart w:val="0"/>
        <w:lvlText w:val="%1."/>
        <w:lvlJc w:val="left"/>
        <w:pPr>
          <w:tabs>
            <w:tab w:val="num" w:pos="1742"/>
          </w:tabs>
          <w:ind w:left="1267" w:firstLine="0"/>
        </w:pPr>
        <w:rPr>
          <w:spacing w:val="0"/>
          <w:w w:val="100"/>
        </w:rPr>
      </w:lvl>
    </w:lvlOverride>
  </w:num>
  <w:num w:numId="14">
    <w:abstractNumId w:val="5"/>
  </w:num>
  <w:num w:numId="15">
    <w:abstractNumId w:val="2"/>
  </w:num>
  <w:num w:numId="16">
    <w:abstractNumId w:val="5"/>
    <w:lvlOverride w:ilvl="0">
      <w:lvl w:ilvl="0">
        <w:start w:val="47"/>
        <w:numFmt w:val="decimal"/>
        <w:lvlRestart w:val="0"/>
        <w:lvlText w:val="%1."/>
        <w:lvlJc w:val="left"/>
        <w:pPr>
          <w:tabs>
            <w:tab w:val="num" w:pos="1742"/>
          </w:tabs>
          <w:ind w:left="1267" w:firstLine="0"/>
        </w:pPr>
        <w:rPr>
          <w:spacing w:val="0"/>
          <w:w w:val="100"/>
        </w:rPr>
      </w:lvl>
    </w:lvlOverride>
  </w:num>
  <w:num w:numId="17">
    <w:abstractNumId w:val="13"/>
  </w:num>
  <w:num w:numId="18">
    <w:abstractNumId w:val="15"/>
  </w:num>
  <w:num w:numId="19">
    <w:abstractNumId w:val="19"/>
  </w:num>
  <w:num w:numId="20">
    <w:abstractNumId w:val="9"/>
  </w:num>
  <w:num w:numId="21">
    <w:abstractNumId w:val="10"/>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1/2006 19:30:21"/>
    <w:docVar w:name="DocCategory" w:val="SROthers"/>
    <w:docVar w:name="DocType" w:val="Final"/>
    <w:docVar w:name="JobNo" w:val="0527967S"/>
    <w:docVar w:name="OandT" w:val="bbravo"/>
    <w:docVar w:name="Symbol1" w:val="CCPR/C/SR.226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78</TotalTime>
  <Pages>4</Pages>
  <Words>6006</Words>
  <Characters>34235</Characters>
  <Application>Microsoft Office Word</Application>
  <DocSecurity>4</DocSecurity>
  <Lines>285</Lines>
  <Paragraphs>68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42042</CharactersWithSpaces>
  <SharedDoc>false</SharedDoc>
  <HLinks>
    <vt:vector size="6" baseType="variant">
      <vt:variant>
        <vt:i4>4522087</vt:i4>
      </vt:variant>
      <vt:variant>
        <vt:i4>42747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BRAVO, Bertha</dc:creator>
  <cp:keywords/>
  <dc:description/>
  <cp:lastModifiedBy>Janssen, Joyce</cp:lastModifiedBy>
  <cp:revision>75</cp:revision>
  <cp:lastPrinted>2006-01-09T07:48:00Z</cp:lastPrinted>
  <dcterms:created xsi:type="dcterms:W3CDTF">2006-01-06T18:30:00Z</dcterms:created>
  <dcterms:modified xsi:type="dcterms:W3CDTF">2006-01-09T08:20:00Z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0527967</vt:lpwstr>
  </property>
  <property fmtid="{D5CDD505-2E9C-101B-9397-08002B2CF9AE}" pid="3" name="Symbol1">
    <vt:lpwstr>CCPR/C/SR.2267</vt:lpwstr>
  </property>
  <property fmtid="{D5CDD505-2E9C-101B-9397-08002B2CF9AE}" pid="4" name="Symbol2">
    <vt:lpwstr/>
  </property>
  <property fmtid="{D5CDD505-2E9C-101B-9397-08002B2CF9AE}" pid="5" name="Translator">
    <vt:lpwstr/>
  </property>
  <property fmtid="{D5CDD505-2E9C-101B-9397-08002B2CF9AE}" pid="6" name="Operator">
    <vt:lpwstr>bbravo</vt:lpwstr>
  </property>
  <property fmtid="{D5CDD505-2E9C-101B-9397-08002B2CF9AE}" pid="7" name="DraftPages">
    <vt:lpwstr> </vt:lpwstr>
  </property>
  <property fmtid="{D5CDD505-2E9C-101B-9397-08002B2CF9AE}" pid="8" name="Comment">
    <vt:lpwstr/>
  </property>
</Properties>
</file>