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w:t>
      </w:r>
      <w:r>
        <w:br/>
        <w:t>в отношении женщин</w:t>
      </w:r>
    </w:p>
    <w:p w:rsidR="00000000" w:rsidRDefault="00000000">
      <w:pPr>
        <w:rPr>
          <w:b/>
        </w:rPr>
      </w:pPr>
      <w:r>
        <w:rPr>
          <w:b/>
        </w:rPr>
        <w:t>Двадцатая сессия</w:t>
      </w:r>
    </w:p>
    <w:p w:rsidR="00000000" w:rsidRDefault="00000000">
      <w:pPr>
        <w:spacing w:line="240" w:lineRule="auto"/>
        <w:rPr>
          <w:sz w:val="12"/>
        </w:rPr>
      </w:pPr>
    </w:p>
    <w:p w:rsidR="00000000" w:rsidRDefault="00000000">
      <w:pPr>
        <w:rPr>
          <w:b/>
        </w:rPr>
      </w:pPr>
      <w:r>
        <w:rPr>
          <w:b/>
        </w:rPr>
        <w:t>Краткий отчет о 421</w:t>
      </w:r>
      <w:r>
        <w:rPr>
          <w:b/>
        </w:rPr>
        <w:noBreakHyphen/>
        <w:t>м заседании,</w:t>
      </w:r>
    </w:p>
    <w:p w:rsidR="00000000" w:rsidRDefault="00000000">
      <w:r>
        <w:t>состоявшемся в Центральных учреждениях, Нью-Йорк, во вторник, 2 февраля 1999 года, в 10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 г</w:t>
      </w:r>
      <w:r>
        <w:noBreakHyphen/>
        <w:t>жа Гонсалес</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keepNext w:val="0"/>
        <w:keepLines w:val="0"/>
        <w:spacing w:line="240" w:lineRule="auto"/>
        <w:rPr>
          <w:sz w:val="12"/>
        </w:rPr>
      </w:pPr>
    </w:p>
    <w:p w:rsidR="00000000" w:rsidRDefault="00000000">
      <w:pPr>
        <w:pStyle w:val="HCh"/>
        <w:keepNext w:val="0"/>
        <w:keepLines w:val="0"/>
        <w:spacing w:line="240" w:lineRule="auto"/>
        <w:rPr>
          <w:sz w:val="12"/>
        </w:rPr>
      </w:pPr>
    </w:p>
    <w:p w:rsidR="00000000" w:rsidRDefault="00000000">
      <w:pPr>
        <w:pStyle w:val="SingleTxt"/>
        <w:suppressAutoHyphens/>
        <w:jc w:val="left"/>
      </w:pPr>
      <w:r>
        <w:t>Рассмотрение докладов, представленных государствами-участниками в соответствии со статьей 18 Конвенции (</w:t>
      </w:r>
      <w:r>
        <w:rPr>
          <w:i/>
        </w:rPr>
        <w:t>продолжение</w:t>
      </w:r>
      <w:r>
        <w:t>)</w:t>
      </w:r>
    </w:p>
    <w:p w:rsidR="00000000" w:rsidRDefault="00000000">
      <w:pPr>
        <w:pStyle w:val="SingleTxt"/>
        <w:ind w:left="1742" w:hanging="475"/>
        <w:jc w:val="left"/>
      </w:pPr>
      <w:r>
        <w:rPr>
          <w:i/>
        </w:rPr>
        <w:tab/>
        <w:t xml:space="preserve">Третий и четвертый периодические доклады Китая </w:t>
      </w:r>
      <w:r>
        <w:t>(</w:t>
      </w:r>
      <w:r>
        <w:rPr>
          <w:i/>
        </w:rPr>
        <w:t>продо</w:t>
      </w:r>
      <w:r>
        <w:rPr>
          <w:i/>
        </w:rPr>
        <w:t>л</w:t>
      </w:r>
      <w:r>
        <w:rPr>
          <w:i/>
        </w:rPr>
        <w:t>жение</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ab/>
        <w:t>Заседание открывается в 10 ч. 30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Рассмотрение докладов, представленных государствами-участниками в соответствии со статьей 18 Конвенции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Третий и четвертый периодические доклады Китая </w:t>
      </w:r>
      <w:r>
        <w:rPr>
          <w:i w:val="0"/>
        </w:rPr>
        <w:t>(</w:t>
      </w:r>
      <w:r>
        <w:t>продолжение</w:t>
      </w:r>
      <w:r>
        <w:rPr>
          <w:i w:val="0"/>
        </w:rPr>
        <w:t>)</w:t>
      </w:r>
      <w:r>
        <w:t xml:space="preserve"> </w:t>
      </w:r>
      <w:r>
        <w:rPr>
          <w:i w:val="0"/>
        </w:rPr>
        <w:t>(CEDAW/C/CHN/3–4 и Add.1 и 2; CEDAW/C/1999/I/CRP.1/Add.1)</w:t>
      </w:r>
    </w:p>
    <w:p w:rsidR="00000000" w:rsidRDefault="00000000">
      <w:pPr>
        <w:pStyle w:val="DualTxt"/>
        <w:spacing w:after="0" w:line="120" w:lineRule="exact"/>
        <w:rPr>
          <w:sz w:val="10"/>
        </w:rPr>
      </w:pPr>
    </w:p>
    <w:p w:rsidR="00000000" w:rsidRDefault="00000000">
      <w:pPr>
        <w:pStyle w:val="DualTxt"/>
      </w:pPr>
      <w:r>
        <w:t>1.</w:t>
      </w:r>
      <w:r>
        <w:tab/>
        <w:t>По приглашению Председателя место за ст</w:t>
      </w:r>
      <w:r>
        <w:t>о</w:t>
      </w:r>
      <w:r>
        <w:t>лом Комитета занимают г</w:t>
      </w:r>
      <w:r>
        <w:noBreakHyphen/>
        <w:t>н Цинь Хуасунь (Китай) и г</w:t>
      </w:r>
      <w:r>
        <w:noBreakHyphen/>
        <w:t>н Лань, г</w:t>
      </w:r>
      <w:r>
        <w:noBreakHyphen/>
        <w:t>н Вон, г</w:t>
      </w:r>
      <w:r>
        <w:noBreakHyphen/>
        <w:t>жа Тан, г</w:t>
      </w:r>
      <w:r>
        <w:noBreakHyphen/>
        <w:t>н Гулд, г</w:t>
      </w:r>
      <w:r>
        <w:noBreakHyphen/>
        <w:t>жа Чэн, г</w:t>
      </w:r>
      <w:r>
        <w:noBreakHyphen/>
        <w:t>жа Мак Синь-пин и г</w:t>
      </w:r>
      <w:r>
        <w:noBreakHyphen/>
        <w:t>жа Мак (специальный а</w:t>
      </w:r>
      <w:r>
        <w:t>д</w:t>
      </w:r>
      <w:r>
        <w:t>министративный район К</w:t>
      </w:r>
      <w:r>
        <w:t>и</w:t>
      </w:r>
      <w:r>
        <w:t>тая Сянган).</w:t>
      </w:r>
    </w:p>
    <w:p w:rsidR="00000000" w:rsidRDefault="00000000">
      <w:pPr>
        <w:pStyle w:val="DualTxt"/>
      </w:pPr>
      <w:r>
        <w:t>2.</w:t>
      </w:r>
      <w:r>
        <w:tab/>
      </w:r>
      <w:r>
        <w:rPr>
          <w:b/>
        </w:rPr>
        <w:t>Г</w:t>
      </w:r>
      <w:r>
        <w:rPr>
          <w:b/>
        </w:rPr>
        <w:noBreakHyphen/>
        <w:t>н Цинь</w:t>
      </w:r>
      <w:r>
        <w:t xml:space="preserve"> Хуасунь (Китай) уточняет ряд м</w:t>
      </w:r>
      <w:r>
        <w:t>о</w:t>
      </w:r>
      <w:r>
        <w:t>ментов, затронутых днем ранее. Во</w:t>
      </w:r>
      <w:r>
        <w:noBreakHyphen/>
        <w:t>первых, микр</w:t>
      </w:r>
      <w:r>
        <w:t>о</w:t>
      </w:r>
      <w:r>
        <w:t>кредитование было внедрено в сельской местности в начале 1990</w:t>
      </w:r>
      <w:r>
        <w:noBreakHyphen/>
        <w:t>х годов. Благодаря использованию опыта Бангладеш эта система получила широкое распространение в малоимущих районах страны, причем основную пользу от нее получили сельские женщины. Свои программы осуществляют и непр</w:t>
      </w:r>
      <w:r>
        <w:t>а</w:t>
      </w:r>
      <w:r>
        <w:t>вительственные организации: например, по линии проекта «Счастье» предоставляются микрокредиты женщинам, имеющим на иждивении семью. Во</w:t>
      </w:r>
      <w:r>
        <w:noBreakHyphen/>
        <w:t>вторых, что касается неграмотности среди же</w:t>
      </w:r>
      <w:r>
        <w:t>н</w:t>
      </w:r>
      <w:r>
        <w:t>щин: среди населения в целом доля неграмотных составляет 15,8 процента, но 70 процентов от этой доли приходится на женщин. В</w:t>
      </w:r>
      <w:r>
        <w:noBreakHyphen/>
        <w:t>третьих, что касае</w:t>
      </w:r>
      <w:r>
        <w:t>т</w:t>
      </w:r>
      <w:r>
        <w:t>ся осуществления трудового и прочего законод</w:t>
      </w:r>
      <w:r>
        <w:t>а</w:t>
      </w:r>
      <w:r>
        <w:t>тельства в зонах экономического развития: во всех этих зонах действуют отечественные законы. В</w:t>
      </w:r>
      <w:r>
        <w:noBreakHyphen/>
        <w:t>четвертых, как в районах проживания этнических меньшинств, так и в других районах в отношении женщин-заключенных действуют особые пр</w:t>
      </w:r>
      <w:r>
        <w:t>а</w:t>
      </w:r>
      <w:r>
        <w:t>вила.</w:t>
      </w:r>
    </w:p>
    <w:p w:rsidR="00000000" w:rsidRDefault="00000000">
      <w:pPr>
        <w:pStyle w:val="DualTxt"/>
      </w:pPr>
      <w:r>
        <w:t>3.</w:t>
      </w:r>
      <w:r>
        <w:tab/>
        <w:t>В заключение оратор отмечает, что права женщин — это лишь один аспект прав человека. Комитет не относится к числу основных форумов, на которых обсуждаются вопросы прав человека, по которым имеется множество самых различных мн</w:t>
      </w:r>
      <w:r>
        <w:t>е</w:t>
      </w:r>
      <w:r>
        <w:t>ний, высказываемых порой в конфронтационном духе. Китай — развивающаяся страна, которая д</w:t>
      </w:r>
      <w:r>
        <w:t>е</w:t>
      </w:r>
      <w:r>
        <w:t>лает все возможное, чтобы осуществлять Конве</w:t>
      </w:r>
      <w:r>
        <w:t>н</w:t>
      </w:r>
      <w:r>
        <w:t>цию. Он приветствует конструктивные советы К</w:t>
      </w:r>
      <w:r>
        <w:t>о</w:t>
      </w:r>
      <w:r>
        <w:t>митета. Всем членам Комитета было бы целесоо</w:t>
      </w:r>
      <w:r>
        <w:t>б</w:t>
      </w:r>
      <w:r>
        <w:t>разно оставить обсуждение прав человека Комитету по правам челов</w:t>
      </w:r>
      <w:r>
        <w:t>е</w:t>
      </w:r>
      <w:r>
        <w:t>ка.</w:t>
      </w:r>
    </w:p>
    <w:p w:rsidR="00000000" w:rsidRDefault="00000000">
      <w:pPr>
        <w:pStyle w:val="DualTxt"/>
      </w:pPr>
      <w:r>
        <w:t>4.</w:t>
      </w:r>
      <w:r>
        <w:tab/>
      </w:r>
      <w:r>
        <w:rPr>
          <w:b/>
        </w:rPr>
        <w:t>Г</w:t>
      </w:r>
      <w:r>
        <w:rPr>
          <w:b/>
        </w:rPr>
        <w:noBreakHyphen/>
        <w:t>н Лань</w:t>
      </w:r>
      <w:r>
        <w:t xml:space="preserve"> (специальный административный район Китая Сянган) говорит, что в соответствии с принципом «одна страна — две системы» капит</w:t>
      </w:r>
      <w:r>
        <w:t>а</w:t>
      </w:r>
      <w:r>
        <w:t>листическая система и образ жизни сохранятся в районе без изменений в течение 50 лет. У Сянгана хорошая репутация в плане соблюдения прав чел</w:t>
      </w:r>
      <w:r>
        <w:t>о</w:t>
      </w:r>
      <w:r>
        <w:t>века, и фундамент, на который опирается защита этих прав, считается сейчас даже более прочным, чем в прошлом. Оратор перечисляет права и своб</w:t>
      </w:r>
      <w:r>
        <w:t>о</w:t>
      </w:r>
      <w:r>
        <w:t>ды, упомянутые в пунктах 30 и 31 доклада (CEDAW/C/CHN/3–4/Add.2), добавляя при этом, что будут и впредь применяться Ордонанс о Билле о правах для Гонконга и распространяющиеся на Сянган договоры Организации Объединенных Н</w:t>
      </w:r>
      <w:r>
        <w:t>а</w:t>
      </w:r>
      <w:r>
        <w:t>ций по правам человека. Недавно район представил свой первый доклад об осуществлении Междун</w:t>
      </w:r>
      <w:r>
        <w:t>а</w:t>
      </w:r>
      <w:r>
        <w:t>родного пакта и гражданских и политических пр</w:t>
      </w:r>
      <w:r>
        <w:t>а</w:t>
      </w:r>
      <w:r>
        <w:t>вах, свидетельствующий о том, что защита, обесп</w:t>
      </w:r>
      <w:r>
        <w:t>е</w:t>
      </w:r>
      <w:r>
        <w:t>чиваемая жителям Сянгана, никоим образом не и</w:t>
      </w:r>
      <w:r>
        <w:t>з</w:t>
      </w:r>
      <w:r>
        <w:t>менилась. Остановившись на правах женщин, о к</w:t>
      </w:r>
      <w:r>
        <w:t>о</w:t>
      </w:r>
      <w:r>
        <w:t>торых рассказывается в пунктах 5 и 15 части II до</w:t>
      </w:r>
      <w:r>
        <w:t>к</w:t>
      </w:r>
      <w:r>
        <w:t>лада, оратор отмечает, что наряду с обязанностями, изложенными в пунктах 11 и 12 части II, Комиссия по предоставлению равных возможностей отвечает также за исполнение трех антидискриминационных ордонансов. Было принято три кодекса, регул</w:t>
      </w:r>
      <w:r>
        <w:t>и</w:t>
      </w:r>
      <w:r>
        <w:t>рующих практику трудоустройства. Комиссия де</w:t>
      </w:r>
      <w:r>
        <w:t>й</w:t>
      </w:r>
      <w:r>
        <w:t>ствует вот уже более двух лет, и правительство в</w:t>
      </w:r>
      <w:r>
        <w:t>ы</w:t>
      </w:r>
      <w:r>
        <w:t>делило на ее нужды более 170 млн. гонконгских долларов.</w:t>
      </w:r>
    </w:p>
    <w:p w:rsidR="00000000" w:rsidRDefault="00000000">
      <w:pPr>
        <w:pStyle w:val="DualTxt"/>
      </w:pPr>
      <w:r>
        <w:t>5.</w:t>
      </w:r>
      <w:r>
        <w:tab/>
        <w:t>В целях ликвидации любых проявлений н</w:t>
      </w:r>
      <w:r>
        <w:t>е</w:t>
      </w:r>
      <w:r>
        <w:t>справедливого отношения к женщинам правител</w:t>
      </w:r>
      <w:r>
        <w:t>ь</w:t>
      </w:r>
      <w:r>
        <w:t>ство приняло с 1996 по 1998 год более 20 поправок к шести ордонансам и будет и впредь вносить изм</w:t>
      </w:r>
      <w:r>
        <w:t>е</w:t>
      </w:r>
      <w:r>
        <w:t>нения во все законодательные акты, положения к</w:t>
      </w:r>
      <w:r>
        <w:t>о</w:t>
      </w:r>
      <w:r>
        <w:t>торых дискриминационны по отношению к женщ</w:t>
      </w:r>
      <w:r>
        <w:t>и</w:t>
      </w:r>
      <w:r>
        <w:t>нам. Положение и статус женщин улучшились. В 1997 году женщины составили 39 процентов от вс</w:t>
      </w:r>
      <w:r>
        <w:t>е</w:t>
      </w:r>
      <w:r>
        <w:t>го работающего населения. В настоящее время женщины занимают две из трех высших государс</w:t>
      </w:r>
      <w:r>
        <w:t>т</w:t>
      </w:r>
      <w:r>
        <w:t>венных должностей: пост Главного секретаря адм</w:t>
      </w:r>
      <w:r>
        <w:t>и</w:t>
      </w:r>
      <w:r>
        <w:t>нистрации и пост секретаря по вопросам юстиции. На долю женщин приходится 33 процента гражда</w:t>
      </w:r>
      <w:r>
        <w:t>н</w:t>
      </w:r>
      <w:r>
        <w:t>ских служащих. Почти треть членского состава И</w:t>
      </w:r>
      <w:r>
        <w:t>с</w:t>
      </w:r>
      <w:r>
        <w:t>полнительного совета — женщ</w:t>
      </w:r>
      <w:r>
        <w:t>и</w:t>
      </w:r>
      <w:r>
        <w:t>ны.</w:t>
      </w:r>
    </w:p>
    <w:p w:rsidR="00000000" w:rsidRDefault="00000000">
      <w:pPr>
        <w:pStyle w:val="DualTxt"/>
      </w:pPr>
      <w:r>
        <w:t>6.</w:t>
      </w:r>
      <w:r>
        <w:tab/>
        <w:t>Постепенно возросла доля женщин, занятых в сферах, где традиционно доминируют мужчины. За последние 12 месяцев женщины составили 45,3 процента от инспекторов-новобранцев в пол</w:t>
      </w:r>
      <w:r>
        <w:t>и</w:t>
      </w:r>
      <w:r>
        <w:t>ции; в Департаменте пожарной охраны насчитыв</w:t>
      </w:r>
      <w:r>
        <w:t>а</w:t>
      </w:r>
      <w:r>
        <w:t>ется пять женщин-брандмейстеров, которые акти</w:t>
      </w:r>
      <w:r>
        <w:t>в</w:t>
      </w:r>
      <w:r>
        <w:t>но руководят борьбой с пожарами. Что касается лиц свободных профессий, то на долю женщин прих</w:t>
      </w:r>
      <w:r>
        <w:t>о</w:t>
      </w:r>
      <w:r>
        <w:t>дится 34 процента адвокатов, 36,3 процента бухга</w:t>
      </w:r>
      <w:r>
        <w:t>л</w:t>
      </w:r>
      <w:r>
        <w:t>теров и 21,3 процента врачей.</w:t>
      </w:r>
    </w:p>
    <w:p w:rsidR="00000000" w:rsidRDefault="00000000">
      <w:pPr>
        <w:pStyle w:val="DualTxt"/>
      </w:pPr>
      <w:r>
        <w:t>7.</w:t>
      </w:r>
      <w:r>
        <w:tab/>
        <w:t>Правительство привержено обеспечению ра</w:t>
      </w:r>
      <w:r>
        <w:t>в</w:t>
      </w:r>
      <w:r>
        <w:t>ных возможностей в сфере образования. С 1976 года дети имеют право на бесплатное и вс</w:t>
      </w:r>
      <w:r>
        <w:t>е</w:t>
      </w:r>
      <w:r>
        <w:t>общее девятилетнее базовое образование. Женщины составляют более половины выпускников в</w:t>
      </w:r>
      <w:r>
        <w:t>у</w:t>
      </w:r>
      <w:r>
        <w:t>зов.</w:t>
      </w:r>
    </w:p>
    <w:p w:rsidR="00000000" w:rsidRDefault="00000000">
      <w:pPr>
        <w:pStyle w:val="DualTxt"/>
      </w:pPr>
      <w:r>
        <w:t>8.</w:t>
      </w:r>
      <w:r>
        <w:tab/>
        <w:t>Охране здоровья женщин всегда уделялось приоритетное внимание. В порядке дополнения и</w:t>
      </w:r>
      <w:r>
        <w:t>н</w:t>
      </w:r>
      <w:r>
        <w:t>формации, приводимой в пунктах 123 и 127 докл</w:t>
      </w:r>
      <w:r>
        <w:t>а</w:t>
      </w:r>
      <w:r>
        <w:t>да, оратор отмечает, что в Сянгане сохраняется один из самых низких в мире показателей младе</w:t>
      </w:r>
      <w:r>
        <w:t>н</w:t>
      </w:r>
      <w:r>
        <w:t>ческой смертности. В 1997 году он составлял 4 смертных случая на 1000 живорожденных, в то время как показатель материнской смертности с</w:t>
      </w:r>
      <w:r>
        <w:t>о</w:t>
      </w:r>
      <w:r>
        <w:t>ставил 2 смертных случая на 100 000 новорожде</w:t>
      </w:r>
      <w:r>
        <w:t>н</w:t>
      </w:r>
      <w:r>
        <w:t>ных. Кроме того, средняя продолжительность жи</w:t>
      </w:r>
      <w:r>
        <w:t>з</w:t>
      </w:r>
      <w:r>
        <w:t>ни женщин достигла в среднем 82,2 года, тогда как для мужчин она составляет 76,8 лет. Правительство всячески стремится способствовать благососто</w:t>
      </w:r>
      <w:r>
        <w:t>я</w:t>
      </w:r>
      <w:r>
        <w:t>нию женщин. Установочные группы, которые во</w:t>
      </w:r>
      <w:r>
        <w:t>з</w:t>
      </w:r>
      <w:r>
        <w:t>главляются Главным секретарем администрации и в работе которых принимают участие старшие пре</w:t>
      </w:r>
      <w:r>
        <w:t>д</w:t>
      </w:r>
      <w:r>
        <w:t>ставители соответствующих бюро, обеспечивают необходимую координацию во всех вопросах, к</w:t>
      </w:r>
      <w:r>
        <w:t>а</w:t>
      </w:r>
      <w:r>
        <w:t>сающихся женщин.</w:t>
      </w:r>
    </w:p>
    <w:p w:rsidR="00000000" w:rsidRDefault="00000000">
      <w:pPr>
        <w:pStyle w:val="DualTxt"/>
      </w:pPr>
      <w:r>
        <w:t>9.</w:t>
      </w:r>
      <w:r>
        <w:tab/>
        <w:t>Действие Конвенции было распространено на Сянган в октябре 1996 года, и она осталась для него в силе после воссоединения. Китайская Народная Республика приняла семь оговорок и заявлений в отношении положений Конвенции применительно к Сянгану. После тщательного изучения правительс</w:t>
      </w:r>
      <w:r>
        <w:t>т</w:t>
      </w:r>
      <w:r>
        <w:t>во района постановило не вносить каких-либо и</w:t>
      </w:r>
      <w:r>
        <w:t>з</w:t>
      </w:r>
      <w:r>
        <w:t>менений, но периодически возвращаться к рассмо</w:t>
      </w:r>
      <w:r>
        <w:t>т</w:t>
      </w:r>
      <w:r>
        <w:t>рению вопроса о применимости этих огов</w:t>
      </w:r>
      <w:r>
        <w:t>о</w:t>
      </w:r>
      <w:r>
        <w:t>рок.</w:t>
      </w:r>
    </w:p>
    <w:p w:rsidR="00000000" w:rsidRDefault="00000000">
      <w:pPr>
        <w:pStyle w:val="DualTxt"/>
      </w:pPr>
      <w:r>
        <w:t>10.</w:t>
      </w:r>
      <w:r>
        <w:tab/>
        <w:t>Что касается перечня вопросов, содержащег</w:t>
      </w:r>
      <w:r>
        <w:t>о</w:t>
      </w:r>
      <w:r>
        <w:t>ся в документе CEDAW/C/1999/I/CRP.1/Add.1, то оратор, затрагивая вопрос 42, отмечает, что, как указывалось в его вступительных замечаниях, ж</w:t>
      </w:r>
      <w:r>
        <w:t>и</w:t>
      </w:r>
      <w:r>
        <w:t>тели Сянгана стали после воссоединения с остал</w:t>
      </w:r>
      <w:r>
        <w:t>ь</w:t>
      </w:r>
      <w:r>
        <w:t>ной частью страны пользоваться еще более шир</w:t>
      </w:r>
      <w:r>
        <w:t>о</w:t>
      </w:r>
      <w:r>
        <w:t>кой защитой, поскольку их права закреплены в О</w:t>
      </w:r>
      <w:r>
        <w:t>с</w:t>
      </w:r>
      <w:r>
        <w:t>новном законе — по сути, писаной конституции района. Правительство Китайской Народной Ре</w:t>
      </w:r>
      <w:r>
        <w:t>с</w:t>
      </w:r>
      <w:r>
        <w:t>публики заявило, что имеющиеся оговорки к Ко</w:t>
      </w:r>
      <w:r>
        <w:t>н</w:t>
      </w:r>
      <w:r>
        <w:t>венции будут сохранены и что на район будет ра</w:t>
      </w:r>
      <w:r>
        <w:t>с</w:t>
      </w:r>
      <w:r>
        <w:t>пространено действие оговорки к пункту 1 ст</w:t>
      </w:r>
      <w:r>
        <w:t>а</w:t>
      </w:r>
      <w:r>
        <w:t>тьи 29. Правительство района в полной мере созн</w:t>
      </w:r>
      <w:r>
        <w:t>а</w:t>
      </w:r>
      <w:r>
        <w:t>ет, что к своим обязательствам по Конвенции ему нужно подходить со всей серьезностью; вместе с тем их выполнение может оказаться невозможным в свете особого п</w:t>
      </w:r>
      <w:r>
        <w:t>о</w:t>
      </w:r>
      <w:r>
        <w:t>ложения района.</w:t>
      </w:r>
    </w:p>
    <w:p w:rsidR="00000000" w:rsidRDefault="00000000">
      <w:pPr>
        <w:pStyle w:val="DualTxt"/>
      </w:pPr>
      <w:r>
        <w:t>11.</w:t>
      </w:r>
      <w:r>
        <w:tab/>
        <w:t>Оговорка к статье 9 уже снята, поскольку она утратила свою актуальность, а остальные оговорки будут сохраняться до тех пор, пока они необходимы для поддержания законодательства и политики, з</w:t>
      </w:r>
      <w:r>
        <w:t>а</w:t>
      </w:r>
      <w:r>
        <w:t>щищающих интересы общества в целом. Если в с</w:t>
      </w:r>
      <w:r>
        <w:t>и</w:t>
      </w:r>
      <w:r>
        <w:t>лу изменившихся обстоятельств станет понятно, что необходимость в каких</w:t>
      </w:r>
      <w:r>
        <w:noBreakHyphen/>
        <w:t>то из них отпала, можно будет рассмотреть вопрос об их сн</w:t>
      </w:r>
      <w:r>
        <w:t>я</w:t>
      </w:r>
      <w:r>
        <w:t>тии.</w:t>
      </w:r>
    </w:p>
    <w:p w:rsidR="00000000" w:rsidRDefault="00000000">
      <w:pPr>
        <w:pStyle w:val="DualTxt"/>
      </w:pPr>
      <w:r>
        <w:t>12.</w:t>
      </w:r>
      <w:r>
        <w:tab/>
        <w:t>В ответ на вопрос 43 оратор говорит, что в докладе уже говорилось о неустанных усилиях пр</w:t>
      </w:r>
      <w:r>
        <w:t>а</w:t>
      </w:r>
      <w:r>
        <w:t>вительства, направленных на содействие достиж</w:t>
      </w:r>
      <w:r>
        <w:t>е</w:t>
      </w:r>
      <w:r>
        <w:t>нию стратегических целей Пекинской декларации и Платформы дейс</w:t>
      </w:r>
      <w:r>
        <w:t>т</w:t>
      </w:r>
      <w:r>
        <w:t>вий.</w:t>
      </w:r>
    </w:p>
    <w:p w:rsidR="00000000" w:rsidRDefault="00000000">
      <w:pPr>
        <w:pStyle w:val="DualTxt"/>
      </w:pPr>
      <w:r>
        <w:t>13.</w:t>
      </w:r>
      <w:r>
        <w:tab/>
        <w:t>Отвечая на вопрос 44, он говорит, что уже упоминавшиеся установочные группы обеспечив</w:t>
      </w:r>
      <w:r>
        <w:t>а</w:t>
      </w:r>
      <w:r>
        <w:t>ют необходимую координацию различных соста</w:t>
      </w:r>
      <w:r>
        <w:t>в</w:t>
      </w:r>
      <w:r>
        <w:t>ляющих политики в отношении женщин. Бюро внутренних дел способствует реализации Конве</w:t>
      </w:r>
      <w:r>
        <w:t>н</w:t>
      </w:r>
      <w:r>
        <w:t>ции с момента распространения ее действия на Сянган в 1996 году. Поощрение равенства между полами является также одной из главных функций Комиссии по предоставлению равных возможн</w:t>
      </w:r>
      <w:r>
        <w:t>о</w:t>
      </w:r>
      <w:r>
        <w:t>стей.</w:t>
      </w:r>
    </w:p>
    <w:p w:rsidR="00000000" w:rsidRDefault="00000000">
      <w:pPr>
        <w:pStyle w:val="DualTxt"/>
      </w:pPr>
      <w:r>
        <w:t>14.</w:t>
      </w:r>
      <w:r>
        <w:tab/>
        <w:t>Что касается вопроса 45, то кандидатуры му</w:t>
      </w:r>
      <w:r>
        <w:t>ж</w:t>
      </w:r>
      <w:r>
        <w:t>чин и женщин на равных началах рассматриваются при назначениях в совещательные и распоряд</w:t>
      </w:r>
      <w:r>
        <w:t>и</w:t>
      </w:r>
      <w:r>
        <w:t>тельные органы с учетом их квалификации, опыта и преданности делу служения обществу. База данных о желающих поступить на службу регулярно обно</w:t>
      </w:r>
      <w:r>
        <w:t>в</w:t>
      </w:r>
      <w:r>
        <w:t>ляется и расширяется; членам женских организаций и профессиональных ассоциаций постоянно пре</w:t>
      </w:r>
      <w:r>
        <w:t>д</w:t>
      </w:r>
      <w:r>
        <w:t>лагают сообщать о своей заинтересованности. И доля женщин, назначаемых в упомянутые органы, возросла. Если в 1995 году женщины составляли в членском составе таких органов 16,6 процента, то в 1998 году этот показатель составил 20 процентов. За последние десять лет число женщин-назначенцев более чем у</w:t>
      </w:r>
      <w:r>
        <w:t>д</w:t>
      </w:r>
      <w:r>
        <w:t>воилось.</w:t>
      </w:r>
    </w:p>
    <w:p w:rsidR="00000000" w:rsidRDefault="00000000">
      <w:pPr>
        <w:pStyle w:val="DualTxt"/>
      </w:pPr>
      <w:r>
        <w:t>15.</w:t>
      </w:r>
      <w:r>
        <w:tab/>
      </w:r>
      <w:r>
        <w:rPr>
          <w:b/>
        </w:rPr>
        <w:t>Г</w:t>
      </w:r>
      <w:r>
        <w:rPr>
          <w:b/>
        </w:rPr>
        <w:noBreakHyphen/>
        <w:t>н Вон</w:t>
      </w:r>
      <w:r>
        <w:t xml:space="preserve"> (специальный административный район Сянган), отвечая на вопрос 46, говорит, что, по мнению правительства специального админис</w:t>
      </w:r>
      <w:r>
        <w:t>т</w:t>
      </w:r>
      <w:r>
        <w:t>ративного района, определение дискриминации по признаку пола, содержащееся в Ордонансе о ди</w:t>
      </w:r>
      <w:r>
        <w:t>с</w:t>
      </w:r>
      <w:r>
        <w:t>криминации по половому признаку, соответствует статье 1 Конвенции. Это определение включает как прямую, так и косвенную дискриминацию. Орд</w:t>
      </w:r>
      <w:r>
        <w:t>о</w:t>
      </w:r>
      <w:r>
        <w:t>нанс распространяется на такие сферы, как зан</w:t>
      </w:r>
      <w:r>
        <w:t>я</w:t>
      </w:r>
      <w:r>
        <w:t>тость, образование, обеспечение товарами и усл</w:t>
      </w:r>
      <w:r>
        <w:t>у</w:t>
      </w:r>
      <w:r>
        <w:t>гами, использование или эксплуатация помещений, право голосовать и быть избранным или назначе</w:t>
      </w:r>
      <w:r>
        <w:t>н</w:t>
      </w:r>
      <w:r>
        <w:t>ным в совещательные органы, государственная и общественная жизнь.</w:t>
      </w:r>
    </w:p>
    <w:p w:rsidR="00000000" w:rsidRDefault="00000000">
      <w:pPr>
        <w:pStyle w:val="DualTxt"/>
      </w:pPr>
      <w:r>
        <w:t>16.</w:t>
      </w:r>
      <w:r>
        <w:tab/>
      </w:r>
      <w:r>
        <w:rPr>
          <w:b/>
        </w:rPr>
        <w:t>Г</w:t>
      </w:r>
      <w:r>
        <w:rPr>
          <w:b/>
        </w:rPr>
        <w:noBreakHyphen/>
        <w:t>н Лань</w:t>
      </w:r>
      <w:r>
        <w:t xml:space="preserve"> (специальный административный район Сянган), касаясь вопроса 47, говорит, что Комиссия по предоставлению равных возможностей является независимым распорядительным органом, учрежденным в мае 1996 года в соответствии с О</w:t>
      </w:r>
      <w:r>
        <w:t>р</w:t>
      </w:r>
      <w:r>
        <w:t>донансом о дискриминации по половому признаку. В ее обязанности входит надзор за осуществлением названного ордонанса, Ордонанса о дискриминации инвалидов и Ордонанса о дискриминации на почве семейного положения. Ее работа над ликвидацией дискриминации на почве половой принадлежности, инвалидности или семейного положения ведется и в таких зависящих от конкретной ситуации формах, как примирение, расследование, пропаганда, пр</w:t>
      </w:r>
      <w:r>
        <w:t>о</w:t>
      </w:r>
      <w:r>
        <w:t>свещение, юридическая помощь или обращение в суд. Принятие этих ордонансов и учреждение К</w:t>
      </w:r>
      <w:r>
        <w:t>о</w:t>
      </w:r>
      <w:r>
        <w:t>миссии способствовало всесторонней реализации Конвенции в районе. Доклад Комиссии за 1997–</w:t>
      </w:r>
      <w:r>
        <w:br/>
        <w:t>1998 годы был в декабре 1998 года представлен на рассмотрение Законодательного совета. Однако оратор отмечает, что, насколько ему известно, дал</w:t>
      </w:r>
      <w:r>
        <w:t>ь</w:t>
      </w:r>
      <w:r>
        <w:t>нейших действий законодателями предложено не было. Комиссия поддерживает тесные связи с н</w:t>
      </w:r>
      <w:r>
        <w:t>е</w:t>
      </w:r>
      <w:r>
        <w:t>правительственными организациями, которые с</w:t>
      </w:r>
      <w:r>
        <w:t>о</w:t>
      </w:r>
      <w:r>
        <w:t>общают ей о волнующих их вопросах и излагают ей свои мн</w:t>
      </w:r>
      <w:r>
        <w:t>е</w:t>
      </w:r>
      <w:r>
        <w:t>ния.</w:t>
      </w:r>
    </w:p>
    <w:p w:rsidR="00000000" w:rsidRDefault="00000000">
      <w:pPr>
        <w:pStyle w:val="DualTxt"/>
      </w:pPr>
      <w:r>
        <w:t>17.</w:t>
      </w:r>
      <w:r>
        <w:tab/>
        <w:t>Отвечая на вопрос 48, оратор говорит, что в соответствии с Ордонансом о насилии в быту суд по заявлению одного из супругов может вынести запретительное постановление или предписать иные меры воздействия на другого супруга. Если нанесено действительное телесное повреждение, суд может предписать полиции арест лица, нар</w:t>
      </w:r>
      <w:r>
        <w:t>у</w:t>
      </w:r>
      <w:r>
        <w:t>шившего введенные запреты. Оратор привлекает внимание к перечисленным в пункте 35 доклада, в частности в подпунктах (b), (h) и (i), видам пом</w:t>
      </w:r>
      <w:r>
        <w:t>о</w:t>
      </w:r>
      <w:r>
        <w:t>щи, оказываемой пострадавшим от бытового нас</w:t>
      </w:r>
      <w:r>
        <w:t>и</w:t>
      </w:r>
      <w:r>
        <w:t>лия. Подвергшаяся побоям жена может также вст</w:t>
      </w:r>
      <w:r>
        <w:t>у</w:t>
      </w:r>
      <w:r>
        <w:t>пить в одну из групп поддержки, организуемых подразделениями коллективной работы при Депа</w:t>
      </w:r>
      <w:r>
        <w:t>р</w:t>
      </w:r>
      <w:r>
        <w:t>таменте социального обеспечения. Некоторым женщинам — жертвам побоев оказано содействие в формировании групп взаимопомощи под эгидой у</w:t>
      </w:r>
      <w:r>
        <w:t>ч</w:t>
      </w:r>
      <w:r>
        <w:t>реждений, пол</w:t>
      </w:r>
      <w:r>
        <w:t>ь</w:t>
      </w:r>
      <w:r>
        <w:t>зующихся поддержкой государства.</w:t>
      </w:r>
    </w:p>
    <w:p w:rsidR="00000000" w:rsidRDefault="00000000">
      <w:pPr>
        <w:pStyle w:val="DualTxt"/>
      </w:pPr>
      <w:r>
        <w:t>18.</w:t>
      </w:r>
      <w:r>
        <w:tab/>
      </w:r>
      <w:r>
        <w:rPr>
          <w:b/>
        </w:rPr>
        <w:t>Г</w:t>
      </w:r>
      <w:r>
        <w:rPr>
          <w:b/>
        </w:rPr>
        <w:noBreakHyphen/>
        <w:t>жа Мак</w:t>
      </w:r>
      <w:r>
        <w:t xml:space="preserve"> (специальный административный район Сянган) в связи с вопросом 49 отмечает, что принимается ряд мер в целях предотвращения н</w:t>
      </w:r>
      <w:r>
        <w:t>а</w:t>
      </w:r>
      <w:r>
        <w:t>силия в быту. Семьи могут обратиться за консул</w:t>
      </w:r>
      <w:r>
        <w:t>ь</w:t>
      </w:r>
      <w:r>
        <w:t>тацией в «центры семейных занятий и ресурсов», а отдельные лица и супружеские пары, нуждающиеся в экстренной помощи, могут позвонить по «горячей линии». Многопрофильная Рабочая группа по пр</w:t>
      </w:r>
      <w:r>
        <w:t>о</w:t>
      </w:r>
      <w:r>
        <w:t>блеме истязания жен развернула воспит</w:t>
      </w:r>
      <w:r>
        <w:t>а</w:t>
      </w:r>
      <w:r>
        <w:t>тельно-пропагандистскую кампанию, призванную предо</w:t>
      </w:r>
      <w:r>
        <w:t>с</w:t>
      </w:r>
      <w:r>
        <w:t>теречь общественность от разрушительных после</w:t>
      </w:r>
      <w:r>
        <w:t>д</w:t>
      </w:r>
      <w:r>
        <w:t>ствий насилия в быту и побудить семьи из группы риска к тому, чтобы на раннем этапе обращаться за помощью к специалистам. В ноябре 1998 года был распространен комплект информационных мат</w:t>
      </w:r>
      <w:r>
        <w:t>е</w:t>
      </w:r>
      <w:r>
        <w:t>риалов о помощи, на которую могут рассчитывать подвергающиеся побоям жены. Имеется три приюта для пострадавших от насилия женщин и их детей, каждый из которых рассчитан на 40 мест. Средний коэффициент пользования ими с октября 1997 по сентябрь 1998 года составил 69 процентов. В 1997 году в программу обучения курсантов пол</w:t>
      </w:r>
      <w:r>
        <w:t>и</w:t>
      </w:r>
      <w:r>
        <w:t>цейских училищ была включена тема насилия в б</w:t>
      </w:r>
      <w:r>
        <w:t>ы</w:t>
      </w:r>
      <w:r>
        <w:t>ту, а сотрудники одного из женских приютов чит</w:t>
      </w:r>
      <w:r>
        <w:t>а</w:t>
      </w:r>
      <w:r>
        <w:t>ют лекции для уже состоящих на службе полице</w:t>
      </w:r>
      <w:r>
        <w:t>й</w:t>
      </w:r>
      <w:r>
        <w:t>ских.</w:t>
      </w:r>
    </w:p>
    <w:p w:rsidR="00000000" w:rsidRDefault="00000000">
      <w:pPr>
        <w:pStyle w:val="DualTxt"/>
      </w:pPr>
      <w:r>
        <w:t>19.</w:t>
      </w:r>
      <w:r>
        <w:tab/>
      </w:r>
      <w:r>
        <w:rPr>
          <w:b/>
        </w:rPr>
        <w:t>Г</w:t>
      </w:r>
      <w:r>
        <w:rPr>
          <w:b/>
        </w:rPr>
        <w:noBreakHyphen/>
        <w:t>н Лань</w:t>
      </w:r>
      <w:r>
        <w:t xml:space="preserve"> (специальный административный район Сянган), отвечая на вопрос 50, говорит, что сексуальное насилие в отношении женщин, вкл</w:t>
      </w:r>
      <w:r>
        <w:t>ю</w:t>
      </w:r>
      <w:r>
        <w:t>чая кровосмешение, изнасилование и содомию, з</w:t>
      </w:r>
      <w:r>
        <w:t>а</w:t>
      </w:r>
      <w:r>
        <w:t>прещены Ордонансом о преступлениях. Меры, пр</w:t>
      </w:r>
      <w:r>
        <w:t>и</w:t>
      </w:r>
      <w:r>
        <w:t>нимаемые в Сянгане для борьбы с этим явлением, перечислены в письменных ответах сянганской д</w:t>
      </w:r>
      <w:r>
        <w:t>е</w:t>
      </w:r>
      <w:r>
        <w:t>легации, которые были распространены в неофиц</w:t>
      </w:r>
      <w:r>
        <w:t>и</w:t>
      </w:r>
      <w:r>
        <w:t>альном порядке. Сотрудники 65 «центров семейных услуг» в Сянгане в индивидуальном порядке пр</w:t>
      </w:r>
      <w:r>
        <w:t>е</w:t>
      </w:r>
      <w:r>
        <w:t>доставляют жертвам сексуального насилия травм</w:t>
      </w:r>
      <w:r>
        <w:t>а</w:t>
      </w:r>
      <w:r>
        <w:t>тологические консультации и оказывают им иную п</w:t>
      </w:r>
      <w:r>
        <w:t>о</w:t>
      </w:r>
      <w:r>
        <w:t>мощь.</w:t>
      </w:r>
    </w:p>
    <w:p w:rsidR="00000000" w:rsidRDefault="00000000">
      <w:pPr>
        <w:pStyle w:val="DualTxt"/>
      </w:pPr>
      <w:r>
        <w:t>20.</w:t>
      </w:r>
      <w:r>
        <w:tab/>
        <w:t>Сексуальные домогательства запрещены О</w:t>
      </w:r>
      <w:r>
        <w:t>р</w:t>
      </w:r>
      <w:r>
        <w:t>донансом о дискриминации по половому признаку. Решением этой проблемы занимается Комиссия по предоставлению равных возможностей, которая в</w:t>
      </w:r>
      <w:r>
        <w:t>е</w:t>
      </w:r>
      <w:r>
        <w:t>дет информационно-разъяснительную работу, включая публикацию учебного пособия, рассчита</w:t>
      </w:r>
      <w:r>
        <w:t>н</w:t>
      </w:r>
      <w:r>
        <w:t>ного на то, чтобы помочь отдельным лицам и орг</w:t>
      </w:r>
      <w:r>
        <w:t>а</w:t>
      </w:r>
      <w:r>
        <w:t>низациям в предупреждении и пресечении случаев сексуального дом</w:t>
      </w:r>
      <w:r>
        <w:t>о</w:t>
      </w:r>
      <w:r>
        <w:t>гательства.</w:t>
      </w:r>
    </w:p>
    <w:p w:rsidR="00000000" w:rsidRDefault="00000000">
      <w:pPr>
        <w:pStyle w:val="DualTxt"/>
      </w:pPr>
      <w:r>
        <w:t>21.</w:t>
      </w:r>
      <w:r>
        <w:tab/>
      </w:r>
      <w:r>
        <w:rPr>
          <w:b/>
        </w:rPr>
        <w:t>Г</w:t>
      </w:r>
      <w:r>
        <w:rPr>
          <w:b/>
        </w:rPr>
        <w:noBreakHyphen/>
        <w:t>н Вон</w:t>
      </w:r>
      <w:r>
        <w:t xml:space="preserve"> (специальный административный район Сянган), отвечая на вопрос 51, говорит, что в соответствии с Ордонансом о налоговых сборах в редакции 1989 года замужние женщины могут по своему выбору платить налоги отдельно от своих мужей. В принятой в 1997 году поправке к Орд</w:t>
      </w:r>
      <w:r>
        <w:t>о</w:t>
      </w:r>
      <w:r>
        <w:t>нансу о браке предусматривается, что согласие на вступление в брак несовершеннолетнего (в возрасте до 21 года) может давать либо отец, либо мать. В соответствии с Ордонансом о расторжении брака в редакции 1995 года как мужчины, так и женщины могут выступать соответчиками при рассмотрении заявлений на развод по причине супружеской н</w:t>
      </w:r>
      <w:r>
        <w:t>е</w:t>
      </w:r>
      <w:r>
        <w:t>верности, тогда как в прошлом женщины могли в</w:t>
      </w:r>
      <w:r>
        <w:t>ы</w:t>
      </w:r>
      <w:r>
        <w:t>ступать соответчиками только по усмотрению с</w:t>
      </w:r>
      <w:r>
        <w:t>у</w:t>
      </w:r>
      <w:r>
        <w:t>дьи.</w:t>
      </w:r>
    </w:p>
    <w:p w:rsidR="00000000" w:rsidRDefault="00000000">
      <w:pPr>
        <w:pStyle w:val="DualTxt"/>
      </w:pPr>
      <w:r>
        <w:t>22.</w:t>
      </w:r>
      <w:r>
        <w:tab/>
      </w:r>
      <w:r>
        <w:rPr>
          <w:b/>
        </w:rPr>
        <w:t>Г</w:t>
      </w:r>
      <w:r>
        <w:rPr>
          <w:b/>
        </w:rPr>
        <w:noBreakHyphen/>
        <w:t>жа Тан</w:t>
      </w:r>
      <w:r>
        <w:t xml:space="preserve"> (специальный административный район Сянган), отвечая на вопрос 52, говорит, что проведен опрос, призванный получить исходные данные об отношении общественности к обеспеч</w:t>
      </w:r>
      <w:r>
        <w:t>е</w:t>
      </w:r>
      <w:r>
        <w:t>нию равных возможностей. Этот опрос показал, что женщины и более образованные респонденты пр</w:t>
      </w:r>
      <w:r>
        <w:t>о</w:t>
      </w:r>
      <w:r>
        <w:t>являют бóльшую чувствительность к дискримин</w:t>
      </w:r>
      <w:r>
        <w:t>а</w:t>
      </w:r>
      <w:r>
        <w:t>ции по половому признаку в сфере труда и сильнее поддерживают участие женщин в политической и общественной жизни. В качестве наиболее распр</w:t>
      </w:r>
      <w:r>
        <w:t>о</w:t>
      </w:r>
      <w:r>
        <w:t>страненных форм половой дискриминации респо</w:t>
      </w:r>
      <w:r>
        <w:t>н</w:t>
      </w:r>
      <w:r>
        <w:t>денты как женского, так и мужского пола выделили увольнение по причине беременности, сексуальные домогательства на работе и неравноправие мужчин и женщин при получении различных льгот. По ит</w:t>
      </w:r>
      <w:r>
        <w:t>о</w:t>
      </w:r>
      <w:r>
        <w:t>гам этого опроса Комиссия по предоставлению ра</w:t>
      </w:r>
      <w:r>
        <w:t>в</w:t>
      </w:r>
      <w:r>
        <w:t>ных возможностей приняла ряд мер, включая пр</w:t>
      </w:r>
      <w:r>
        <w:t>о</w:t>
      </w:r>
      <w:r>
        <w:t>ведение серии собеседований, призванных пов</w:t>
      </w:r>
      <w:r>
        <w:t>ы</w:t>
      </w:r>
      <w:r>
        <w:t>сить осведомленность о законодательстве по пр</w:t>
      </w:r>
      <w:r>
        <w:t>о</w:t>
      </w:r>
      <w:r>
        <w:t>блемам равных возможностей, и издание буклетов, в которых обеспечение равных возможностей в сфере труда пропагандируется как составная часть правильно поставленного управл</w:t>
      </w:r>
      <w:r>
        <w:t>е</w:t>
      </w:r>
      <w:r>
        <w:t>ния.</w:t>
      </w:r>
    </w:p>
    <w:p w:rsidR="00000000" w:rsidRDefault="00000000">
      <w:pPr>
        <w:pStyle w:val="DualTxt"/>
      </w:pPr>
      <w:r>
        <w:t>23.</w:t>
      </w:r>
      <w:r>
        <w:tab/>
      </w:r>
      <w:r>
        <w:rPr>
          <w:b/>
        </w:rPr>
        <w:t>Г</w:t>
      </w:r>
      <w:r>
        <w:rPr>
          <w:b/>
        </w:rPr>
        <w:noBreakHyphen/>
        <w:t>н Лань</w:t>
      </w:r>
      <w:r>
        <w:t xml:space="preserve"> (специальный административный район Сянган), отвечая на вопрос 53, говорит, что Комиссия выделила значительные денежные суммы на проведение просветительных кампаний, нац</w:t>
      </w:r>
      <w:r>
        <w:t>е</w:t>
      </w:r>
      <w:r>
        <w:t>ленных на ликвидацию гендерных стереотипов. Концепция обеспечения равных возможностей для мужчин и женщин учтена в учебных планах сре</w:t>
      </w:r>
      <w:r>
        <w:t>д</w:t>
      </w:r>
      <w:r>
        <w:t>ней школы, а Департамент образования составил учебные материалы по этой теме. Ведется работа над разработкой новых учебников, свободных от предвзятого освещения гендерной проблематики.</w:t>
      </w:r>
    </w:p>
    <w:p w:rsidR="00000000" w:rsidRDefault="00000000">
      <w:pPr>
        <w:pStyle w:val="DualTxt"/>
      </w:pPr>
      <w:r>
        <w:t>24.</w:t>
      </w:r>
      <w:r>
        <w:tab/>
      </w:r>
      <w:r>
        <w:rPr>
          <w:b/>
        </w:rPr>
        <w:t>Г</w:t>
      </w:r>
      <w:r>
        <w:rPr>
          <w:b/>
        </w:rPr>
        <w:noBreakHyphen/>
        <w:t>жа Чэн</w:t>
      </w:r>
      <w:r>
        <w:t xml:space="preserve"> (специальный административный район Сянган), касаясь вопросов, поставленных в связи со статьей 6, отвечает на вопрос 54 и говорит, что сама проституция в Сянгане уголовно не нак</w:t>
      </w:r>
      <w:r>
        <w:t>а</w:t>
      </w:r>
      <w:r>
        <w:t>зуема, но проститутки подвергаются уголовному преследованию и могут быть лишены свободы на срок до шести месяцев, если предлагают свои усл</w:t>
      </w:r>
      <w:r>
        <w:t>у</w:t>
      </w:r>
      <w:r>
        <w:t>ги в публичных местах. Уголовная ответственность клиента наступает только в том случае, если он с</w:t>
      </w:r>
      <w:r>
        <w:t>о</w:t>
      </w:r>
      <w:r>
        <w:t>вершил еще какое</w:t>
      </w:r>
      <w:r>
        <w:noBreakHyphen/>
        <w:t>то правонарушение, например вступил в половую связь с несовершеннолетней. Ордонанс о преступлениях предусматривает уг</w:t>
      </w:r>
      <w:r>
        <w:t>о</w:t>
      </w:r>
      <w:r>
        <w:t>ловную ответственность за содержание дома те</w:t>
      </w:r>
      <w:r>
        <w:t>р</w:t>
      </w:r>
      <w:r>
        <w:t>пимости или управление им (раздел 131) и за сво</w:t>
      </w:r>
      <w:r>
        <w:t>д</w:t>
      </w:r>
      <w:r>
        <w:t>ничество или наживу на заработке проститутки (раздел 139).</w:t>
      </w:r>
    </w:p>
    <w:p w:rsidR="00000000" w:rsidRDefault="00000000">
      <w:pPr>
        <w:pStyle w:val="DualTxt"/>
      </w:pPr>
      <w:r>
        <w:t>25.</w:t>
      </w:r>
      <w:r>
        <w:tab/>
        <w:t>Переходя к вопросу 55, оратор говорит, что торговля людьми в целях проституции, будь то с</w:t>
      </w:r>
      <w:r>
        <w:t>о</w:t>
      </w:r>
      <w:r>
        <w:t>пряженная с их ввозом в Сянган или их вывозом о</w:t>
      </w:r>
      <w:r>
        <w:t>т</w:t>
      </w:r>
      <w:r>
        <w:t>туда, запрещена разделом 129 Ордонанса о прест</w:t>
      </w:r>
      <w:r>
        <w:t>у</w:t>
      </w:r>
      <w:r>
        <w:t>плениях. В соответствии с Ордонансом о правон</w:t>
      </w:r>
      <w:r>
        <w:t>а</w:t>
      </w:r>
      <w:r>
        <w:t>рушениях против физических лиц максимальным наказанием за похищение или продажу человека является пожизненное закл</w:t>
      </w:r>
      <w:r>
        <w:t>ю</w:t>
      </w:r>
      <w:r>
        <w:t>чение.</w:t>
      </w:r>
    </w:p>
    <w:p w:rsidR="00000000" w:rsidRDefault="00000000">
      <w:pPr>
        <w:pStyle w:val="DualTxt"/>
      </w:pPr>
      <w:r>
        <w:t>26.</w:t>
      </w:r>
      <w:r>
        <w:tab/>
      </w:r>
      <w:r>
        <w:rPr>
          <w:b/>
        </w:rPr>
        <w:t>Г</w:t>
      </w:r>
      <w:r>
        <w:rPr>
          <w:b/>
        </w:rPr>
        <w:noBreakHyphen/>
        <w:t>н Лань</w:t>
      </w:r>
      <w:r>
        <w:t xml:space="preserve"> (специальный административный район Сянган), касаясь вопросов, заданных в связи со статьей 7, отвечает на вопрос 56 и говорит, что правительство района активным образом поощряет участие женщин в политической жизни, в частности в сельской местности. В соответствии с типовыми правилами выборов деревенских представителей голосование должно проводиться по принципу «один человек — один голос», а представители, и</w:t>
      </w:r>
      <w:r>
        <w:t>з</w:t>
      </w:r>
      <w:r>
        <w:t>бранные в каком-либо ином порядке, правительс</w:t>
      </w:r>
      <w:r>
        <w:t>т</w:t>
      </w:r>
      <w:r>
        <w:t>вом не признаются. Данные за период с 1988 по 1989 год свидетельствуют о постепенном повыш</w:t>
      </w:r>
      <w:r>
        <w:t>е</w:t>
      </w:r>
      <w:r>
        <w:t>нии представленности женщин в различных испо</w:t>
      </w:r>
      <w:r>
        <w:t>л</w:t>
      </w:r>
      <w:r>
        <w:t>нительных и законодател</w:t>
      </w:r>
      <w:r>
        <w:t>ь</w:t>
      </w:r>
      <w:r>
        <w:t>ных органах района.</w:t>
      </w:r>
    </w:p>
    <w:p w:rsidR="00000000" w:rsidRDefault="00000000">
      <w:pPr>
        <w:pStyle w:val="DualTxt"/>
      </w:pPr>
      <w:r>
        <w:t>27.</w:t>
      </w:r>
      <w:r>
        <w:tab/>
        <w:t>Отвечая на вопрос 57, касающийся численн</w:t>
      </w:r>
      <w:r>
        <w:t>о</w:t>
      </w:r>
      <w:r>
        <w:t>сти женщин на каждом уровне судебной системы, оратор ссылается на статистические данные, прив</w:t>
      </w:r>
      <w:r>
        <w:t>е</w:t>
      </w:r>
      <w:r>
        <w:t>денные в письменных ответах его делегации, кот</w:t>
      </w:r>
      <w:r>
        <w:t>о</w:t>
      </w:r>
      <w:r>
        <w:t>рые были распространены в неофициальном поря</w:t>
      </w:r>
      <w:r>
        <w:t>д</w:t>
      </w:r>
      <w:r>
        <w:t>ке. Он подчеркивает, что кандидатуры соискателей судебных должностей оцениваются по их профе</w:t>
      </w:r>
      <w:r>
        <w:t>с</w:t>
      </w:r>
      <w:r>
        <w:t>сиональной компетентности и личным качествам и что пол кандидата в расчет не приним</w:t>
      </w:r>
      <w:r>
        <w:t>а</w:t>
      </w:r>
      <w:r>
        <w:t>ется.</w:t>
      </w:r>
    </w:p>
    <w:p w:rsidR="00000000" w:rsidRDefault="00000000">
      <w:pPr>
        <w:pStyle w:val="DualTxt"/>
      </w:pPr>
      <w:r>
        <w:t>28.</w:t>
      </w:r>
      <w:r>
        <w:tab/>
        <w:t>Переходя к вопросу 58 (статья 10), он говорит, что вопросы полового воспитания включены в учебные программы средней школы — от начал</w:t>
      </w:r>
      <w:r>
        <w:t>ь</w:t>
      </w:r>
      <w:r>
        <w:t>ных до старших классов. В «Руководящих принц</w:t>
      </w:r>
      <w:r>
        <w:t>и</w:t>
      </w:r>
      <w:r>
        <w:t>пах полового просвещения в школах», изданных Департаментом образования в 1997 году, конкретно указано, сколько как минимум времени необходимо уделять половому воспитанию в течение учебного года в школе каждого типа.</w:t>
      </w:r>
    </w:p>
    <w:p w:rsidR="00000000" w:rsidRDefault="00000000">
      <w:pPr>
        <w:pStyle w:val="DualTxt"/>
      </w:pPr>
      <w:r>
        <w:t>29.</w:t>
      </w:r>
      <w:r>
        <w:tab/>
      </w:r>
      <w:r>
        <w:rPr>
          <w:b/>
        </w:rPr>
        <w:t>Г</w:t>
      </w:r>
      <w:r>
        <w:rPr>
          <w:b/>
        </w:rPr>
        <w:noBreakHyphen/>
        <w:t>н Гулд</w:t>
      </w:r>
      <w:r>
        <w:t xml:space="preserve"> (Специальный административный район Гонконг) говорит в связи с вопросом 59 (ст</w:t>
      </w:r>
      <w:r>
        <w:t>а</w:t>
      </w:r>
      <w:r>
        <w:t>тья 11), что отсутствуют свидетельства дискрим</w:t>
      </w:r>
      <w:r>
        <w:t>и</w:t>
      </w:r>
      <w:r>
        <w:t>нации в плане трудоустройства женщин старше 30 лет. Кроме того, согласно самым последним ст</w:t>
      </w:r>
      <w:r>
        <w:t>а</w:t>
      </w:r>
      <w:r>
        <w:t>тистическим данным, на деле показатель безраб</w:t>
      </w:r>
      <w:r>
        <w:t>о</w:t>
      </w:r>
      <w:r>
        <w:t>тицы по женщинам ниже, чем соответствующий показатель по мужчинам. Верно, что пожилые же</w:t>
      </w:r>
      <w:r>
        <w:t>н</w:t>
      </w:r>
      <w:r>
        <w:t>щины сталкиваются с большими трудностями при перетрудоустройстве по той причине, что у них о</w:t>
      </w:r>
      <w:r>
        <w:t>т</w:t>
      </w:r>
      <w:r>
        <w:t>сутствует соответствующая подготовка и квалиф</w:t>
      </w:r>
      <w:r>
        <w:t>и</w:t>
      </w:r>
      <w:r>
        <w:t>кация. Для рассмотрения этой проблемы в рамках плана переподготовки работников организованы специальные курсы. На долю женщин в возрасте 30–50 лет приходится 60 процентов бенефициаров. Были широко распространены руководящие при</w:t>
      </w:r>
      <w:r>
        <w:t>н</w:t>
      </w:r>
      <w:r>
        <w:t>ципы, предназначающиеся для содействия работ</w:t>
      </w:r>
      <w:r>
        <w:t>о</w:t>
      </w:r>
      <w:r>
        <w:t>дателям в ликвидации дискриминации на рабочем месте, в том числе по признаку во</w:t>
      </w:r>
      <w:r>
        <w:t>з</w:t>
      </w:r>
      <w:r>
        <w:t>раста.</w:t>
      </w:r>
    </w:p>
    <w:p w:rsidR="00000000" w:rsidRDefault="00000000">
      <w:pPr>
        <w:pStyle w:val="DualTxt"/>
      </w:pPr>
      <w:r>
        <w:t>30.</w:t>
      </w:r>
      <w:r>
        <w:tab/>
      </w:r>
      <w:r>
        <w:rPr>
          <w:b/>
        </w:rPr>
        <w:t>Г</w:t>
      </w:r>
      <w:r>
        <w:rPr>
          <w:b/>
        </w:rPr>
        <w:noBreakHyphen/>
        <w:t>н Лан</w:t>
      </w:r>
      <w:r>
        <w:t xml:space="preserve"> (Специальный административный район Гонконг), отвечая на вопрос 60, говорит, что, хотя в постановлении о дискриминации по призн</w:t>
      </w:r>
      <w:r>
        <w:t>а</w:t>
      </w:r>
      <w:r>
        <w:t>ку пола не говорится конкретно о принципе равной оплаты за труд равной ценности, в практическом кодексе по вопросам трудоустройства работодат</w:t>
      </w:r>
      <w:r>
        <w:t>е</w:t>
      </w:r>
      <w:r>
        <w:t>лям предлагается постепенно обеспечить реализ</w:t>
      </w:r>
      <w:r>
        <w:t>а</w:t>
      </w:r>
      <w:r>
        <w:t>цию этого принципа. Кроме того, по закону работ</w:t>
      </w:r>
      <w:r>
        <w:t>о</w:t>
      </w:r>
      <w:r>
        <w:t>датель не может подвергать какую-либо женщину дискриминации в плане предлагаемой ей раб</w:t>
      </w:r>
      <w:r>
        <w:t>о</w:t>
      </w:r>
      <w:r>
        <w:t>ты.</w:t>
      </w:r>
    </w:p>
    <w:p w:rsidR="00000000" w:rsidRDefault="00000000">
      <w:pPr>
        <w:pStyle w:val="DualTxt"/>
      </w:pPr>
      <w:r>
        <w:t>31.</w:t>
      </w:r>
      <w:r>
        <w:tab/>
        <w:t>Что касается вопроса 61, то оратор говорит, что половое притеснение на рабочем месте запр</w:t>
      </w:r>
      <w:r>
        <w:t>е</w:t>
      </w:r>
      <w:r>
        <w:t>щено постановлением о дискриминации по призн</w:t>
      </w:r>
      <w:r>
        <w:t>а</w:t>
      </w:r>
      <w:r>
        <w:t>ку пола. Под ним подразумеваются любые отве</w:t>
      </w:r>
      <w:r>
        <w:t>р</w:t>
      </w:r>
      <w:r>
        <w:t>гаемые женщиной сексуальные посягательства при таких условиях, в которых разумный человек до</w:t>
      </w:r>
      <w:r>
        <w:t>л</w:t>
      </w:r>
      <w:r>
        <w:t>жен был бы предположить, что женщина будет о</w:t>
      </w:r>
      <w:r>
        <w:t>с</w:t>
      </w:r>
      <w:r>
        <w:t>корблена, унижена или зап</w:t>
      </w:r>
      <w:r>
        <w:t>у</w:t>
      </w:r>
      <w:r>
        <w:t>гана. Кроме того, какое-либо лицо, в личном качестве или вместе с друг</w:t>
      </w:r>
      <w:r>
        <w:t>и</w:t>
      </w:r>
      <w:r>
        <w:t>ми, не может демонстрировать поведение сексуал</w:t>
      </w:r>
      <w:r>
        <w:t>ь</w:t>
      </w:r>
      <w:r>
        <w:t>ного характера, которое приводит к возникновению враждебной в сексуальном плане обстановки на р</w:t>
      </w:r>
      <w:r>
        <w:t>а</w:t>
      </w:r>
      <w:r>
        <w:t>бочих местах. Комиссия по равным возможностям получила 72 жалобы в связи с сексуальными пр</w:t>
      </w:r>
      <w:r>
        <w:t>и</w:t>
      </w:r>
      <w:r>
        <w:t>теснениями, при этом в результате рассмотрения одной из них было начато судебное разбирательс</w:t>
      </w:r>
      <w:r>
        <w:t>т</w:t>
      </w:r>
      <w:r>
        <w:t>во.</w:t>
      </w:r>
    </w:p>
    <w:p w:rsidR="00000000" w:rsidRDefault="00000000">
      <w:pPr>
        <w:pStyle w:val="DualTxt"/>
      </w:pPr>
      <w:r>
        <w:t>32.</w:t>
      </w:r>
      <w:r>
        <w:tab/>
      </w:r>
      <w:r>
        <w:rPr>
          <w:b/>
        </w:rPr>
        <w:t>Г</w:t>
      </w:r>
      <w:r>
        <w:rPr>
          <w:b/>
        </w:rPr>
        <w:noBreakHyphen/>
        <w:t>жа Мак</w:t>
      </w:r>
      <w:r>
        <w:t xml:space="preserve"> (Специальный административный район Гонконг), отвечая на вопрос 62, говорит, что не проводится какого-либо различия в отношении предоставления услуг по уходу за детьми между работниками частного и государственного секторов. В настоящее время насчитывается более 1600 мест в яслях и почти 42 000 мест в садах. Субсидиру</w:t>
      </w:r>
      <w:r>
        <w:t>е</w:t>
      </w:r>
      <w:r>
        <w:t>мые государством ясли и сады по месту жительства предоставляют дополнительно 200 и 132 места, с</w:t>
      </w:r>
      <w:r>
        <w:t>о</w:t>
      </w:r>
      <w:r>
        <w:t>ответственно. Правительство Района выделило р</w:t>
      </w:r>
      <w:r>
        <w:t>е</w:t>
      </w:r>
      <w:r>
        <w:t>сурсы для создания 3197 дополнительных мест в дневных садах к 2000 году.</w:t>
      </w:r>
    </w:p>
    <w:p w:rsidR="00000000" w:rsidRDefault="00000000">
      <w:pPr>
        <w:pStyle w:val="DualTxt"/>
      </w:pPr>
      <w:r>
        <w:t>33.</w:t>
      </w:r>
      <w:r>
        <w:tab/>
      </w:r>
      <w:r>
        <w:rPr>
          <w:b/>
        </w:rPr>
        <w:t>Г</w:t>
      </w:r>
      <w:r>
        <w:rPr>
          <w:b/>
        </w:rPr>
        <w:noBreakHyphen/>
        <w:t>н Гулд</w:t>
      </w:r>
      <w:r>
        <w:t xml:space="preserve"> (Специальный административный район Гонконг), отвечая на вопросы 63 и 64, гов</w:t>
      </w:r>
      <w:r>
        <w:t>о</w:t>
      </w:r>
      <w:r>
        <w:t>рит, что цель постановления по вопросам техники безопасности и охраны здоровья на производстве, принятого в 1997 году, заключается в расширении сферы применения законодательства по вопросам техники безопасности и охраны здоровья на все р</w:t>
      </w:r>
      <w:r>
        <w:t>а</w:t>
      </w:r>
      <w:r>
        <w:t>бочие места как в промышленном, так и в непр</w:t>
      </w:r>
      <w:r>
        <w:t>о</w:t>
      </w:r>
      <w:r>
        <w:t>мышленном секторах. В соответствии с этим пост</w:t>
      </w:r>
      <w:r>
        <w:t>а</w:t>
      </w:r>
      <w:r>
        <w:t>новлением правительство имеет право устанавл</w:t>
      </w:r>
      <w:r>
        <w:t>и</w:t>
      </w:r>
      <w:r>
        <w:t>вать минимальные нормы безопасности и охраны зд</w:t>
      </w:r>
      <w:r>
        <w:t>о</w:t>
      </w:r>
      <w:r>
        <w:t>ровья.</w:t>
      </w:r>
    </w:p>
    <w:p w:rsidR="00000000" w:rsidRDefault="00000000">
      <w:pPr>
        <w:pStyle w:val="DualTxt"/>
      </w:pPr>
      <w:r>
        <w:t>34.</w:t>
      </w:r>
      <w:r>
        <w:tab/>
        <w:t>Что касается вопроса 64, то оратор говорит, что до принятия постановления о дискриминации по признаку пола, ряд работодателей разрабатывали такие пенсионные планы, в которых проводились различия между мужчинами и женщинами в том, что касается возраста выхода на пенсию, ставок взносов и объема льгот. В то же время такие разл</w:t>
      </w:r>
      <w:r>
        <w:t>и</w:t>
      </w:r>
      <w:r>
        <w:t>чия не носили противозаконного характера. С тем чтобы сохранить эти планы с учетом отсутствия практических соображений для ретроактивного уравнивания их условий, к пункту 1 статьи 11 была внесена оговорка.</w:t>
      </w:r>
    </w:p>
    <w:p w:rsidR="00000000" w:rsidRDefault="00000000">
      <w:pPr>
        <w:pStyle w:val="DualTxt"/>
      </w:pPr>
      <w:r>
        <w:t>35.</w:t>
      </w:r>
      <w:r>
        <w:tab/>
        <w:t>Что касается оговорки к пункту 2 статьи 11, то оратор говорит, что необходимое время трудовой деятельности для получения оплачиваемого отпуска по беременности и родам с сохранением рабочего места за беременными женщинами позволяет ув</w:t>
      </w:r>
      <w:r>
        <w:t>я</w:t>
      </w:r>
      <w:r>
        <w:t>зать права и интересы работодателей и р</w:t>
      </w:r>
      <w:r>
        <w:t>а</w:t>
      </w:r>
      <w:r>
        <w:t>ботников.</w:t>
      </w:r>
    </w:p>
    <w:p w:rsidR="00000000" w:rsidRDefault="00000000">
      <w:pPr>
        <w:pStyle w:val="DualTxt"/>
      </w:pPr>
      <w:r>
        <w:t>36.</w:t>
      </w:r>
      <w:r>
        <w:tab/>
      </w:r>
      <w:r>
        <w:rPr>
          <w:b/>
        </w:rPr>
        <w:t>Г</w:t>
      </w:r>
      <w:r>
        <w:rPr>
          <w:b/>
        </w:rPr>
        <w:noBreakHyphen/>
        <w:t>н Лан</w:t>
      </w:r>
      <w:r>
        <w:t xml:space="preserve"> (Специальный административный район Гонконг), отвечая на вопрос 65, говорит, что как трудящиеся-мигранты, так и местные рабочие пользуются льготами, предоставляемыми постано</w:t>
      </w:r>
      <w:r>
        <w:t>в</w:t>
      </w:r>
      <w:r>
        <w:t>лением о трудоустройстве. На деле трудовое зак</w:t>
      </w:r>
      <w:r>
        <w:t>о</w:t>
      </w:r>
      <w:r>
        <w:t>нодательство Гонконга также определяет мин</w:t>
      </w:r>
      <w:r>
        <w:t>и</w:t>
      </w:r>
      <w:r>
        <w:t>мальную з</w:t>
      </w:r>
      <w:r>
        <w:t>а</w:t>
      </w:r>
      <w:r>
        <w:t>работную плату для трудящихся-мигрантов, включая домашнюю прислугу, и соде</w:t>
      </w:r>
      <w:r>
        <w:t>р</w:t>
      </w:r>
      <w:r>
        <w:t>жит положения, касающиеся их питания и жилья. Кроме того, они имеют право на бесплатное мед</w:t>
      </w:r>
      <w:r>
        <w:t>и</w:t>
      </w:r>
      <w:r>
        <w:t>цинское обслуживание. Местные рабочие не охв</w:t>
      </w:r>
      <w:r>
        <w:t>а</w:t>
      </w:r>
      <w:r>
        <w:t>чены такими п</w:t>
      </w:r>
      <w:r>
        <w:t>о</w:t>
      </w:r>
      <w:r>
        <w:t>ложениями.</w:t>
      </w:r>
    </w:p>
    <w:p w:rsidR="00000000" w:rsidRDefault="00000000">
      <w:pPr>
        <w:pStyle w:val="DualTxt"/>
      </w:pPr>
      <w:r>
        <w:t>37.</w:t>
      </w:r>
      <w:r>
        <w:tab/>
      </w:r>
      <w:r>
        <w:rPr>
          <w:b/>
        </w:rPr>
        <w:t>Г</w:t>
      </w:r>
      <w:r>
        <w:rPr>
          <w:b/>
        </w:rPr>
        <w:noBreakHyphen/>
        <w:t>жа Мак Син-пин</w:t>
      </w:r>
      <w:r>
        <w:t xml:space="preserve"> (Специальный админис</w:t>
      </w:r>
      <w:r>
        <w:t>т</w:t>
      </w:r>
      <w:r>
        <w:t>ративный район Гонконг), отвечая на вопрос 66 (статья 12), говорит, что в законе о преступлениях в отношении личности предусматриваются медици</w:t>
      </w:r>
      <w:r>
        <w:t>н</w:t>
      </w:r>
      <w:r>
        <w:t>ские условия для прерывания беременности с уч</w:t>
      </w:r>
      <w:r>
        <w:t>а</w:t>
      </w:r>
      <w:r>
        <w:t>стием зарегистрированного медицинского работн</w:t>
      </w:r>
      <w:r>
        <w:t>и</w:t>
      </w:r>
      <w:r>
        <w:t>ка в официально действующей больнице или кл</w:t>
      </w:r>
      <w:r>
        <w:t>и</w:t>
      </w:r>
      <w:r>
        <w:t>нике в том случае, если два зарегистрированных медицинских работника добросовестно считают, что продолжение беременности будет связано с опасностью для физического и умственного здор</w:t>
      </w:r>
      <w:r>
        <w:t>о</w:t>
      </w:r>
      <w:r>
        <w:t>вья либо беременной женщины, либо ребенка. В центрах охраны здоровья матери и ребенка, ра</w:t>
      </w:r>
      <w:r>
        <w:t>с</w:t>
      </w:r>
      <w:r>
        <w:t>полагающихся на территории Специального адм</w:t>
      </w:r>
      <w:r>
        <w:t>и</w:t>
      </w:r>
      <w:r>
        <w:t>нистративного района, предоставляются услуги по планированию семьи за номинальную плату в ра</w:t>
      </w:r>
      <w:r>
        <w:t>з</w:t>
      </w:r>
      <w:r>
        <w:t>мере 1 долл. Гонко</w:t>
      </w:r>
      <w:r>
        <w:t>н</w:t>
      </w:r>
      <w:r>
        <w:t>га.</w:t>
      </w:r>
    </w:p>
    <w:p w:rsidR="00000000" w:rsidRDefault="00000000">
      <w:pPr>
        <w:pStyle w:val="DualTxt"/>
      </w:pPr>
      <w:r>
        <w:t>38.</w:t>
      </w:r>
      <w:r>
        <w:tab/>
      </w:r>
      <w:r>
        <w:rPr>
          <w:b/>
        </w:rPr>
        <w:t>Г</w:t>
      </w:r>
      <w:r>
        <w:rPr>
          <w:b/>
        </w:rPr>
        <w:noBreakHyphen/>
        <w:t>н Лан</w:t>
      </w:r>
      <w:r>
        <w:t xml:space="preserve"> (Специальный административный район Гонконг), отвечая на вопросы, поставленные в отношении статьи 15, говорит в связи с вопр</w:t>
      </w:r>
      <w:r>
        <w:t>о</w:t>
      </w:r>
      <w:r>
        <w:t>сом 67, что свобода передвижения жителей Гонко</w:t>
      </w:r>
      <w:r>
        <w:t>н</w:t>
      </w:r>
      <w:r>
        <w:t>га гарантирована статьей 31 Конституции. В пункт 4 статьи 15 была внесена оговорка, с тем чтобы обеспечить выполнение законодательства по вопросам иммиграции в отношении лиц, которые не располагают предусмотренным законом правом на въезд и пребыв</w:t>
      </w:r>
      <w:r>
        <w:t>а</w:t>
      </w:r>
      <w:r>
        <w:t>ние в Гонконге.</w:t>
      </w:r>
    </w:p>
    <w:p w:rsidR="00000000" w:rsidRDefault="00000000">
      <w:pPr>
        <w:pStyle w:val="DualTxt"/>
      </w:pPr>
      <w:r>
        <w:t>39.</w:t>
      </w:r>
      <w:r>
        <w:tab/>
        <w:t>Что касается вопроса 68, то оратор говорит, что закон о земле на новых территориях (исключ</w:t>
      </w:r>
      <w:r>
        <w:t>е</w:t>
      </w:r>
      <w:r>
        <w:t>ние) предоставил женщинам равные права с му</w:t>
      </w:r>
      <w:r>
        <w:t>ж</w:t>
      </w:r>
      <w:r>
        <w:t>чинами на наследование земли или имущества в новых территориях в отсутствие завещания. До эт</w:t>
      </w:r>
      <w:r>
        <w:t>о</w:t>
      </w:r>
      <w:r>
        <w:t>го в случае смерти лица без завещания применялось традиционное право Китая, предусматривавшее п</w:t>
      </w:r>
      <w:r>
        <w:t>е</w:t>
      </w:r>
      <w:r>
        <w:t>редачу наследства по мужской линии. Оговорка к статье 15 позволяет продолжать политику регул</w:t>
      </w:r>
      <w:r>
        <w:t>и</w:t>
      </w:r>
      <w:r>
        <w:t>рования бытовых вопросов, описанную в пун</w:t>
      </w:r>
      <w:r>
        <w:t>к</w:t>
      </w:r>
      <w:r>
        <w:t>те 173 доклада, которая в настоящее время является предметом п</w:t>
      </w:r>
      <w:r>
        <w:t>е</w:t>
      </w:r>
      <w:r>
        <w:t>ресмотра.</w:t>
      </w:r>
    </w:p>
    <w:p w:rsidR="00000000" w:rsidRDefault="00000000">
      <w:pPr>
        <w:pStyle w:val="DualTxt"/>
      </w:pPr>
      <w:r>
        <w:t>40.</w:t>
      </w:r>
      <w:r>
        <w:tab/>
      </w:r>
      <w:r>
        <w:rPr>
          <w:b/>
        </w:rPr>
        <w:t>Г</w:t>
      </w:r>
      <w:r>
        <w:rPr>
          <w:b/>
        </w:rPr>
        <w:noBreakHyphen/>
        <w:t>н Вонг</w:t>
      </w:r>
      <w:r>
        <w:t xml:space="preserve"> (Специальный административный район Гонконг), отвечая на вопросы, поставленные по статье 16, говорит в связи с вопросом 69, что з</w:t>
      </w:r>
      <w:r>
        <w:t>а</w:t>
      </w:r>
      <w:r>
        <w:t>коны Гонконга о семейной жизни соответствуют положениям статьи 16 Конве</w:t>
      </w:r>
      <w:r>
        <w:t>н</w:t>
      </w:r>
      <w:r>
        <w:t>ции.</w:t>
      </w:r>
    </w:p>
    <w:p w:rsidR="00000000" w:rsidRDefault="00000000">
      <w:pPr>
        <w:pStyle w:val="DualTxt"/>
      </w:pPr>
      <w:r>
        <w:t>41.</w:t>
      </w:r>
      <w:r>
        <w:tab/>
        <w:t>Что касается вопроса 70, то оратор говорит, что отсутствуют законы, запрещающие сожительс</w:t>
      </w:r>
      <w:r>
        <w:t>т</w:t>
      </w:r>
      <w:r>
        <w:t>во в результате личного выбора. Сожители польз</w:t>
      </w:r>
      <w:r>
        <w:t>у</w:t>
      </w:r>
      <w:r>
        <w:t>ются теми же правами наследования, что и мужья и жены, при том условии, что имеется завещание. Споры между сожителями, касающиеся опеки, р</w:t>
      </w:r>
      <w:r>
        <w:t>о</w:t>
      </w:r>
      <w:r>
        <w:t>дительских прав или содержания, урегулируются в суде в соответствии с законом об опеке над нес</w:t>
      </w:r>
      <w:r>
        <w:t>о</w:t>
      </w:r>
      <w:r>
        <w:t>вершеннолетними лицами. По закону о борьбе с бытовым насилием женщина, проживающая с пар</w:t>
      </w:r>
      <w:r>
        <w:t>т</w:t>
      </w:r>
      <w:r>
        <w:t>нером, пользуется той же самой защитой, что и з</w:t>
      </w:r>
      <w:r>
        <w:t>а</w:t>
      </w:r>
      <w:r>
        <w:t>мужняя женщина. Информация по вопросу о том, проживают ли какие-либо лица совместно, должна рассматриваться в соответствии с законами о защ</w:t>
      </w:r>
      <w:r>
        <w:t>и</w:t>
      </w:r>
      <w:r>
        <w:t>те данных.</w:t>
      </w:r>
    </w:p>
    <w:p w:rsidR="00000000" w:rsidRDefault="00000000">
      <w:pPr>
        <w:pStyle w:val="DualTxt"/>
      </w:pPr>
      <w:r>
        <w:t>42.</w:t>
      </w:r>
      <w:r>
        <w:tab/>
      </w:r>
      <w:r>
        <w:rPr>
          <w:b/>
        </w:rPr>
        <w:t>Г</w:t>
      </w:r>
      <w:r>
        <w:rPr>
          <w:b/>
        </w:rPr>
        <w:noBreakHyphen/>
        <w:t>жа Шалев</w:t>
      </w:r>
      <w:r>
        <w:t xml:space="preserve"> выражает признательность пр</w:t>
      </w:r>
      <w:r>
        <w:t>а</w:t>
      </w:r>
      <w:r>
        <w:t>вительству за его высококачественные доклады и его приверженность делу обеспечения базовых прав и свобод для граждан Гонконга. Она с удовлетвор</w:t>
      </w:r>
      <w:r>
        <w:t>е</w:t>
      </w:r>
      <w:r>
        <w:t>нием отмечает активную роль неправительственных организаций и предлагает привлекать их к подг</w:t>
      </w:r>
      <w:r>
        <w:t>о</w:t>
      </w:r>
      <w:r>
        <w:t>товке будущих докладов.</w:t>
      </w:r>
    </w:p>
    <w:p w:rsidR="00000000" w:rsidRDefault="00000000">
      <w:pPr>
        <w:pStyle w:val="DualTxt"/>
      </w:pPr>
      <w:r>
        <w:t>43.</w:t>
      </w:r>
      <w:r>
        <w:tab/>
        <w:t>Хотя постановление о дискриминации по пр</w:t>
      </w:r>
      <w:r>
        <w:t>и</w:t>
      </w:r>
      <w:r>
        <w:t>знаку пола запрещает прямую и косвенную дискр</w:t>
      </w:r>
      <w:r>
        <w:t>и</w:t>
      </w:r>
      <w:r>
        <w:t>минации, оно носит характер нормы гражданского права, а не конституционной нормы. Кроме того, в то время как Комиссия по равенству возможностей успешно занимается урегулированием вопросов о дискриминации с учетом каждого конкретного сл</w:t>
      </w:r>
      <w:r>
        <w:t>у</w:t>
      </w:r>
      <w:r>
        <w:t>чая, отсутствует национальный механизм для ра</w:t>
      </w:r>
      <w:r>
        <w:t>з</w:t>
      </w:r>
      <w:r>
        <w:t>работки политики. Правительству следует создать активно действующий координирующий орган.</w:t>
      </w:r>
    </w:p>
    <w:p w:rsidR="00000000" w:rsidRDefault="00000000">
      <w:pPr>
        <w:pStyle w:val="DualTxt"/>
      </w:pPr>
      <w:r>
        <w:t>44.</w:t>
      </w:r>
      <w:r>
        <w:tab/>
        <w:t>Оратор озабочена тем, что структура фун</w:t>
      </w:r>
      <w:r>
        <w:t>к</w:t>
      </w:r>
      <w:r>
        <w:t>циональных групп избирателей может препятств</w:t>
      </w:r>
      <w:r>
        <w:t>о</w:t>
      </w:r>
      <w:r>
        <w:t>вать справедливой представленности женщин в правительс</w:t>
      </w:r>
      <w:r>
        <w:t>т</w:t>
      </w:r>
      <w:r>
        <w:t>венной администрации и в парламенте.</w:t>
      </w:r>
    </w:p>
    <w:p w:rsidR="00000000" w:rsidRDefault="00000000">
      <w:pPr>
        <w:pStyle w:val="DualTxt"/>
      </w:pPr>
      <w:r>
        <w:t>45.</w:t>
      </w:r>
      <w:r>
        <w:tab/>
        <w:t>Оратор настоятельно призывает правительство пересмотреть свои оговорки в целях их устранения, прежде всего в том, что касается оговорок к ст</w:t>
      </w:r>
      <w:r>
        <w:t>а</w:t>
      </w:r>
      <w:r>
        <w:t>тье 2, пункту 2 статьи 4 и пункту 2 статьи 11. Ком</w:t>
      </w:r>
      <w:r>
        <w:t>и</w:t>
      </w:r>
      <w:r>
        <w:t>тет сделал вывод о том, что законы об охране бер</w:t>
      </w:r>
      <w:r>
        <w:t>е</w:t>
      </w:r>
      <w:r>
        <w:t>менных женщин и матерей не противоречат пол</w:t>
      </w:r>
      <w:r>
        <w:t>о</w:t>
      </w:r>
      <w:r>
        <w:t>жениям Конвенции.</w:t>
      </w:r>
    </w:p>
    <w:p w:rsidR="00000000" w:rsidRDefault="00000000">
      <w:pPr>
        <w:pStyle w:val="DualTxt"/>
      </w:pPr>
      <w:r>
        <w:t>46.</w:t>
      </w:r>
      <w:r>
        <w:tab/>
        <w:t>Озабоченность также вызывает продолжа</w:t>
      </w:r>
      <w:r>
        <w:t>ю</w:t>
      </w:r>
      <w:r>
        <w:t>щаяся дискриминация в рамках пенсионных пл</w:t>
      </w:r>
      <w:r>
        <w:t>а</w:t>
      </w:r>
      <w:r>
        <w:t>нов, поскольку пожилые являются особенно уязв</w:t>
      </w:r>
      <w:r>
        <w:t>и</w:t>
      </w:r>
      <w:r>
        <w:t>мой группой населения.</w:t>
      </w:r>
    </w:p>
    <w:p w:rsidR="00000000" w:rsidRDefault="00000000">
      <w:pPr>
        <w:pStyle w:val="DualTxt"/>
      </w:pPr>
      <w:r>
        <w:t>47.</w:t>
      </w:r>
      <w:r>
        <w:tab/>
        <w:t>Наконец, что касается статьи 15, то оратор н</w:t>
      </w:r>
      <w:r>
        <w:t>а</w:t>
      </w:r>
      <w:r>
        <w:t>стоятельно призывает правительство пересмотреть иммиграционные законы и устранить любые ди</w:t>
      </w:r>
      <w:r>
        <w:t>с</w:t>
      </w:r>
      <w:r>
        <w:t>криминационные положения в целях снятия его оговорки.</w:t>
      </w:r>
    </w:p>
    <w:p w:rsidR="00000000" w:rsidRDefault="00000000">
      <w:pPr>
        <w:pStyle w:val="DualTxt"/>
      </w:pPr>
      <w:r>
        <w:t>48.</w:t>
      </w:r>
      <w:r>
        <w:tab/>
      </w:r>
      <w:r>
        <w:rPr>
          <w:b/>
        </w:rPr>
        <w:t>Г</w:t>
      </w:r>
      <w:r>
        <w:rPr>
          <w:b/>
        </w:rPr>
        <w:noBreakHyphen/>
        <w:t>жа Шёпп-Шиллинг</w:t>
      </w:r>
      <w:r>
        <w:t xml:space="preserve"> одобряет замечания предыдущего оратора по вопросу о необходимости создания национального механизма для обеспеч</w:t>
      </w:r>
      <w:r>
        <w:t>е</w:t>
      </w:r>
      <w:r>
        <w:t>ния равноправия женщин и о возможном дискр</w:t>
      </w:r>
      <w:r>
        <w:t>и</w:t>
      </w:r>
      <w:r>
        <w:t>минационном характере функциональных групп и</w:t>
      </w:r>
      <w:r>
        <w:t>з</w:t>
      </w:r>
      <w:r>
        <w:t>бирателей. Она также испытывает озабоченность в связи с тем, что домашняя прислуга не признается в качестве функциональной гру</w:t>
      </w:r>
      <w:r>
        <w:t>п</w:t>
      </w:r>
      <w:r>
        <w:t>пы.</w:t>
      </w:r>
    </w:p>
    <w:p w:rsidR="00000000" w:rsidRDefault="00000000">
      <w:pPr>
        <w:pStyle w:val="DualTxt"/>
      </w:pPr>
      <w:r>
        <w:t>49.</w:t>
      </w:r>
      <w:r>
        <w:tab/>
        <w:t>Что касается носящих позитивный характер мер, предусмотренных в пункте 1 статьи 4, то пр</w:t>
      </w:r>
      <w:r>
        <w:t>а</w:t>
      </w:r>
      <w:r>
        <w:t>вительству следует определить сроки и цели для увеличения числа женщин на руководящих позиц</w:t>
      </w:r>
      <w:r>
        <w:t>и</w:t>
      </w:r>
      <w:r>
        <w:t>ях в административных о</w:t>
      </w:r>
      <w:r>
        <w:t>р</w:t>
      </w:r>
      <w:r>
        <w:t>ганах.</w:t>
      </w:r>
    </w:p>
    <w:p w:rsidR="00000000" w:rsidRDefault="00000000">
      <w:pPr>
        <w:pStyle w:val="DualTxt"/>
      </w:pPr>
      <w:r>
        <w:t>50.</w:t>
      </w:r>
      <w:r>
        <w:tab/>
      </w:r>
      <w:r>
        <w:rPr>
          <w:b/>
        </w:rPr>
        <w:t>Г</w:t>
      </w:r>
      <w:r>
        <w:rPr>
          <w:b/>
        </w:rPr>
        <w:noBreakHyphen/>
        <w:t>жа Асар</w:t>
      </w:r>
      <w:r>
        <w:t>, ссылаясь на статью 10, говорит, что, хотя чувство удовлетворения вызывает тот факт, что более 50 процентов выпускников униве</w:t>
      </w:r>
      <w:r>
        <w:t>р</w:t>
      </w:r>
      <w:r>
        <w:t>ситетов — это женщины, необходимо рассмотреть положение, при котором студенты мужского пола в основном изучают науку и технику, в то время как студенты женского пола изучают гуманитарные науки. Например, неясно, является ли сохраня</w:t>
      </w:r>
      <w:r>
        <w:t>ю</w:t>
      </w:r>
      <w:r>
        <w:t>щееся различие результатом ориентации в рамках системы начального образования или оно обусло</w:t>
      </w:r>
      <w:r>
        <w:t>в</w:t>
      </w:r>
      <w:r>
        <w:t>лено наличием скрытой программы обучения в средних школах. Правительству следует принять меры по ликвидации стереотипов в учебниках и рассмотреть вопрос о гендерной структуре преп</w:t>
      </w:r>
      <w:r>
        <w:t>о</w:t>
      </w:r>
      <w:r>
        <w:t>давательского состава. Оратор также была бы пр</w:t>
      </w:r>
      <w:r>
        <w:t>и</w:t>
      </w:r>
      <w:r>
        <w:t>знательна за получение информации о статусе пр</w:t>
      </w:r>
      <w:r>
        <w:t>о</w:t>
      </w:r>
      <w:r>
        <w:t>грамм исследования гендерной и женской пробл</w:t>
      </w:r>
      <w:r>
        <w:t>е</w:t>
      </w:r>
      <w:r>
        <w:t>мат</w:t>
      </w:r>
      <w:r>
        <w:t>и</w:t>
      </w:r>
      <w:r>
        <w:t>ки.</w:t>
      </w:r>
    </w:p>
    <w:p w:rsidR="00000000" w:rsidRDefault="00000000">
      <w:pPr>
        <w:pStyle w:val="DualTxt"/>
      </w:pPr>
      <w:r>
        <w:t>51.</w:t>
      </w:r>
      <w:r>
        <w:tab/>
      </w:r>
      <w:r>
        <w:rPr>
          <w:b/>
        </w:rPr>
        <w:t>Г</w:t>
      </w:r>
      <w:r>
        <w:rPr>
          <w:b/>
        </w:rPr>
        <w:noBreakHyphen/>
        <w:t>жа Манало</w:t>
      </w:r>
      <w:r>
        <w:t xml:space="preserve"> говорит, что, несмотря на общее чувство удовлетворения в отношении ответов пр</w:t>
      </w:r>
      <w:r>
        <w:t>а</w:t>
      </w:r>
      <w:r>
        <w:t>вительства, она была бы признательна за разъясн</w:t>
      </w:r>
      <w:r>
        <w:t>е</w:t>
      </w:r>
      <w:r>
        <w:t>ние только что полученной ею информации о пл</w:t>
      </w:r>
      <w:r>
        <w:t>а</w:t>
      </w:r>
      <w:r>
        <w:t>нах правительства сократить минимальную зар</w:t>
      </w:r>
      <w:r>
        <w:t>а</w:t>
      </w:r>
      <w:r>
        <w:t>ботную плату иностранных рабочих и домашней прислуги на 5 процентов. Если эта информация верна, она настоятельно призывает правительство отказаться от этой меры. Кроме того, она не пон</w:t>
      </w:r>
      <w:r>
        <w:t>и</w:t>
      </w:r>
      <w:r>
        <w:t>мает, почему домашние работники не покрыты п</w:t>
      </w:r>
      <w:r>
        <w:t>о</w:t>
      </w:r>
      <w:r>
        <w:t>ложениями о технике безопасности и охране здор</w:t>
      </w:r>
      <w:r>
        <w:t>о</w:t>
      </w:r>
      <w:r>
        <w:t>вья на производс</w:t>
      </w:r>
      <w:r>
        <w:t>т</w:t>
      </w:r>
      <w:r>
        <w:t>ве.</w:t>
      </w:r>
    </w:p>
    <w:p w:rsidR="00000000" w:rsidRDefault="00000000">
      <w:pPr>
        <w:pStyle w:val="DualTxt"/>
      </w:pPr>
      <w:r>
        <w:t>52.</w:t>
      </w:r>
      <w:r>
        <w:tab/>
        <w:t>Хотя правительство заявило, что проституция носит законный характер, оно не указало, какие у</w:t>
      </w:r>
      <w:r>
        <w:t>с</w:t>
      </w:r>
      <w:r>
        <w:t>луги по охране здоровья, если таковые имеются, предоставляются проститу</w:t>
      </w:r>
      <w:r>
        <w:t>т</w:t>
      </w:r>
      <w:r>
        <w:t>кам.</w:t>
      </w:r>
    </w:p>
    <w:p w:rsidR="00000000" w:rsidRDefault="00000000">
      <w:pPr>
        <w:pStyle w:val="DualTxt"/>
      </w:pPr>
      <w:r>
        <w:t>53.</w:t>
      </w:r>
      <w:r>
        <w:tab/>
        <w:t>Поскольку женщины Гонконга очень активно участвуют в деятельности малых и средних пре</w:t>
      </w:r>
      <w:r>
        <w:t>д</w:t>
      </w:r>
      <w:r>
        <w:t>приятий, трудно понять, почему столь мало женщин представлено в области науки и техники.</w:t>
      </w:r>
    </w:p>
    <w:p w:rsidR="00000000" w:rsidRDefault="00000000">
      <w:pPr>
        <w:pStyle w:val="DualTxt"/>
      </w:pPr>
      <w:r>
        <w:t>54.</w:t>
      </w:r>
      <w:r>
        <w:tab/>
      </w:r>
      <w:r>
        <w:rPr>
          <w:b/>
        </w:rPr>
        <w:t>Г</w:t>
      </w:r>
      <w:r>
        <w:rPr>
          <w:b/>
        </w:rPr>
        <w:noBreakHyphen/>
        <w:t>жа Риэль</w:t>
      </w:r>
      <w:r>
        <w:t xml:space="preserve"> говорит, что законодательство, к</w:t>
      </w:r>
      <w:r>
        <w:t>а</w:t>
      </w:r>
      <w:r>
        <w:t>сающееся равенства оплаты за труд равной ценн</w:t>
      </w:r>
      <w:r>
        <w:t>о</w:t>
      </w:r>
      <w:r>
        <w:t>сти, не ясно. Поскольку мужчины и женщины часто выполняют разную работу, но могут выполнять р</w:t>
      </w:r>
      <w:r>
        <w:t>а</w:t>
      </w:r>
      <w:r>
        <w:t>боту равной ценности, очень важно использовать одни и те же критерии при оценке их труда. Прав</w:t>
      </w:r>
      <w:r>
        <w:t>и</w:t>
      </w:r>
      <w:r>
        <w:t>тельства Швеции и Новой Зеландии подали пример в этой связи.</w:t>
      </w:r>
    </w:p>
    <w:p w:rsidR="00000000" w:rsidRDefault="00000000">
      <w:pPr>
        <w:pStyle w:val="DualTxt"/>
      </w:pPr>
      <w:r>
        <w:t>55.</w:t>
      </w:r>
      <w:r>
        <w:tab/>
        <w:t>Оратор выражает правительству признател</w:t>
      </w:r>
      <w:r>
        <w:t>ь</w:t>
      </w:r>
      <w:r>
        <w:t>ность за создание базы данных, содержащей имена женщин, которые могут выполнять обязанности членов консультативных советов, поскольку это б</w:t>
      </w:r>
      <w:r>
        <w:t>у</w:t>
      </w:r>
      <w:r>
        <w:t>дет содействовать решению проблемы наглядности.</w:t>
      </w:r>
    </w:p>
    <w:p w:rsidR="00000000" w:rsidRDefault="00000000">
      <w:pPr>
        <w:pStyle w:val="DualTxt"/>
      </w:pPr>
      <w:r>
        <w:t>56.</w:t>
      </w:r>
      <w:r>
        <w:tab/>
        <w:t>Наконец, важно, чтобы женщины выбирались на государственные должности; мужчин и женщин следует поощрять голосовать за кандидатов из чи</w:t>
      </w:r>
      <w:r>
        <w:t>с</w:t>
      </w:r>
      <w:r>
        <w:t>ла женщин.</w:t>
      </w:r>
    </w:p>
    <w:p w:rsidR="00000000" w:rsidRDefault="00000000">
      <w:pPr>
        <w:pStyle w:val="DualTxt"/>
      </w:pPr>
      <w:r>
        <w:t>57.</w:t>
      </w:r>
      <w:r>
        <w:tab/>
      </w:r>
      <w:r>
        <w:rPr>
          <w:b/>
        </w:rPr>
        <w:t>Г</w:t>
      </w:r>
      <w:r>
        <w:rPr>
          <w:b/>
        </w:rPr>
        <w:noBreakHyphen/>
        <w:t>жа Гунесекере</w:t>
      </w:r>
      <w:r>
        <w:t xml:space="preserve"> говорит, что, возможно, сл</w:t>
      </w:r>
      <w:r>
        <w:t>е</w:t>
      </w:r>
      <w:r>
        <w:t>дует расширить национальный механизм, предн</w:t>
      </w:r>
      <w:r>
        <w:t>а</w:t>
      </w:r>
      <w:r>
        <w:t>значающийся для борьбы с дискриминацией в Го</w:t>
      </w:r>
      <w:r>
        <w:t>н</w:t>
      </w:r>
      <w:r>
        <w:t>конге, который в основном занимается процедурами рассмотрения жалоб, с тем чтобы охватить также вопросы политики. Большое число поправок к тр</w:t>
      </w:r>
      <w:r>
        <w:t>а</w:t>
      </w:r>
      <w:r>
        <w:t>диционному праву на новых территориях следует пересмотреть наряду с политикой регулирования бытовых вопросов. По мнению оратора, дискрим</w:t>
      </w:r>
      <w:r>
        <w:t>и</w:t>
      </w:r>
      <w:r>
        <w:t>нация в пользу коренных жителей деревень му</w:t>
      </w:r>
      <w:r>
        <w:t>ж</w:t>
      </w:r>
      <w:r>
        <w:t>ского пола противоречит как положениям Конст</w:t>
      </w:r>
      <w:r>
        <w:t>и</w:t>
      </w:r>
      <w:r>
        <w:t>туции, так и Конвенции.</w:t>
      </w:r>
    </w:p>
    <w:p w:rsidR="00000000" w:rsidRDefault="00000000">
      <w:pPr>
        <w:pStyle w:val="DualTxt"/>
      </w:pPr>
      <w:r>
        <w:t>58.</w:t>
      </w:r>
      <w:r>
        <w:tab/>
        <w:t>Что касается иммиграции, то оратор говорит, что, поскольку сожительствующим партнерам пр</w:t>
      </w:r>
      <w:r>
        <w:t>е</w:t>
      </w:r>
      <w:r>
        <w:t>доставлены все предусмотренные в законе права, удивление вызывает дискриминация рожденных за рамками брака детей по вопросам гражданства. Оратор также хотела бы получить больший объем информации относительно правовых средств защ</w:t>
      </w:r>
      <w:r>
        <w:t>и</w:t>
      </w:r>
      <w:r>
        <w:t>ты трудящихся-мигрантов от ненадлежащего обр</w:t>
      </w:r>
      <w:r>
        <w:t>а</w:t>
      </w:r>
      <w:r>
        <w:t>щения. Поскольку в Гонконге используется норм</w:t>
      </w:r>
      <w:r>
        <w:t>а</w:t>
      </w:r>
      <w:r>
        <w:t>тивный подход к регулированию проституции, было бы интересно узнать, оказывает ли этот подход во</w:t>
      </w:r>
      <w:r>
        <w:t>з</w:t>
      </w:r>
      <w:r>
        <w:t>действие на расширение торговли люд</w:t>
      </w:r>
      <w:r>
        <w:t>ь</w:t>
      </w:r>
      <w:r>
        <w:t>ми.</w:t>
      </w:r>
    </w:p>
    <w:p w:rsidR="00000000" w:rsidRDefault="00000000">
      <w:pPr>
        <w:pStyle w:val="DualTxt"/>
      </w:pPr>
      <w:r>
        <w:t>59.</w:t>
      </w:r>
      <w:r>
        <w:tab/>
      </w:r>
      <w:r>
        <w:rPr>
          <w:b/>
        </w:rPr>
        <w:t>Г</w:t>
      </w:r>
      <w:r>
        <w:rPr>
          <w:b/>
        </w:rPr>
        <w:noBreakHyphen/>
        <w:t>жа Уэдраого</w:t>
      </w:r>
      <w:r>
        <w:t xml:space="preserve"> говорит, что она приветствует тот факт, что правительство согласилось с испол</w:t>
      </w:r>
      <w:r>
        <w:t>ь</w:t>
      </w:r>
      <w:r>
        <w:t>зованием специальных временных мер по статье 4 Конвенции в областях, вызывающих наибольшую озабоченность. По ее мнению, одним из приорит</w:t>
      </w:r>
      <w:r>
        <w:t>е</w:t>
      </w:r>
      <w:r>
        <w:t>тов должно являться занятие женщинами руков</w:t>
      </w:r>
      <w:r>
        <w:t>о</w:t>
      </w:r>
      <w:r>
        <w:t>дящих должностей. В докладе показано, что уд</w:t>
      </w:r>
      <w:r>
        <w:t>а</w:t>
      </w:r>
      <w:r>
        <w:t>лось добиться определенного прогресса, однако п</w:t>
      </w:r>
      <w:r>
        <w:t>о</w:t>
      </w:r>
      <w:r>
        <w:t>ка еще слишком рано говорить о достижении раве</w:t>
      </w:r>
      <w:r>
        <w:t>н</w:t>
      </w:r>
      <w:r>
        <w:t>ства. Может потребоваться установить конкретные квоты для участия женщин, с тем чтобы обеспечить до</w:t>
      </w:r>
      <w:r>
        <w:t>с</w:t>
      </w:r>
      <w:r>
        <w:t>тижение этой цели.</w:t>
      </w:r>
    </w:p>
    <w:p w:rsidR="00000000" w:rsidRDefault="00000000">
      <w:pPr>
        <w:pStyle w:val="DualTxt"/>
      </w:pPr>
      <w:r>
        <w:t>60.</w:t>
      </w:r>
      <w:r>
        <w:tab/>
        <w:t>Показатель выбытия из школ как мальчиков, так и девочек тревожно высок и, видимо, продо</w:t>
      </w:r>
      <w:r>
        <w:t>л</w:t>
      </w:r>
      <w:r>
        <w:t>жает расти. Важно рассмотреть реальные причины этого явления, и правительству следует предложить определить глобальную стратегию, возможно вкл</w:t>
      </w:r>
      <w:r>
        <w:t>ю</w:t>
      </w:r>
      <w:r>
        <w:t>чающую носящие положительный характер меры по поощрению девочек к тому, чтобы они остав</w:t>
      </w:r>
      <w:r>
        <w:t>а</w:t>
      </w:r>
      <w:r>
        <w:t>лись в школе. Что касается статьи 14, то, по мн</w:t>
      </w:r>
      <w:r>
        <w:t>е</w:t>
      </w:r>
      <w:r>
        <w:t>нию оратора, с учетом небольшого размера Гонко</w:t>
      </w:r>
      <w:r>
        <w:t>н</w:t>
      </w:r>
      <w:r>
        <w:t>га как таковых сельских районов нет, однако статья также применяется к вопросу о статусе находящи</w:t>
      </w:r>
      <w:r>
        <w:t>х</w:t>
      </w:r>
      <w:r>
        <w:t>ся в неблагоприятном положении групп. Она хотела бы узнать больше о планах удовлетворения срочных потребностей в жилье в ближайшем буд</w:t>
      </w:r>
      <w:r>
        <w:t>у</w:t>
      </w:r>
      <w:r>
        <w:t>щем.</w:t>
      </w:r>
    </w:p>
    <w:p w:rsidR="00000000" w:rsidRDefault="00000000">
      <w:pPr>
        <w:pStyle w:val="DualTxt"/>
      </w:pPr>
      <w:r>
        <w:t>61.</w:t>
      </w:r>
      <w:r>
        <w:tab/>
      </w:r>
      <w:r>
        <w:rPr>
          <w:b/>
        </w:rPr>
        <w:t>Г</w:t>
      </w:r>
      <w:r>
        <w:rPr>
          <w:b/>
        </w:rPr>
        <w:noBreakHyphen/>
        <w:t>жа Тайя</w:t>
      </w:r>
      <w:r>
        <w:t>, ссылаясь на пункт 53 доклада, г</w:t>
      </w:r>
      <w:r>
        <w:t>о</w:t>
      </w:r>
      <w:r>
        <w:t>ворит, что тот факт, что среди 1000 избранных представителей деревень насчитывается только 10 женщин, как представляется, идет вразрез с п</w:t>
      </w:r>
      <w:r>
        <w:t>о</w:t>
      </w:r>
      <w:r>
        <w:t>становлением о дискриминации по признаку пола, принятым в декабре 1996 года.</w:t>
      </w:r>
    </w:p>
    <w:p w:rsidR="00000000" w:rsidRDefault="00000000">
      <w:pPr>
        <w:pStyle w:val="DualTxt"/>
      </w:pPr>
      <w:r>
        <w:t>62.</w:t>
      </w:r>
      <w:r>
        <w:tab/>
      </w:r>
      <w:r>
        <w:rPr>
          <w:b/>
        </w:rPr>
        <w:t>Председатель</w:t>
      </w:r>
      <w:r>
        <w:t>, выступая в личном качестве, подчеркивает необходимость принятия носящих положительный характер мер в интересах женщин. Она хотела бы узнать больше о деятельности дер</w:t>
      </w:r>
      <w:r>
        <w:t>е</w:t>
      </w:r>
      <w:r>
        <w:t>венских комитетов, которые являются основой п</w:t>
      </w:r>
      <w:r>
        <w:t>о</w:t>
      </w:r>
      <w:r>
        <w:t>литического участия, и о любых усилиях, предпр</w:t>
      </w:r>
      <w:r>
        <w:t>и</w:t>
      </w:r>
      <w:r>
        <w:t>нимаемых с тем, чтобы расширить участие женщин на этом уровне. Женщин следует поощрять прин</w:t>
      </w:r>
      <w:r>
        <w:t>и</w:t>
      </w:r>
      <w:r>
        <w:t>мать участие в выборах не только в качестве части электората, но также и в качестве кандидатов на равных условиях с мужчинами.</w:t>
      </w:r>
    </w:p>
    <w:p w:rsidR="00000000" w:rsidRDefault="00000000">
      <w:pPr>
        <w:pStyle w:val="DualTxt"/>
      </w:pPr>
      <w:r>
        <w:t>63.</w:t>
      </w:r>
      <w:r>
        <w:tab/>
        <w:t>Она приветствует публикацию Конвенции в Гонконге и ее распространение среди общественн</w:t>
      </w:r>
      <w:r>
        <w:t>о</w:t>
      </w:r>
      <w:r>
        <w:t>сти, однако с учетом большой численности насел</w:t>
      </w:r>
      <w:r>
        <w:t>е</w:t>
      </w:r>
      <w:r>
        <w:t>ния Района следует предоставить гораздо большее число экземпляров. Кроме того, могли бы быть п</w:t>
      </w:r>
      <w:r>
        <w:t>о</w:t>
      </w:r>
      <w:r>
        <w:t>лезными информационные сессии по положениям Конве</w:t>
      </w:r>
      <w:r>
        <w:t>н</w:t>
      </w:r>
      <w:r>
        <w:t>ции.</w:t>
      </w:r>
    </w:p>
    <w:p w:rsidR="00000000" w:rsidRDefault="00000000">
      <w:pPr>
        <w:pStyle w:val="DualTxt"/>
      </w:pPr>
      <w:r>
        <w:t>64.</w:t>
      </w:r>
      <w:r>
        <w:tab/>
      </w:r>
      <w:r>
        <w:rPr>
          <w:b/>
        </w:rPr>
        <w:t>Г</w:t>
      </w:r>
      <w:r>
        <w:rPr>
          <w:b/>
        </w:rPr>
        <w:noBreakHyphen/>
        <w:t>н Лан</w:t>
      </w:r>
      <w:r>
        <w:t xml:space="preserve"> (Специальный административный район Гонконг), говорит, отвечая на вопросы, к</w:t>
      </w:r>
      <w:r>
        <w:t>а</w:t>
      </w:r>
      <w:r>
        <w:t>сающиеся подготовки доклада, что, как правило, с середины 90</w:t>
      </w:r>
      <w:r>
        <w:noBreakHyphen/>
        <w:t>х годов правительство проводило по</w:t>
      </w:r>
      <w:r>
        <w:t>л</w:t>
      </w:r>
      <w:r>
        <w:t>номасштабные консультации с неправительстве</w:t>
      </w:r>
      <w:r>
        <w:t>н</w:t>
      </w:r>
      <w:r>
        <w:t>ными организациями и другими заинтересованн</w:t>
      </w:r>
      <w:r>
        <w:t>ы</w:t>
      </w:r>
      <w:r>
        <w:t>ми группами, с тем чтобы выслушать их мнения. Предварительная информация о вопросах, которые предполагалось рассмотреть в нынешнем докладе, также была опубликована заблаговременно до его подготовки. Ряд членов также спросили, почему правительство не создало единую «женскую коми</w:t>
      </w:r>
      <w:r>
        <w:t>с</w:t>
      </w:r>
      <w:r>
        <w:t>сию» для рассмотрения всех проблем женщин. В то же время было признано, что вопросы женщин н</w:t>
      </w:r>
      <w:r>
        <w:t>о</w:t>
      </w:r>
      <w:r>
        <w:t>сят многосекторальный характер, и нынешний м</w:t>
      </w:r>
      <w:r>
        <w:t>е</w:t>
      </w:r>
      <w:r>
        <w:t>ханизм позволяет рассматривать эти проблемы на политическом уровне. Более того, после учрежд</w:t>
      </w:r>
      <w:r>
        <w:t>е</w:t>
      </w:r>
      <w:r>
        <w:t>ния Комиссии по равенству возможностей пре</w:t>
      </w:r>
      <w:r>
        <w:t>д</w:t>
      </w:r>
      <w:r>
        <w:t>ставлялось излишним создавать еще один мех</w:t>
      </w:r>
      <w:r>
        <w:t>а</w:t>
      </w:r>
      <w:r>
        <w:t>низм, который занимался бы только вопросами женщин.</w:t>
      </w:r>
    </w:p>
    <w:p w:rsidR="00000000" w:rsidRDefault="00000000">
      <w:pPr>
        <w:pStyle w:val="DualTxt"/>
      </w:pPr>
      <w:r>
        <w:t>65.</w:t>
      </w:r>
      <w:r>
        <w:tab/>
        <w:t>Система функциональных групп избирателей для выборов действует с 1985 года. В настоящее время осуществляется реформа этой системы в ц</w:t>
      </w:r>
      <w:r>
        <w:t>е</w:t>
      </w:r>
      <w:r>
        <w:t>лях проведения выборов по принципу «один чел</w:t>
      </w:r>
      <w:r>
        <w:t>о</w:t>
      </w:r>
      <w:r>
        <w:t>век — один голос». Это положение будет рассмо</w:t>
      </w:r>
      <w:r>
        <w:t>т</w:t>
      </w:r>
      <w:r>
        <w:t>рено в следующий раз в 2007 году. Хотя правител</w:t>
      </w:r>
      <w:r>
        <w:t>ь</w:t>
      </w:r>
      <w:r>
        <w:t>ство не рассматривало эту систему в качестве пр</w:t>
      </w:r>
      <w:r>
        <w:t>и</w:t>
      </w:r>
      <w:r>
        <w:t>водящей к дискриминации женщин, поскольку группы специалистов, в основном состоящие из женщин (например, медсестры и учителя), могут выбирать своих собственных представителей, оно дополнительно изучит этот аспект.</w:t>
      </w:r>
    </w:p>
    <w:p w:rsidR="00000000" w:rsidRDefault="00000000">
      <w:pPr>
        <w:pStyle w:val="DualTxt"/>
      </w:pPr>
      <w:r>
        <w:t>66.</w:t>
      </w:r>
      <w:r>
        <w:tab/>
      </w:r>
      <w:r>
        <w:rPr>
          <w:b/>
        </w:rPr>
        <w:t>Г</w:t>
      </w:r>
      <w:r>
        <w:rPr>
          <w:b/>
        </w:rPr>
        <w:noBreakHyphen/>
        <w:t>н Вонг</w:t>
      </w:r>
      <w:r>
        <w:t xml:space="preserve"> (Специальный административный район Гонконг), говорит, что апелляционный суд постановил только пять дней назад, что дети, ро</w:t>
      </w:r>
      <w:r>
        <w:t>ж</w:t>
      </w:r>
      <w:r>
        <w:t>денные вне брака, имеют право голоса в Гонконге. Правительство примет это решение во внимание при пересмотре своих оговорок к Конвенции.</w:t>
      </w:r>
    </w:p>
    <w:p w:rsidR="00000000" w:rsidRDefault="00000000">
      <w:pPr>
        <w:pStyle w:val="DualTxt"/>
      </w:pPr>
      <w:r>
        <w:t>67.</w:t>
      </w:r>
      <w:r>
        <w:tab/>
      </w:r>
      <w:r>
        <w:rPr>
          <w:b/>
        </w:rPr>
        <w:t>Г</w:t>
      </w:r>
      <w:r>
        <w:rPr>
          <w:b/>
        </w:rPr>
        <w:noBreakHyphen/>
        <w:t>н Гулд</w:t>
      </w:r>
      <w:r>
        <w:t xml:space="preserve"> (Специальный административный район Гонконг), отвечая на вопросы, касающиеся статуса иностранных домашних работников, гов</w:t>
      </w:r>
      <w:r>
        <w:t>о</w:t>
      </w:r>
      <w:r>
        <w:t>рит, что в соответствии с положениями текущего контракта работодатели не могут платить менее м</w:t>
      </w:r>
      <w:r>
        <w:t>и</w:t>
      </w:r>
      <w:r>
        <w:t>нимально установленной заработной платы. Это положение защищает как иностранных рабочих от эксплуатации, так и национальных трудящихся от несправедливой конкуренции со стороны дешевой рабочей силы. После самого последнего пересмотра минимального установленного размера заработной платы, в ходе которого учитывались спад и показ</w:t>
      </w:r>
      <w:r>
        <w:t>а</w:t>
      </w:r>
      <w:r>
        <w:t>тели безработицы, правительство приняло решение о сокращении заработной платы на 5 процентов в отношении новых контрактов, заключенных после 3 февраля 1999 года.</w:t>
      </w:r>
    </w:p>
    <w:p w:rsidR="00000000" w:rsidRDefault="00000000">
      <w:pPr>
        <w:pStyle w:val="DualTxt"/>
      </w:pPr>
      <w:r>
        <w:t>68.</w:t>
      </w:r>
      <w:r>
        <w:tab/>
        <w:t>Остающиеся различия, отмеченные в пенс</w:t>
      </w:r>
      <w:r>
        <w:t>и</w:t>
      </w:r>
      <w:r>
        <w:t>онных планах женщин и мужчин, обусловлены практическими проблемами, связанными с устран</w:t>
      </w:r>
      <w:r>
        <w:t>е</w:t>
      </w:r>
      <w:r>
        <w:t>нием дискриминационных положений из планов, что может привести к изменению существующих льгот. В отношении существующих планов делается исключение, однако менее 5 процентов таких пл</w:t>
      </w:r>
      <w:r>
        <w:t>а</w:t>
      </w:r>
      <w:r>
        <w:t>нов содержат отличающиеся друг от друга полож</w:t>
      </w:r>
      <w:r>
        <w:t>е</w:t>
      </w:r>
      <w:r>
        <w:t>ния по вопросу о льготах, и осуществляется пр</w:t>
      </w:r>
      <w:r>
        <w:t>о</w:t>
      </w:r>
      <w:r>
        <w:t>цесс их постепенного устранения.</w:t>
      </w:r>
    </w:p>
    <w:p w:rsidR="00000000" w:rsidRDefault="00000000">
      <w:pPr>
        <w:pStyle w:val="DualTxt"/>
      </w:pPr>
      <w:r>
        <w:t>69.</w:t>
      </w:r>
      <w:r>
        <w:tab/>
        <w:t>Что касается вопросов об образовании в ц</w:t>
      </w:r>
      <w:r>
        <w:t>е</w:t>
      </w:r>
      <w:r>
        <w:t>лом, то должности преподавателей в университетах заполняются на основе открытого набора на работу без какой-либо попытки дискриминации. Проходит процесс пересмотра учебников, и большинство и</w:t>
      </w:r>
      <w:r>
        <w:t>з</w:t>
      </w:r>
      <w:r>
        <w:t>дательских компаний соблюдают руководящие ук</w:t>
      </w:r>
      <w:r>
        <w:t>а</w:t>
      </w:r>
      <w:r>
        <w:t>зания правительства по вопросу о предупреждении стереотипных представлений о же</w:t>
      </w:r>
      <w:r>
        <w:t>н</w:t>
      </w:r>
      <w:r>
        <w:t>щинах.</w:t>
      </w:r>
    </w:p>
    <w:p w:rsidR="00000000" w:rsidRDefault="00000000">
      <w:pPr>
        <w:pStyle w:val="DualTxt"/>
      </w:pPr>
      <w:r>
        <w:t>70.</w:t>
      </w:r>
      <w:r>
        <w:tab/>
      </w:r>
      <w:r>
        <w:rPr>
          <w:b/>
        </w:rPr>
        <w:t>Г</w:t>
      </w:r>
      <w:r>
        <w:rPr>
          <w:b/>
        </w:rPr>
        <w:noBreakHyphen/>
        <w:t>н Цинь Хуасунь</w:t>
      </w:r>
      <w:r>
        <w:t xml:space="preserve"> (Китай) говорит в закл</w:t>
      </w:r>
      <w:r>
        <w:t>ю</w:t>
      </w:r>
      <w:r>
        <w:t>чение, что раздельное рассмотрение доклада Сп</w:t>
      </w:r>
      <w:r>
        <w:t>е</w:t>
      </w:r>
      <w:r>
        <w:t>циального административного района Гонконг д</w:t>
      </w:r>
      <w:r>
        <w:t>е</w:t>
      </w:r>
      <w:r>
        <w:t>монстрирует, что правительство Китая в полной мере осуществляет свою политику «одна страна — две системы». Практика представления двойных докладов Комитету позволит дополнительно обог</w:t>
      </w:r>
      <w:r>
        <w:t>а</w:t>
      </w:r>
      <w:r>
        <w:t>тить процесс осуществления им этой полит</w:t>
      </w:r>
      <w:r>
        <w:t>и</w:t>
      </w:r>
      <w:r>
        <w:t>ки.</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Заседание закрывается в 13 ч. 05 м.</w:t>
      </w:r>
    </w:p>
    <w:p w:rsidR="00000000" w:rsidRDefault="00000000">
      <w:pPr>
        <w:pStyle w:val="DualTxt"/>
      </w:pPr>
    </w:p>
    <w:p w:rsidR="00000000" w:rsidRDefault="00000000">
      <w:pPr>
        <w:tabs>
          <w:tab w:val="right" w:pos="360"/>
          <w:tab w:val="left" w:pos="475"/>
          <w:tab w:val="left" w:pos="965"/>
          <w:tab w:val="left" w:pos="1440"/>
          <w:tab w:val="left" w:pos="1915"/>
          <w:tab w:val="left" w:pos="2405"/>
          <w:tab w:val="left" w:pos="2880"/>
          <w:tab w:val="left" w:pos="3355"/>
        </w:tabs>
        <w:ind w:left="475" w:hanging="475"/>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NO&gt;&gt;N0224495R&lt;&lt;ODS JOB NO&gt;&gt;</w:t>
      </w:r>
    </w:p>
    <w:p w:rsidR="00000000" w:rsidRDefault="00000000">
      <w:pPr>
        <w:pStyle w:val="CommentText"/>
      </w:pPr>
      <w:r>
        <w:t>&lt;&lt;ODS DOC SYMBOL1&gt;&gt;CEDAW/C/SR.421&lt;&lt;ODS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02-24495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*0224495*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/C/SR.421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7</w:t>
          </w:r>
          <w:r>
            <w:t xml:space="preserve"> March 2006</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3/2006 16:31:44"/>
    <w:docVar w:name="DocCategory" w:val="SROthers"/>
    <w:docVar w:name="DocType" w:val="Final"/>
    <w:docVar w:name="JobNo" w:val="0224495R"/>
    <w:docVar w:name="OandT" w:val=" "/>
    <w:docVar w:name="Symbol1" w:val="CEDAW/C/SR.42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customStyle="1" w:styleId="AnnexHdg">
    <w:name w:val="Annex Hdg"/>
    <w:basedOn w:val="Normal"/>
    <w:pPr>
      <w:keepNext/>
      <w:keepLines/>
      <w:suppressAutoHyphens/>
      <w:spacing w:after="120" w:line="240" w:lineRule="auto"/>
      <w:jc w:val="center"/>
    </w:pPr>
    <w:rPr>
      <w:b/>
      <w:noProof/>
      <w:spacing w:val="0"/>
      <w:w w:val="100"/>
      <w:sz w:val="18"/>
    </w:rPr>
  </w:style>
  <w:style w:type="paragraph" w:customStyle="1" w:styleId="AnnexeHdg">
    <w:name w:val="Annexe Hdg"/>
    <w:basedOn w:val="Normal"/>
    <w:pPr>
      <w:keepNext/>
      <w:keepLines/>
      <w:spacing w:after="120" w:line="240" w:lineRule="auto"/>
      <w:jc w:val="center"/>
    </w:pPr>
    <w:rPr>
      <w:b/>
      <w:i/>
      <w:spacing w:val="0"/>
      <w:w w:val="100"/>
      <w:lang w:val="fr-FR"/>
    </w:rPr>
  </w:style>
  <w:style w:type="paragraph" w:customStyle="1" w:styleId="Annexital">
    <w:name w:val="Annex ital"/>
    <w:basedOn w:val="Normal"/>
    <w:autoRedefine/>
    <w:pPr>
      <w:keepNext/>
      <w:spacing w:after="100" w:line="220" w:lineRule="exact"/>
    </w:pPr>
    <w:rPr>
      <w:i/>
      <w:sz w:val="18"/>
      <w:lang w:val="en-GB"/>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4</Pages>
  <Words>5359</Words>
  <Characters>30547</Characters>
  <Application>Microsoft Office Word</Application>
  <DocSecurity>4</DocSecurity>
  <Lines>254</Lines>
  <Paragraphs>61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37513</CharactersWithSpaces>
  <SharedDoc>false</SharedDoc>
  <HLinks>
    <vt:vector size="6" baseType="variant">
      <vt:variant>
        <vt:i4>4522087</vt:i4>
      </vt:variant>
      <vt:variant>
        <vt:i4>75352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Svetlana.Kuzishchina</dc:creator>
  <cp:keywords/>
  <dc:description/>
  <cp:lastModifiedBy>DGAACS User</cp:lastModifiedBy>
  <cp:revision>4</cp:revision>
  <cp:lastPrinted>2006-03-06T10:25:00Z</cp:lastPrinted>
  <dcterms:created xsi:type="dcterms:W3CDTF">2006-03-06T10:24:00Z</dcterms:created>
  <dcterms:modified xsi:type="dcterms:W3CDTF">2006-03-06T10:42:00Z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0224495</vt:lpwstr>
  </property>
  <property fmtid="{D5CDD505-2E9C-101B-9397-08002B2CF9AE}" pid="3" name="Symbol1">
    <vt:lpwstr>CEDAW/C/SR.421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Trepelkova</vt:lpwstr>
  </property>
</Properties>
</file>