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BodyText"/>
        <w:spacing w:after="0" w:line="240" w:lineRule="auto"/>
        <w:jc w:val="lowKashida"/>
        <w:rPr>
          <w:rFonts w:hint="cs"/>
          <w:sz w:val="6"/>
          <w:szCs w:val="6"/>
          <w:lang w:bidi="ar-EG"/>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commentRangeStart w:id="0"/>
      <w:r>
        <w:rPr>
          <w:sz w:val="6"/>
          <w:szCs w:val="6"/>
          <w:rtl/>
          <w:lang w:bidi="ar-EG"/>
        </w:rPr>
        <w:t xml:space="preserve">  </w:t>
      </w:r>
      <w:commentRangeEnd w:id="0"/>
      <w:r w:rsidR="00D8679F">
        <w:rPr>
          <w:rStyle w:val="CommentReference"/>
          <w:rtl/>
        </w:rPr>
        <w:commentReference w:id="0"/>
      </w:r>
      <w:r w:rsidR="00D8679F">
        <w:rPr>
          <w:sz w:val="6"/>
          <w:szCs w:val="6"/>
          <w:rtl/>
          <w:lang w:bidi="ar-EG"/>
        </w:rPr>
        <w:t xml:space="preserve">  </w:t>
      </w:r>
    </w:p>
    <w:p w:rsidR="00000000" w:rsidRDefault="00D8679F">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both"/>
        <w:rPr>
          <w:rFonts w:hint="cs"/>
          <w:rtl/>
          <w:lang w:bidi="ar-EG"/>
        </w:rPr>
      </w:pPr>
      <w:r>
        <w:rPr>
          <w:rFonts w:hint="cs"/>
          <w:rtl/>
          <w:lang w:bidi="ar-EG"/>
        </w:rPr>
        <w:t>اللجنة المعنية بالقضاء على التمييز ضد المرأة</w:t>
      </w:r>
    </w:p>
    <w:p w:rsidR="00000000" w:rsidRDefault="00D8679F">
      <w:pPr>
        <w:pStyle w:val="SingleTxt"/>
        <w:spacing w:after="0" w:line="120" w:lineRule="exact"/>
        <w:jc w:val="both"/>
        <w:rPr>
          <w:rFonts w:hint="cs"/>
          <w:sz w:val="10"/>
          <w:rtl/>
          <w:lang w:bidi="ar-EG"/>
        </w:rPr>
      </w:pPr>
    </w:p>
    <w:p w:rsidR="00000000" w:rsidRDefault="00D8679F">
      <w:pPr>
        <w:pStyle w:val="SingleTxt"/>
        <w:spacing w:after="0" w:line="120" w:lineRule="exact"/>
        <w:jc w:val="both"/>
        <w:rPr>
          <w:rFonts w:hint="cs"/>
          <w:sz w:val="10"/>
          <w:rtl/>
          <w:lang w:bidi="ar-EG"/>
        </w:rPr>
      </w:pPr>
    </w:p>
    <w:p w:rsidR="00000000" w:rsidRDefault="00D8679F">
      <w:pPr>
        <w:pStyle w:val="SingleTxt"/>
        <w:spacing w:after="0" w:line="120" w:lineRule="exact"/>
        <w:jc w:val="both"/>
        <w:rPr>
          <w:rFonts w:hint="cs"/>
          <w:sz w:val="10"/>
          <w:rtl/>
          <w:lang w:bidi="ar-EG"/>
        </w:rPr>
      </w:pPr>
    </w:p>
    <w:p w:rsidR="00000000" w:rsidRDefault="00D8679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النظر في التقارير المقدمة من الدول الأطراف بموجب المادة 18 من اتفاقية القضاء على جميع أشكال التمييز ضد المرأة</w:t>
      </w:r>
    </w:p>
    <w:p w:rsidR="00000000" w:rsidRDefault="00D8679F">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both"/>
        <w:rPr>
          <w:rFonts w:hint="cs"/>
          <w:sz w:val="10"/>
          <w:rtl/>
          <w:lang w:bidi="ar-EG"/>
        </w:rPr>
      </w:pPr>
    </w:p>
    <w:p w:rsidR="00000000" w:rsidRDefault="00D8679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both"/>
        <w:rPr>
          <w:rFonts w:hint="cs"/>
          <w:rtl/>
          <w:lang w:bidi="ar-EG"/>
        </w:rPr>
      </w:pPr>
      <w:r>
        <w:rPr>
          <w:rFonts w:hint="cs"/>
          <w:rtl/>
          <w:lang w:bidi="ar-EG"/>
        </w:rPr>
        <w:tab/>
      </w:r>
      <w:r>
        <w:rPr>
          <w:rFonts w:hint="cs"/>
          <w:rtl/>
          <w:lang w:bidi="ar-EG"/>
        </w:rPr>
        <w:tab/>
        <w:t>التقريران الدوريان الخامس والسادس الموحدان للدول الأطراف</w:t>
      </w:r>
    </w:p>
    <w:p w:rsidR="00000000" w:rsidRDefault="00D8679F">
      <w:pPr>
        <w:pStyle w:val="SingleTxt"/>
        <w:spacing w:after="0" w:line="120" w:lineRule="exact"/>
        <w:jc w:val="both"/>
        <w:rPr>
          <w:rFonts w:hint="cs"/>
          <w:sz w:val="12"/>
          <w:rtl/>
          <w:lang w:bidi="ar-EG"/>
        </w:rPr>
      </w:pPr>
    </w:p>
    <w:p w:rsidR="00000000" w:rsidRDefault="00D8679F">
      <w:pPr>
        <w:pStyle w:val="SingleTxt"/>
        <w:spacing w:after="0" w:line="120" w:lineRule="exact"/>
        <w:jc w:val="both"/>
        <w:rPr>
          <w:rFonts w:hint="cs"/>
          <w:sz w:val="12"/>
          <w:rtl/>
          <w:lang w:bidi="ar-EG"/>
        </w:rPr>
      </w:pPr>
    </w:p>
    <w:p w:rsidR="00000000" w:rsidRDefault="00D8679F">
      <w:pPr>
        <w:framePr w:w="9792" w:h="432" w:hSpace="187" w:wrap="around" w:hAnchor="page" w:x="1196" w:yAlign="bottom"/>
        <w:spacing w:line="240" w:lineRule="auto"/>
        <w:jc w:val="lowKashida"/>
        <w:rPr>
          <w:szCs w:val="10"/>
          <w:rtl/>
        </w:rPr>
      </w:pPr>
    </w:p>
    <w:p w:rsidR="00000000" w:rsidRDefault="00D8679F">
      <w:pPr>
        <w:framePr w:w="9792" w:h="432" w:hSpace="187" w:wrap="around" w:hAnchor="page" w:x="1196" w:yAlign="bottom"/>
        <w:spacing w:line="240" w:lineRule="auto"/>
        <w:jc w:val="lowKashida"/>
        <w:rPr>
          <w:rFonts w:hint="cs"/>
          <w:szCs w:val="6"/>
          <w:rtl/>
        </w:rPr>
      </w:pPr>
    </w:p>
    <w:p w:rsidR="00000000" w:rsidRDefault="00D8679F">
      <w:pPr>
        <w:framePr w:w="9792" w:h="432" w:hSpace="187" w:wrap="around" w:hAnchor="page" w:x="1196" w:yAlign="bottom"/>
        <w:tabs>
          <w:tab w:val="right" w:pos="1195"/>
          <w:tab w:val="left" w:pos="1267"/>
        </w:tabs>
        <w:spacing w:after="80" w:line="300" w:lineRule="exact"/>
        <w:ind w:left="1267" w:right="1267" w:hanging="547"/>
        <w:jc w:val="lowKashida"/>
        <w:rPr>
          <w:rFonts w:hint="cs"/>
          <w:sz w:val="17"/>
          <w:szCs w:val="26"/>
          <w:rtl/>
        </w:rPr>
      </w:pPr>
      <w:r>
        <w:rPr>
          <w:noProof/>
          <w:w w:val="100"/>
        </w:rPr>
        <w:pict>
          <v:line id="_x0000_s1028" style="position:absolute;left:0;text-align:left;z-index:2" from="396pt,-1pt" to="468pt,-1pt">
            <w10:wrap anchorx="page"/>
          </v:line>
        </w:pict>
      </w:r>
      <w:r>
        <w:rPr>
          <w:rFonts w:hint="cs"/>
          <w:sz w:val="17"/>
          <w:szCs w:val="26"/>
          <w:rtl/>
        </w:rPr>
        <w:tab/>
        <w:t>*</w:t>
      </w:r>
      <w:r>
        <w:rPr>
          <w:rFonts w:hint="cs"/>
          <w:sz w:val="17"/>
          <w:szCs w:val="26"/>
          <w:rtl/>
        </w:rPr>
        <w:tab/>
      </w:r>
      <w:r>
        <w:rPr>
          <w:rFonts w:hint="cs"/>
          <w:szCs w:val="26"/>
          <w:rtl/>
        </w:rPr>
        <w:t xml:space="preserve">تصدر هذه الوثيقة بدون </w:t>
      </w:r>
      <w:r>
        <w:rPr>
          <w:rFonts w:hint="cs"/>
          <w:szCs w:val="26"/>
          <w:rtl/>
        </w:rPr>
        <w:t>تحرير رسمي.</w:t>
      </w:r>
    </w:p>
    <w:p w:rsidR="00000000" w:rsidRDefault="00D8679F">
      <w:pPr>
        <w:framePr w:w="9792" w:h="432" w:hSpace="187" w:wrap="around" w:hAnchor="page" w:x="1196" w:yAlign="bottom"/>
        <w:tabs>
          <w:tab w:val="right" w:pos="1195"/>
          <w:tab w:val="left" w:pos="1267"/>
        </w:tabs>
        <w:spacing w:after="80" w:line="300" w:lineRule="exact"/>
        <w:ind w:left="1267" w:right="1267" w:hanging="547"/>
        <w:jc w:val="lowKashida"/>
        <w:rPr>
          <w:rFonts w:hint="cs"/>
          <w:sz w:val="17"/>
          <w:szCs w:val="26"/>
        </w:rPr>
      </w:pPr>
      <w:r>
        <w:rPr>
          <w:rFonts w:hint="cs"/>
          <w:sz w:val="17"/>
          <w:szCs w:val="26"/>
          <w:rtl/>
        </w:rPr>
        <w:tab/>
      </w:r>
      <w:r>
        <w:rPr>
          <w:rFonts w:hint="cs"/>
          <w:sz w:val="17"/>
          <w:szCs w:val="26"/>
          <w:rtl/>
        </w:rPr>
        <w:tab/>
        <w:t xml:space="preserve">للاطلاع على التقريرين الدوريين الأول والثاني الموحدين المقدمين من حكومة كينيا، </w:t>
      </w:r>
      <w:r>
        <w:rPr>
          <w:rFonts w:hint="cs"/>
          <w:sz w:val="17"/>
          <w:szCs w:val="26"/>
          <w:rtl/>
          <w:lang w:bidi="ar-EG"/>
        </w:rPr>
        <w:t>اللذين نظرت فيهما اللجنة في دورتها الثانية عشرة، أنظر</w:t>
      </w:r>
      <w:r>
        <w:rPr>
          <w:sz w:val="17"/>
          <w:szCs w:val="26"/>
        </w:rPr>
        <w:t xml:space="preserve">CEDAW/C/KEN/1-2 </w:t>
      </w:r>
      <w:r>
        <w:rPr>
          <w:rFonts w:hint="cs"/>
          <w:sz w:val="17"/>
          <w:szCs w:val="26"/>
          <w:rtl/>
          <w:lang w:bidi="ar-EG"/>
        </w:rPr>
        <w:t xml:space="preserve"> . وللاطلاع على التقريرين  الدوريين الثالث والرابع الموحدين، اللذين نظرت فيهما اللجنة في دورته</w:t>
      </w:r>
      <w:r>
        <w:rPr>
          <w:rFonts w:hint="cs"/>
          <w:sz w:val="17"/>
          <w:szCs w:val="26"/>
          <w:rtl/>
          <w:lang w:bidi="ar-EG"/>
        </w:rPr>
        <w:t xml:space="preserve">ا الثامنة والعشرين، انظر </w:t>
      </w:r>
      <w:r>
        <w:rPr>
          <w:sz w:val="17"/>
          <w:szCs w:val="26"/>
        </w:rPr>
        <w:t>CEDAW/C/KEN/3-4</w:t>
      </w:r>
      <w:r>
        <w:rPr>
          <w:rFonts w:hint="cs"/>
          <w:sz w:val="17"/>
          <w:szCs w:val="26"/>
          <w:rtl/>
          <w:lang w:bidi="ar-EG"/>
        </w:rPr>
        <w:t xml:space="preserve"> </w:t>
      </w:r>
    </w:p>
    <w:p w:rsidR="00000000" w:rsidRDefault="00D8679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spacing w:val="2"/>
          <w:sz w:val="20"/>
          <w:szCs w:val="30"/>
          <w:rtl/>
        </w:rPr>
        <w:tab/>
      </w:r>
      <w:r>
        <w:rPr>
          <w:rFonts w:hint="cs"/>
          <w:spacing w:val="2"/>
          <w:sz w:val="20"/>
          <w:szCs w:val="30"/>
          <w:rtl/>
        </w:rPr>
        <w:tab/>
      </w:r>
      <w:r>
        <w:rPr>
          <w:rFonts w:hint="cs"/>
          <w:spacing w:val="0"/>
          <w:sz w:val="24"/>
          <w:szCs w:val="34"/>
          <w:rtl/>
        </w:rPr>
        <w:t>كينيا</w:t>
      </w:r>
      <w:r>
        <w:rPr>
          <w:rFonts w:hint="cs"/>
          <w:b w:val="0"/>
          <w:bCs w:val="0"/>
          <w:sz w:val="20"/>
          <w:szCs w:val="30"/>
          <w:rtl/>
          <w:lang w:bidi="ar-EG"/>
        </w:rPr>
        <w:t>*</w:t>
      </w:r>
    </w:p>
    <w:p w:rsidR="00000000" w:rsidRDefault="00D8679F">
      <w:pPr>
        <w:pStyle w:val="SingleTxt"/>
        <w:jc w:val="both"/>
        <w:rPr>
          <w:rFonts w:hint="cs"/>
          <w:rtl/>
          <w:lang w:bidi="ar-EG"/>
        </w:rPr>
      </w:pPr>
    </w:p>
    <w:p w:rsidR="00000000" w:rsidRDefault="00D8679F">
      <w:pPr>
        <w:pStyle w:val="SingleTxt"/>
        <w:jc w:val="both"/>
        <w:rPr>
          <w:rFonts w:hint="cs"/>
          <w:rtl/>
          <w:lang w:bidi="ar-EG"/>
        </w:rPr>
      </w:pPr>
    </w:p>
    <w:p w:rsidR="00000000" w:rsidRDefault="00D8679F">
      <w:pPr>
        <w:pStyle w:val="SingleTxt"/>
        <w:jc w:val="both"/>
        <w:rPr>
          <w:rFonts w:hint="cs"/>
          <w:rtl/>
          <w:lang w:bidi="ar-EG"/>
        </w:rPr>
      </w:pPr>
    </w:p>
    <w:p w:rsidR="00000000" w:rsidRDefault="00D8679F">
      <w:pPr>
        <w:pStyle w:val="SingleTxt"/>
        <w:jc w:val="both"/>
        <w:rPr>
          <w:rFonts w:hint="cs"/>
          <w:rtl/>
          <w:lang w:bidi="ar-EG"/>
        </w:rPr>
      </w:pPr>
    </w:p>
    <w:p w:rsidR="00000000" w:rsidRDefault="00D8679F">
      <w:pPr>
        <w:pStyle w:val="SingleTxt"/>
        <w:jc w:val="both"/>
        <w:rPr>
          <w:rFonts w:hint="cs"/>
          <w:rtl/>
          <w:lang w:bidi="ar-EG"/>
        </w:rPr>
      </w:pPr>
    </w:p>
    <w:p w:rsidR="00000000" w:rsidRDefault="00D8679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lang w:bidi="ar-EG"/>
        </w:rPr>
        <w:br w:type="page"/>
      </w:r>
      <w:r>
        <w:rPr>
          <w:rFonts w:hint="cs"/>
          <w:rtl/>
        </w:rPr>
        <w:tab/>
      </w:r>
      <w:r>
        <w:rPr>
          <w:rFonts w:hint="cs"/>
          <w:rtl/>
        </w:rPr>
        <w:tab/>
      </w:r>
      <w:r>
        <w:rPr>
          <w:rFonts w:hint="cs"/>
          <w:rtl/>
          <w:lang w:bidi="ar-EG"/>
        </w:rPr>
        <w:t>التقريران الخامس والسادس الموحدان المقدمان من حكومة جمهورية كينيا بشأن الاتفاقية الدولية للقضاء على جميع أشكال التمييز ضد المرأة</w:t>
      </w:r>
    </w:p>
    <w:p w:rsidR="00000000" w:rsidRDefault="00D8679F">
      <w:pPr>
        <w:pStyle w:val="SingleTxt"/>
        <w:spacing w:after="0" w:line="120" w:lineRule="exact"/>
        <w:jc w:val="both"/>
        <w:rPr>
          <w:rFonts w:hint="cs"/>
          <w:b/>
          <w:bCs/>
          <w:sz w:val="10"/>
          <w:rtl/>
          <w:lang w:bidi="ar-EG"/>
        </w:rPr>
      </w:pPr>
    </w:p>
    <w:p w:rsidR="00000000" w:rsidRDefault="00D8679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both"/>
        <w:rPr>
          <w:rFonts w:hint="cs"/>
          <w:rtl/>
          <w:lang w:bidi="ar-EG"/>
        </w:rPr>
      </w:pPr>
      <w:r>
        <w:rPr>
          <w:rFonts w:hint="cs"/>
          <w:rtl/>
          <w:lang w:bidi="ar-EG"/>
        </w:rPr>
        <w:tab/>
      </w:r>
      <w:r>
        <w:rPr>
          <w:rFonts w:hint="cs"/>
          <w:rtl/>
          <w:lang w:bidi="ar-EG"/>
        </w:rPr>
        <w:tab/>
        <w:t>مقدمة</w:t>
      </w:r>
    </w:p>
    <w:p w:rsidR="00000000" w:rsidRDefault="00D8679F">
      <w:pPr>
        <w:pStyle w:val="SingleTxt"/>
        <w:jc w:val="both"/>
        <w:rPr>
          <w:rFonts w:hint="cs"/>
          <w:rtl/>
          <w:lang w:bidi="ar-EG"/>
        </w:rPr>
      </w:pPr>
      <w:r>
        <w:rPr>
          <w:rFonts w:hint="cs"/>
          <w:rtl/>
          <w:lang w:bidi="ar-EG"/>
        </w:rPr>
        <w:t>1 -</w:t>
      </w:r>
      <w:r>
        <w:rPr>
          <w:rFonts w:hint="cs"/>
          <w:rtl/>
          <w:lang w:bidi="ar-EG"/>
        </w:rPr>
        <w:tab/>
        <w:t>تقدم جمهورية كينيا تقريريها الخامس والسادس الموحدان بشأ</w:t>
      </w:r>
      <w:r>
        <w:rPr>
          <w:rFonts w:hint="cs"/>
          <w:rtl/>
          <w:lang w:bidi="ar-EG"/>
        </w:rPr>
        <w:t>ن تنفيذها للاتفاقية الدولية للقضاء على جميع أشكال التمييز ضد المرأة. وقد أعد هذا التقرير بالتعاون بين حكومة كينيا وممثلين عن منظمات المجتمع المدني ويغطي فترة الإبلاغ من كانون الثاني/يناير عام 2003 إلى كانون الثاني/يناير عام 2006. وفي أثناء إعداد هذا التقري</w:t>
      </w:r>
      <w:r>
        <w:rPr>
          <w:rFonts w:hint="cs"/>
          <w:rtl/>
          <w:lang w:bidi="ar-EG"/>
        </w:rPr>
        <w:t>ر، عقدت ثلاثة اجتماعات استشارية بين ممثلي الحكومة ومنظمات المجتمع المدني.</w:t>
      </w:r>
    </w:p>
    <w:p w:rsidR="00000000" w:rsidRDefault="00D8679F">
      <w:pPr>
        <w:pStyle w:val="SingleTxt"/>
        <w:spacing w:after="0" w:line="120" w:lineRule="exact"/>
        <w:jc w:val="both"/>
        <w:rPr>
          <w:rFonts w:hint="cs"/>
          <w:sz w:val="10"/>
          <w:rtl/>
          <w:lang w:bidi="ar-EG"/>
        </w:rPr>
      </w:pPr>
    </w:p>
    <w:p w:rsidR="00000000" w:rsidRDefault="00D8679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both"/>
        <w:rPr>
          <w:rFonts w:hint="cs"/>
          <w:rtl/>
          <w:lang w:bidi="ar-EG"/>
        </w:rPr>
      </w:pPr>
      <w:r>
        <w:rPr>
          <w:rFonts w:hint="cs"/>
          <w:rtl/>
          <w:lang w:bidi="ar-EG"/>
        </w:rPr>
        <w:tab/>
      </w:r>
      <w:r>
        <w:rPr>
          <w:rFonts w:hint="cs"/>
          <w:rtl/>
          <w:lang w:bidi="ar-EG"/>
        </w:rPr>
        <w:tab/>
        <w:t>موجز تنفيذي</w:t>
      </w:r>
    </w:p>
    <w:p w:rsidR="00000000" w:rsidRDefault="00D8679F">
      <w:pPr>
        <w:pStyle w:val="SingleTxt"/>
        <w:jc w:val="both"/>
        <w:rPr>
          <w:rFonts w:hint="cs"/>
          <w:rtl/>
          <w:lang w:bidi="ar-EG"/>
        </w:rPr>
      </w:pPr>
      <w:r>
        <w:rPr>
          <w:rFonts w:hint="cs"/>
          <w:rtl/>
          <w:lang w:bidi="ar-EG"/>
        </w:rPr>
        <w:t>2 -</w:t>
      </w:r>
      <w:r>
        <w:rPr>
          <w:rFonts w:hint="cs"/>
          <w:rtl/>
          <w:lang w:bidi="ar-EG"/>
        </w:rPr>
        <w:tab/>
        <w:t>كتب هذا التقرير ويُقدَّم في وقت مفعم بالإثارة وأكبر التحديات التي لم يواجهها في</w:t>
      </w:r>
      <w:r>
        <w:rPr>
          <w:rFonts w:hint="eastAsia"/>
          <w:rtl/>
          <w:lang w:bidi="ar-EG"/>
        </w:rPr>
        <w:t> </w:t>
      </w:r>
      <w:r>
        <w:rPr>
          <w:rFonts w:hint="cs"/>
          <w:rtl/>
          <w:lang w:bidi="ar-EG"/>
        </w:rPr>
        <w:t xml:space="preserve">أي وقــــت مضى في كينيا العاملون في مجال حقوق المرأة. وكما سيلاحظ في الفقرات 8-109 </w:t>
      </w:r>
      <w:r>
        <w:rPr>
          <w:rFonts w:hint="cs"/>
          <w:rtl/>
          <w:lang w:bidi="ar-EG"/>
        </w:rPr>
        <w:t>في إطار التقريرين بشأن المواد 1 و 2 و 4 و 7 و 9 من الاتفاقية، ظهرت تحديات جديدة أمام تنفيذ الاتفاقية. وبوجه خاص كما لوحظ في التقارير السابقة المقدمة للجنة، ما</w:t>
      </w:r>
      <w:r>
        <w:rPr>
          <w:rFonts w:hint="eastAsia"/>
          <w:rtl/>
          <w:lang w:bidi="ar-EG"/>
        </w:rPr>
        <w:t> </w:t>
      </w:r>
      <w:r>
        <w:rPr>
          <w:rFonts w:hint="cs"/>
          <w:rtl/>
          <w:lang w:bidi="ar-EG"/>
        </w:rPr>
        <w:t>زالت المساواة الدستورية أملا لم يتحقق للمرأة الكينية. وهكذا في حين أحرز قدر كبير من التقدم في مجا</w:t>
      </w:r>
      <w:r>
        <w:rPr>
          <w:rFonts w:hint="cs"/>
          <w:rtl/>
          <w:lang w:bidi="ar-EG"/>
        </w:rPr>
        <w:t>لات مختلفة من حقوق المرأة، لا يزال هذا الركن الأساسي المتعلق بالمساواة الدستورية بدون مساس. وعملية الإصلاح الدستوري الكيني التي يتعين أن تعالج هذه القضية تتوجت بدستور جديد مقترح لكينيا رفضه الجمهور في استفتاء وطني عام أجري في 21</w:t>
      </w:r>
      <w:r>
        <w:rPr>
          <w:rFonts w:hint="eastAsia"/>
          <w:rtl/>
          <w:lang w:bidi="ar-EG"/>
        </w:rPr>
        <w:t> </w:t>
      </w:r>
      <w:r>
        <w:rPr>
          <w:rFonts w:hint="cs"/>
          <w:rtl/>
          <w:lang w:bidi="ar-EG"/>
        </w:rPr>
        <w:t>تشرين الثاني/نوفمبر عام 200</w:t>
      </w:r>
      <w:r>
        <w:rPr>
          <w:rFonts w:hint="cs"/>
          <w:rtl/>
          <w:lang w:bidi="ar-EG"/>
        </w:rPr>
        <w:t>5. وتضمن الدستور الجديد المقترح عدة بنود كانت ستعالج أشكال عدم المساواة القائمة على نوع الجنس.</w:t>
      </w:r>
    </w:p>
    <w:p w:rsidR="00000000" w:rsidRDefault="00D8679F">
      <w:pPr>
        <w:pStyle w:val="SingleTxt"/>
        <w:jc w:val="both"/>
        <w:rPr>
          <w:rFonts w:hint="cs"/>
          <w:rtl/>
          <w:lang w:bidi="ar-EG"/>
        </w:rPr>
      </w:pPr>
      <w:r>
        <w:rPr>
          <w:rFonts w:hint="cs"/>
          <w:rtl/>
          <w:lang w:bidi="ar-EG"/>
        </w:rPr>
        <w:t>3 -</w:t>
      </w:r>
      <w:r>
        <w:rPr>
          <w:rFonts w:hint="cs"/>
          <w:rtl/>
          <w:lang w:bidi="ar-EG"/>
        </w:rPr>
        <w:tab/>
        <w:t>وهناك مكاسب كثيرة تحققت في مجالات حقوق المرأة منذ تقديم التقريرين الثالث والرابع الموحدين بيد أن المجالات التالية التي تحتاج لإصلاح دستوري ما زالت بدون تغيير</w:t>
      </w:r>
      <w:r>
        <w:rPr>
          <w:rFonts w:hint="cs"/>
          <w:rtl/>
          <w:lang w:bidi="ar-EG"/>
        </w:rPr>
        <w:t>:</w:t>
      </w:r>
    </w:p>
    <w:p w:rsidR="00000000" w:rsidRDefault="00D8679F">
      <w:pPr>
        <w:pStyle w:val="SingleTxt"/>
        <w:tabs>
          <w:tab w:val="clear" w:pos="2592"/>
          <w:tab w:val="left" w:pos="2228"/>
        </w:tabs>
        <w:ind w:left="2228" w:hanging="961"/>
        <w:jc w:val="both"/>
        <w:rPr>
          <w:rFonts w:hint="cs"/>
          <w:rtl/>
          <w:lang w:bidi="ar-EG"/>
        </w:rPr>
      </w:pPr>
      <w:r>
        <w:rPr>
          <w:rFonts w:hint="cs"/>
          <w:rtl/>
          <w:lang w:bidi="ar-EG"/>
        </w:rPr>
        <w:tab/>
        <w:t>•</w:t>
      </w:r>
      <w:r>
        <w:rPr>
          <w:rFonts w:hint="cs"/>
          <w:rtl/>
          <w:lang w:bidi="ar-EG"/>
        </w:rPr>
        <w:tab/>
        <w:t>المادة 1:- ما زال تعريف التمييز غير متمش مع الاتفاقية. وقد عولجت هذه القضية في الدستور الجديد المقترح الذي وسَّع تعريف التمييز ليشمل الحمل وما</w:t>
      </w:r>
      <w:r>
        <w:rPr>
          <w:rFonts w:hint="eastAsia"/>
          <w:rtl/>
          <w:lang w:bidi="ar-EG"/>
        </w:rPr>
        <w:t> </w:t>
      </w:r>
      <w:r>
        <w:rPr>
          <w:rFonts w:hint="cs"/>
          <w:rtl/>
          <w:lang w:bidi="ar-EG"/>
        </w:rPr>
        <w:t>إلى ذلك، وكان متساوقا مع الاتفاقية.</w:t>
      </w:r>
    </w:p>
    <w:p w:rsidR="00000000" w:rsidRDefault="00D8679F">
      <w:pPr>
        <w:pStyle w:val="SingleTxt"/>
        <w:tabs>
          <w:tab w:val="clear" w:pos="2592"/>
          <w:tab w:val="left" w:pos="2228"/>
        </w:tabs>
        <w:ind w:left="2228" w:hanging="961"/>
        <w:jc w:val="both"/>
        <w:rPr>
          <w:rFonts w:hint="cs"/>
          <w:rtl/>
          <w:lang w:bidi="ar-EG"/>
        </w:rPr>
      </w:pPr>
      <w:r>
        <w:rPr>
          <w:rtl/>
        </w:rPr>
        <w:tab/>
      </w:r>
      <w:r>
        <w:rPr>
          <w:rFonts w:hint="cs"/>
          <w:rtl/>
          <w:lang w:bidi="ar-EG"/>
        </w:rPr>
        <w:t>•</w:t>
      </w:r>
      <w:r>
        <w:rPr>
          <w:rFonts w:hint="cs"/>
          <w:rtl/>
          <w:lang w:bidi="ar-EG"/>
        </w:rPr>
        <w:tab/>
        <w:t>المادتان 1 و 2:- مازالت هناك قيود على التمتع بالحق الدستوري في المساو</w:t>
      </w:r>
      <w:r>
        <w:rPr>
          <w:rFonts w:hint="cs"/>
          <w:rtl/>
          <w:lang w:bidi="ar-EG"/>
        </w:rPr>
        <w:t>اة. وعلى سبيل المثال، فإن البنود المتعلقة بالاسترداد في المادة 82 (4 (ب و ج)) من دستور كينيا الحالي التي تسمح بالتمييز في المسائل المتعلقة بالقانون الشخصي، والزواج، والتبني وأيلولة الممتلكات (الميراث) ما</w:t>
      </w:r>
      <w:r>
        <w:rPr>
          <w:rFonts w:hint="eastAsia"/>
          <w:rtl/>
          <w:lang w:bidi="ar-EG"/>
        </w:rPr>
        <w:t> </w:t>
      </w:r>
      <w:r>
        <w:rPr>
          <w:rFonts w:hint="cs"/>
          <w:rtl/>
          <w:lang w:bidi="ar-EG"/>
        </w:rPr>
        <w:t>زالت باقية.</w:t>
      </w:r>
    </w:p>
    <w:p w:rsidR="00000000" w:rsidRDefault="00D8679F">
      <w:pPr>
        <w:pStyle w:val="SingleTxt"/>
        <w:tabs>
          <w:tab w:val="clear" w:pos="2592"/>
          <w:tab w:val="left" w:pos="2228"/>
        </w:tabs>
        <w:ind w:left="2228" w:hanging="961"/>
        <w:jc w:val="both"/>
        <w:rPr>
          <w:rFonts w:hint="cs"/>
          <w:rtl/>
          <w:lang w:bidi="ar-EG"/>
        </w:rPr>
      </w:pPr>
      <w:r>
        <w:rPr>
          <w:rFonts w:hint="cs"/>
          <w:rtl/>
          <w:lang w:bidi="ar-EG"/>
        </w:rPr>
        <w:tab/>
        <w:t>•</w:t>
      </w:r>
      <w:r>
        <w:rPr>
          <w:rFonts w:hint="cs"/>
          <w:rtl/>
          <w:lang w:bidi="ar-EG"/>
        </w:rPr>
        <w:tab/>
        <w:t>المواد 2 و 4 و 7:- فيما يتعلق بضمان ا</w:t>
      </w:r>
      <w:r>
        <w:rPr>
          <w:rFonts w:hint="cs"/>
          <w:rtl/>
          <w:lang w:bidi="ar-EG"/>
        </w:rPr>
        <w:t>لالتزام بمعالجة التمييز، والعمل الإيجابي  واشتراك المرأة في الحياة العامة والسياسية. أكد الدستور الجديد المقترح حق المرأة في ثلث التمثيل في المناصب التي تشغل بالتعيين والاختيار مما</w:t>
      </w:r>
      <w:r>
        <w:rPr>
          <w:rFonts w:hint="eastAsia"/>
          <w:rtl/>
          <w:lang w:bidi="ar-EG"/>
        </w:rPr>
        <w:t> </w:t>
      </w:r>
      <w:r>
        <w:rPr>
          <w:rFonts w:hint="cs"/>
          <w:rtl/>
          <w:lang w:bidi="ar-EG"/>
        </w:rPr>
        <w:t>سيؤدي إلى تحسين قدرة الدولة على معالجة التمييز وتمثيل المرأة في الحياة العا</w:t>
      </w:r>
      <w:r>
        <w:rPr>
          <w:rFonts w:hint="cs"/>
          <w:rtl/>
          <w:lang w:bidi="ar-EG"/>
        </w:rPr>
        <w:t>مة.</w:t>
      </w:r>
    </w:p>
    <w:p w:rsidR="00000000" w:rsidRDefault="00D8679F">
      <w:pPr>
        <w:pStyle w:val="SingleTxt"/>
        <w:tabs>
          <w:tab w:val="clear" w:pos="2592"/>
          <w:tab w:val="left" w:pos="2228"/>
        </w:tabs>
        <w:ind w:left="2228" w:hanging="961"/>
        <w:jc w:val="both"/>
        <w:rPr>
          <w:rFonts w:hint="cs"/>
          <w:rtl/>
          <w:lang w:bidi="ar-EG"/>
        </w:rPr>
      </w:pPr>
      <w:r>
        <w:rPr>
          <w:rFonts w:hint="cs"/>
          <w:rtl/>
          <w:lang w:bidi="ar-EG"/>
        </w:rPr>
        <w:tab/>
        <w:t>•</w:t>
      </w:r>
      <w:r>
        <w:rPr>
          <w:rFonts w:hint="cs"/>
          <w:rtl/>
          <w:lang w:bidi="ar-EG"/>
        </w:rPr>
        <w:tab/>
        <w:t>المادة 9:- الجنسية. لا يمنح دستور كينيا المرأة حقوق مواطنة متساوية - وقد عولج هذا في الدستور الجديد المقترح لكينيا.</w:t>
      </w:r>
    </w:p>
    <w:p w:rsidR="00000000" w:rsidRDefault="00D8679F">
      <w:pPr>
        <w:pStyle w:val="SingleTxt"/>
        <w:jc w:val="both"/>
        <w:rPr>
          <w:rFonts w:hint="cs"/>
          <w:rtl/>
          <w:lang w:bidi="ar-EG"/>
        </w:rPr>
      </w:pPr>
      <w:r>
        <w:rPr>
          <w:rFonts w:hint="cs"/>
          <w:rtl/>
          <w:lang w:bidi="ar-EG"/>
        </w:rPr>
        <w:t>وأخيرا، عالج الدستور الجديد المقترح إضفاء الصبغة المحلية على الاتفاقية، إذ أنه نصَّ على أنه عند إصداره تصبح أي اتفاقيات ينضم إليها ال</w:t>
      </w:r>
      <w:r>
        <w:rPr>
          <w:rFonts w:hint="cs"/>
          <w:rtl/>
          <w:lang w:bidi="ar-EG"/>
        </w:rPr>
        <w:t>بلد أو يصدق عليها قانونا بصورة تلقائية.</w:t>
      </w:r>
    </w:p>
    <w:p w:rsidR="00000000" w:rsidRDefault="00D8679F">
      <w:pPr>
        <w:pStyle w:val="SingleTxt"/>
        <w:jc w:val="both"/>
        <w:rPr>
          <w:rFonts w:hint="cs"/>
          <w:rtl/>
          <w:lang w:bidi="ar-EG"/>
        </w:rPr>
      </w:pPr>
      <w:r>
        <w:rPr>
          <w:rFonts w:hint="cs"/>
          <w:rtl/>
          <w:lang w:bidi="ar-EG"/>
        </w:rPr>
        <w:t>4 -</w:t>
      </w:r>
      <w:r>
        <w:rPr>
          <w:rFonts w:hint="cs"/>
          <w:rtl/>
          <w:lang w:bidi="ar-EG"/>
        </w:rPr>
        <w:tab/>
        <w:t>ومن ناحية أخرى تحققت كثير من المكاسب في تعزيز قضية حقوق المرأة في كينيا في الفترة الواقعة بين التقريرين الثالث والرابع والتقريرين الخامس والسادس. وفي قرار تاريخي أصدرته محكمة الاستئناف المنعقدة في إلدوريت، استشهد</w:t>
      </w:r>
      <w:r>
        <w:rPr>
          <w:rFonts w:hint="cs"/>
          <w:rtl/>
          <w:lang w:bidi="ar-EG"/>
        </w:rPr>
        <w:t xml:space="preserve">ت المحكمة بالمادة 1 من اتفاقية القضاء على جميع أشكال التمييز ضد المرأة، في قرار لتبرير منح بنات رجل متعدد الزوجات (متزوج بموجب القانون العرفي) توفى بدون وصية، أنصبة متساوية في ممتلكاته. وهذا القرار الصادر في قضية </w:t>
      </w:r>
      <w:r>
        <w:rPr>
          <w:rFonts w:hint="eastAsia"/>
          <w:i/>
          <w:iCs/>
          <w:rtl/>
          <w:lang w:bidi="ar-EG"/>
        </w:rPr>
        <w:t>ماري رونو - ضد - جين رونو</w:t>
      </w:r>
      <w:r>
        <w:rPr>
          <w:rFonts w:hint="eastAsia"/>
          <w:rtl/>
          <w:lang w:bidi="ar-EG"/>
        </w:rPr>
        <w:t xml:space="preserve"> </w:t>
      </w:r>
      <w:r>
        <w:rPr>
          <w:rFonts w:hint="eastAsia"/>
          <w:i/>
          <w:iCs/>
          <w:rtl/>
          <w:lang w:bidi="ar-EG"/>
        </w:rPr>
        <w:t>ووليم رونو</w:t>
      </w:r>
      <w:r>
        <w:rPr>
          <w:rFonts w:hint="cs"/>
          <w:rtl/>
          <w:lang w:bidi="ar-EG"/>
        </w:rPr>
        <w:t xml:space="preserve"> </w:t>
      </w:r>
      <w:r>
        <w:rPr>
          <w:i/>
          <w:iCs/>
          <w:lang w:bidi="ar-EG"/>
        </w:rPr>
        <w:t>]</w:t>
      </w:r>
      <w:r>
        <w:rPr>
          <w:rFonts w:hint="eastAsia"/>
          <w:i/>
          <w:iCs/>
          <w:rtl/>
          <w:lang w:bidi="ar-EG"/>
        </w:rPr>
        <w:t>الاست</w:t>
      </w:r>
      <w:r>
        <w:rPr>
          <w:rFonts w:hint="eastAsia"/>
          <w:i/>
          <w:iCs/>
          <w:rtl/>
          <w:lang w:bidi="ar-EG"/>
        </w:rPr>
        <w:t>ئناف المدني رقم 66 لعام 2002</w:t>
      </w:r>
      <w:r>
        <w:rPr>
          <w:i/>
          <w:iCs/>
          <w:lang w:bidi="ar-EG"/>
        </w:rPr>
        <w:t>[</w:t>
      </w:r>
      <w:r>
        <w:rPr>
          <w:rFonts w:hint="cs"/>
          <w:rtl/>
          <w:lang w:bidi="ar-EG"/>
        </w:rPr>
        <w:t xml:space="preserve"> </w:t>
      </w:r>
      <w:r>
        <w:rPr>
          <w:rFonts w:hint="eastAsia"/>
          <w:rtl/>
          <w:lang w:bidi="ar-EG"/>
        </w:rPr>
        <w:t xml:space="preserve">يمثل </w:t>
      </w:r>
      <w:r>
        <w:rPr>
          <w:rFonts w:hint="cs"/>
          <w:rtl/>
          <w:lang w:bidi="ar-EG"/>
        </w:rPr>
        <w:t>قرارا تاريخيا</w:t>
      </w:r>
      <w:r>
        <w:rPr>
          <w:rFonts w:hint="eastAsia"/>
          <w:rtl/>
          <w:lang w:bidi="ar-EG"/>
        </w:rPr>
        <w:t xml:space="preserve"> حيث أكدت أعلى محكمة مبدأ </w:t>
      </w:r>
      <w:r>
        <w:rPr>
          <w:rFonts w:hint="cs"/>
          <w:rtl/>
          <w:lang w:bidi="ar-EG"/>
        </w:rPr>
        <w:t>تمتع</w:t>
      </w:r>
      <w:r>
        <w:rPr>
          <w:rFonts w:hint="eastAsia"/>
          <w:rtl/>
          <w:lang w:bidi="ar-EG"/>
        </w:rPr>
        <w:t xml:space="preserve"> المرأة </w:t>
      </w:r>
      <w:r>
        <w:rPr>
          <w:rFonts w:hint="cs"/>
          <w:rtl/>
          <w:lang w:bidi="ar-EG"/>
        </w:rPr>
        <w:t xml:space="preserve">بالمساواة </w:t>
      </w:r>
      <w:r>
        <w:rPr>
          <w:rFonts w:hint="eastAsia"/>
          <w:rtl/>
          <w:lang w:bidi="ar-EG"/>
        </w:rPr>
        <w:t xml:space="preserve">في مجال من أكثر مجالات القانون إثارة للجدال. </w:t>
      </w:r>
      <w:r>
        <w:rPr>
          <w:rFonts w:hint="cs"/>
          <w:rtl/>
          <w:lang w:bidi="ar-EG"/>
        </w:rPr>
        <w:t>والمكاسب الأخرى التي تحققت والتي تعالج في التقرير في إطار الفقرات المتعلقة بالمواد 1-9 تشمل، ولكن لا تقتصر على ما ي</w:t>
      </w:r>
      <w:r>
        <w:rPr>
          <w:rFonts w:hint="cs"/>
          <w:rtl/>
          <w:lang w:bidi="ar-EG"/>
        </w:rPr>
        <w:t>لي:</w:t>
      </w:r>
    </w:p>
    <w:p w:rsidR="00000000" w:rsidRDefault="00D8679F">
      <w:pPr>
        <w:pStyle w:val="SingleTxt"/>
        <w:tabs>
          <w:tab w:val="clear" w:pos="2592"/>
          <w:tab w:val="left" w:pos="2228"/>
        </w:tabs>
        <w:ind w:left="2228" w:hanging="961"/>
        <w:jc w:val="both"/>
        <w:rPr>
          <w:rFonts w:hint="cs"/>
          <w:rtl/>
          <w:lang w:bidi="ar-EG"/>
        </w:rPr>
      </w:pPr>
      <w:r>
        <w:rPr>
          <w:rFonts w:hint="cs"/>
          <w:rtl/>
          <w:lang w:bidi="ar-EG"/>
        </w:rPr>
        <w:tab/>
        <w:t>•</w:t>
      </w:r>
      <w:r>
        <w:rPr>
          <w:rFonts w:hint="cs"/>
          <w:rtl/>
          <w:lang w:bidi="ar-EG"/>
        </w:rPr>
        <w:tab/>
        <w:t xml:space="preserve">تنفيذ حظر تشويه الأعضاء التناسلية للإناث الذي أصبح الآن غير قانوني للقاصرات - وهذا ناتج عن سن </w:t>
      </w:r>
      <w:r>
        <w:rPr>
          <w:rFonts w:hint="cs"/>
          <w:i/>
          <w:iCs/>
          <w:rtl/>
          <w:lang w:bidi="ar-EG"/>
        </w:rPr>
        <w:t>قانون الأطفال (2001).</w:t>
      </w:r>
    </w:p>
    <w:p w:rsidR="00000000" w:rsidRDefault="00D8679F">
      <w:pPr>
        <w:pStyle w:val="SingleTxt"/>
        <w:tabs>
          <w:tab w:val="clear" w:pos="2592"/>
          <w:tab w:val="left" w:pos="2228"/>
        </w:tabs>
        <w:ind w:left="2228" w:hanging="961"/>
        <w:jc w:val="both"/>
        <w:rPr>
          <w:rFonts w:hint="cs"/>
          <w:rtl/>
          <w:lang w:bidi="ar-EG"/>
        </w:rPr>
      </w:pPr>
      <w:r>
        <w:rPr>
          <w:rFonts w:hint="cs"/>
          <w:rtl/>
          <w:lang w:bidi="ar-EG"/>
        </w:rPr>
        <w:tab/>
        <w:t>•</w:t>
      </w:r>
      <w:r>
        <w:rPr>
          <w:rFonts w:hint="cs"/>
          <w:rtl/>
          <w:lang w:bidi="ar-EG"/>
        </w:rPr>
        <w:tab/>
        <w:t>تعزيز الآلية الوطنية للنهوض بالمرأة بإنشاء اللجنة الوطنية المعنية بالشؤون الجنسانية والتنمية وسن القانون المانح لصلاحياتها.</w:t>
      </w:r>
    </w:p>
    <w:p w:rsidR="00000000" w:rsidRDefault="00D8679F">
      <w:pPr>
        <w:pStyle w:val="SingleTxt"/>
        <w:tabs>
          <w:tab w:val="clear" w:pos="2592"/>
          <w:tab w:val="left" w:pos="2228"/>
        </w:tabs>
        <w:ind w:left="2228" w:hanging="961"/>
        <w:jc w:val="both"/>
        <w:rPr>
          <w:rFonts w:hint="cs"/>
          <w:rtl/>
          <w:lang w:bidi="ar-EG"/>
        </w:rPr>
      </w:pPr>
      <w:r>
        <w:rPr>
          <w:rFonts w:hint="cs"/>
          <w:rtl/>
          <w:lang w:bidi="ar-EG"/>
        </w:rPr>
        <w:tab/>
        <w:t>•</w:t>
      </w:r>
      <w:r>
        <w:rPr>
          <w:rFonts w:hint="cs"/>
          <w:rtl/>
          <w:lang w:bidi="ar-EG"/>
        </w:rPr>
        <w:tab/>
        <w:t>الأ</w:t>
      </w:r>
      <w:r>
        <w:rPr>
          <w:rFonts w:hint="cs"/>
          <w:rtl/>
          <w:lang w:bidi="ar-EG"/>
        </w:rPr>
        <w:t>حكام الدنيا لاغتصاب القاصرات وزيادة عقوبة اغتصاب القاصر إلى السجن مدى الحياة.</w:t>
      </w:r>
    </w:p>
    <w:p w:rsidR="00000000" w:rsidRDefault="00D8679F">
      <w:pPr>
        <w:pStyle w:val="SingleTxt"/>
        <w:tabs>
          <w:tab w:val="clear" w:pos="2592"/>
          <w:tab w:val="left" w:pos="2228"/>
        </w:tabs>
        <w:ind w:left="2228" w:hanging="961"/>
        <w:jc w:val="both"/>
        <w:rPr>
          <w:rFonts w:hint="cs"/>
          <w:rtl/>
          <w:lang w:bidi="ar-EG"/>
        </w:rPr>
      </w:pPr>
      <w:r>
        <w:rPr>
          <w:rFonts w:hint="cs"/>
          <w:rtl/>
          <w:lang w:bidi="ar-EG"/>
        </w:rPr>
        <w:tab/>
        <w:t>•</w:t>
      </w:r>
      <w:r>
        <w:rPr>
          <w:rFonts w:hint="cs"/>
          <w:rtl/>
          <w:lang w:bidi="ar-EG"/>
        </w:rPr>
        <w:tab/>
        <w:t>تحسين صورة المرأة والمسائل المتعلقة بحقوق المرأة في وسائط الإعلام.</w:t>
      </w:r>
    </w:p>
    <w:p w:rsidR="00000000" w:rsidRDefault="00D8679F">
      <w:pPr>
        <w:pStyle w:val="SingleTxt"/>
        <w:tabs>
          <w:tab w:val="clear" w:pos="2592"/>
          <w:tab w:val="left" w:pos="2228"/>
        </w:tabs>
        <w:ind w:left="2228" w:hanging="961"/>
        <w:jc w:val="both"/>
        <w:rPr>
          <w:rFonts w:hint="cs"/>
          <w:rtl/>
          <w:lang w:bidi="ar-EG"/>
        </w:rPr>
      </w:pPr>
      <w:r>
        <w:rPr>
          <w:rFonts w:hint="cs"/>
          <w:rtl/>
          <w:lang w:bidi="ar-EG"/>
        </w:rPr>
        <w:tab/>
        <w:t>•</w:t>
      </w:r>
      <w:r>
        <w:rPr>
          <w:rFonts w:hint="cs"/>
          <w:rtl/>
          <w:lang w:bidi="ar-EG"/>
        </w:rPr>
        <w:tab/>
        <w:t>زيادة تمثيل المرأة في المناصب التي تُشغل بالتعيين - ومعظم المؤسسات الوطنية الجديدة مثل اللجنة الوطنية الك</w:t>
      </w:r>
      <w:r>
        <w:rPr>
          <w:rFonts w:hint="cs"/>
          <w:rtl/>
          <w:lang w:bidi="ar-EG"/>
        </w:rPr>
        <w:t>ينية المعنية بحقوق الإنسان لديها الآن حكم مسنون في القانون المانح لصلاحياتها بأن يبلغ تمثيل المرأة الثلث ويجري التقيد بهذه الأحكام بصورة كبيرة.</w:t>
      </w:r>
    </w:p>
    <w:p w:rsidR="00000000" w:rsidRDefault="00D8679F">
      <w:pPr>
        <w:pStyle w:val="SingleTxt"/>
        <w:tabs>
          <w:tab w:val="clear" w:pos="2592"/>
          <w:tab w:val="left" w:pos="2228"/>
        </w:tabs>
        <w:ind w:left="2228" w:hanging="961"/>
        <w:jc w:val="both"/>
        <w:rPr>
          <w:rFonts w:hint="cs"/>
          <w:rtl/>
          <w:lang w:bidi="ar-EG"/>
        </w:rPr>
      </w:pPr>
      <w:r>
        <w:rPr>
          <w:rFonts w:hint="cs"/>
          <w:rtl/>
          <w:lang w:bidi="ar-EG"/>
        </w:rPr>
        <w:tab/>
        <w:t>•</w:t>
      </w:r>
      <w:r>
        <w:rPr>
          <w:rFonts w:hint="cs"/>
          <w:rtl/>
          <w:lang w:bidi="ar-EG"/>
        </w:rPr>
        <w:tab/>
        <w:t>تحسين تمثيل المرأة في الهيئة القضائية.</w:t>
      </w:r>
    </w:p>
    <w:p w:rsidR="00000000" w:rsidRDefault="00D8679F">
      <w:pPr>
        <w:pStyle w:val="SingleTxt"/>
        <w:tabs>
          <w:tab w:val="clear" w:pos="2592"/>
          <w:tab w:val="left" w:pos="2228"/>
        </w:tabs>
        <w:ind w:left="2228" w:hanging="961"/>
        <w:jc w:val="both"/>
        <w:rPr>
          <w:rFonts w:hint="cs"/>
          <w:rtl/>
          <w:lang w:bidi="ar-EG"/>
        </w:rPr>
      </w:pPr>
      <w:r>
        <w:rPr>
          <w:rFonts w:hint="cs"/>
          <w:rtl/>
          <w:lang w:bidi="ar-EG"/>
        </w:rPr>
        <w:tab/>
        <w:t>•</w:t>
      </w:r>
      <w:r>
        <w:rPr>
          <w:rFonts w:hint="cs"/>
          <w:rtl/>
          <w:lang w:bidi="ar-EG"/>
        </w:rPr>
        <w:tab/>
        <w:t>اختبار ونجاح استخدام الاتفاقية والإستشهاد بها في الدفاع عن حقوق الم</w:t>
      </w:r>
      <w:r>
        <w:rPr>
          <w:rFonts w:hint="cs"/>
          <w:rtl/>
          <w:lang w:bidi="ar-EG"/>
        </w:rPr>
        <w:t>رأة في المحاكم.</w:t>
      </w:r>
    </w:p>
    <w:p w:rsidR="00000000" w:rsidRDefault="00D8679F">
      <w:pPr>
        <w:pStyle w:val="SingleTxt"/>
        <w:tabs>
          <w:tab w:val="clear" w:pos="2592"/>
          <w:tab w:val="left" w:pos="2228"/>
        </w:tabs>
        <w:ind w:left="2228" w:hanging="961"/>
        <w:jc w:val="both"/>
        <w:rPr>
          <w:rFonts w:hint="cs"/>
          <w:rtl/>
          <w:lang w:bidi="ar-EG"/>
        </w:rPr>
      </w:pPr>
      <w:r>
        <w:rPr>
          <w:rFonts w:hint="cs"/>
          <w:rtl/>
          <w:lang w:bidi="ar-EG"/>
        </w:rPr>
        <w:tab/>
        <w:t>•</w:t>
      </w:r>
      <w:r>
        <w:rPr>
          <w:rFonts w:hint="cs"/>
          <w:rtl/>
          <w:lang w:bidi="ar-EG"/>
        </w:rPr>
        <w:tab/>
        <w:t>إنشاء مركز شرطة يركز بوجه خاص على معالجة حالات العنف ضد المرأة.</w:t>
      </w:r>
    </w:p>
    <w:p w:rsidR="00000000" w:rsidRDefault="00D8679F">
      <w:pPr>
        <w:pStyle w:val="SingleTxt"/>
        <w:tabs>
          <w:tab w:val="clear" w:pos="2592"/>
          <w:tab w:val="left" w:pos="2228"/>
        </w:tabs>
        <w:ind w:left="2228" w:hanging="961"/>
        <w:jc w:val="both"/>
        <w:rPr>
          <w:rFonts w:hint="cs"/>
          <w:rtl/>
          <w:lang w:bidi="ar-EG"/>
        </w:rPr>
      </w:pPr>
      <w:r>
        <w:rPr>
          <w:rFonts w:hint="cs"/>
          <w:rtl/>
          <w:lang w:bidi="ar-EG"/>
        </w:rPr>
        <w:tab/>
        <w:t>•</w:t>
      </w:r>
      <w:r>
        <w:rPr>
          <w:rFonts w:hint="cs"/>
          <w:rtl/>
          <w:lang w:bidi="ar-EG"/>
        </w:rPr>
        <w:tab/>
        <w:t>مشروع نموذجي لتكرار مركز التعافي من العنف بين الجنسين في جميع</w:t>
      </w:r>
      <w:r>
        <w:rPr>
          <w:rFonts w:hint="eastAsia"/>
          <w:rtl/>
          <w:lang w:bidi="ar-EG"/>
        </w:rPr>
        <w:t> </w:t>
      </w:r>
      <w:r>
        <w:rPr>
          <w:rFonts w:hint="cs"/>
          <w:rtl/>
          <w:lang w:bidi="ar-EG"/>
        </w:rPr>
        <w:t xml:space="preserve">مستشفيات الأقاليم. ويوفر مركز التعافي من العنف بين الجنسين خدمات إسداء المشورة والخدمات الطبية لضحايا العنف </w:t>
      </w:r>
      <w:r>
        <w:rPr>
          <w:rFonts w:hint="cs"/>
          <w:rtl/>
          <w:lang w:bidi="ar-EG"/>
        </w:rPr>
        <w:t>القائم على نوع الجنس - وهو يمثل مبادرة خاصة بدأت في مستشفى نيروبي للنساء - غير أن مؤسسيه يتعاونون الآن مع وزارة الصحة لضمان تكرار وتوافر هذه الخدمات على أساس وطني.</w:t>
      </w:r>
    </w:p>
    <w:p w:rsidR="00000000" w:rsidRDefault="00D8679F">
      <w:pPr>
        <w:pStyle w:val="SingleTxt"/>
        <w:tabs>
          <w:tab w:val="clear" w:pos="2592"/>
          <w:tab w:val="left" w:pos="2228"/>
        </w:tabs>
        <w:ind w:left="2228" w:hanging="961"/>
        <w:jc w:val="both"/>
        <w:rPr>
          <w:rFonts w:hint="cs"/>
          <w:rtl/>
          <w:lang w:bidi="ar-EG"/>
        </w:rPr>
      </w:pPr>
      <w:r>
        <w:rPr>
          <w:rFonts w:hint="cs"/>
          <w:rtl/>
          <w:lang w:bidi="ar-EG"/>
        </w:rPr>
        <w:t>5 -</w:t>
      </w:r>
      <w:r>
        <w:rPr>
          <w:rFonts w:hint="cs"/>
          <w:rtl/>
          <w:lang w:bidi="ar-EG"/>
        </w:rPr>
        <w:tab/>
        <w:t>والتحديات الجديدة والمستمرة تشمل ما يلي:</w:t>
      </w:r>
    </w:p>
    <w:p w:rsidR="00000000" w:rsidRDefault="00D8679F">
      <w:pPr>
        <w:pStyle w:val="SingleTxt"/>
        <w:tabs>
          <w:tab w:val="clear" w:pos="2592"/>
          <w:tab w:val="left" w:pos="2228"/>
        </w:tabs>
        <w:ind w:left="2228" w:hanging="961"/>
        <w:jc w:val="both"/>
        <w:rPr>
          <w:rFonts w:hint="cs"/>
          <w:rtl/>
          <w:lang w:bidi="ar-EG"/>
        </w:rPr>
      </w:pPr>
      <w:r>
        <w:rPr>
          <w:rFonts w:hint="cs"/>
          <w:rtl/>
          <w:lang w:bidi="ar-EG"/>
        </w:rPr>
        <w:tab/>
        <w:t>•</w:t>
      </w:r>
      <w:r>
        <w:rPr>
          <w:rFonts w:hint="cs"/>
          <w:rtl/>
          <w:lang w:bidi="ar-EG"/>
        </w:rPr>
        <w:tab/>
        <w:t>أدى حظر تشويه الأعضاء التناسلية للإناث إلى ا</w:t>
      </w:r>
      <w:r>
        <w:rPr>
          <w:rFonts w:hint="cs"/>
          <w:rtl/>
          <w:lang w:bidi="ar-EG"/>
        </w:rPr>
        <w:t>لقيام به سرا ويجري ممارسة الضغط على النساء البالغات من المجتمعات المحلية التي تمارسه لإجراء هذا الطقس بمجرد بلوغهن سن البلوغ.</w:t>
      </w:r>
    </w:p>
    <w:p w:rsidR="00000000" w:rsidRDefault="00D8679F">
      <w:pPr>
        <w:pStyle w:val="SingleTxt"/>
        <w:tabs>
          <w:tab w:val="clear" w:pos="2592"/>
          <w:tab w:val="left" w:pos="2228"/>
        </w:tabs>
        <w:ind w:left="2228" w:hanging="961"/>
        <w:jc w:val="both"/>
        <w:rPr>
          <w:rFonts w:hint="cs"/>
          <w:rtl/>
          <w:lang w:bidi="ar-EG"/>
        </w:rPr>
      </w:pPr>
      <w:r>
        <w:rPr>
          <w:rFonts w:hint="cs"/>
          <w:rtl/>
          <w:lang w:bidi="ar-EG"/>
        </w:rPr>
        <w:tab/>
        <w:t>•</w:t>
      </w:r>
      <w:r>
        <w:rPr>
          <w:rFonts w:hint="cs"/>
          <w:rtl/>
          <w:lang w:bidi="ar-EG"/>
        </w:rPr>
        <w:tab/>
        <w:t>زيادة إنعدام الأمن مما أدى إلى زيادة العنف ضد المرأة. وهناك زيادة في العنف الجنسي ولا سيما اغتصاب النساء والبنات فضلا عن الأولا</w:t>
      </w:r>
      <w:r>
        <w:rPr>
          <w:rFonts w:hint="cs"/>
          <w:rtl/>
          <w:lang w:bidi="ar-EG"/>
        </w:rPr>
        <w:t>د والرجال.</w:t>
      </w:r>
    </w:p>
    <w:p w:rsidR="00000000" w:rsidRDefault="00D8679F">
      <w:pPr>
        <w:pStyle w:val="SingleTxt"/>
        <w:tabs>
          <w:tab w:val="clear" w:pos="2592"/>
          <w:tab w:val="left" w:pos="2228"/>
        </w:tabs>
        <w:ind w:left="2228" w:hanging="961"/>
        <w:jc w:val="both"/>
        <w:rPr>
          <w:rFonts w:hint="cs"/>
          <w:rtl/>
          <w:lang w:bidi="ar-EG"/>
        </w:rPr>
      </w:pPr>
      <w:r>
        <w:rPr>
          <w:rFonts w:hint="cs"/>
          <w:rtl/>
          <w:lang w:bidi="ar-EG"/>
        </w:rPr>
        <w:tab/>
        <w:t>•</w:t>
      </w:r>
      <w:r>
        <w:rPr>
          <w:rFonts w:hint="cs"/>
          <w:rtl/>
          <w:lang w:bidi="ar-EG"/>
        </w:rPr>
        <w:tab/>
        <w:t>مقاومة حقوق المرأة في الملكية والجهل بها.</w:t>
      </w:r>
    </w:p>
    <w:p w:rsidR="00000000" w:rsidRDefault="00D8679F">
      <w:pPr>
        <w:pStyle w:val="SingleTxt"/>
        <w:tabs>
          <w:tab w:val="clear" w:pos="2592"/>
          <w:tab w:val="left" w:pos="2228"/>
        </w:tabs>
        <w:ind w:left="2228" w:hanging="961"/>
        <w:jc w:val="both"/>
        <w:rPr>
          <w:rFonts w:hint="cs"/>
          <w:rtl/>
          <w:lang w:bidi="ar-EG"/>
        </w:rPr>
      </w:pPr>
      <w:r>
        <w:rPr>
          <w:rFonts w:hint="cs"/>
          <w:rtl/>
          <w:lang w:bidi="ar-EG"/>
        </w:rPr>
        <w:tab/>
        <w:t>•</w:t>
      </w:r>
      <w:r>
        <w:rPr>
          <w:rFonts w:hint="cs"/>
          <w:rtl/>
          <w:lang w:bidi="ar-EG"/>
        </w:rPr>
        <w:tab/>
        <w:t>رصد تنفيذ التدابير والآليات الجديدة المستجيبة لاحتياجات الجنسين، وفعاليتها.</w:t>
      </w:r>
    </w:p>
    <w:p w:rsidR="00000000" w:rsidRDefault="00D8679F">
      <w:pPr>
        <w:pStyle w:val="SingleTxt"/>
        <w:tabs>
          <w:tab w:val="clear" w:pos="2592"/>
          <w:tab w:val="left" w:pos="2228"/>
        </w:tabs>
        <w:jc w:val="both"/>
        <w:rPr>
          <w:rFonts w:hint="cs"/>
          <w:rtl/>
          <w:lang w:bidi="ar-EG"/>
        </w:rPr>
      </w:pPr>
      <w:r>
        <w:rPr>
          <w:rFonts w:hint="cs"/>
          <w:rtl/>
          <w:lang w:bidi="ar-EG"/>
        </w:rPr>
        <w:t>6 -</w:t>
      </w:r>
      <w:r>
        <w:rPr>
          <w:rFonts w:hint="cs"/>
          <w:rtl/>
          <w:lang w:bidi="ar-EG"/>
        </w:rPr>
        <w:tab/>
        <w:t xml:space="preserve">وفيما يتعلق بالمواد 10-16، أدى تنفيذ برنامج التعليم الإبتدائي المجاني إلى تعزيز دخول البنات في النظام التعليمي. وأدى </w:t>
      </w:r>
      <w:r>
        <w:rPr>
          <w:rFonts w:hint="cs"/>
          <w:rtl/>
          <w:lang w:bidi="ar-EG"/>
        </w:rPr>
        <w:t xml:space="preserve">سن </w:t>
      </w:r>
      <w:r>
        <w:rPr>
          <w:rFonts w:hint="cs"/>
          <w:i/>
          <w:iCs/>
          <w:rtl/>
          <w:lang w:bidi="ar-EG"/>
        </w:rPr>
        <w:t>قانون الصندوق الإنمائي للدوائر</w:t>
      </w:r>
      <w:r>
        <w:rPr>
          <w:rFonts w:hint="cs"/>
          <w:rtl/>
          <w:lang w:bidi="ar-EG"/>
        </w:rPr>
        <w:t xml:space="preserve"> </w:t>
      </w:r>
      <w:r>
        <w:rPr>
          <w:rFonts w:hint="cs"/>
          <w:i/>
          <w:iCs/>
          <w:rtl/>
          <w:lang w:bidi="ar-EG"/>
        </w:rPr>
        <w:t>الانتخابية</w:t>
      </w:r>
      <w:r>
        <w:rPr>
          <w:rFonts w:hint="cs"/>
          <w:rtl/>
          <w:lang w:bidi="ar-EG"/>
        </w:rPr>
        <w:t xml:space="preserve"> وكذلك </w:t>
      </w:r>
      <w:r>
        <w:rPr>
          <w:rFonts w:hint="cs"/>
          <w:i/>
          <w:iCs/>
          <w:rtl/>
          <w:lang w:bidi="ar-EG"/>
        </w:rPr>
        <w:t>قانون الأطفال</w:t>
      </w:r>
      <w:r>
        <w:rPr>
          <w:rFonts w:hint="cs"/>
          <w:rtl/>
          <w:lang w:bidi="ar-EG"/>
        </w:rPr>
        <w:t xml:space="preserve"> إلى ضمان توفير قدر أكبر من الموارد للنساء والبنات اللائي يعشن في المناطق الريفية. ويقر </w:t>
      </w:r>
      <w:r>
        <w:rPr>
          <w:rFonts w:hint="cs"/>
          <w:i/>
          <w:iCs/>
          <w:rtl/>
          <w:lang w:bidi="ar-EG"/>
        </w:rPr>
        <w:t>قانون الأطفال</w:t>
      </w:r>
      <w:r>
        <w:rPr>
          <w:rFonts w:hint="cs"/>
          <w:rtl/>
          <w:lang w:bidi="ar-EG"/>
        </w:rPr>
        <w:t xml:space="preserve"> بحق الأطفال في الحصول على إعالة من أبويهما. بيد</w:t>
      </w:r>
      <w:r>
        <w:rPr>
          <w:rFonts w:hint="eastAsia"/>
          <w:rtl/>
          <w:lang w:bidi="ar-EG"/>
        </w:rPr>
        <w:t> </w:t>
      </w:r>
      <w:r>
        <w:rPr>
          <w:rFonts w:hint="cs"/>
          <w:rtl/>
          <w:lang w:bidi="ar-EG"/>
        </w:rPr>
        <w:t xml:space="preserve">أن هناك ثغرة في </w:t>
      </w:r>
      <w:r>
        <w:rPr>
          <w:rFonts w:hint="cs"/>
          <w:i/>
          <w:iCs/>
          <w:rtl/>
          <w:lang w:bidi="ar-EG"/>
        </w:rPr>
        <w:t>قانون الأطفال</w:t>
      </w:r>
      <w:r>
        <w:rPr>
          <w:rFonts w:hint="cs"/>
          <w:rtl/>
          <w:lang w:bidi="ar-EG"/>
        </w:rPr>
        <w:t xml:space="preserve"> حيث أن المرأ</w:t>
      </w:r>
      <w:r>
        <w:rPr>
          <w:rFonts w:hint="cs"/>
          <w:rtl/>
          <w:lang w:bidi="ar-EG"/>
        </w:rPr>
        <w:t xml:space="preserve">ة مسؤولة تلقائيا عن إعالة الأطفال المولودين خارج كنف الزوجية في حين لا يكون الرجل مسؤولا إلا بناء على طلب. ويحظر </w:t>
      </w:r>
      <w:r>
        <w:rPr>
          <w:rFonts w:hint="cs"/>
          <w:i/>
          <w:iCs/>
          <w:rtl/>
          <w:lang w:bidi="ar-EG"/>
        </w:rPr>
        <w:t>قانون الأطفال</w:t>
      </w:r>
      <w:r>
        <w:rPr>
          <w:rFonts w:hint="cs"/>
          <w:rtl/>
          <w:lang w:bidi="ar-EG"/>
        </w:rPr>
        <w:t xml:space="preserve"> أيضا زواج القاصرات القسري والمبكر.</w:t>
      </w:r>
    </w:p>
    <w:p w:rsidR="00000000" w:rsidRDefault="00D867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1 - تعريف التمييز ضد المرأة</w:t>
      </w:r>
    </w:p>
    <w:p w:rsidR="00000000" w:rsidRDefault="00D8679F">
      <w:pPr>
        <w:pStyle w:val="SingleTxt"/>
        <w:tabs>
          <w:tab w:val="clear" w:pos="2592"/>
          <w:tab w:val="left" w:pos="2228"/>
        </w:tabs>
        <w:jc w:val="both"/>
        <w:rPr>
          <w:rFonts w:hint="cs"/>
          <w:rtl/>
          <w:lang w:bidi="ar-EG"/>
        </w:rPr>
      </w:pPr>
      <w:r>
        <w:rPr>
          <w:rFonts w:hint="cs"/>
          <w:rtl/>
          <w:lang w:bidi="ar-EG"/>
        </w:rPr>
        <w:t>7 -</w:t>
      </w:r>
      <w:r>
        <w:rPr>
          <w:rFonts w:hint="cs"/>
          <w:rtl/>
          <w:lang w:bidi="ar-EG"/>
        </w:rPr>
        <w:tab/>
        <w:t xml:space="preserve">تعريف التمييز: لا يقدم القانون الكيني تعريفا للتمييز </w:t>
      </w:r>
      <w:r>
        <w:rPr>
          <w:rFonts w:hint="cs"/>
          <w:rtl/>
          <w:lang w:bidi="ar-EG"/>
        </w:rPr>
        <w:t>ضد المرأة يتمشى مع الاتفاقية. وكثير من أحكام الإتفاقية لم يدخل بعد مباشرة في القوانين الكينية. وتحظر المادة</w:t>
      </w:r>
      <w:r>
        <w:rPr>
          <w:rFonts w:hint="eastAsia"/>
          <w:rtl/>
          <w:lang w:bidi="ar-EG"/>
        </w:rPr>
        <w:t> </w:t>
      </w:r>
      <w:r>
        <w:rPr>
          <w:rFonts w:hint="cs"/>
          <w:rtl/>
          <w:lang w:bidi="ar-EG"/>
        </w:rPr>
        <w:t>82</w:t>
      </w:r>
      <w:r>
        <w:rPr>
          <w:rFonts w:hint="eastAsia"/>
          <w:rtl/>
          <w:lang w:bidi="ar-EG"/>
        </w:rPr>
        <w:t> </w:t>
      </w:r>
      <w:r>
        <w:rPr>
          <w:rFonts w:hint="cs"/>
          <w:rtl/>
          <w:lang w:bidi="ar-EG"/>
        </w:rPr>
        <w:t>(1</w:t>
      </w:r>
      <w:r>
        <w:rPr>
          <w:rFonts w:hint="eastAsia"/>
          <w:rtl/>
          <w:lang w:bidi="ar-EG"/>
        </w:rPr>
        <w:t> </w:t>
      </w:r>
      <w:r>
        <w:rPr>
          <w:rFonts w:hint="cs"/>
          <w:rtl/>
          <w:lang w:bidi="ar-EG"/>
        </w:rPr>
        <w:t>و</w:t>
      </w:r>
      <w:r>
        <w:rPr>
          <w:rFonts w:hint="eastAsia"/>
          <w:rtl/>
          <w:lang w:bidi="ar-EG"/>
        </w:rPr>
        <w:t> </w:t>
      </w:r>
      <w:r>
        <w:rPr>
          <w:rFonts w:hint="cs"/>
          <w:rtl/>
          <w:lang w:bidi="ar-EG"/>
        </w:rPr>
        <w:t xml:space="preserve">2) من دستور كينيا التمييز في القانون أو من جانب الأشخاص الذين يشغلون مناصب عامة. وتنص المادة 82 (1) على أنه </w:t>
      </w:r>
      <w:r>
        <w:rPr>
          <w:rFonts w:hint="eastAsia"/>
          <w:rtl/>
          <w:lang w:bidi="ar-EG"/>
        </w:rPr>
        <w:t>”</w:t>
      </w:r>
      <w:r>
        <w:rPr>
          <w:rFonts w:hint="cs"/>
          <w:rtl/>
          <w:lang w:bidi="ar-EG"/>
        </w:rPr>
        <w:t>لا</w:t>
      </w:r>
      <w:r>
        <w:rPr>
          <w:rFonts w:hint="eastAsia"/>
          <w:rtl/>
          <w:lang w:bidi="ar-EG"/>
        </w:rPr>
        <w:t> </w:t>
      </w:r>
      <w:r>
        <w:rPr>
          <w:rFonts w:hint="cs"/>
          <w:rtl/>
          <w:lang w:bidi="ar-EG"/>
        </w:rPr>
        <w:t>ينص أي قانون على أي</w:t>
      </w:r>
      <w:r>
        <w:rPr>
          <w:rFonts w:hint="cs"/>
          <w:b/>
          <w:bCs/>
          <w:rtl/>
          <w:lang w:bidi="ar-EG"/>
        </w:rPr>
        <w:t xml:space="preserve"> </w:t>
      </w:r>
      <w:r>
        <w:rPr>
          <w:rFonts w:hint="cs"/>
          <w:rtl/>
          <w:lang w:bidi="ar-EG"/>
        </w:rPr>
        <w:t>حكم يكون</w:t>
      </w:r>
      <w:r>
        <w:rPr>
          <w:rFonts w:hint="cs"/>
          <w:rtl/>
          <w:lang w:bidi="ar-EG"/>
        </w:rPr>
        <w:t xml:space="preserve"> تمييزيا سواء في حد ذاتها أو في أثره</w:t>
      </w:r>
      <w:r>
        <w:rPr>
          <w:rFonts w:hint="eastAsia"/>
          <w:rtl/>
          <w:lang w:bidi="ar-EG"/>
        </w:rPr>
        <w:t>“</w:t>
      </w:r>
      <w:r>
        <w:rPr>
          <w:rFonts w:hint="cs"/>
          <w:rtl/>
          <w:lang w:bidi="ar-EG"/>
        </w:rPr>
        <w:t>. وفي الوقت ذاته، تنص المادة 82</w:t>
      </w:r>
      <w:r>
        <w:rPr>
          <w:rFonts w:hint="eastAsia"/>
          <w:rtl/>
          <w:lang w:bidi="ar-EG"/>
        </w:rPr>
        <w:t> </w:t>
      </w:r>
      <w:r>
        <w:rPr>
          <w:rFonts w:hint="cs"/>
          <w:rtl/>
          <w:lang w:bidi="ar-EG"/>
        </w:rPr>
        <w:t>(2) على أنه:</w:t>
      </w:r>
    </w:p>
    <w:p w:rsidR="00000000" w:rsidRDefault="00D8679F">
      <w:pPr>
        <w:pStyle w:val="SingleTxt"/>
        <w:ind w:left="1930" w:hanging="663"/>
        <w:jc w:val="both"/>
        <w:rPr>
          <w:rFonts w:hint="cs"/>
          <w:rtl/>
          <w:lang w:bidi="ar-EG"/>
        </w:rPr>
      </w:pPr>
      <w:r>
        <w:rPr>
          <w:rFonts w:hint="cs"/>
          <w:rtl/>
          <w:lang w:bidi="ar-EG"/>
        </w:rPr>
        <w:tab/>
      </w:r>
      <w:r>
        <w:rPr>
          <w:rFonts w:hint="cs"/>
          <w:rtl/>
          <w:lang w:bidi="ar-EG"/>
        </w:rPr>
        <w:tab/>
      </w:r>
      <w:r>
        <w:rPr>
          <w:rFonts w:hint="eastAsia"/>
          <w:rtl/>
          <w:lang w:bidi="ar-EG"/>
        </w:rPr>
        <w:t xml:space="preserve">لا يعامل أي شخص على نحو </w:t>
      </w:r>
      <w:r>
        <w:rPr>
          <w:rFonts w:hint="cs"/>
          <w:rtl/>
          <w:lang w:bidi="ar-EG"/>
        </w:rPr>
        <w:t>تمييزي من جانب أي شخص يؤدي عمله بموجب أي قانون مكتوب أو أثناء أداء وظائف منصب عام أو سلطة</w:t>
      </w:r>
      <w:r>
        <w:rPr>
          <w:rFonts w:hint="eastAsia"/>
          <w:rtl/>
          <w:lang w:bidi="ar-EG"/>
        </w:rPr>
        <w:t> </w:t>
      </w:r>
      <w:r>
        <w:rPr>
          <w:rFonts w:hint="cs"/>
          <w:rtl/>
          <w:lang w:bidi="ar-EG"/>
        </w:rPr>
        <w:t>عامة.</w:t>
      </w:r>
    </w:p>
    <w:p w:rsidR="00000000" w:rsidRDefault="00D8679F">
      <w:pPr>
        <w:pStyle w:val="SingleTxt"/>
        <w:ind w:left="1930" w:hanging="663"/>
        <w:jc w:val="both"/>
        <w:rPr>
          <w:rFonts w:hint="cs"/>
          <w:rtl/>
          <w:lang w:bidi="ar-EG"/>
        </w:rPr>
      </w:pPr>
      <w:r>
        <w:rPr>
          <w:rFonts w:hint="cs"/>
          <w:rtl/>
          <w:lang w:bidi="ar-EG"/>
        </w:rPr>
        <w:t>8 -</w:t>
      </w:r>
      <w:r>
        <w:rPr>
          <w:rFonts w:hint="cs"/>
          <w:rtl/>
          <w:lang w:bidi="ar-EG"/>
        </w:rPr>
        <w:tab/>
        <w:t>وتُعرِّف المادة 82 (3) التمييز على أنه يشمل:</w:t>
      </w:r>
    </w:p>
    <w:p w:rsidR="00000000" w:rsidRDefault="00D8679F">
      <w:pPr>
        <w:pStyle w:val="SingleTxt"/>
        <w:ind w:left="1930" w:hanging="663"/>
        <w:jc w:val="both"/>
        <w:rPr>
          <w:rFonts w:hint="cs"/>
          <w:rtl/>
          <w:lang w:bidi="ar-EG"/>
        </w:rPr>
      </w:pPr>
      <w:r>
        <w:rPr>
          <w:rFonts w:hint="cs"/>
          <w:rtl/>
          <w:lang w:bidi="ar-EG"/>
        </w:rPr>
        <w:tab/>
      </w:r>
      <w:r>
        <w:rPr>
          <w:rFonts w:hint="cs"/>
          <w:rtl/>
          <w:lang w:bidi="ar-EG"/>
        </w:rPr>
        <w:tab/>
      </w:r>
      <w:r>
        <w:rPr>
          <w:rFonts w:hint="eastAsia"/>
          <w:rtl/>
          <w:lang w:bidi="ar-EG"/>
        </w:rPr>
        <w:t>م</w:t>
      </w:r>
      <w:r>
        <w:rPr>
          <w:rFonts w:hint="eastAsia"/>
          <w:rtl/>
          <w:lang w:bidi="ar-EG"/>
        </w:rPr>
        <w:t xml:space="preserve">عاملة الأشخاص المختلفين معاملة مختلفة يمكن </w:t>
      </w:r>
      <w:r>
        <w:rPr>
          <w:rFonts w:hint="cs"/>
          <w:rtl/>
          <w:lang w:bidi="ar-EG"/>
        </w:rPr>
        <w:t>أن تُعزى</w:t>
      </w:r>
      <w:r>
        <w:rPr>
          <w:rFonts w:hint="eastAsia"/>
          <w:rtl/>
          <w:lang w:bidi="ar-EG"/>
        </w:rPr>
        <w:t xml:space="preserve"> كليا </w:t>
      </w:r>
      <w:r>
        <w:rPr>
          <w:rFonts w:hint="cs"/>
          <w:rtl/>
          <w:lang w:bidi="ar-EG"/>
        </w:rPr>
        <w:t>أو في المقام الأول إلى أوصاف كل منهم حسب العرق، أو القبيلة، أو مكان المنشأة أو محل الإقامة أو الصلات المحلية الأخرى، أو الآراء السياسية، أو اللون، أو العقيدة أو الجنس التي يتعرض بمقتضاها الأشخاص الذي</w:t>
      </w:r>
      <w:r>
        <w:rPr>
          <w:rFonts w:hint="cs"/>
          <w:rtl/>
          <w:lang w:bidi="ar-EG"/>
        </w:rPr>
        <w:t>ن ينطبق عليهم أحد هذه الأوصاف لفقدان الأهلية أو لقيود لا يتعرض لها الأشخاص الذين تنطبق عليهم صفة أخرى أو</w:t>
      </w:r>
      <w:r>
        <w:rPr>
          <w:rFonts w:hint="eastAsia"/>
          <w:rtl/>
          <w:lang w:bidi="ar-EG"/>
        </w:rPr>
        <w:t> </w:t>
      </w:r>
      <w:r>
        <w:rPr>
          <w:rFonts w:hint="cs"/>
          <w:rtl/>
          <w:lang w:bidi="ar-EG"/>
        </w:rPr>
        <w:t>يمنحون امتيازات أو مزايا لا تمنح للأشخاص الذين تنطبق عليهم الصفة الأخرى.</w:t>
      </w:r>
    </w:p>
    <w:p w:rsidR="00000000" w:rsidRDefault="00D8679F">
      <w:pPr>
        <w:pStyle w:val="SingleTxt"/>
        <w:jc w:val="both"/>
        <w:rPr>
          <w:rFonts w:hint="cs"/>
          <w:rtl/>
          <w:lang w:bidi="ar-EG"/>
        </w:rPr>
      </w:pPr>
      <w:r>
        <w:rPr>
          <w:rFonts w:hint="cs"/>
          <w:rtl/>
          <w:lang w:bidi="ar-EG"/>
        </w:rPr>
        <w:t>9 -</w:t>
      </w:r>
      <w:r>
        <w:rPr>
          <w:rFonts w:hint="cs"/>
          <w:rtl/>
          <w:lang w:bidi="ar-EG"/>
        </w:rPr>
        <w:tab/>
        <w:t>الشروط الواجب توافرها لحظر التمييز على أساس الجنس: يخضع حظر التمييز لطائفة</w:t>
      </w:r>
      <w:r>
        <w:rPr>
          <w:rFonts w:hint="cs"/>
          <w:rtl/>
          <w:lang w:bidi="ar-EG"/>
        </w:rPr>
        <w:t xml:space="preserve"> من الإعفاءات. وفي كينيا، ليست القوانين تمييزية بموجب الدستور إذا كانت ذات صلة بمركز غير المواطنين</w:t>
      </w:r>
      <w:r>
        <w:rPr>
          <w:vertAlign w:val="superscript"/>
          <w:rtl/>
          <w:lang w:bidi="ar-EG"/>
        </w:rPr>
        <w:t>(</w:t>
      </w:r>
      <w:r>
        <w:rPr>
          <w:rStyle w:val="FootnoteReference"/>
          <w:rtl/>
        </w:rPr>
        <w:footnoteReference w:id="1"/>
      </w:r>
      <w:r>
        <w:rPr>
          <w:vertAlign w:val="superscript"/>
          <w:rtl/>
          <w:lang w:bidi="ar-EG"/>
        </w:rPr>
        <w:t>)</w:t>
      </w:r>
      <w:r>
        <w:rPr>
          <w:rFonts w:hint="cs"/>
          <w:rtl/>
          <w:lang w:bidi="ar-EG"/>
        </w:rPr>
        <w:t>، وتعلقت بمسائل القانون الشخصي والقانون العرفي، وفي قضايا</w:t>
      </w:r>
      <w:r>
        <w:rPr>
          <w:rFonts w:hint="eastAsia"/>
          <w:rtl/>
          <w:lang w:bidi="ar-EG"/>
        </w:rPr>
        <w:t> </w:t>
      </w:r>
      <w:r>
        <w:rPr>
          <w:rFonts w:hint="cs"/>
          <w:rtl/>
          <w:lang w:bidi="ar-EG"/>
        </w:rPr>
        <w:t>التبني، ودفن الموتى، والطلاق، والزواج والميراث. ونتيجة لذلك تسمح المادة</w:t>
      </w:r>
      <w:r>
        <w:rPr>
          <w:rFonts w:hint="eastAsia"/>
          <w:rtl/>
          <w:lang w:bidi="ar-EG"/>
        </w:rPr>
        <w:t> </w:t>
      </w:r>
      <w:r>
        <w:rPr>
          <w:rFonts w:hint="cs"/>
          <w:rtl/>
          <w:lang w:bidi="ar-EG"/>
        </w:rPr>
        <w:t>82</w:t>
      </w:r>
      <w:r>
        <w:rPr>
          <w:rFonts w:hint="eastAsia"/>
          <w:rtl/>
          <w:lang w:bidi="ar-EG"/>
        </w:rPr>
        <w:t> </w:t>
      </w:r>
      <w:r>
        <w:rPr>
          <w:rFonts w:hint="cs"/>
          <w:rtl/>
          <w:lang w:bidi="ar-EG"/>
        </w:rPr>
        <w:t>(4</w:t>
      </w:r>
      <w:r>
        <w:rPr>
          <w:rFonts w:hint="eastAsia"/>
          <w:rtl/>
          <w:lang w:bidi="ar-EG"/>
        </w:rPr>
        <w:t> </w:t>
      </w:r>
      <w:r>
        <w:rPr>
          <w:rFonts w:hint="cs"/>
          <w:rtl/>
          <w:lang w:bidi="ar-EG"/>
        </w:rPr>
        <w:t>(ب و ج)) من الدستور</w:t>
      </w:r>
      <w:r>
        <w:rPr>
          <w:rFonts w:hint="cs"/>
          <w:rtl/>
          <w:lang w:bidi="ar-EG"/>
        </w:rPr>
        <w:t xml:space="preserve"> بالتمييز ضد المرأة في مسائل القانون</w:t>
      </w:r>
      <w:r>
        <w:rPr>
          <w:rFonts w:hint="eastAsia"/>
          <w:rtl/>
          <w:lang w:bidi="ar-EG"/>
        </w:rPr>
        <w:t> </w:t>
      </w:r>
      <w:r>
        <w:rPr>
          <w:rFonts w:hint="cs"/>
          <w:rtl/>
          <w:lang w:bidi="ar-EG"/>
        </w:rPr>
        <w:t>الشخصي.</w:t>
      </w:r>
    </w:p>
    <w:p w:rsidR="00000000" w:rsidRDefault="00D8679F">
      <w:pPr>
        <w:pStyle w:val="SingleTxt"/>
        <w:jc w:val="both"/>
        <w:rPr>
          <w:rFonts w:hint="cs"/>
          <w:rtl/>
          <w:lang w:bidi="ar-EG"/>
        </w:rPr>
      </w:pPr>
      <w:r>
        <w:rPr>
          <w:rFonts w:hint="cs"/>
          <w:rtl/>
          <w:lang w:bidi="ar-EG"/>
        </w:rPr>
        <w:t>10 -</w:t>
      </w:r>
      <w:r>
        <w:rPr>
          <w:rFonts w:hint="cs"/>
          <w:rtl/>
          <w:lang w:bidi="ar-EG"/>
        </w:rPr>
        <w:tab/>
        <w:t xml:space="preserve">والقانون الشخصي يمثل مجال القانون الذي تعاني فيه المرأة من التمييز أكثر من غيره. وتتسبب الممارسات العرفية والحالة الاقتصادية في وقوع حوادث للتمييز. وتتعرض المرأة لطائفة واسعة من الممارسات التمييزية، تحد من </w:t>
      </w:r>
      <w:r>
        <w:rPr>
          <w:rFonts w:hint="cs"/>
          <w:rtl/>
          <w:lang w:bidi="ar-EG"/>
        </w:rPr>
        <w:t>حقوقها السياسية والاقتصادية. والمجال الذي تضر فيه معظم القوانين العرفية بالمرأة هو فيما يتعلق بحقوق الملكية والميراث. وطبقا للقانون العرفي لمعظم الجماعات الإثنية في كينيا، لا يمكن أن ترث المرأة الأرض، ويجب أن تعيش على الأرض بوصفها ضيفة على أقاربها الذكور ب</w:t>
      </w:r>
      <w:r>
        <w:rPr>
          <w:rFonts w:hint="cs"/>
          <w:rtl/>
          <w:lang w:bidi="ar-EG"/>
        </w:rPr>
        <w:t>الدم أو الزواج.</w:t>
      </w:r>
    </w:p>
    <w:p w:rsidR="00000000" w:rsidRDefault="00D8679F">
      <w:pPr>
        <w:pStyle w:val="SingleTxt"/>
        <w:tabs>
          <w:tab w:val="clear" w:pos="2592"/>
          <w:tab w:val="left" w:pos="2228"/>
        </w:tabs>
        <w:jc w:val="both"/>
        <w:rPr>
          <w:rFonts w:hint="cs"/>
          <w:rtl/>
          <w:lang w:bidi="ar-EG"/>
        </w:rPr>
      </w:pPr>
      <w:r>
        <w:rPr>
          <w:rFonts w:hint="cs"/>
          <w:rtl/>
          <w:lang w:bidi="ar-EG"/>
        </w:rPr>
        <w:t>11 -</w:t>
      </w:r>
      <w:r>
        <w:rPr>
          <w:rFonts w:hint="cs"/>
          <w:rtl/>
          <w:lang w:bidi="ar-EG"/>
        </w:rPr>
        <w:tab/>
        <w:t>وقد حاول قانون الوراثة (الفصل 160، قوانين كينيا) إصلاح هذه الاختلالات وينص القانون على تمتع البنات والبنين على حد سواء بحقوق متساوية في الميراث. بيد أن هذا القانون يخضع لعدة قيود:</w:t>
      </w:r>
    </w:p>
    <w:p w:rsidR="00000000" w:rsidRDefault="00D8679F">
      <w:pPr>
        <w:pStyle w:val="SingleTxt"/>
        <w:tabs>
          <w:tab w:val="clear" w:pos="2592"/>
          <w:tab w:val="left" w:pos="2228"/>
        </w:tabs>
        <w:ind w:left="2228" w:hanging="961"/>
        <w:jc w:val="both"/>
        <w:rPr>
          <w:rFonts w:hint="cs"/>
          <w:rtl/>
          <w:lang w:bidi="ar-EG"/>
        </w:rPr>
      </w:pPr>
      <w:r>
        <w:rPr>
          <w:rFonts w:hint="cs"/>
          <w:rtl/>
          <w:lang w:bidi="ar-EG"/>
        </w:rPr>
        <w:tab/>
        <w:t>•</w:t>
      </w:r>
      <w:r>
        <w:rPr>
          <w:rFonts w:hint="cs"/>
          <w:rtl/>
          <w:lang w:bidi="ar-EG"/>
        </w:rPr>
        <w:tab/>
        <w:t>لا ينطبق القانون على الممتلكات الزراعية في المناطق ا</w:t>
      </w:r>
      <w:r>
        <w:rPr>
          <w:rFonts w:hint="cs"/>
          <w:rtl/>
          <w:lang w:bidi="ar-EG"/>
        </w:rPr>
        <w:t>لتي ينشرها الوزير في الجريدة الرسمية، ولا سيما الأراضي المملوكة على المشاع وعلى سبيل المثال في مناطق الرعي. وهذا هو شكل الممتلكات التي يملكها معظم الكينيين. والنتيجة هي أنه إذا توفى فرد بدون وصية - أي بدون أن يكتب وصية - يسود القانون العرفي وكما جرت الإشار</w:t>
      </w:r>
      <w:r>
        <w:rPr>
          <w:rFonts w:hint="cs"/>
          <w:rtl/>
          <w:lang w:bidi="ar-EG"/>
        </w:rPr>
        <w:t>ة إليه لا تسمح معظم القوانين العرفية في كينيا للبنات والنساء بوراثة الممتلكات.</w:t>
      </w:r>
    </w:p>
    <w:p w:rsidR="00000000" w:rsidRDefault="00D8679F">
      <w:pPr>
        <w:pStyle w:val="SingleTxt"/>
        <w:tabs>
          <w:tab w:val="clear" w:pos="2592"/>
          <w:tab w:val="left" w:pos="2228"/>
        </w:tabs>
        <w:ind w:left="2228" w:hanging="961"/>
        <w:jc w:val="both"/>
        <w:rPr>
          <w:rFonts w:hint="cs"/>
          <w:rtl/>
          <w:lang w:bidi="ar-EG"/>
        </w:rPr>
      </w:pPr>
      <w:r>
        <w:rPr>
          <w:rFonts w:hint="cs"/>
          <w:rtl/>
          <w:lang w:bidi="ar-EG"/>
        </w:rPr>
        <w:tab/>
        <w:t>•</w:t>
      </w:r>
      <w:r>
        <w:rPr>
          <w:rFonts w:hint="cs"/>
          <w:rtl/>
          <w:lang w:bidi="ar-EG"/>
        </w:rPr>
        <w:tab/>
        <w:t>الأشخاص الذين يعتنقون الدين الإسلامي معفون من قانون الوراثة. بيد أنه يمكنهم تطبيق الشريعة الإسلامية التي لا تقسم حصصا متساوية من التركة على البنات والزوجات. ويقوم هذا على ركا</w:t>
      </w:r>
      <w:r>
        <w:rPr>
          <w:rFonts w:hint="cs"/>
          <w:rtl/>
          <w:lang w:bidi="ar-EG"/>
        </w:rPr>
        <w:t>ئز الشريعة الإسلامية التي تقتضي من الرجل أن يراعي شقيقته وعلى هذا الأساس تمنح الرجل كِفلين من الممتلكات التي يرثها عن الأب ويمنح الأرملة الثُمن.</w:t>
      </w:r>
    </w:p>
    <w:p w:rsidR="00000000" w:rsidRDefault="00D8679F">
      <w:pPr>
        <w:pStyle w:val="SingleTxt"/>
        <w:tabs>
          <w:tab w:val="clear" w:pos="2592"/>
          <w:tab w:val="left" w:pos="2228"/>
        </w:tabs>
        <w:ind w:left="2228" w:hanging="961"/>
        <w:jc w:val="both"/>
        <w:rPr>
          <w:rFonts w:hint="cs"/>
          <w:rtl/>
          <w:lang w:bidi="ar-EG"/>
        </w:rPr>
      </w:pPr>
      <w:r>
        <w:rPr>
          <w:rFonts w:hint="cs"/>
          <w:rtl/>
          <w:lang w:bidi="ar-EG"/>
        </w:rPr>
        <w:tab/>
        <w:t>•</w:t>
      </w:r>
      <w:r>
        <w:rPr>
          <w:rFonts w:hint="cs"/>
          <w:rtl/>
          <w:lang w:bidi="ar-EG"/>
        </w:rPr>
        <w:tab/>
        <w:t>لا تتمتع الأرملة بنفس حقوق الأرمل بموجب قانون الوراثة: وعلى سبيل المثال لا تتمتع الأرملة إلا بمنفعة مدى الحي</w:t>
      </w:r>
      <w:r>
        <w:rPr>
          <w:rFonts w:hint="cs"/>
          <w:rtl/>
          <w:lang w:bidi="ar-EG"/>
        </w:rPr>
        <w:t>اة في ممتلكات زوجها وتنقضي بالزواج من جديد في حين يستمر الأرمل في التمتع بحقوقه في ممتلكات زوجته المتوفاة بصرف النظر عما إذا كان قد تزوج من جديد أم لا.</w:t>
      </w:r>
    </w:p>
    <w:p w:rsidR="00000000" w:rsidRDefault="00D8679F">
      <w:pPr>
        <w:pStyle w:val="SingleTxt"/>
        <w:tabs>
          <w:tab w:val="clear" w:pos="2592"/>
          <w:tab w:val="left" w:pos="2228"/>
        </w:tabs>
        <w:ind w:left="2228" w:hanging="961"/>
        <w:jc w:val="both"/>
        <w:rPr>
          <w:rFonts w:hint="cs"/>
          <w:rtl/>
          <w:lang w:bidi="ar-EG"/>
        </w:rPr>
      </w:pPr>
      <w:r>
        <w:rPr>
          <w:rFonts w:hint="cs"/>
          <w:rtl/>
          <w:lang w:bidi="ar-EG"/>
        </w:rPr>
        <w:tab/>
        <w:t>•</w:t>
      </w:r>
      <w:r>
        <w:rPr>
          <w:rFonts w:hint="cs"/>
          <w:rtl/>
          <w:lang w:bidi="ar-EG"/>
        </w:rPr>
        <w:tab/>
        <w:t xml:space="preserve">في حالة وفاة شخص راشد غير متزوج بدون نسل وبدون وصية، ينص قانون الوراثة على أن والد المتوفى يرث الأرض </w:t>
      </w:r>
      <w:r>
        <w:rPr>
          <w:rFonts w:hint="cs"/>
          <w:rtl/>
          <w:lang w:bidi="ar-EG"/>
        </w:rPr>
        <w:t>أولا وقبل كل شيء، ثم الأم، ثم الأخ أو الأخت. ومن الواضح أن هذا النظام الهرمي يميِّز الأب على الأم.</w:t>
      </w:r>
    </w:p>
    <w:p w:rsidR="00000000" w:rsidRDefault="00D8679F">
      <w:pPr>
        <w:pStyle w:val="SingleTxt"/>
        <w:tabs>
          <w:tab w:val="clear" w:pos="2592"/>
          <w:tab w:val="left" w:pos="2228"/>
        </w:tabs>
        <w:jc w:val="both"/>
        <w:rPr>
          <w:rFonts w:hint="cs"/>
          <w:rtl/>
          <w:lang w:bidi="ar-EG"/>
        </w:rPr>
      </w:pPr>
      <w:r>
        <w:rPr>
          <w:rFonts w:hint="cs"/>
          <w:rtl/>
          <w:lang w:bidi="ar-EG"/>
        </w:rPr>
        <w:t>12 -</w:t>
      </w:r>
      <w:r>
        <w:rPr>
          <w:rFonts w:hint="cs"/>
          <w:rtl/>
          <w:lang w:bidi="ar-EG"/>
        </w:rPr>
        <w:tab/>
        <w:t>وقد طبق القضاء مبدأ المساواة في الميراث على النحو المنصوص عليه في قانون الوراثة وفي تقسيم ممتلكات الزوجية في عدد من الحالات. والقرارات الصادرة عن المحاك</w:t>
      </w:r>
      <w:r>
        <w:rPr>
          <w:rFonts w:hint="cs"/>
          <w:rtl/>
          <w:lang w:bidi="ar-EG"/>
        </w:rPr>
        <w:t>م في الآونة الأخيرة توضح الطريقة التي يفسر بها النظام القانوني الكيني المساواة والتمييز.</w:t>
      </w:r>
    </w:p>
    <w:p w:rsidR="00000000" w:rsidRDefault="00D8679F">
      <w:pPr>
        <w:pStyle w:val="SingleTxt"/>
        <w:jc w:val="both"/>
        <w:rPr>
          <w:rFonts w:hint="cs"/>
          <w:rtl/>
          <w:lang w:bidi="ar-EG"/>
        </w:rPr>
      </w:pPr>
      <w:r>
        <w:rPr>
          <w:rFonts w:hint="cs"/>
          <w:rtl/>
          <w:lang w:bidi="ar-EG"/>
        </w:rPr>
        <w:t>13 -</w:t>
      </w:r>
      <w:r>
        <w:rPr>
          <w:rFonts w:hint="cs"/>
          <w:rtl/>
          <w:lang w:bidi="ar-EG"/>
        </w:rPr>
        <w:tab/>
        <w:t xml:space="preserve">وفي قرارات محكمة استئناف كينيا 241 الصادرة في قضية كيفويتو - ضد - كيفويتو (1992)، حددت محكمة الاستئناف فئات المساهمة التي يمكن أن توضح المرأة التي تطالب بممتلكات </w:t>
      </w:r>
      <w:r>
        <w:rPr>
          <w:rFonts w:hint="cs"/>
          <w:rtl/>
          <w:lang w:bidi="ar-EG"/>
        </w:rPr>
        <w:t>مسجلة باسم زوجها أنها قد قدمتها. وأشكال المساهمة المعترف بها تشمل: المساهمة المالية التي يمكن أن تكون بأشكال مباشرة أو غير مباشرة وكذلك المساهمة غير المالية التي يمكن أن تأخذ أشكالا مثل رعاية الأسرة في المنزل أو فلاحة الأرض الزراعية الريفية عندما يقتني الز</w:t>
      </w:r>
      <w:r>
        <w:rPr>
          <w:rFonts w:hint="cs"/>
          <w:rtl/>
          <w:lang w:bidi="ar-EG"/>
        </w:rPr>
        <w:t>وج ممتلكات في المراكز الحضرية (وهذا نمط شائع في كينيا). وفي قضية موثيمبوا - ضد - موثيمبوا</w:t>
      </w:r>
      <w:r>
        <w:rPr>
          <w:vertAlign w:val="superscript"/>
          <w:rtl/>
          <w:lang w:bidi="ar-EG"/>
        </w:rPr>
        <w:t>(</w:t>
      </w:r>
      <w:r>
        <w:rPr>
          <w:rStyle w:val="FootnoteReference"/>
          <w:rtl/>
        </w:rPr>
        <w:footnoteReference w:id="2"/>
      </w:r>
      <w:r>
        <w:rPr>
          <w:vertAlign w:val="superscript"/>
          <w:rtl/>
          <w:lang w:bidi="ar-EG"/>
        </w:rPr>
        <w:t>)</w:t>
      </w:r>
      <w:r>
        <w:rPr>
          <w:rFonts w:hint="cs"/>
          <w:rtl/>
          <w:lang w:bidi="ar-EG"/>
        </w:rPr>
        <w:t>، أخذت محكمة الاستئناف الكينية مسألة تحديد ممتلكات الزوجية إلى مستوى آخر بتقرير أنه يحق للزوجة أن تكون لها حصة في الممتلكات المقدمة على سبيل الهبة أو الموروثة إذا ك</w:t>
      </w:r>
      <w:r>
        <w:rPr>
          <w:rFonts w:hint="cs"/>
          <w:rtl/>
          <w:lang w:bidi="ar-EG"/>
        </w:rPr>
        <w:t>انت قد أسهمت في تنميتها. وجرت الاستفاضة في شرح المبادئ المنصوص عليها في هذه الحالات وذلك في الحالات المـُبلغ عنها مؤخرا في إطار المادتين 15 و 16 في الفقرات 168-210 أدناه.</w:t>
      </w:r>
    </w:p>
    <w:p w:rsidR="00000000" w:rsidRDefault="00D8679F">
      <w:pPr>
        <w:pStyle w:val="SingleTxt"/>
        <w:jc w:val="both"/>
        <w:rPr>
          <w:rFonts w:hint="cs"/>
          <w:rtl/>
          <w:lang w:bidi="ar-EG"/>
        </w:rPr>
      </w:pPr>
      <w:r>
        <w:rPr>
          <w:rFonts w:hint="cs"/>
          <w:rtl/>
          <w:lang w:bidi="ar-EG"/>
        </w:rPr>
        <w:t>14 -</w:t>
      </w:r>
      <w:r>
        <w:rPr>
          <w:rFonts w:hint="cs"/>
          <w:rtl/>
          <w:lang w:bidi="ar-EG"/>
        </w:rPr>
        <w:tab/>
        <w:t>قوانين المواطنة: في حين تسمح المادتان 90 و 19 من الدستور للرجل الكيني بمنح الموا</w:t>
      </w:r>
      <w:r>
        <w:rPr>
          <w:rFonts w:hint="cs"/>
          <w:rtl/>
          <w:lang w:bidi="ar-EG"/>
        </w:rPr>
        <w:t xml:space="preserve">طنة لزوجاته وأطفاله، لا تتمتع المرأة بنفس الحق. </w:t>
      </w:r>
      <w:r>
        <w:rPr>
          <w:rFonts w:hint="cs"/>
          <w:i/>
          <w:iCs/>
          <w:rtl/>
          <w:lang w:bidi="ar-EG"/>
        </w:rPr>
        <w:t>والدستور الكيني وقانون</w:t>
      </w:r>
      <w:r>
        <w:rPr>
          <w:rFonts w:hint="cs"/>
          <w:rtl/>
          <w:lang w:bidi="ar-EG"/>
        </w:rPr>
        <w:t xml:space="preserve"> </w:t>
      </w:r>
      <w:r>
        <w:rPr>
          <w:rFonts w:hint="cs"/>
          <w:i/>
          <w:iCs/>
          <w:rtl/>
          <w:lang w:bidi="ar-EG"/>
        </w:rPr>
        <w:t>جنسية كينيا، المجلد 70 من قوانين كينيا</w:t>
      </w:r>
      <w:r>
        <w:rPr>
          <w:rFonts w:hint="cs"/>
          <w:rtl/>
          <w:lang w:bidi="ar-EG"/>
        </w:rPr>
        <w:t>، يميزان ضد الأطفال المولودين لأم كينية في الخارج ولكنه لا يميز ضد الأطفال المولودين لأب كيني مولود في الخارج. ويتعين على الأطفال المولودين لأم كين</w:t>
      </w:r>
      <w:r>
        <w:rPr>
          <w:rFonts w:hint="cs"/>
          <w:rtl/>
          <w:lang w:bidi="ar-EG"/>
        </w:rPr>
        <w:t>ية في الخارج طلب المواطنة ويمنحون تصاريح دخول لفترة زمنية محدودة عند الدخول في كينيا، في حين لا تُمنح معاملة مماثلة لأطفال الأب الكيني المولودين لأم غير كينية.</w:t>
      </w:r>
    </w:p>
    <w:p w:rsidR="00000000" w:rsidRDefault="00D8679F">
      <w:pPr>
        <w:pStyle w:val="SingleTxt"/>
        <w:jc w:val="both"/>
        <w:rPr>
          <w:rFonts w:hint="cs"/>
          <w:rtl/>
          <w:lang w:bidi="ar-EG"/>
        </w:rPr>
      </w:pPr>
      <w:r>
        <w:rPr>
          <w:rFonts w:hint="cs"/>
          <w:rtl/>
          <w:lang w:bidi="ar-EG"/>
        </w:rPr>
        <w:t>15 -</w:t>
      </w:r>
      <w:r>
        <w:rPr>
          <w:rFonts w:hint="cs"/>
          <w:rtl/>
          <w:lang w:bidi="ar-EG"/>
        </w:rPr>
        <w:tab/>
        <w:t>التدابير التي يجري اتخاذها لمعالجة التمييز: إن معظم المسائل المثارة فيما يتعلق بالتمييز الق</w:t>
      </w:r>
      <w:r>
        <w:rPr>
          <w:rFonts w:hint="cs"/>
          <w:rtl/>
          <w:lang w:bidi="ar-EG"/>
        </w:rPr>
        <w:t xml:space="preserve">ائم على القانون ممتدة الجذور في التمييز الدستوري. وبعد أن اعترفت الحكومة بهذه الحقيقة، شرعت في عام 1998 في إجراء عملية استعراض دستورية، تتوجت بدستور كينيا الجديد المقترح الذي طبع في الثاني والعشرين من آب/أغسطس عام 2005. وإحدى القضايا التي تطلبت أن تعالجها </w:t>
      </w:r>
      <w:r>
        <w:rPr>
          <w:rFonts w:hint="cs"/>
          <w:rtl/>
          <w:lang w:bidi="ar-EG"/>
        </w:rPr>
        <w:t xml:space="preserve">عملية الإستعراض هذه  تمثلت في قضية التمييز القائم على نوع الجنس. وتضمن الدستور الجديد المقترح تعريفا للتمييز كان متمشيا مع المادة 1 من اتفاقية القضاء على جميع أشكال التمييز ضد المرأة وتضمن مبادئ مثالية في الاتفاقية بشأن المساواة بين الجنسين، ولا سيما فيما </w:t>
      </w:r>
      <w:r>
        <w:rPr>
          <w:rFonts w:hint="cs"/>
          <w:rtl/>
          <w:lang w:bidi="ar-EG"/>
        </w:rPr>
        <w:t>يتعلق بمبدأ العمل الإيجابي بالنسبة للأشخاص الذين يشغلون مناصب عامة وأعضاء البرلمان. بيد أن الدستور الجديد المقترح طُرح في استفتاء وطني عام في 21 تشرين الثاني/نوفمبر عام 2005 ورفضه الجمهور الكيني. ولذلك ما زالت كينيا تواجه التحدي المتمثل في كيفية معالجة هذه</w:t>
      </w:r>
      <w:r>
        <w:rPr>
          <w:rFonts w:hint="cs"/>
          <w:rtl/>
          <w:lang w:bidi="ar-EG"/>
        </w:rPr>
        <w:t xml:space="preserve"> القضايا المتعلقة بالتمييز على أساس نوع الجنس الممتدة الجذور في التمييز الدستوري.</w:t>
      </w:r>
    </w:p>
    <w:p w:rsidR="00000000" w:rsidRDefault="00D8679F">
      <w:pPr>
        <w:pStyle w:val="SingleTxt"/>
        <w:jc w:val="both"/>
        <w:rPr>
          <w:rFonts w:hint="cs"/>
          <w:rtl/>
          <w:lang w:bidi="ar-EG"/>
        </w:rPr>
      </w:pPr>
      <w:r>
        <w:rPr>
          <w:rFonts w:hint="cs"/>
          <w:rtl/>
          <w:lang w:bidi="ar-EG"/>
        </w:rPr>
        <w:t>16 -</w:t>
      </w:r>
      <w:r>
        <w:rPr>
          <w:rFonts w:hint="cs"/>
          <w:rtl/>
          <w:lang w:bidi="ar-EG"/>
        </w:rPr>
        <w:tab/>
        <w:t>وفي قرار تاريخي أصدرته محكمة الاستئناف المنعقدة في إلدوريت، استشهدت المحكمة بالمادة 1 من اتفاقية القضاء على جميع أشكال التمييز ضد المرأة في قرار لتبرير منح بنات رجل متعد</w:t>
      </w:r>
      <w:r>
        <w:rPr>
          <w:rFonts w:hint="cs"/>
          <w:rtl/>
          <w:lang w:bidi="ar-EG"/>
        </w:rPr>
        <w:t xml:space="preserve">د الزوجات (متزوج طبقا للقانون العرفي) توفى بدون وصية أنصبة متساوية في ممتلكاته. وهذا القرار الصادر في قضية ماري رونو </w:t>
      </w:r>
      <w:r>
        <w:rPr>
          <w:rtl/>
          <w:lang w:bidi="ar-EG"/>
        </w:rPr>
        <w:t>–</w:t>
      </w:r>
      <w:r>
        <w:rPr>
          <w:rFonts w:hint="cs"/>
          <w:rtl/>
          <w:lang w:bidi="ar-EG"/>
        </w:rPr>
        <w:t xml:space="preserve"> ضد </w:t>
      </w:r>
      <w:r>
        <w:rPr>
          <w:rtl/>
          <w:lang w:bidi="ar-EG"/>
        </w:rPr>
        <w:t>–</w:t>
      </w:r>
      <w:r>
        <w:rPr>
          <w:rFonts w:hint="cs"/>
          <w:rtl/>
          <w:lang w:bidi="ar-EG"/>
        </w:rPr>
        <w:t xml:space="preserve"> جين رونو ووليام رونو [الاستئناف المدني رقم 66 لعام 2002]، فتح آفاقا جديدة لحقوق المرأة في كينيا في مجال كان موضوع جدال شديد للغاية. </w:t>
      </w:r>
      <w:r>
        <w:rPr>
          <w:rFonts w:hint="cs"/>
          <w:rtl/>
          <w:lang w:bidi="ar-EG"/>
        </w:rPr>
        <w:t>والاستشهاد بالمادة 1 من الاتفاقية وكذلك المادة 18 من الميثاق الأفريقي لحقوق الإنسان والشعوب أورد ما</w:t>
      </w:r>
      <w:r>
        <w:rPr>
          <w:rFonts w:hint="eastAsia"/>
          <w:rtl/>
          <w:lang w:bidi="ar-EG"/>
        </w:rPr>
        <w:t> </w:t>
      </w:r>
      <w:r>
        <w:rPr>
          <w:rFonts w:hint="cs"/>
          <w:rtl/>
          <w:lang w:bidi="ar-EG"/>
        </w:rPr>
        <w:t>يلي:</w:t>
      </w:r>
    </w:p>
    <w:p w:rsidR="00000000" w:rsidRDefault="00D8679F">
      <w:pPr>
        <w:pStyle w:val="SingleTxt"/>
        <w:ind w:left="1930" w:hanging="663"/>
        <w:jc w:val="both"/>
        <w:rPr>
          <w:rFonts w:hint="cs"/>
          <w:rtl/>
          <w:lang w:bidi="ar-EG"/>
        </w:rPr>
      </w:pPr>
      <w:r>
        <w:rPr>
          <w:rFonts w:hint="cs"/>
          <w:rtl/>
          <w:lang w:bidi="ar-EG"/>
        </w:rPr>
        <w:tab/>
      </w:r>
      <w:r>
        <w:rPr>
          <w:rFonts w:hint="cs"/>
          <w:rtl/>
          <w:lang w:bidi="ar-EG"/>
        </w:rPr>
        <w:tab/>
        <w:t xml:space="preserve">... [بوصفها] عضوا في المجتمع الدولي، تؤيد كينيا القانون العرفي الدولي وقد صدقت على عهود ومعاهدات دولية مختلفة... وفي عام 1994، صدقت أيضا، بدون تحفظ، </w:t>
      </w:r>
      <w:r>
        <w:rPr>
          <w:rFonts w:hint="cs"/>
          <w:rtl/>
          <w:lang w:bidi="ar-EG"/>
        </w:rPr>
        <w:t>على اتفاقية القضاء على جميع أشكال التمييز ضد المرأة. والمادة 1 منها تعرف التمييز ضد المرأة...</w:t>
      </w:r>
    </w:p>
    <w:p w:rsidR="00000000" w:rsidRDefault="00D8679F">
      <w:pPr>
        <w:pStyle w:val="SingleTxt"/>
        <w:jc w:val="both"/>
        <w:rPr>
          <w:rFonts w:hint="cs"/>
          <w:rtl/>
          <w:lang w:bidi="ar-EG"/>
        </w:rPr>
      </w:pPr>
      <w:r>
        <w:rPr>
          <w:rFonts w:hint="cs"/>
          <w:rtl/>
          <w:lang w:bidi="ar-EG"/>
        </w:rPr>
        <w:t>17 -</w:t>
      </w:r>
      <w:r>
        <w:rPr>
          <w:rFonts w:hint="cs"/>
          <w:rtl/>
          <w:lang w:bidi="ar-EG"/>
        </w:rPr>
        <w:tab/>
        <w:t>وفي عام 1999، قامت الحكومة إلى جانب ممثلي المجتمع المدني بصياغة مشروع قانون المساواة. وتمثل هدفه في وضع نصوص للمعاملة المتساوية لجميع المواطنين بصرف النظر عن</w:t>
      </w:r>
      <w:r>
        <w:rPr>
          <w:rFonts w:hint="cs"/>
          <w:rtl/>
          <w:lang w:bidi="ar-EG"/>
        </w:rPr>
        <w:t xml:space="preserve"> نوع جنسهم وإنهاء جميع أشكال التمييز. بيد أن مشروع القانون انقضت مدة عرضه قبل إمكان مناقشته. وأحد التحديات التي ووجهت في هذا الصدد تمثلت في معدل سرعة سن التشريعات عن طريق برلمان كينيا. وفي العادة لا يصدر إلا حوالي 10 مشاريع قوانين جديدة في شكل قانون في الس</w:t>
      </w:r>
      <w:r>
        <w:rPr>
          <w:rFonts w:hint="cs"/>
          <w:rtl/>
          <w:lang w:bidi="ar-EG"/>
        </w:rPr>
        <w:t>نة البرلمانية وتوجد حاليا أعمال متراكمة تربو على</w:t>
      </w:r>
      <w:r>
        <w:rPr>
          <w:rFonts w:hint="eastAsia"/>
          <w:rtl/>
          <w:lang w:bidi="ar-EG"/>
        </w:rPr>
        <w:t> </w:t>
      </w:r>
      <w:r>
        <w:rPr>
          <w:rFonts w:hint="cs"/>
          <w:rtl/>
          <w:lang w:bidi="ar-EG"/>
        </w:rPr>
        <w:t>50</w:t>
      </w:r>
      <w:r>
        <w:rPr>
          <w:rFonts w:hint="eastAsia"/>
          <w:rtl/>
          <w:lang w:bidi="ar-EG"/>
        </w:rPr>
        <w:t> </w:t>
      </w:r>
      <w:r>
        <w:rPr>
          <w:rFonts w:hint="cs"/>
          <w:rtl/>
          <w:lang w:bidi="ar-EG"/>
        </w:rPr>
        <w:t>مشروع قانون قيد النظر. وزاد تفاقم هذه الحاجة في عام 2005، بانشغال البرلمان بمسألة الدستور الجديد.</w:t>
      </w:r>
    </w:p>
    <w:p w:rsidR="00000000" w:rsidRDefault="00D8679F">
      <w:pPr>
        <w:pStyle w:val="SingleTxt"/>
        <w:jc w:val="both"/>
        <w:rPr>
          <w:rFonts w:hint="cs"/>
          <w:rtl/>
          <w:lang w:bidi="ar-EG"/>
        </w:rPr>
      </w:pPr>
      <w:r>
        <w:rPr>
          <w:rFonts w:hint="cs"/>
          <w:rtl/>
          <w:lang w:bidi="ar-EG"/>
        </w:rPr>
        <w:t>18 -</w:t>
      </w:r>
      <w:r>
        <w:rPr>
          <w:rFonts w:hint="cs"/>
          <w:rtl/>
          <w:lang w:bidi="ar-EG"/>
        </w:rPr>
        <w:tab/>
        <w:t>الآلية الوطنية لتعزيز المساواة بين الجنسين: وضعت الحكومة سياسة وطنية متعلقة بالمساواة بين الجنسين وال</w:t>
      </w:r>
      <w:r>
        <w:rPr>
          <w:rFonts w:hint="cs"/>
          <w:rtl/>
          <w:lang w:bidi="ar-EG"/>
        </w:rPr>
        <w:t>تنمية. وهذه السياسة تمكن الحكومة من معالجة القضايا الجنسانية بصورة استراتيجية عن طريق إطار عمل مؤسسي راسخ. والحكومة بسبيل وضع خطة عمل لتنفيذ السياسة الجنسانية.</w:t>
      </w:r>
    </w:p>
    <w:p w:rsidR="00000000" w:rsidRDefault="00D8679F">
      <w:pPr>
        <w:pStyle w:val="SingleTxt"/>
        <w:jc w:val="both"/>
        <w:rPr>
          <w:rFonts w:hint="cs"/>
          <w:rtl/>
          <w:lang w:bidi="ar-EG"/>
        </w:rPr>
      </w:pPr>
      <w:r>
        <w:rPr>
          <w:rFonts w:hint="cs"/>
          <w:rtl/>
          <w:lang w:bidi="ar-EG"/>
        </w:rPr>
        <w:t>19 -</w:t>
      </w:r>
      <w:r>
        <w:rPr>
          <w:rFonts w:hint="cs"/>
          <w:rtl/>
          <w:lang w:bidi="ar-EG"/>
        </w:rPr>
        <w:tab/>
        <w:t>وشهدت أيضا الآلية الوطنية لتعزيز المساواة بين الجنسين تحسنا كبيرا بإنشاء اللجنة الوطنية الم</w:t>
      </w:r>
      <w:r>
        <w:rPr>
          <w:rFonts w:hint="cs"/>
          <w:rtl/>
          <w:lang w:bidi="ar-EG"/>
        </w:rPr>
        <w:t xml:space="preserve">عنية بالمساواة بين الجنسين والتنمية بموجب قانون اللجنة الوطنية المعنية بالمساواة بين الجنسين والتنمية لعام 2003. واللجنة مكلفة بحماية حقوق المرأة وتنادي بإجراء إصلاحات قانونية في المسائل التي تمس المرأة وتقوم بصياغة القوانين والممارسات والسياسات التي تقضي </w:t>
      </w:r>
      <w:r>
        <w:rPr>
          <w:rFonts w:hint="cs"/>
          <w:rtl/>
          <w:lang w:bidi="ar-EG"/>
        </w:rPr>
        <w:t>على جميع أشكال التمييز ضد المرأة وجميع التقاليد التي تضر بكرامتها.</w:t>
      </w:r>
    </w:p>
    <w:p w:rsidR="00000000" w:rsidRDefault="00D8679F">
      <w:pPr>
        <w:pStyle w:val="SingleTxt"/>
        <w:jc w:val="both"/>
        <w:rPr>
          <w:rFonts w:hint="cs"/>
          <w:rtl/>
          <w:lang w:bidi="ar-EG"/>
        </w:rPr>
      </w:pPr>
      <w:r>
        <w:rPr>
          <w:rFonts w:hint="cs"/>
          <w:rtl/>
          <w:lang w:bidi="ar-EG"/>
        </w:rPr>
        <w:t>20 -</w:t>
      </w:r>
      <w:r>
        <w:rPr>
          <w:rFonts w:hint="cs"/>
          <w:rtl/>
          <w:lang w:bidi="ar-EG"/>
        </w:rPr>
        <w:tab/>
        <w:t>والمبادرات الأخرى التي ستؤدي إلى تسهيل تحقيق المساواة بين الجنسين تتمثل في الخطط التي تضعها الحكومة لإنشاء شُعب معنية بالجنسين في الوزارات التنفيذية في الحكومة. والصلاحيات التي ستسترشد</w:t>
      </w:r>
      <w:r>
        <w:rPr>
          <w:rFonts w:hint="cs"/>
          <w:rtl/>
          <w:lang w:bidi="ar-EG"/>
        </w:rPr>
        <w:t xml:space="preserve"> عمليات الشُعب يجري وضعها في صورتها النهائية. ومن المتوقع أنه بمجرد تهيئة هذه الشعب للعمل، فإنها ستقطع شوطا بعيدا في تحسين المساواة بين الجنسين بكفالة أن تكون جميع السياسات والخطط والبرامج مستجيبة لاحتياجات الجنسين.</w:t>
      </w:r>
    </w:p>
    <w:p w:rsidR="00000000" w:rsidRDefault="00D8679F">
      <w:pPr>
        <w:pStyle w:val="SingleTxt"/>
        <w:jc w:val="both"/>
        <w:rPr>
          <w:rFonts w:hint="cs"/>
          <w:rtl/>
          <w:lang w:bidi="ar-EG"/>
        </w:rPr>
      </w:pPr>
      <w:r>
        <w:rPr>
          <w:rFonts w:hint="cs"/>
          <w:rtl/>
          <w:lang w:bidi="ar-EG"/>
        </w:rPr>
        <w:t>21 -</w:t>
      </w:r>
      <w:r>
        <w:rPr>
          <w:rFonts w:hint="cs"/>
          <w:rtl/>
          <w:lang w:bidi="ar-EG"/>
        </w:rPr>
        <w:tab/>
        <w:t>والحكومة مستمرة في التعاون مع المنظ</w:t>
      </w:r>
      <w:r>
        <w:rPr>
          <w:rFonts w:hint="cs"/>
          <w:rtl/>
          <w:lang w:bidi="ar-EG"/>
        </w:rPr>
        <w:t>مات غير الحكومية التي تتناول قضايا الجنسين والتمييز ضد المرأة. ومجالات التعاون تشمل تدريب ضباط الشرطة على المساواة بين الجنسين، والتعامل مع ضحايا الاغتصاب والعنف الجنسي، والنزاهة وآداب المهنة. ومن المتوقع أن يمكن هذا التدريب الضباط من تناول حالات العنف الق</w:t>
      </w:r>
      <w:r>
        <w:rPr>
          <w:rFonts w:hint="cs"/>
          <w:rtl/>
          <w:lang w:bidi="ar-EG"/>
        </w:rPr>
        <w:t>ائم على نوع الجنس على نحو أفضل.</w:t>
      </w:r>
    </w:p>
    <w:p w:rsidR="00000000" w:rsidRDefault="00D8679F">
      <w:pPr>
        <w:pStyle w:val="SingleTxt"/>
        <w:jc w:val="both"/>
        <w:rPr>
          <w:rFonts w:hint="cs"/>
          <w:rtl/>
          <w:lang w:bidi="ar-EG"/>
        </w:rPr>
      </w:pPr>
      <w:r>
        <w:rPr>
          <w:rFonts w:hint="cs"/>
          <w:rtl/>
          <w:lang w:bidi="ar-EG"/>
        </w:rPr>
        <w:t>22 -</w:t>
      </w:r>
      <w:r>
        <w:rPr>
          <w:rFonts w:hint="cs"/>
          <w:rtl/>
          <w:lang w:bidi="ar-EG"/>
        </w:rPr>
        <w:tab/>
        <w:t>ولسوء الحظ، أخذ العنف القائم على نوع الجنس في التزايد حيث ارتفع عدد حالات الاغتصاب ومحاولة الاغتصاب المُبلغ عنها من 675 1 حالة في عام 2000 إلى 908 2 حالات في عام 2004 في حين ارتفع عدد حالات التعدي والضرب من 255 6 حالة ف</w:t>
      </w:r>
      <w:r>
        <w:rPr>
          <w:rFonts w:hint="cs"/>
          <w:rtl/>
          <w:lang w:bidi="ar-EG"/>
        </w:rPr>
        <w:t xml:space="preserve">ي عام 2000 إلى 959 8 حالة في عام 2004. ولم يتم التأكد بعد مما إذا كانت هذه الزيادة تعزى إلى زيادة في معدل حدوث العنف أو زيادة في الإبلاغ عن العنف. ومن الجدير بالذكر أن الحكومة أنشأت أول مركز شرطة في نيروبي للتعامل على وجه التحديد مع النساء والأطفال وبخاصة </w:t>
      </w:r>
      <w:r>
        <w:rPr>
          <w:rFonts w:hint="cs"/>
          <w:rtl/>
          <w:lang w:bidi="ar-EG"/>
        </w:rPr>
        <w:t>في قضايا العنف. وإضافة إلى ذلك، أنشأت مكاتب معنية بقضايا الجنسين في كل مركز شرطة في المنطقة حيث يجري تشجيع ضحايا العنف بين الجنسين للإبلاغ مع ضمان تلقي معاملة مهنية من الشرطة التي زُوِّدت بها هذه المكاتب.</w:t>
      </w:r>
    </w:p>
    <w:p w:rsidR="00000000" w:rsidRDefault="00D8679F">
      <w:pPr>
        <w:pStyle w:val="SingleTxt"/>
        <w:jc w:val="both"/>
        <w:rPr>
          <w:rFonts w:hint="cs"/>
          <w:rtl/>
          <w:lang w:bidi="ar-EG"/>
        </w:rPr>
      </w:pPr>
      <w:r>
        <w:rPr>
          <w:rFonts w:hint="cs"/>
          <w:rtl/>
          <w:lang w:bidi="ar-EG"/>
        </w:rPr>
        <w:t>23 -</w:t>
      </w:r>
      <w:r>
        <w:rPr>
          <w:rFonts w:hint="cs"/>
          <w:rtl/>
          <w:lang w:bidi="ar-EG"/>
        </w:rPr>
        <w:tab/>
        <w:t>العنف بين الجنسين: لا توجد قوانين يخضع لها الع</w:t>
      </w:r>
      <w:r>
        <w:rPr>
          <w:rFonts w:hint="cs"/>
          <w:rtl/>
          <w:lang w:bidi="ar-EG"/>
        </w:rPr>
        <w:t>نف ضد المرأة على وجه التحديد ولكن توجد أحكام في مختلف القوانين تحظر أشكاله المختلفة وتفرض عقوبات على مرتكبي هذا العنف. وقانون العقوبات، الفصل 63 من قوانين كينيا، يُجرم في فصله المتعلق ب</w:t>
      </w:r>
      <w:r>
        <w:rPr>
          <w:rFonts w:hint="eastAsia"/>
          <w:rtl/>
          <w:lang w:bidi="ar-EG"/>
        </w:rPr>
        <w:t>”</w:t>
      </w:r>
      <w:r>
        <w:rPr>
          <w:rFonts w:hint="cs"/>
          <w:rtl/>
          <w:lang w:bidi="ar-EG"/>
        </w:rPr>
        <w:t>ال</w:t>
      </w:r>
      <w:r>
        <w:rPr>
          <w:rFonts w:hint="eastAsia"/>
          <w:rtl/>
          <w:lang w:bidi="ar-EG"/>
        </w:rPr>
        <w:t>جرائم ضد الأخلاق</w:t>
      </w:r>
      <w:r>
        <w:rPr>
          <w:rFonts w:hint="cs"/>
          <w:rtl/>
          <w:lang w:bidi="ar-EG"/>
        </w:rPr>
        <w:t>“ جرائم الاغتصاب، وانتهاك العرض وسفاح المحارم. وفي ح</w:t>
      </w:r>
      <w:r>
        <w:rPr>
          <w:rFonts w:hint="cs"/>
          <w:rtl/>
          <w:lang w:bidi="ar-EG"/>
        </w:rPr>
        <w:t>ين يحظر قانون الأطفال لعام 2001 القيام بتشويه الأعضاء التناسلية للإناث القاصرات والزواج المبكر أو القسري لشخص دون سن 18 عاما. وأخيرا، يدرك قانون الموظفين العموميين وآداب المهنة المضايقات الجنسية ويحظرها. وهناك ثغرات في القوانين، وعلى سبيل المثال، فإن محظور</w:t>
      </w:r>
      <w:r>
        <w:rPr>
          <w:rFonts w:hint="cs"/>
          <w:rtl/>
          <w:lang w:bidi="ar-EG"/>
        </w:rPr>
        <w:t>ات قانون العقوبات على التعدي لا تعالج بفعالية العنف المنزلي، في حين يوجد الآن ضغط على المرأة البالغة للخضوع لعملية تشويه الأعضاء التناسلية للإناث وهناك حاجة لضمان تطبيق القوانين التي تحظر المضايقات الجنسية في جميع أماكن العمل. وفي عام 2003، جرى تعديل قانون</w:t>
      </w:r>
      <w:r>
        <w:rPr>
          <w:rFonts w:hint="cs"/>
          <w:rtl/>
          <w:lang w:bidi="ar-EG"/>
        </w:rPr>
        <w:t xml:space="preserve"> العقوبات للنص على توقيع أقصى عقوبة متمثلة في السجن مدى الحياة لارتكاب الاغتصاب. وهناك مشروع قانون الجرائم الجنسية الذي يرمي إلى تجريم وفرض عقوبات رادعة وأحكام أشد على ارتكاب الجرائم الجنسية. والحكومة داعمة جدا أيضا لمستشفى نيروبي للنساء </w:t>
      </w:r>
      <w:r>
        <w:rPr>
          <w:rtl/>
          <w:lang w:bidi="ar-EG"/>
        </w:rPr>
        <w:t>–</w:t>
      </w:r>
      <w:r>
        <w:rPr>
          <w:rFonts w:hint="cs"/>
          <w:rtl/>
          <w:lang w:bidi="ar-EG"/>
        </w:rPr>
        <w:t xml:space="preserve"> وهو يمثل مبادرة </w:t>
      </w:r>
      <w:r>
        <w:rPr>
          <w:rFonts w:hint="cs"/>
          <w:rtl/>
          <w:lang w:bidi="ar-EG"/>
        </w:rPr>
        <w:t>من القطاع الخاص توفر المعونة الطبية لضحايا العنف بين الجنسين. والنية معقودة على تكرار هذه المبادرة في أنحاء أخرى من البلد في مستشفيات الأقاليم والمناطق على حد سواء - ويجري الاضطلاع بهذا العمل عن طريق مبادرة تعاونية بين الحكومة ومنظمة ليفربول لإسداء المشورة</w:t>
      </w:r>
      <w:r>
        <w:rPr>
          <w:rFonts w:hint="cs"/>
          <w:rtl/>
          <w:lang w:bidi="ar-EG"/>
        </w:rPr>
        <w:t xml:space="preserve"> الطوعية والاختبار.</w:t>
      </w:r>
    </w:p>
    <w:p w:rsidR="00000000" w:rsidRDefault="00D8679F">
      <w:pPr>
        <w:pStyle w:val="SingleTxt"/>
        <w:jc w:val="both"/>
        <w:rPr>
          <w:rFonts w:hint="cs"/>
          <w:rtl/>
          <w:lang w:bidi="ar-EG"/>
        </w:rPr>
      </w:pPr>
      <w:r>
        <w:rPr>
          <w:rFonts w:hint="cs"/>
          <w:rtl/>
          <w:lang w:bidi="ar-EG"/>
        </w:rPr>
        <w:t>24 -</w:t>
      </w:r>
      <w:r>
        <w:rPr>
          <w:rFonts w:hint="cs"/>
          <w:rtl/>
          <w:lang w:bidi="ar-EG"/>
        </w:rPr>
        <w:tab/>
        <w:t xml:space="preserve">وتشويه الأعضاء التناسلية للإناث، الذي يدينه على نطاق واسع خبراء الصحة على الصعيد الدولي بوصفه ضارا بالصحة البدنية والنفسية على حد سواء، ما زالت تمارسه في كينيا جماعات إثنية معينة وما زال واسع الانتشار، ولا سيما في المناطق الريفية. </w:t>
      </w:r>
      <w:r>
        <w:rPr>
          <w:rFonts w:hint="cs"/>
          <w:rtl/>
          <w:lang w:bidi="ar-EG"/>
        </w:rPr>
        <w:t>وكثيرا ما</w:t>
      </w:r>
      <w:r>
        <w:rPr>
          <w:rFonts w:hint="eastAsia"/>
          <w:rtl/>
          <w:lang w:bidi="ar-EG"/>
        </w:rPr>
        <w:t> </w:t>
      </w:r>
      <w:r>
        <w:rPr>
          <w:rFonts w:hint="cs"/>
          <w:rtl/>
          <w:lang w:bidi="ar-EG"/>
        </w:rPr>
        <w:t>يكون تشويه الأعضاء التناسلية للإناث نظاما راسخا عن طريق الثقافة والتقاليد. وكان تشويه الأعضاء التناسلية للإناث محظورا بموجب مرسومين رئاسيين ولم يكن مسموحا به في المستشفيات والعيادات الخاضعة لسيطرة الحكومة قبل حظره بموجب قانون الأطفال في كانون الأ</w:t>
      </w:r>
      <w:r>
        <w:rPr>
          <w:rFonts w:hint="cs"/>
          <w:rtl/>
          <w:lang w:bidi="ar-EG"/>
        </w:rPr>
        <w:t>ول/ديسمبر عام 2001. ولاينطبق قانون الأطفال إلا على الأفراد الذين تقل أعمارهم عن 18 عاما. وما زال تشويه الأعضاء التناسلية للإناث مستمرا في كينيا وينفذ سرا في كثير من أنحاء البلد بسبب العادات التقليدية القوية. وتُظهر الدراسة الديمغرافية الصحية لكينيا لعام 20</w:t>
      </w:r>
      <w:r>
        <w:rPr>
          <w:rFonts w:hint="cs"/>
          <w:rtl/>
          <w:lang w:bidi="ar-EG"/>
        </w:rPr>
        <w:t xml:space="preserve">03 أنه في المنطقة الشمالية الشرقية من كينيا، تخضع نسبة 98.8 في المائة من النساء لعملية تشويه الأعضاء التناسلية للإناث. وفي بعض أنحاء البلد، جرى الاستعاضة عن عملية تشويه الأعضاء التناسلية للإناث ب </w:t>
      </w:r>
      <w:r>
        <w:rPr>
          <w:rFonts w:hint="eastAsia"/>
          <w:rtl/>
          <w:lang w:bidi="ar-EG"/>
        </w:rPr>
        <w:t xml:space="preserve">”الختان </w:t>
      </w:r>
      <w:r>
        <w:rPr>
          <w:rFonts w:hint="cs"/>
          <w:rtl/>
          <w:lang w:bidi="ar-EG"/>
        </w:rPr>
        <w:t>ال</w:t>
      </w:r>
      <w:r>
        <w:rPr>
          <w:rFonts w:hint="eastAsia"/>
          <w:rtl/>
          <w:lang w:bidi="ar-EG"/>
        </w:rPr>
        <w:t>ك</w:t>
      </w:r>
      <w:r>
        <w:rPr>
          <w:rFonts w:hint="cs"/>
          <w:rtl/>
          <w:lang w:bidi="ar-EG"/>
        </w:rPr>
        <w:t>لا</w:t>
      </w:r>
      <w:r>
        <w:rPr>
          <w:rFonts w:hint="eastAsia"/>
          <w:rtl/>
          <w:lang w:bidi="ar-EG"/>
        </w:rPr>
        <w:t>م</w:t>
      </w:r>
      <w:r>
        <w:rPr>
          <w:rFonts w:hint="cs"/>
          <w:rtl/>
          <w:lang w:bidi="ar-EG"/>
        </w:rPr>
        <w:t>ي“، احتفالا بدخول الفتاة الصغيرة في مرحلة الأن</w:t>
      </w:r>
      <w:r>
        <w:rPr>
          <w:rFonts w:hint="cs"/>
          <w:rtl/>
          <w:lang w:bidi="ar-EG"/>
        </w:rPr>
        <w:t>وثة بالكلمات لا عن طريق قطع الأعضاء التناسلية.</w:t>
      </w:r>
    </w:p>
    <w:p w:rsidR="00000000" w:rsidRDefault="00D8679F">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000000" w:rsidRDefault="00D867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2 - الالتزامات المتعلقة بالقضاء على التمييز</w:t>
      </w:r>
    </w:p>
    <w:p w:rsidR="00000000" w:rsidRDefault="00D8679F">
      <w:pPr>
        <w:pStyle w:val="SingleTxt"/>
        <w:jc w:val="both"/>
        <w:rPr>
          <w:rFonts w:hint="cs"/>
          <w:rtl/>
          <w:lang w:bidi="ar-EG"/>
        </w:rPr>
      </w:pPr>
      <w:r>
        <w:rPr>
          <w:rFonts w:hint="cs"/>
          <w:rtl/>
          <w:lang w:bidi="ar-EG"/>
        </w:rPr>
        <w:t>25 -</w:t>
      </w:r>
      <w:r>
        <w:rPr>
          <w:rFonts w:hint="cs"/>
          <w:rtl/>
          <w:lang w:bidi="ar-EG"/>
        </w:rPr>
        <w:tab/>
        <w:t>مع أن دستور كينيا يحظر التمييز على أساس الجنس، ما زال تحقيق التساوي بين الجنسين ولا سيما في الهيئات الرئيسية لصنع القرار في الهيئات العامة والخاصة على</w:t>
      </w:r>
      <w:r>
        <w:rPr>
          <w:rFonts w:hint="cs"/>
          <w:rtl/>
          <w:lang w:bidi="ar-EG"/>
        </w:rPr>
        <w:t xml:space="preserve"> حد سواء يمثل تحديا. وهذا ينعكس في انخفاض تمثيل المرأة في هيئات صنع القرار مثل البرلمان ومنظمات الخدمة العامة. وهذه الحالة جلية برغم وجود كفاءات نسائية     لشغل تلك المناصب الاستراتيجية. وانخفاض تعيينات النساء جلي أيضا في بعض المؤسسات مثل الجيش، أو السلاح </w:t>
      </w:r>
      <w:r>
        <w:rPr>
          <w:rFonts w:hint="cs"/>
          <w:rtl/>
          <w:lang w:bidi="ar-EG"/>
        </w:rPr>
        <w:t>البحري أو قوات الشرطة أو سلاح الطيران. وعند تعيين قوات الشرطة في عام 2005، قال مفوض الشرطة إنه جرى اتخاذ ترتيبات لضمان أن تبلغ نسبة تعيينات النساء 20 في المائة.</w:t>
      </w:r>
    </w:p>
    <w:p w:rsidR="00000000" w:rsidRDefault="00D8679F">
      <w:pPr>
        <w:pStyle w:val="SingleTxt"/>
        <w:jc w:val="both"/>
        <w:rPr>
          <w:rFonts w:hint="cs"/>
          <w:rtl/>
          <w:lang w:bidi="ar-EG"/>
        </w:rPr>
      </w:pPr>
      <w:r>
        <w:rPr>
          <w:rFonts w:hint="cs"/>
          <w:rtl/>
          <w:lang w:bidi="ar-EG"/>
        </w:rPr>
        <w:t>26 -</w:t>
      </w:r>
      <w:r>
        <w:rPr>
          <w:rFonts w:hint="cs"/>
          <w:rtl/>
          <w:lang w:bidi="ar-EG"/>
        </w:rPr>
        <w:tab/>
        <w:t>وقد ثبت أن أشكالا معينة من التمييز مستمرة بوجه خاص. والقوانين الحالية المتعلقة بالمواطنة و</w:t>
      </w:r>
      <w:r>
        <w:rPr>
          <w:rFonts w:hint="cs"/>
          <w:rtl/>
          <w:lang w:bidi="ar-EG"/>
        </w:rPr>
        <w:t>الجنسية ما زالت ضارة بالمرأة، كما لوحظ في الفقرة 10 أعلاه، في حين  مازالت الممارسات التي تُقصر المرأة على الأنشطة المنزلية قائمة. وما زال زواج الأطفال المبكر مستمرا في بعض المجتمعات المحلية برغم حظرها بموجب قانون الأطفال لعام 2001.</w:t>
      </w:r>
    </w:p>
    <w:p w:rsidR="00000000" w:rsidRDefault="00D8679F">
      <w:pPr>
        <w:pStyle w:val="SingleTxt"/>
        <w:jc w:val="both"/>
        <w:rPr>
          <w:rFonts w:hint="cs"/>
          <w:rtl/>
          <w:lang w:bidi="ar-EG"/>
        </w:rPr>
      </w:pPr>
      <w:r>
        <w:rPr>
          <w:rFonts w:hint="cs"/>
          <w:rtl/>
          <w:lang w:bidi="ar-EG"/>
        </w:rPr>
        <w:t>27 -</w:t>
      </w:r>
      <w:r>
        <w:rPr>
          <w:rFonts w:hint="cs"/>
          <w:rtl/>
          <w:lang w:bidi="ar-EG"/>
        </w:rPr>
        <w:tab/>
        <w:t xml:space="preserve">وتتبع كينيا النظام </w:t>
      </w:r>
      <w:r>
        <w:rPr>
          <w:rFonts w:hint="cs"/>
          <w:rtl/>
          <w:lang w:bidi="ar-EG"/>
        </w:rPr>
        <w:t>المزدوج لتنفيذ المعاهدات لأنها تفتقر أيضا للأحكام الدستورية التي تكفل التنفيذ المباشر للمعاهدات الدولية التي يصدق عليها البلد أو ينضم إليها. ولا</w:t>
      </w:r>
      <w:r>
        <w:rPr>
          <w:rFonts w:hint="eastAsia"/>
          <w:rtl/>
          <w:lang w:bidi="ar-EG"/>
        </w:rPr>
        <w:t> </w:t>
      </w:r>
      <w:r>
        <w:rPr>
          <w:rFonts w:hint="cs"/>
          <w:rtl/>
          <w:lang w:bidi="ar-EG"/>
        </w:rPr>
        <w:t>يمكن أن تصبح القوانين الدولية نافذة المفعول إلا عندما يقوم البرلمان، وهو الهيئة المعنية بوضع القوانين، بإضفاء ا</w:t>
      </w:r>
      <w:r>
        <w:rPr>
          <w:rFonts w:hint="cs"/>
          <w:rtl/>
          <w:lang w:bidi="ar-EG"/>
        </w:rPr>
        <w:t>لصبغة المحلية على الاتفاقية بقانون برلماني محدد أو وسيلة تشريعية أخرى لإدخال القانون الدولي ليصبح جزءا من قانون كينيا. وطبقا لهذا المبدأ العام، يجب جعل الإتفاقية نافذة المفعول محليا عن طريق وسائل تشريعية وقضائية وإدارية. وسعت الحكومة إلى معالجة هذه المشكلة</w:t>
      </w:r>
      <w:r>
        <w:rPr>
          <w:rFonts w:hint="cs"/>
          <w:rtl/>
          <w:lang w:bidi="ar-EG"/>
        </w:rPr>
        <w:t xml:space="preserve"> المتعلقة بإضفاء الطابع المحلي على المعاهدات الدولية عن طريق أحكام في الدستور الجديد المقترح كانت ستكفل أن تصبح أي معاهدة يكون البلد طرفا فيها قانونا بصورة تلقائية. وبالنظر إلى رفض الدستور الجديد المقترح، ما زالت كينيا تواجه تحديا فيما يتعلق بهذه العملية. </w:t>
      </w:r>
      <w:r>
        <w:rPr>
          <w:rFonts w:hint="cs"/>
          <w:rtl/>
          <w:lang w:bidi="ar-EG"/>
        </w:rPr>
        <w:t>والطريقة الأخرى التي يجري بها إضفاء الطابع المحلي على المعاهدات هي عن طريق الاستشهاد بها في المحاكم. ولحسن الحظ يحدث هذا فيما يتعلق باتفاقية القضاء على جميع أشكال التمييز ضد المرأة. وإجراءات إضفاء الطابع المحلي عن طريق قوانين برلمانية طويلة نظرا لأن هناك ع</w:t>
      </w:r>
      <w:r>
        <w:rPr>
          <w:rFonts w:hint="cs"/>
          <w:rtl/>
          <w:lang w:bidi="ar-EG"/>
        </w:rPr>
        <w:t>دة أشكال من التشريع والدستور ستحتاج إلى تعديلها و/أو إلغائها لكي تصبح قوانين البلد متمشية تماما مع الاتفاقية وأدى هذا إلى حدوث تأخيرات في تنفيذ الاتفاقية. وجدير بالملاحظة أن الحكومة قامت ببعض التدخلات المدروسة بغية التقيد بأحكام الاتفاقية. وعلى سبيل المثال</w:t>
      </w:r>
      <w:r>
        <w:rPr>
          <w:rFonts w:hint="cs"/>
          <w:rtl/>
          <w:lang w:bidi="ar-EG"/>
        </w:rPr>
        <w:t>، نصت المشاريع الدستورية على أن المعاهدات الدولية التي صدقت عليها كينيا ستصبح تلقائيا جزءا من القانون الوطني.</w:t>
      </w:r>
    </w:p>
    <w:p w:rsidR="00000000" w:rsidRDefault="00D8679F">
      <w:pPr>
        <w:pStyle w:val="SingleTxt"/>
        <w:jc w:val="both"/>
        <w:rPr>
          <w:rFonts w:hint="cs"/>
          <w:rtl/>
          <w:lang w:bidi="ar-EG"/>
        </w:rPr>
      </w:pPr>
      <w:r>
        <w:rPr>
          <w:rFonts w:hint="cs"/>
          <w:rtl/>
          <w:lang w:bidi="ar-EG"/>
        </w:rPr>
        <w:t>28 -</w:t>
      </w:r>
      <w:r>
        <w:rPr>
          <w:rFonts w:hint="cs"/>
          <w:rtl/>
          <w:lang w:bidi="ar-EG"/>
        </w:rPr>
        <w:tab/>
        <w:t>وقد أصدرت حكومة كينيا تشريعا يحظر التمييز ضد الأشخاص ذوي الإعاقات طبقا لقانون الأشخاص ذوي الإعاقات في حين أن حظر تشويه الأعضاء التناسلية للإن</w:t>
      </w:r>
      <w:r>
        <w:rPr>
          <w:rFonts w:hint="cs"/>
          <w:rtl/>
          <w:lang w:bidi="ar-EG"/>
        </w:rPr>
        <w:t>اث يرد في قانون الأطفال. وهناك أيضا مشاريع قوانين جنسانية مثل مشروع قانون حماية الأسرة، ومشروع قانون المساواة (2001)، ومشروع قانون منع ورقابة فيروس نقص المناعة البشرية/الإيدز، وفي الآونة الأقرب عهدا مشروع قانون الجرائم الجنسية. وقد أنقضت مدة تقديم هذه المش</w:t>
      </w:r>
      <w:r>
        <w:rPr>
          <w:rFonts w:hint="cs"/>
          <w:rtl/>
          <w:lang w:bidi="ar-EG"/>
        </w:rPr>
        <w:t>اريع ولكن سيعاد تقديمها عند انعقاد البرلمان من جديد.</w:t>
      </w:r>
    </w:p>
    <w:p w:rsidR="00000000" w:rsidRDefault="00D8679F">
      <w:pPr>
        <w:pStyle w:val="SingleTxt"/>
        <w:jc w:val="both"/>
        <w:rPr>
          <w:rFonts w:hint="cs"/>
          <w:rtl/>
          <w:lang w:bidi="ar-EG"/>
        </w:rPr>
      </w:pPr>
      <w:r>
        <w:rPr>
          <w:rFonts w:hint="cs"/>
          <w:rtl/>
          <w:lang w:bidi="ar-EG"/>
        </w:rPr>
        <w:t>29 -</w:t>
      </w:r>
      <w:r>
        <w:rPr>
          <w:rFonts w:hint="cs"/>
          <w:rtl/>
          <w:lang w:bidi="ar-EG"/>
        </w:rPr>
        <w:tab/>
        <w:t>ونقاط دخول البنات الجامعات العامة أدنى درجة واحدة من البنين؛ ونتيجة لذلك، التحق مزيد من البنات بالتعليم العالي. وقد أعدت الحكومة الورقة الدورية رقم 5 لعام 2005 بشأن المساواة بين الجنسين والتنمية الت</w:t>
      </w:r>
      <w:r>
        <w:rPr>
          <w:rFonts w:hint="cs"/>
          <w:rtl/>
          <w:lang w:bidi="ar-EG"/>
        </w:rPr>
        <w:t>ي تشجع المنظمات غير الحكومية والمنظمات الأهلية، والجمعيات التعاونية، والهيئات المهنية، والقطاع الخاص، ونقابات العمال لكفالة زيادة اشتراك المرأة في المشاريع المختلفة وفي صنع القرار.</w:t>
      </w:r>
    </w:p>
    <w:p w:rsidR="00000000" w:rsidRDefault="00D8679F">
      <w:pPr>
        <w:pStyle w:val="SingleTxt"/>
        <w:jc w:val="both"/>
        <w:rPr>
          <w:rFonts w:hint="cs"/>
          <w:rtl/>
          <w:lang w:bidi="ar-EG"/>
        </w:rPr>
      </w:pPr>
      <w:r>
        <w:rPr>
          <w:rFonts w:hint="cs"/>
          <w:rtl/>
          <w:lang w:bidi="ar-EG"/>
        </w:rPr>
        <w:t>30 -</w:t>
      </w:r>
      <w:r>
        <w:rPr>
          <w:rFonts w:hint="cs"/>
          <w:rtl/>
          <w:lang w:bidi="ar-EG"/>
        </w:rPr>
        <w:tab/>
        <w:t>وهناك آليات مختلفة جرى البدء فيها لتمكين المرأة من ضمان وتعزيز المساوا</w:t>
      </w:r>
      <w:r>
        <w:rPr>
          <w:rFonts w:hint="cs"/>
          <w:rtl/>
          <w:lang w:bidi="ar-EG"/>
        </w:rPr>
        <w:t>ة في الحقوق والمعاملة بينه وبين الرجل وحظر التمييز عن طريق عملية استشارية بين الحكومة والمجتمع المدني. وعلى سبيل المثال، هناك الآن أحكام قانونية للعمل الإيجابي في أجهزة صنع القرار في عدة مؤسسات وطنية جديدة وعلى سبيل المثال اللجنة الوطنية لحقوق الإنسان في ك</w:t>
      </w:r>
      <w:r>
        <w:rPr>
          <w:rFonts w:hint="cs"/>
          <w:rtl/>
          <w:lang w:bidi="ar-EG"/>
        </w:rPr>
        <w:t>ينيا واللجنة الوطنية المعنية بالمساواة بين الجنسين والتنمية؛ وهناك اشتراطات قانونية وأحكام متعلقة بالسياسة العامة من أجل تمثيل المرأة ومنظمات حقوق المرأة في عمليات صنع القرار الوطنية وبخاصة عملية الإستعراض الدستورية؛ ولجنة كينيا لمكافحة الفساد؛ وقد أجريت ت</w:t>
      </w:r>
      <w:r>
        <w:rPr>
          <w:rFonts w:hint="cs"/>
          <w:rtl/>
          <w:lang w:bidi="ar-EG"/>
        </w:rPr>
        <w:t>عديلات لقانون العقوبات تنص على تشديد العقوبات لارتكاب المخالفات المختلفة ضد المرأة، والعمل الإيجابي، والسياسات والبرامج وإنشاء شعبة الأسرة في المحكمة العليا لحماية حقوق المرأة. وتعمل الحكومة أيضا مع المجتمع المدني لوضع مشروع قانون ممتلكات الزوجية، لعام 200</w:t>
      </w:r>
      <w:r>
        <w:rPr>
          <w:rFonts w:hint="cs"/>
          <w:rtl/>
          <w:lang w:bidi="ar-EG"/>
        </w:rPr>
        <w:t>5 ومشروع قانون الوراثة (تعديل)، لعام 2005.</w:t>
      </w:r>
    </w:p>
    <w:p w:rsidR="00000000" w:rsidRDefault="00D8679F">
      <w:pPr>
        <w:pStyle w:val="SingleTxt"/>
        <w:jc w:val="both"/>
        <w:rPr>
          <w:rFonts w:hint="cs"/>
          <w:rtl/>
          <w:lang w:bidi="ar-EG"/>
        </w:rPr>
      </w:pPr>
      <w:r>
        <w:rPr>
          <w:rFonts w:hint="cs"/>
          <w:rtl/>
          <w:lang w:bidi="ar-EG"/>
        </w:rPr>
        <w:t>31 -</w:t>
      </w:r>
      <w:r>
        <w:rPr>
          <w:rFonts w:hint="cs"/>
          <w:rtl/>
          <w:lang w:bidi="ar-EG"/>
        </w:rPr>
        <w:tab/>
        <w:t>وقد ظلت حكومة كينيا ملتزمة بالنهوض بالمرأة، كما ينعكس في الإدراج التدريجي لجدول الأعمال المتعلق بالمرأة في الخطط والمشاريع الإنمائية الوطنية. وتحدد الوثائق الوطنية بشكل قاطع نهج الحكومة الإنمائي من منظور جنسا</w:t>
      </w:r>
      <w:r>
        <w:rPr>
          <w:rFonts w:hint="cs"/>
          <w:rtl/>
          <w:lang w:bidi="ar-EG"/>
        </w:rPr>
        <w:t xml:space="preserve">ني. ومن أمثلة هذه الوثائق  من بين أمور أخرى </w:t>
      </w:r>
      <w:r>
        <w:rPr>
          <w:rFonts w:hint="eastAsia"/>
          <w:rtl/>
          <w:lang w:bidi="ar-EG"/>
        </w:rPr>
        <w:t>الأبعاد الاجتماعية لبرنامج التنمية</w:t>
      </w:r>
      <w:r>
        <w:rPr>
          <w:rFonts w:hint="cs"/>
          <w:rtl/>
          <w:lang w:bidi="ar-EG"/>
        </w:rPr>
        <w:t>، و</w:t>
      </w:r>
      <w:r>
        <w:rPr>
          <w:rFonts w:hint="eastAsia"/>
          <w:rtl/>
          <w:lang w:bidi="ar-EG"/>
        </w:rPr>
        <w:t>استراتيجية ا</w:t>
      </w:r>
      <w:r>
        <w:rPr>
          <w:rFonts w:hint="cs"/>
          <w:rtl/>
          <w:lang w:bidi="ar-EG"/>
        </w:rPr>
        <w:t>لإنتعاش</w:t>
      </w:r>
      <w:r>
        <w:rPr>
          <w:rFonts w:hint="eastAsia"/>
          <w:rtl/>
          <w:lang w:bidi="ar-EG"/>
        </w:rPr>
        <w:t xml:space="preserve"> الاقتصادي من أجل </w:t>
      </w:r>
      <w:r>
        <w:rPr>
          <w:rFonts w:hint="cs"/>
          <w:rtl/>
          <w:lang w:bidi="ar-EG"/>
        </w:rPr>
        <w:t>تكوين</w:t>
      </w:r>
      <w:r>
        <w:rPr>
          <w:rFonts w:hint="eastAsia"/>
          <w:rtl/>
          <w:lang w:bidi="ar-EG"/>
        </w:rPr>
        <w:t xml:space="preserve"> الثروة و</w:t>
      </w:r>
      <w:r>
        <w:rPr>
          <w:rFonts w:hint="cs"/>
          <w:rtl/>
          <w:lang w:bidi="ar-EG"/>
        </w:rPr>
        <w:t xml:space="preserve">خلق </w:t>
      </w:r>
      <w:r>
        <w:rPr>
          <w:rFonts w:hint="eastAsia"/>
          <w:rtl/>
          <w:lang w:bidi="ar-EG"/>
        </w:rPr>
        <w:t>الوظائف (2003-2007)</w:t>
      </w:r>
      <w:r>
        <w:rPr>
          <w:rFonts w:hint="cs"/>
          <w:rtl/>
          <w:lang w:bidi="ar-EG"/>
        </w:rPr>
        <w:t xml:space="preserve">“، التي تقوم على </w:t>
      </w:r>
      <w:r>
        <w:rPr>
          <w:rFonts w:hint="eastAsia"/>
          <w:rtl/>
          <w:lang w:bidi="ar-EG"/>
        </w:rPr>
        <w:t>ورقة استراتيجية تخفيف حدة الفقر</w:t>
      </w:r>
      <w:r>
        <w:rPr>
          <w:rFonts w:hint="cs"/>
          <w:rtl/>
          <w:lang w:bidi="ar-EG"/>
        </w:rPr>
        <w:t>، التي نشرت في عام 2001، و</w:t>
      </w:r>
      <w:r>
        <w:rPr>
          <w:rFonts w:hint="eastAsia"/>
          <w:rtl/>
          <w:lang w:bidi="ar-EG"/>
        </w:rPr>
        <w:t>التنمية الوطنية (2002-2008)</w:t>
      </w:r>
      <w:r>
        <w:rPr>
          <w:rFonts w:hint="cs"/>
          <w:rtl/>
          <w:lang w:bidi="ar-EG"/>
        </w:rPr>
        <w:t>“، و</w:t>
      </w:r>
      <w:r>
        <w:rPr>
          <w:rFonts w:hint="eastAsia"/>
          <w:rtl/>
          <w:lang w:bidi="ar-EG"/>
        </w:rPr>
        <w:t>الدراسة الديمغرافية الصحية لكينيا</w:t>
      </w:r>
      <w:r>
        <w:rPr>
          <w:rFonts w:hint="cs"/>
          <w:rtl/>
          <w:lang w:bidi="ar-EG"/>
        </w:rPr>
        <w:t xml:space="preserve"> و</w:t>
      </w:r>
      <w:r>
        <w:rPr>
          <w:rFonts w:hint="eastAsia"/>
          <w:rtl/>
          <w:lang w:bidi="ar-EG"/>
        </w:rPr>
        <w:t>الدراسات الاستقصائية الاقتصادية لكينيا</w:t>
      </w:r>
      <w:r>
        <w:rPr>
          <w:rFonts w:hint="cs"/>
          <w:rtl/>
          <w:lang w:bidi="ar-EG"/>
        </w:rPr>
        <w:t>. وكينيا ملتزمة أيضا بتحقيق أهداف الألفية.</w:t>
      </w:r>
    </w:p>
    <w:p w:rsidR="00000000" w:rsidRDefault="00D8679F">
      <w:pPr>
        <w:pStyle w:val="SingleTxt"/>
        <w:spacing w:after="0" w:line="120" w:lineRule="exact"/>
        <w:ind w:left="1930" w:hanging="663"/>
        <w:jc w:val="both"/>
        <w:rPr>
          <w:rFonts w:hint="cs"/>
          <w:sz w:val="10"/>
          <w:rtl/>
          <w:lang w:bidi="ar-EG"/>
        </w:rPr>
      </w:pPr>
    </w:p>
    <w:p w:rsidR="00000000" w:rsidRDefault="00D867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3 - التنمية والنهوض بالمرأة</w:t>
      </w:r>
    </w:p>
    <w:p w:rsidR="00000000" w:rsidRDefault="00D8679F">
      <w:pPr>
        <w:pStyle w:val="SingleTxt"/>
        <w:jc w:val="both"/>
        <w:rPr>
          <w:rFonts w:hint="cs"/>
          <w:rtl/>
          <w:lang w:bidi="ar-EG"/>
        </w:rPr>
      </w:pPr>
      <w:r>
        <w:rPr>
          <w:rFonts w:hint="cs"/>
          <w:rtl/>
          <w:lang w:bidi="ar-EG"/>
        </w:rPr>
        <w:t>32 -</w:t>
      </w:r>
      <w:r>
        <w:rPr>
          <w:rFonts w:hint="cs"/>
          <w:rtl/>
          <w:lang w:bidi="ar-EG"/>
        </w:rPr>
        <w:tab/>
        <w:t xml:space="preserve">اتخذت حكومة كينيا خطوات هامة تشمل التشريعات، لضمان تنمية المرأة والنهوض بها بصورة كاملة بغرض </w:t>
      </w:r>
      <w:r>
        <w:rPr>
          <w:rFonts w:hint="cs"/>
          <w:rtl/>
          <w:lang w:bidi="ar-EG"/>
        </w:rPr>
        <w:t>أن تكفل لها ممارسة والتمتع بحقوق الإنسان والحريات الأساسية على أساس المساواة مع الرجل. وهذه التدابير مجملة في الفقرات 37-47 أدناه وتشمل، ولكنها لا تقتصر على ما يلي:</w:t>
      </w:r>
    </w:p>
    <w:p w:rsidR="00000000" w:rsidRDefault="00D8679F">
      <w:pPr>
        <w:pStyle w:val="SingleTxt"/>
        <w:tabs>
          <w:tab w:val="clear" w:pos="2592"/>
          <w:tab w:val="left" w:pos="2228"/>
        </w:tabs>
        <w:ind w:left="2228" w:hanging="961"/>
        <w:jc w:val="both"/>
        <w:rPr>
          <w:rFonts w:hint="cs"/>
          <w:rtl/>
          <w:lang w:bidi="ar-EG"/>
        </w:rPr>
      </w:pPr>
      <w:r>
        <w:rPr>
          <w:rFonts w:hint="cs"/>
          <w:rtl/>
          <w:lang w:bidi="ar-EG"/>
        </w:rPr>
        <w:tab/>
        <w:t>•</w:t>
      </w:r>
      <w:r>
        <w:rPr>
          <w:rFonts w:hint="cs"/>
          <w:rtl/>
          <w:lang w:bidi="ar-EG"/>
        </w:rPr>
        <w:tab/>
        <w:t>تحسين الآلية الوطنية للمساواة بين الجنسين.</w:t>
      </w:r>
    </w:p>
    <w:p w:rsidR="00000000" w:rsidRDefault="00D8679F">
      <w:pPr>
        <w:pStyle w:val="SingleTxt"/>
        <w:tabs>
          <w:tab w:val="clear" w:pos="2592"/>
          <w:tab w:val="left" w:pos="2228"/>
        </w:tabs>
        <w:ind w:left="2228" w:hanging="961"/>
        <w:jc w:val="both"/>
        <w:rPr>
          <w:rFonts w:hint="cs"/>
          <w:rtl/>
          <w:lang w:bidi="ar-EG"/>
        </w:rPr>
      </w:pPr>
      <w:r>
        <w:rPr>
          <w:rFonts w:hint="cs"/>
          <w:rtl/>
          <w:lang w:bidi="ar-EG"/>
        </w:rPr>
        <w:tab/>
        <w:t>•</w:t>
      </w:r>
      <w:r>
        <w:rPr>
          <w:rFonts w:hint="cs"/>
          <w:rtl/>
          <w:lang w:bidi="ar-EG"/>
        </w:rPr>
        <w:tab/>
        <w:t>إنفاذ أحكام قانون الأطفال فيما يتعلق بالزو</w:t>
      </w:r>
      <w:r>
        <w:rPr>
          <w:rFonts w:hint="cs"/>
          <w:rtl/>
          <w:lang w:bidi="ar-EG"/>
        </w:rPr>
        <w:t>اج المبكر والقسري، وإعالة الأطفال وتشويه الأعضاء التناسلية للإناث.</w:t>
      </w:r>
    </w:p>
    <w:p w:rsidR="00000000" w:rsidRDefault="00D8679F">
      <w:pPr>
        <w:pStyle w:val="SingleTxt"/>
        <w:tabs>
          <w:tab w:val="clear" w:pos="2592"/>
          <w:tab w:val="left" w:pos="2228"/>
        </w:tabs>
        <w:ind w:left="2228" w:hanging="961"/>
        <w:jc w:val="both"/>
        <w:rPr>
          <w:rFonts w:hint="cs"/>
          <w:rtl/>
          <w:lang w:bidi="ar-EG"/>
        </w:rPr>
      </w:pPr>
      <w:r>
        <w:rPr>
          <w:rFonts w:hint="cs"/>
          <w:rtl/>
          <w:lang w:bidi="ar-EG"/>
        </w:rPr>
        <w:tab/>
        <w:t>•</w:t>
      </w:r>
      <w:r>
        <w:rPr>
          <w:rFonts w:hint="cs"/>
          <w:rtl/>
          <w:lang w:bidi="ar-EG"/>
        </w:rPr>
        <w:tab/>
        <w:t>سن وإنفاذ الحصص التي تكفل ألا يقل تمثيل للمرأة عن الثلث في هيئات صنع القرار مثل اللجنة الوطنية المعنية بحقوق الإنسان في كينيا؛ ولجان الصناديق الإنمائية على صعيد الدوائر الانتخابية؛ والمج</w:t>
      </w:r>
      <w:r>
        <w:rPr>
          <w:rFonts w:hint="cs"/>
          <w:rtl/>
          <w:lang w:bidi="ar-EG"/>
        </w:rPr>
        <w:t>لس الوطني للأشخاص ذوي الإعاقات واللجنة الوطنية المعنية بالشؤون الجنسانية والتنمية.</w:t>
      </w:r>
    </w:p>
    <w:p w:rsidR="00000000" w:rsidRDefault="00D8679F">
      <w:pPr>
        <w:pStyle w:val="SingleTxt"/>
        <w:tabs>
          <w:tab w:val="clear" w:pos="2592"/>
          <w:tab w:val="left" w:pos="2228"/>
        </w:tabs>
        <w:ind w:left="2228" w:hanging="961"/>
        <w:jc w:val="both"/>
        <w:rPr>
          <w:rFonts w:hint="cs"/>
          <w:rtl/>
          <w:lang w:bidi="ar-EG"/>
        </w:rPr>
      </w:pPr>
      <w:r>
        <w:rPr>
          <w:rFonts w:hint="cs"/>
          <w:rtl/>
          <w:lang w:bidi="ar-EG"/>
        </w:rPr>
        <w:tab/>
        <w:t>•</w:t>
      </w:r>
      <w:r>
        <w:rPr>
          <w:rFonts w:hint="cs"/>
          <w:rtl/>
          <w:lang w:bidi="ar-EG"/>
        </w:rPr>
        <w:tab/>
        <w:t>زيادة عدد النساء للعمل في مجلس الوزراء والسلك الدبلوماسي.</w:t>
      </w:r>
    </w:p>
    <w:p w:rsidR="00000000" w:rsidRDefault="00D8679F">
      <w:pPr>
        <w:pStyle w:val="SingleTxt"/>
        <w:ind w:left="1930" w:hanging="663"/>
        <w:jc w:val="both"/>
        <w:rPr>
          <w:rFonts w:hint="cs"/>
          <w:rtl/>
          <w:lang w:bidi="ar-EG"/>
        </w:rPr>
      </w:pPr>
      <w:r>
        <w:rPr>
          <w:rFonts w:hint="cs"/>
          <w:rtl/>
          <w:lang w:bidi="ar-EG"/>
        </w:rPr>
        <w:tab/>
        <w:t>وهذه التدابير تركز على الميادين السياسية، والاجتماعية، والاقتصادية والثقافية. أما الممارسات الاجتماعية الثقافية</w:t>
      </w:r>
      <w:r>
        <w:rPr>
          <w:rFonts w:hint="cs"/>
          <w:rtl/>
          <w:lang w:bidi="ar-EG"/>
        </w:rPr>
        <w:t xml:space="preserve"> الرجعية التي لا تعترف بعمل المرأة، وفقرها، وانخفاض مستويات تعليمها فإنها تمثل بعض العوامل التي تعوق إمكانية اشتراك المرأة في الحياة السياسية، وحصولها على العمل، والرعاية الصحية وملكيتها للممتلكات.</w:t>
      </w:r>
    </w:p>
    <w:p w:rsidR="00000000" w:rsidRDefault="00D8679F">
      <w:pPr>
        <w:pStyle w:val="SingleTxt"/>
        <w:jc w:val="both"/>
        <w:rPr>
          <w:rFonts w:hint="cs"/>
          <w:rtl/>
          <w:lang w:bidi="ar-EG"/>
        </w:rPr>
      </w:pPr>
      <w:r>
        <w:rPr>
          <w:rFonts w:hint="cs"/>
          <w:rtl/>
          <w:lang w:bidi="ar-EG"/>
        </w:rPr>
        <w:t>33 -</w:t>
      </w:r>
      <w:r>
        <w:rPr>
          <w:rFonts w:hint="cs"/>
          <w:rtl/>
          <w:lang w:bidi="ar-EG"/>
        </w:rPr>
        <w:tab/>
        <w:t>النهوض بالمرأة في الميدان السياسي: توفر السياسة الوطن</w:t>
      </w:r>
      <w:r>
        <w:rPr>
          <w:rFonts w:hint="cs"/>
          <w:rtl/>
          <w:lang w:bidi="ar-EG"/>
        </w:rPr>
        <w:t>ية للشؤون الجنسانية والتنمية إطار عمل للنهوض بالمرأة في المجالات السياسية، والاجتماعية، والاقتصادية والثقافية. أما</w:t>
      </w:r>
      <w:r>
        <w:rPr>
          <w:rFonts w:hint="eastAsia"/>
          <w:rtl/>
          <w:lang w:bidi="ar-EG"/>
        </w:rPr>
        <w:t> </w:t>
      </w:r>
      <w:r>
        <w:rPr>
          <w:rFonts w:hint="cs"/>
          <w:rtl/>
          <w:lang w:bidi="ar-EG"/>
        </w:rPr>
        <w:t>الورقة الدورية رقم 5 لعام 2005 بشأن المساواة بين الجنسين والتنمية التي سيُعاد عرضها على البرلمان فإنها تشير إلى أن الحكومة ستتخذ إجراءات مناس</w:t>
      </w:r>
      <w:r>
        <w:rPr>
          <w:rFonts w:hint="cs"/>
          <w:rtl/>
          <w:lang w:bidi="ar-EG"/>
        </w:rPr>
        <w:t>بة ستكفل التساوي بين الجنسين في الاشتراك في الحياة السياسية وصنع القرار بوضع آليات لتعزيز تعيين المرأة في مناصب صنع القرار الرفيعة المستوى واعتماد نسبة 50 في المائة من النساء/الرجال لها. والحكومة أيضا بسبيل التماس الدعم التقني في شكل خبرة استشارية لوضع خطة</w:t>
      </w:r>
      <w:r>
        <w:rPr>
          <w:rFonts w:hint="cs"/>
          <w:rtl/>
          <w:lang w:bidi="ar-EG"/>
        </w:rPr>
        <w:t xml:space="preserve"> عمل مدتها خمس سنوات لتنفيذ السياسة الوطنية للشؤون الجنسانية والتنمية التي وافق عليها مجلس الوزراء في عام 2000. وستؤدي خطة العمل إلى تسهيل تنفيذ السياسة وتوفير أساس لكي يبدأ أصحاب المصلحة البرامج التي ترمي إلى تعزيز المساواة بين الجنسين في البلد. والتقدم ا</w:t>
      </w:r>
      <w:r>
        <w:rPr>
          <w:rFonts w:hint="cs"/>
          <w:rtl/>
          <w:lang w:bidi="ar-EG"/>
        </w:rPr>
        <w:t>لذي أحرزته المرأة في بلوغ درجة رئيسية في السياسة يتجلى أيضا بانتخاب سيدتين لمنصبين رئيسيين، في حزبين سياسيين بارزين، الأولى بوصفها رئيسة للحزب والثانية بوصفها الأمينة العامة. ويرجع هذا بقدر كبير إلى التربية الوطنية المكثفة التي شجعت المرأة الكينية على التن</w:t>
      </w:r>
      <w:r>
        <w:rPr>
          <w:rFonts w:hint="cs"/>
          <w:rtl/>
          <w:lang w:bidi="ar-EG"/>
        </w:rPr>
        <w:t>افس على المناصب الاستراتيجية في الأحزاب السياسية فضلا عن محاولة المجتمع المدني التأثير على السلطات الرسمية. ومن الجدير بالذكر أيضا أن النظام الأساسي للجنة الاستعراض الكينية التي أسندت إليها مهمة توجيه البلد نحو العمل  بدستور جديد كانت برئاسة سيدة.</w:t>
      </w:r>
    </w:p>
    <w:p w:rsidR="00000000" w:rsidRDefault="00D8679F">
      <w:pPr>
        <w:pStyle w:val="SingleTxt"/>
        <w:jc w:val="both"/>
        <w:rPr>
          <w:rFonts w:hint="cs"/>
          <w:rtl/>
          <w:lang w:bidi="ar-EG"/>
        </w:rPr>
      </w:pPr>
      <w:r>
        <w:rPr>
          <w:rFonts w:hint="cs"/>
          <w:rtl/>
          <w:lang w:bidi="ar-EG"/>
        </w:rPr>
        <w:t>34 -</w:t>
      </w:r>
      <w:r>
        <w:rPr>
          <w:rFonts w:hint="cs"/>
          <w:rtl/>
          <w:lang w:bidi="ar-EG"/>
        </w:rPr>
        <w:tab/>
        <w:t>الت</w:t>
      </w:r>
      <w:r>
        <w:rPr>
          <w:rFonts w:hint="cs"/>
          <w:rtl/>
          <w:lang w:bidi="ar-EG"/>
        </w:rPr>
        <w:t>قدم الاجتماعي للمرأة: تدرك الحكومة أن اشتراك المرأة في جميع مجالات الحياة وفي المناصب القيادية الرئيسية يسهم في تغيير المواقف السلبية تجاه المرأة. وستكون اللجنة الوطنية المعنية بالشؤون الجنسانية والتنمية مفيدة في تعزيز اشتراك المرأة نتيجة بعض المسؤوليات ال</w:t>
      </w:r>
      <w:r>
        <w:rPr>
          <w:rFonts w:hint="cs"/>
          <w:rtl/>
          <w:lang w:bidi="ar-EG"/>
        </w:rPr>
        <w:t>رئيسية المسندة للجنة والتي ترمي في جملة أمور إلى:</w:t>
      </w:r>
    </w:p>
    <w:p w:rsidR="00000000" w:rsidRDefault="00D8679F">
      <w:pPr>
        <w:pStyle w:val="SingleTxt"/>
        <w:tabs>
          <w:tab w:val="clear" w:pos="2592"/>
          <w:tab w:val="left" w:pos="2228"/>
        </w:tabs>
        <w:ind w:left="2228" w:hanging="961"/>
        <w:jc w:val="both"/>
        <w:rPr>
          <w:rFonts w:hint="cs"/>
          <w:rtl/>
          <w:lang w:bidi="ar-EG"/>
        </w:rPr>
      </w:pPr>
      <w:r>
        <w:rPr>
          <w:rFonts w:hint="cs"/>
          <w:rtl/>
          <w:lang w:bidi="ar-EG"/>
        </w:rPr>
        <w:tab/>
        <w:t>•</w:t>
      </w:r>
      <w:r>
        <w:rPr>
          <w:rFonts w:hint="cs"/>
          <w:rtl/>
          <w:lang w:bidi="ar-EG"/>
        </w:rPr>
        <w:tab/>
        <w:t>تحديد الأولويات الاستراتيجية في جميع السياسات الاجتماعية - الاقتصادية والسياسية والإنمائية للحكومة وإسداء المشورة بشأن تنفيذها.</w:t>
      </w:r>
    </w:p>
    <w:p w:rsidR="00000000" w:rsidRDefault="00D8679F">
      <w:pPr>
        <w:pStyle w:val="SingleTxt"/>
        <w:tabs>
          <w:tab w:val="clear" w:pos="2592"/>
          <w:tab w:val="left" w:pos="2228"/>
        </w:tabs>
        <w:ind w:left="2228" w:hanging="961"/>
        <w:jc w:val="both"/>
        <w:rPr>
          <w:rFonts w:hint="cs"/>
          <w:rtl/>
          <w:lang w:bidi="ar-EG"/>
        </w:rPr>
      </w:pPr>
      <w:r>
        <w:rPr>
          <w:rFonts w:hint="cs"/>
          <w:rtl/>
          <w:lang w:bidi="ar-EG"/>
        </w:rPr>
        <w:tab/>
        <w:t>•</w:t>
      </w:r>
      <w:r>
        <w:rPr>
          <w:rFonts w:hint="cs"/>
          <w:rtl/>
          <w:lang w:bidi="ar-EG"/>
        </w:rPr>
        <w:tab/>
        <w:t>تمهيد الطريق لإجراء إصلاحات قانونية بشأن القضايا التي تمس المرأة، ومحاول</w:t>
      </w:r>
      <w:r>
        <w:rPr>
          <w:rFonts w:hint="cs"/>
          <w:rtl/>
          <w:lang w:bidi="ar-EG"/>
        </w:rPr>
        <w:t>ة التأثير على السلطات بشأنها والدعوة إليها، وصياغة القوانين، والممارسات والسياسات التي تقضي على جميع أشكال التمييز ضد المرأة في جميع المؤسسات، وكذلك على جميع النظم والممارسات والعادات الضارة بكرامة المرأة.</w:t>
      </w:r>
    </w:p>
    <w:p w:rsidR="00000000" w:rsidRDefault="00D8679F">
      <w:pPr>
        <w:pStyle w:val="SingleTxt"/>
        <w:tabs>
          <w:tab w:val="clear" w:pos="2592"/>
          <w:tab w:val="left" w:pos="2228"/>
        </w:tabs>
        <w:jc w:val="both"/>
        <w:rPr>
          <w:rFonts w:hint="cs"/>
          <w:rtl/>
          <w:lang w:bidi="ar-EG"/>
        </w:rPr>
      </w:pPr>
      <w:r>
        <w:rPr>
          <w:rFonts w:hint="cs"/>
          <w:rtl/>
          <w:lang w:bidi="ar-EG"/>
        </w:rPr>
        <w:t>35 -</w:t>
      </w:r>
      <w:r>
        <w:rPr>
          <w:rFonts w:hint="cs"/>
          <w:rtl/>
          <w:lang w:bidi="ar-EG"/>
        </w:rPr>
        <w:tab/>
        <w:t xml:space="preserve">أما اللجنة الوطنية المعنية بالشؤون الجنسانية </w:t>
      </w:r>
      <w:r>
        <w:rPr>
          <w:rFonts w:hint="cs"/>
          <w:rtl/>
          <w:lang w:bidi="ar-EG"/>
        </w:rPr>
        <w:t>والتنمية، برغم أن عمرها أقل من عامين، فقد حققت بالفعل عدة إنجازات، تشمل ما يلي:</w:t>
      </w:r>
    </w:p>
    <w:p w:rsidR="00000000" w:rsidRDefault="00D8679F">
      <w:pPr>
        <w:pStyle w:val="SingleTxt"/>
        <w:tabs>
          <w:tab w:val="clear" w:pos="2592"/>
          <w:tab w:val="left" w:pos="2228"/>
        </w:tabs>
        <w:ind w:left="2228" w:hanging="961"/>
        <w:jc w:val="both"/>
        <w:rPr>
          <w:rFonts w:hint="cs"/>
          <w:rtl/>
          <w:lang w:bidi="ar-EG"/>
        </w:rPr>
      </w:pPr>
      <w:r>
        <w:rPr>
          <w:rFonts w:hint="cs"/>
          <w:rtl/>
          <w:lang w:bidi="ar-EG"/>
        </w:rPr>
        <w:tab/>
        <w:t>•</w:t>
      </w:r>
      <w:r>
        <w:rPr>
          <w:rFonts w:hint="cs"/>
          <w:rtl/>
          <w:lang w:bidi="ar-EG"/>
        </w:rPr>
        <w:tab/>
        <w:t>إسداء المشورة الاستراتيجية للوزارات التنفيذية وعلى وجه التحديد فيما يتعلق بإصلاح القوانين المستجيبة لاحتياجات الجنسين ووضع الميزانيات المستجيبة لاحتياجات الجنسين.</w:t>
      </w:r>
    </w:p>
    <w:p w:rsidR="00000000" w:rsidRDefault="00D8679F">
      <w:pPr>
        <w:pStyle w:val="SingleTxt"/>
        <w:tabs>
          <w:tab w:val="clear" w:pos="2592"/>
          <w:tab w:val="left" w:pos="2228"/>
        </w:tabs>
        <w:ind w:left="2228" w:hanging="961"/>
        <w:jc w:val="both"/>
        <w:rPr>
          <w:rFonts w:hint="cs"/>
          <w:rtl/>
          <w:lang w:bidi="ar-EG"/>
        </w:rPr>
      </w:pPr>
      <w:r>
        <w:rPr>
          <w:rFonts w:hint="cs"/>
          <w:rtl/>
          <w:lang w:bidi="ar-EG"/>
        </w:rPr>
        <w:tab/>
        <w:t>•</w:t>
      </w:r>
      <w:r>
        <w:rPr>
          <w:rFonts w:hint="cs"/>
          <w:rtl/>
          <w:lang w:bidi="ar-EG"/>
        </w:rPr>
        <w:tab/>
        <w:t>تعزيز ع</w:t>
      </w:r>
      <w:r>
        <w:rPr>
          <w:rFonts w:hint="cs"/>
          <w:rtl/>
          <w:lang w:bidi="ar-EG"/>
        </w:rPr>
        <w:t>مل اللجان القانونية الوطنية، مثل اللجنة الوطنية لحقوق الإنسان في كينيا، بالتدريب وبناء القدرات من أجل العمل الرامي إلى تحقيق المساواة بين الجنسين.</w:t>
      </w:r>
    </w:p>
    <w:p w:rsidR="00000000" w:rsidRDefault="00D8679F">
      <w:pPr>
        <w:pStyle w:val="SingleTxt"/>
        <w:tabs>
          <w:tab w:val="clear" w:pos="2592"/>
          <w:tab w:val="left" w:pos="2228"/>
        </w:tabs>
        <w:ind w:left="2228" w:hanging="961"/>
        <w:jc w:val="both"/>
        <w:rPr>
          <w:rFonts w:hint="cs"/>
          <w:rtl/>
          <w:lang w:bidi="ar-EG"/>
        </w:rPr>
      </w:pPr>
      <w:r>
        <w:rPr>
          <w:rFonts w:hint="cs"/>
          <w:rtl/>
          <w:lang w:bidi="ar-EG"/>
        </w:rPr>
        <w:tab/>
        <w:t>•</w:t>
      </w:r>
      <w:r>
        <w:rPr>
          <w:rFonts w:hint="cs"/>
          <w:rtl/>
          <w:lang w:bidi="ar-EG"/>
        </w:rPr>
        <w:tab/>
        <w:t>التعاون مع الآلية الحكومية ومنظمات المجتمع المدني لإعداد الورقة الدورية رقم 5 بشأن المساواة بين الجنسين وا</w:t>
      </w:r>
      <w:r>
        <w:rPr>
          <w:rFonts w:hint="cs"/>
          <w:rtl/>
          <w:lang w:bidi="ar-EG"/>
        </w:rPr>
        <w:t>لتنمية.</w:t>
      </w:r>
    </w:p>
    <w:p w:rsidR="00000000" w:rsidRDefault="00D8679F">
      <w:pPr>
        <w:pStyle w:val="SingleTxt"/>
        <w:tabs>
          <w:tab w:val="clear" w:pos="2592"/>
          <w:tab w:val="left" w:pos="2228"/>
        </w:tabs>
        <w:jc w:val="both"/>
        <w:rPr>
          <w:rFonts w:hint="cs"/>
          <w:rtl/>
          <w:lang w:bidi="ar-EG"/>
        </w:rPr>
      </w:pPr>
      <w:r>
        <w:rPr>
          <w:rFonts w:hint="cs"/>
          <w:rtl/>
          <w:lang w:bidi="ar-EG"/>
        </w:rPr>
        <w:t>36 -</w:t>
      </w:r>
      <w:r>
        <w:rPr>
          <w:rFonts w:hint="cs"/>
          <w:rtl/>
          <w:lang w:bidi="ar-EG"/>
        </w:rPr>
        <w:tab/>
        <w:t xml:space="preserve">وما زالت هناك حاجة إلى تقديم المزيد من الدعم للجنة المعنية بالشؤون الجنسانية. ومع أن الحكومة اتخذت خطوات لتسهيل عمليات اللجنة بتوفير الأموال، وحيز المكاتب، وتوزيع الموظفين وبعقد اجتماعات استشارية منتظمة في مجالات تتعلق بالنهوض بالمرأة مثل وضع </w:t>
      </w:r>
      <w:r>
        <w:rPr>
          <w:rFonts w:hint="cs"/>
          <w:rtl/>
          <w:lang w:bidi="ar-EG"/>
        </w:rPr>
        <w:t>استراتيجيات بشأن مشاريع القوانين الجنسانية المطروحة على بساط البحث: مشروع قانون المساواة لعام 2001، ومشروع قانون الرقابة على فيروس نقص المناعة البشرية، ومشروع قانون العنف المنزلي (مشروع قانون حماية الأسرة) ومشروع قانون العمل الإيجابي. وأحد التحديات التي وو</w:t>
      </w:r>
      <w:r>
        <w:rPr>
          <w:rFonts w:hint="cs"/>
          <w:rtl/>
          <w:lang w:bidi="ar-EG"/>
        </w:rPr>
        <w:t>جهت في سن مشاريع القوانين هذه لتصبح قانونا يتمثل في الجدول المشحون للبرلمان وحقيقة أن مشاريع القوانين تمر عبر المجلس التشريعي بمعدل يقل عن عشرة مشاريع في العام. وكان عام 2005 بطيئا بوجه خاص نظرا لانشغال البرلمان بمسألة الدستور</w:t>
      </w:r>
      <w:r>
        <w:rPr>
          <w:rFonts w:hint="eastAsia"/>
          <w:rtl/>
          <w:lang w:bidi="ar-EG"/>
        </w:rPr>
        <w:t> </w:t>
      </w:r>
      <w:r>
        <w:rPr>
          <w:rFonts w:hint="cs"/>
          <w:rtl/>
          <w:lang w:bidi="ar-EG"/>
        </w:rPr>
        <w:t>الجديد.</w:t>
      </w:r>
    </w:p>
    <w:p w:rsidR="00000000" w:rsidRDefault="00D8679F">
      <w:pPr>
        <w:pStyle w:val="SingleTxt"/>
        <w:tabs>
          <w:tab w:val="clear" w:pos="2592"/>
          <w:tab w:val="left" w:pos="2228"/>
        </w:tabs>
        <w:jc w:val="both"/>
        <w:rPr>
          <w:rFonts w:hint="cs"/>
          <w:rtl/>
          <w:lang w:bidi="ar-EG"/>
        </w:rPr>
      </w:pPr>
      <w:r>
        <w:rPr>
          <w:rFonts w:hint="cs"/>
          <w:rtl/>
          <w:lang w:bidi="ar-EG"/>
        </w:rPr>
        <w:t>37 -</w:t>
      </w:r>
      <w:r>
        <w:rPr>
          <w:rFonts w:hint="cs"/>
          <w:rtl/>
          <w:lang w:bidi="ar-EG"/>
        </w:rPr>
        <w:tab/>
        <w:t>والموارد المخصصة</w:t>
      </w:r>
      <w:r>
        <w:rPr>
          <w:rFonts w:hint="cs"/>
          <w:rtl/>
          <w:lang w:bidi="ar-EG"/>
        </w:rPr>
        <w:t xml:space="preserve"> للجنة المعنية بالشؤون الجنسانية ما زالت أقل من الموارد المطلوبة لأداء مهامها. وبوجه خاص، توجد التحديات فيما يتعلق بالمجالات التالية:</w:t>
      </w:r>
    </w:p>
    <w:p w:rsidR="00000000" w:rsidRDefault="00D8679F">
      <w:pPr>
        <w:pStyle w:val="SingleTxt"/>
        <w:tabs>
          <w:tab w:val="clear" w:pos="2592"/>
          <w:tab w:val="left" w:pos="2228"/>
        </w:tabs>
        <w:ind w:left="2228" w:hanging="961"/>
        <w:jc w:val="both"/>
        <w:rPr>
          <w:rFonts w:hint="cs"/>
          <w:rtl/>
          <w:lang w:bidi="ar-EG"/>
        </w:rPr>
      </w:pPr>
      <w:r>
        <w:rPr>
          <w:rFonts w:hint="cs"/>
          <w:rtl/>
          <w:lang w:bidi="ar-EG"/>
        </w:rPr>
        <w:tab/>
        <w:t>•</w:t>
      </w:r>
      <w:r>
        <w:rPr>
          <w:rFonts w:hint="cs"/>
          <w:rtl/>
          <w:lang w:bidi="ar-EG"/>
        </w:rPr>
        <w:tab/>
        <w:t>تحتاج اللجنة المعنية بالشؤون الجنسانية إلى تعزيز هياكلها لكفالة تحقيق الفعالية والكفاءة.</w:t>
      </w:r>
    </w:p>
    <w:p w:rsidR="00000000" w:rsidRDefault="00D8679F">
      <w:pPr>
        <w:pStyle w:val="SingleTxt"/>
        <w:tabs>
          <w:tab w:val="clear" w:pos="2592"/>
          <w:tab w:val="left" w:pos="2228"/>
        </w:tabs>
        <w:ind w:left="2228" w:hanging="961"/>
        <w:jc w:val="both"/>
        <w:rPr>
          <w:rFonts w:hint="cs"/>
          <w:rtl/>
          <w:lang w:bidi="ar-EG"/>
        </w:rPr>
      </w:pPr>
      <w:r>
        <w:rPr>
          <w:rFonts w:hint="cs"/>
          <w:rtl/>
          <w:lang w:bidi="ar-EG"/>
        </w:rPr>
        <w:tab/>
        <w:t>•</w:t>
      </w:r>
      <w:r>
        <w:rPr>
          <w:rFonts w:hint="cs"/>
          <w:rtl/>
          <w:lang w:bidi="ar-EG"/>
        </w:rPr>
        <w:tab/>
        <w:t>كانت مستويات التمويل تكفي ل</w:t>
      </w:r>
      <w:r>
        <w:rPr>
          <w:rFonts w:hint="cs"/>
          <w:rtl/>
          <w:lang w:bidi="ar-EG"/>
        </w:rPr>
        <w:t>تمكين اللجنة المعنية بالشؤون الجنسانية من أداء ولايتها بصورة كاملة.</w:t>
      </w:r>
    </w:p>
    <w:p w:rsidR="00000000" w:rsidRDefault="00D8679F">
      <w:pPr>
        <w:pStyle w:val="SingleTxt"/>
        <w:ind w:left="1930" w:hanging="663"/>
        <w:jc w:val="both"/>
        <w:rPr>
          <w:rFonts w:hint="cs"/>
          <w:rtl/>
          <w:lang w:bidi="ar-EG"/>
        </w:rPr>
      </w:pPr>
      <w:r>
        <w:rPr>
          <w:rFonts w:hint="cs"/>
          <w:rtl/>
          <w:lang w:bidi="ar-EG"/>
        </w:rPr>
        <w:tab/>
        <w:t>وستبحث الحكومة عن طرق لتعزيز تمويل اللجنة بسبب ضخامة المهمة المكلفة بها. ولذلك فإن الحكومة ملتزمة بتوفير دعم أكبر للجنة من ناحية التمويل لتمكينها من الاضطلاع بولايتها بفعالية.</w:t>
      </w:r>
    </w:p>
    <w:p w:rsidR="00000000" w:rsidRDefault="00D8679F">
      <w:pPr>
        <w:pStyle w:val="SingleTxt"/>
        <w:jc w:val="both"/>
        <w:rPr>
          <w:rFonts w:hint="cs"/>
          <w:rtl/>
          <w:lang w:bidi="ar-EG"/>
        </w:rPr>
      </w:pPr>
      <w:r>
        <w:rPr>
          <w:rFonts w:hint="cs"/>
          <w:rtl/>
          <w:lang w:bidi="ar-EG"/>
        </w:rPr>
        <w:t>38 -</w:t>
      </w:r>
      <w:r>
        <w:rPr>
          <w:rFonts w:hint="cs"/>
          <w:rtl/>
          <w:lang w:bidi="ar-EG"/>
        </w:rPr>
        <w:tab/>
        <w:t>أما مش</w:t>
      </w:r>
      <w:r>
        <w:rPr>
          <w:rFonts w:hint="cs"/>
          <w:rtl/>
          <w:lang w:bidi="ar-EG"/>
        </w:rPr>
        <w:t>روع قانون الجرائم الجنسية الذي انقضت مدته فقد حظي بدعم الحكومة بسبب تصاعد حالات العنف ضد المرأة مثل الاغتصاب. وقد ارتفع عدد الحالات المُبلغ عنها من 675</w:t>
      </w:r>
      <w:r>
        <w:rPr>
          <w:rFonts w:hint="eastAsia"/>
          <w:rtl/>
          <w:lang w:bidi="ar-EG"/>
        </w:rPr>
        <w:t> </w:t>
      </w:r>
      <w:r>
        <w:rPr>
          <w:rFonts w:hint="cs"/>
          <w:rtl/>
          <w:lang w:bidi="ar-EG"/>
        </w:rPr>
        <w:t>1 حالة في عام 2000 إلى 908 2 حالات في عام 2004. وكدليل على حسن النية، أسهمت الحكومة أيضا بحوالي 4 ملايين</w:t>
      </w:r>
      <w:r>
        <w:rPr>
          <w:rFonts w:hint="cs"/>
          <w:rtl/>
          <w:lang w:bidi="ar-EG"/>
        </w:rPr>
        <w:t xml:space="preserve"> من الشلنات الكينية من أجل مستشفى نيروبي للنساء للجهود التي يبذلها لتوفير الرعاية الطبية لضحايا العنف القائم على نوع الجنس. وتمويل المستشفى الذي يعتمد على النوايا الحسنة من الجمهور ما زال يمثل تحديا.</w:t>
      </w:r>
    </w:p>
    <w:p w:rsidR="00000000" w:rsidRDefault="00D8679F">
      <w:pPr>
        <w:pStyle w:val="SingleTxt"/>
        <w:jc w:val="both"/>
        <w:rPr>
          <w:rFonts w:hint="cs"/>
          <w:rtl/>
          <w:lang w:bidi="ar-EG"/>
        </w:rPr>
      </w:pPr>
      <w:r>
        <w:rPr>
          <w:rFonts w:hint="cs"/>
          <w:rtl/>
          <w:lang w:bidi="ar-EG"/>
        </w:rPr>
        <w:t>39 -</w:t>
      </w:r>
      <w:r>
        <w:rPr>
          <w:rFonts w:hint="cs"/>
          <w:rtl/>
          <w:lang w:bidi="ar-EG"/>
        </w:rPr>
        <w:tab/>
        <w:t xml:space="preserve">وإنفاذ </w:t>
      </w:r>
      <w:r>
        <w:rPr>
          <w:rFonts w:hint="cs"/>
          <w:i/>
          <w:iCs/>
          <w:rtl/>
          <w:lang w:bidi="ar-EG"/>
        </w:rPr>
        <w:t>قانون الأشخاص ذوي الإعاقات، الفصل 14 من مجمو</w:t>
      </w:r>
      <w:r>
        <w:rPr>
          <w:rFonts w:hint="cs"/>
          <w:i/>
          <w:iCs/>
          <w:rtl/>
          <w:lang w:bidi="ar-EG"/>
        </w:rPr>
        <w:t>عة قوانين كينيا (2003)</w:t>
      </w:r>
      <w:r>
        <w:rPr>
          <w:rFonts w:hint="cs"/>
          <w:rtl/>
          <w:lang w:bidi="ar-EG"/>
        </w:rPr>
        <w:t xml:space="preserve"> الذي ينشئ مجلس الأشخاص ذوي الإعاقات يرمي كذلك إلى تعزيز الحقوق المدنية للنساء ذوات الإعاقات وبخاصة فيما يتعلق بعملهن، وسن تقاعدهن وضمان وجود أحكام مناسبة للإعفاء من الضرائب. وتترأس المجلس حاليا سيدة بوصفها المديرة.</w:t>
      </w:r>
    </w:p>
    <w:p w:rsidR="00000000" w:rsidRDefault="00D8679F">
      <w:pPr>
        <w:pStyle w:val="SingleTxt"/>
        <w:jc w:val="both"/>
        <w:rPr>
          <w:rFonts w:hint="cs"/>
          <w:rtl/>
          <w:lang w:bidi="ar-EG"/>
        </w:rPr>
      </w:pPr>
      <w:r>
        <w:rPr>
          <w:rFonts w:hint="cs"/>
          <w:rtl/>
          <w:lang w:bidi="ar-EG"/>
        </w:rPr>
        <w:t>40 -</w:t>
      </w:r>
      <w:r>
        <w:rPr>
          <w:rFonts w:hint="cs"/>
          <w:rtl/>
          <w:lang w:bidi="ar-EG"/>
        </w:rPr>
        <w:tab/>
        <w:t>التقدم الاقتص</w:t>
      </w:r>
      <w:r>
        <w:rPr>
          <w:rFonts w:hint="cs"/>
          <w:rtl/>
          <w:lang w:bidi="ar-EG"/>
        </w:rPr>
        <w:t>ادي للمرأة: يجري بذل الجهود من جانب الحكومة ومنظمات دعم المجتمعات المحلية لتمكين المرأة من الحصول على القروض الصغيرة جدا. والتحديات التي ما</w:t>
      </w:r>
      <w:r>
        <w:rPr>
          <w:rFonts w:hint="eastAsia"/>
          <w:rtl/>
          <w:lang w:bidi="ar-EG"/>
        </w:rPr>
        <w:t> </w:t>
      </w:r>
      <w:r>
        <w:rPr>
          <w:rFonts w:hint="cs"/>
          <w:rtl/>
          <w:lang w:bidi="ar-EG"/>
        </w:rPr>
        <w:t>زالت المرأة تواجهها تشمل الافتقار إلى القدرة من ناحية المهارات والقدرات الإدارية الأخرى التي تمكنها من استغلال الأمو</w:t>
      </w:r>
      <w:r>
        <w:rPr>
          <w:rFonts w:hint="cs"/>
          <w:rtl/>
          <w:lang w:bidi="ar-EG"/>
        </w:rPr>
        <w:t>ال بفعالية لتشغيل المشاريع الصغيرة جدا. وهناك برامج قائمة تهدف إلى بناء قدرة المرأة في مجال تنظيم المشاريع. ويجري إلقاء الضوء على هذه البرامج في إطار التقرير في المادة 14 من هذا التقرير.</w:t>
      </w:r>
    </w:p>
    <w:p w:rsidR="00000000" w:rsidRDefault="00D8679F">
      <w:pPr>
        <w:pStyle w:val="SingleTxt"/>
        <w:jc w:val="both"/>
        <w:rPr>
          <w:rFonts w:hint="cs"/>
          <w:rtl/>
          <w:lang w:bidi="ar-EG"/>
        </w:rPr>
      </w:pPr>
      <w:r>
        <w:rPr>
          <w:rFonts w:hint="cs"/>
          <w:rtl/>
          <w:lang w:bidi="ar-EG"/>
        </w:rPr>
        <w:t>41 -</w:t>
      </w:r>
      <w:r>
        <w:rPr>
          <w:rFonts w:hint="cs"/>
          <w:rtl/>
          <w:lang w:bidi="ar-EG"/>
        </w:rPr>
        <w:tab/>
        <w:t xml:space="preserve">التقدم الثقافي للمرأة: هناك جهود تبذلها الحكومة عن طريق الإدارة </w:t>
      </w:r>
      <w:r>
        <w:rPr>
          <w:rFonts w:hint="cs"/>
          <w:rtl/>
          <w:lang w:bidi="ar-EG"/>
        </w:rPr>
        <w:t>الإقليمية بالتعاون مع منظمات المجتمع المدني لمكافحة الممارسات الاجتماعية السلبية مثل تشويه الأعضاء التناسلية للإناث والزواج المبكر. وقد عولجت هذه القضية في الفقرة 27 أعلاه بالمثال المتعلق بالطقوس البديلة إحتفالا بالانتقال من مرحلة إلى أخرى. كما أن النساء ا</w:t>
      </w:r>
      <w:r>
        <w:rPr>
          <w:rFonts w:hint="cs"/>
          <w:rtl/>
          <w:lang w:bidi="ar-EG"/>
        </w:rPr>
        <w:t>للائي نجحن في الإفلات من طقوس الختان مثل عضوات البرلمان، يعبرن عن رأيهن بحرية ضد تشويه الأعضاء التناسلية للإناث. وفي الوقت ذاته، هناك استخدام ابتكاري للممارسات الثقافية الإيجابية لتعزيز حقوق المرأة. وفي مقاطعة نيانزا، على سبيل المثال، تعمل اللجنة الوطنية ل</w:t>
      </w:r>
      <w:r>
        <w:rPr>
          <w:rFonts w:hint="cs"/>
          <w:rtl/>
          <w:lang w:bidi="ar-EG"/>
        </w:rPr>
        <w:t>حقوق الإنسان في كينيا في مشروع تستخدم فيه الحقيقة القائلة بأنه من الناحية التقليدية يُفترض أن يراعي المجتمع المحلي الأراملة، وأن يعيد الأراملة اللائي انتزعت حيازتهن إلى أرضهن.</w:t>
      </w:r>
    </w:p>
    <w:p w:rsidR="00000000" w:rsidRDefault="00D8679F">
      <w:pPr>
        <w:pStyle w:val="SingleTxt"/>
        <w:jc w:val="both"/>
        <w:rPr>
          <w:rFonts w:hint="cs"/>
          <w:rtl/>
          <w:lang w:bidi="ar-EG"/>
        </w:rPr>
      </w:pPr>
      <w:r>
        <w:rPr>
          <w:rFonts w:hint="cs"/>
          <w:rtl/>
          <w:lang w:bidi="ar-EG"/>
        </w:rPr>
        <w:t>42 -</w:t>
      </w:r>
      <w:r>
        <w:rPr>
          <w:rFonts w:hint="cs"/>
          <w:rtl/>
          <w:lang w:bidi="ar-EG"/>
        </w:rPr>
        <w:tab/>
        <w:t>اللجنة الوزارية المشتركة المعنية بتشويه الأعضاء التناسلية للإناث: جرى تحديد</w:t>
      </w:r>
      <w:r>
        <w:rPr>
          <w:rFonts w:hint="cs"/>
          <w:rtl/>
          <w:lang w:bidi="ar-EG"/>
        </w:rPr>
        <w:t xml:space="preserve"> وزارة الشؤون الجنسانية والألعاب الرياضية والثقافة والخدمات الاجتماعية بوصفها مركز التنسيق الوطني لتنسيق جميع المبادرات المتعلقة بتشويه الأعضاء التناسلية للإناث. وكان هذا بدافع الاعتراف بأن تشويه الأعضاء التناسلية للإناث يمثل قضية جنسانية تؤثر على العلاقات</w:t>
      </w:r>
      <w:r>
        <w:rPr>
          <w:rFonts w:hint="cs"/>
          <w:rtl/>
          <w:lang w:bidi="ar-EG"/>
        </w:rPr>
        <w:t xml:space="preserve"> بين النساء ، والرجال والبنين والبنات؛ وهي قضية اجتماعية نظرا لأنها تقرر موافقة المجتمع على صورة الشخص في المجتمع؛ وهي قضية ثقافية ولذلك تمثل مبدأ مفاده أن الشخص من المجتمع المحلي الذي يمارسه قد لا يكون له مكان فيه إذا لم يكن مختونا. وتشويه الأعضاء التناسل</w:t>
      </w:r>
      <w:r>
        <w:rPr>
          <w:rFonts w:hint="cs"/>
          <w:rtl/>
          <w:lang w:bidi="ar-EG"/>
        </w:rPr>
        <w:t>ية للإناث قضية صحية أيضا نظرا لأن العملية تؤثر سلبيا على صحة النساء والفتيات اللائي تجرى لهن العملية. والتنسيق الذي تقوم به الوزارة يشمل الدعوة على الصعيد الوطني وصعيد المجتمع المحلي، وتوجيه السياسة العامة ووضع مبادرات جديدة. وقد أنشئت لجنة مشتركة بين الوز</w:t>
      </w:r>
      <w:r>
        <w:rPr>
          <w:rFonts w:hint="cs"/>
          <w:rtl/>
          <w:lang w:bidi="ar-EG"/>
        </w:rPr>
        <w:t>ارات معنية بتشويه الأعضاء التناسلية للإناث ووضعت خطة عمل لتسهيل تنفيذ خطة العمل الوطنية المتعلقة بتشويه الأعضاء التناسلية للإناث. وبالإضافة إلى ذلك أمرت الحكومة، بالتعاون مع صندوق الأمم المتحدة للسكان، بإجراء تحليل للحالة بشأن تشويه الأعضاء التناسلية للإنا</w:t>
      </w:r>
      <w:r>
        <w:rPr>
          <w:rFonts w:hint="cs"/>
          <w:rtl/>
          <w:lang w:bidi="ar-EG"/>
        </w:rPr>
        <w:t>ث ستشكل نتائجه الأساس للتدخل مستقبلا فيما يتعلق بتشويه الأعضاء التناسلية للإناث.</w:t>
      </w:r>
    </w:p>
    <w:p w:rsidR="00000000" w:rsidRDefault="00D8679F">
      <w:pPr>
        <w:pStyle w:val="SingleTxt"/>
        <w:jc w:val="both"/>
        <w:rPr>
          <w:rFonts w:hint="cs"/>
          <w:rtl/>
          <w:lang w:bidi="ar-EG"/>
        </w:rPr>
      </w:pPr>
      <w:r>
        <w:rPr>
          <w:rFonts w:hint="cs"/>
          <w:rtl/>
          <w:lang w:bidi="ar-EG"/>
        </w:rPr>
        <w:t>43 -</w:t>
      </w:r>
      <w:r>
        <w:rPr>
          <w:rFonts w:hint="cs"/>
          <w:rtl/>
          <w:lang w:bidi="ar-EG"/>
        </w:rPr>
        <w:tab/>
        <w:t>والسياسة الوطنية للشؤون الجنسانية والتنمية تعالج أيضا الشواغل التعليمية للأطفال المولودين بإعاقات. والدراسة الاستقصائية المتعلقة بالأشخاص ذوي الإعاقات التي ستجرى في عام 2</w:t>
      </w:r>
      <w:r>
        <w:rPr>
          <w:rFonts w:hint="cs"/>
          <w:rtl/>
          <w:lang w:bidi="ar-EG"/>
        </w:rPr>
        <w:t>006 ستوفر أيضا بيانات تمس الحاجة إليها ستكون أداة إرشادية لرسم السياسات والبرامج المتعلقة بالأشخاص ذوي الإعاقات.</w:t>
      </w:r>
    </w:p>
    <w:p w:rsidR="00000000" w:rsidRDefault="00D8679F">
      <w:pPr>
        <w:pStyle w:val="SingleTxt"/>
        <w:jc w:val="both"/>
        <w:rPr>
          <w:rFonts w:hint="cs"/>
          <w:rtl/>
          <w:lang w:bidi="ar-EG"/>
        </w:rPr>
      </w:pPr>
      <w:r>
        <w:rPr>
          <w:rFonts w:hint="cs"/>
          <w:rtl/>
          <w:lang w:bidi="ar-EG"/>
        </w:rPr>
        <w:t>44 -</w:t>
      </w:r>
      <w:r>
        <w:rPr>
          <w:rFonts w:hint="cs"/>
          <w:rtl/>
          <w:lang w:bidi="ar-EG"/>
        </w:rPr>
        <w:tab/>
        <w:t>وهناك جهود أخرى ترمي إلى تحسين حصول الأشخاص ذوي الإعاقات على التأهيل، والتعليم والتدريب والعمل. وهذه الجهود تشمل تنفيذ سياسات ترمي إلى ضما</w:t>
      </w:r>
      <w:r>
        <w:rPr>
          <w:rFonts w:hint="cs"/>
          <w:rtl/>
          <w:lang w:bidi="ar-EG"/>
        </w:rPr>
        <w:t xml:space="preserve">ن حصول البنات والبنين ذوي الإعاقات على التعليم المناسب في بيئات متكاملة مع إيلاء اهتمام خاص للأطفال في المناطق الريفية؛ وتدريب الشباب، والنساء، والرجال على المهارات المناسبة الصالحة للعرض في السوق بما في ذلك التخفيضات الضريبية والحوافز. وبعض التحديات تشمل </w:t>
      </w:r>
      <w:r>
        <w:rPr>
          <w:rFonts w:hint="cs"/>
          <w:rtl/>
          <w:lang w:bidi="ar-EG"/>
        </w:rPr>
        <w:t>إنفاذ قانون الأشخاص ذوي الإعاقات. ويقضي القانون بتصميم المباني بحيث يسهل دخول الأشخاص ذوي الإعاقات إليها، ولم تتقيد جميع المباني بهذا الشرط. وأحد التحديات التي تواجه في إعمال وتنفيذ القانون يتمثل في كمية التشريعات المتضاربة فيما يتعلق بالأشخاص ذوي الإعاقات</w:t>
      </w:r>
      <w:r>
        <w:rPr>
          <w:rFonts w:hint="cs"/>
          <w:rtl/>
          <w:lang w:bidi="ar-EG"/>
        </w:rPr>
        <w:t>. وبعض المجالات غير المتمشية مع التشريعات الأخرى تشمل سن التقاعد ومنح تخفيضات ضريبية. ولذلك هناك حاجة إلى تحقيق التساوق بين هذه التشريعات.</w:t>
      </w:r>
    </w:p>
    <w:p w:rsidR="00000000" w:rsidRDefault="00D8679F">
      <w:pPr>
        <w:pStyle w:val="SingleTxt"/>
        <w:jc w:val="both"/>
        <w:rPr>
          <w:rFonts w:hint="cs"/>
          <w:rtl/>
          <w:lang w:bidi="ar-EG"/>
        </w:rPr>
      </w:pPr>
      <w:r>
        <w:rPr>
          <w:rFonts w:hint="cs"/>
          <w:rtl/>
          <w:lang w:bidi="ar-EG"/>
        </w:rPr>
        <w:t>45 -</w:t>
      </w:r>
      <w:r>
        <w:rPr>
          <w:rFonts w:hint="cs"/>
          <w:rtl/>
          <w:lang w:bidi="ar-EG"/>
        </w:rPr>
        <w:tab/>
        <w:t>العمل الإيجابي: اعتمدت الحكومة سياسة العمل الإيجابي في قبول الطلبة بالجامعات العامة. ويُسمح بقبول الطالبات والأش</w:t>
      </w:r>
      <w:r>
        <w:rPr>
          <w:rFonts w:hint="cs"/>
          <w:rtl/>
          <w:lang w:bidi="ar-EG"/>
        </w:rPr>
        <w:t xml:space="preserve">خاص ذوي الإعاقات بالجامعات بنقاط أقل قليلا. وهذا يخدم غرضين: أنه يعوِّض عن حالات الظلم التي وقعت في الماضي؛ وأنه يغير المفهوم القائل بأن الرجال وحدهم هم القادرون على الالتحاق بالجامعة. ونرى أن العمل الإيجابي يمثل خطوة نحو عكس اتجاه المواقف الجامدة والنهوض </w:t>
      </w:r>
      <w:r>
        <w:rPr>
          <w:rFonts w:hint="cs"/>
          <w:rtl/>
          <w:lang w:bidi="ar-EG"/>
        </w:rPr>
        <w:t>بمركز المرأة وإتاحة فرص لها لم يكن لها سبيل للوصول إليها من قبل.</w:t>
      </w:r>
    </w:p>
    <w:p w:rsidR="00000000" w:rsidRDefault="00D8679F">
      <w:pPr>
        <w:pStyle w:val="SingleTxt"/>
        <w:jc w:val="both"/>
        <w:rPr>
          <w:rFonts w:hint="cs"/>
          <w:rtl/>
          <w:lang w:bidi="ar-EG"/>
        </w:rPr>
      </w:pPr>
      <w:r>
        <w:rPr>
          <w:rFonts w:hint="cs"/>
          <w:rtl/>
          <w:lang w:bidi="ar-EG"/>
        </w:rPr>
        <w:t>46 -</w:t>
      </w:r>
      <w:r>
        <w:rPr>
          <w:rFonts w:hint="cs"/>
          <w:rtl/>
          <w:lang w:bidi="ar-EG"/>
        </w:rPr>
        <w:tab/>
        <w:t xml:space="preserve">والتحديات التي توجهها هذه الجهود تشمل تنفيذ التشريعات وعدم كفاية الأموال اللازمة لتنفيذ البرامج المستهدفة التي ستوفر المهارات الضرورية وتحقق تغييرات في المواقف تجاه الأشخاص ذوي الإعاقات </w:t>
      </w:r>
      <w:r>
        <w:rPr>
          <w:rFonts w:hint="cs"/>
          <w:rtl/>
          <w:lang w:bidi="ar-EG"/>
        </w:rPr>
        <w:t>التي تعزى إلى العادات والممارسات العميقة الجذور. ويتمثل أحد الشواغل الأخرى في أن الأطفال ذوي الإعاقات الذين يولدون في البيت يُبعدون أحيانا عن أعيُن الجمهور ولذلك لا يُسجلون عند الولادة.</w:t>
      </w:r>
    </w:p>
    <w:p w:rsidR="00000000" w:rsidRDefault="00D8679F">
      <w:pPr>
        <w:pStyle w:val="SingleTxt"/>
        <w:spacing w:after="0" w:line="120" w:lineRule="exact"/>
        <w:ind w:left="1930" w:hanging="663"/>
        <w:jc w:val="both"/>
        <w:rPr>
          <w:rFonts w:hint="cs"/>
          <w:sz w:val="10"/>
          <w:rtl/>
          <w:lang w:bidi="ar-EG"/>
        </w:rPr>
      </w:pPr>
    </w:p>
    <w:p w:rsidR="00000000" w:rsidRDefault="00D867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4: التعجيل بتحقيق المساواة بين المرأة والرجل</w:t>
      </w:r>
    </w:p>
    <w:p w:rsidR="00000000" w:rsidRDefault="00D8679F">
      <w:pPr>
        <w:pStyle w:val="SingleTxt"/>
        <w:jc w:val="both"/>
        <w:rPr>
          <w:rFonts w:hint="cs"/>
          <w:rtl/>
          <w:lang w:bidi="ar-EG"/>
        </w:rPr>
      </w:pPr>
      <w:r>
        <w:rPr>
          <w:rFonts w:hint="cs"/>
          <w:rtl/>
          <w:lang w:bidi="ar-EG"/>
        </w:rPr>
        <w:t>47 -</w:t>
      </w:r>
      <w:r>
        <w:rPr>
          <w:rFonts w:hint="cs"/>
          <w:rtl/>
          <w:lang w:bidi="ar-EG"/>
        </w:rPr>
        <w:tab/>
        <w:t>تورد الورق</w:t>
      </w:r>
      <w:r>
        <w:rPr>
          <w:rFonts w:hint="cs"/>
          <w:rtl/>
          <w:lang w:bidi="ar-EG"/>
        </w:rPr>
        <w:t>ة الدورية رقم 5 لعام 2005 بشأن تحقيق المساواة بين الجنسين والتنمية إطار عمل في المجالات التي يمكن أن يُستخدم فيها العمل الإيجابي لتحقيق المساواة بين الرجل والمرأة. وفي مجال الاشتراك في الحياة السياسية وصنع القرار على سبيل المثال، فإنها تشجع، في المادة 58 (</w:t>
      </w:r>
      <w:r>
        <w:rPr>
          <w:rFonts w:hint="cs"/>
          <w:rtl/>
          <w:lang w:bidi="ar-EG"/>
        </w:rPr>
        <w:t xml:space="preserve">ج)، المنظمات غير الحكومية والمنظمات الأهلية، والجمعيات التعاونية، ونقابات العمال، والهيئات المهنية والقطاع الخاص لضمان زيادة تمثيل المرأة واشتراكها في صنع القرار. وفي المادة 58 (هـ)، تشجع أيضا خلق الوعي وتعزيز اشتراك المرأة بصورة نشطة في العمليات السياسية </w:t>
      </w:r>
      <w:r>
        <w:rPr>
          <w:rFonts w:hint="cs"/>
          <w:rtl/>
          <w:lang w:bidi="ar-EG"/>
        </w:rPr>
        <w:t>وعمليات صنع القرار على مستوى القواعد الشعبية.</w:t>
      </w:r>
    </w:p>
    <w:p w:rsidR="00000000" w:rsidRDefault="00D8679F">
      <w:pPr>
        <w:pStyle w:val="SingleTxt"/>
        <w:jc w:val="both"/>
        <w:rPr>
          <w:rFonts w:hint="cs"/>
          <w:rtl/>
          <w:lang w:bidi="ar-EG"/>
        </w:rPr>
      </w:pPr>
      <w:r>
        <w:rPr>
          <w:rFonts w:hint="cs"/>
          <w:rtl/>
          <w:lang w:bidi="ar-EG"/>
        </w:rPr>
        <w:t>48 -</w:t>
      </w:r>
      <w:r>
        <w:rPr>
          <w:rFonts w:hint="cs"/>
          <w:rtl/>
          <w:lang w:bidi="ar-EG"/>
        </w:rPr>
        <w:tab/>
        <w:t>التعليم: في عام 2000، جرى تطبيق سياسة العمل الإيجابي في التعليم بهدف تحسين فرص التحاق الفتيات بالنظام التعليمي واستبقائهن فيه. وتعمل هذه السياسة عن طريق آليات مثل تخفيض النقاط المطلوبة للقبول بالجامعات الع</w:t>
      </w:r>
      <w:r>
        <w:rPr>
          <w:rFonts w:hint="cs"/>
          <w:rtl/>
          <w:lang w:bidi="ar-EG"/>
        </w:rPr>
        <w:t>امة. وتمثل إجراء إيجابي آخر في وضع سياسة كينيا لإعادة قبول التلميذات الحوامل وتطبيقها في عام 1998. ويتمثل التحدي الذي يُوَاجَه في التنفيذ الفعلي للتدابير بما في ذلك الرصد والتقييم.</w:t>
      </w:r>
    </w:p>
    <w:p w:rsidR="00000000" w:rsidRDefault="00D8679F">
      <w:pPr>
        <w:pStyle w:val="SingleTxt"/>
        <w:jc w:val="both"/>
        <w:rPr>
          <w:rFonts w:hint="cs"/>
          <w:rtl/>
          <w:lang w:bidi="ar-EG"/>
        </w:rPr>
      </w:pPr>
      <w:r>
        <w:rPr>
          <w:rFonts w:hint="cs"/>
          <w:rtl/>
          <w:lang w:bidi="ar-EG"/>
        </w:rPr>
        <w:t>49 -</w:t>
      </w:r>
      <w:r>
        <w:rPr>
          <w:rFonts w:hint="cs"/>
          <w:rtl/>
          <w:lang w:bidi="ar-EG"/>
        </w:rPr>
        <w:tab/>
        <w:t xml:space="preserve">المجالات الأخرى: على المستويات الأخرى، اعتمدت الجمعيات التعاونية التي </w:t>
      </w:r>
      <w:r>
        <w:rPr>
          <w:rFonts w:hint="cs"/>
          <w:rtl/>
          <w:lang w:bidi="ar-EG"/>
        </w:rPr>
        <w:t>تشرف عليها وزارة التعاونيات العمل الإيجابي. ويلزم أن يكون ما لايقل عن ثلث أعضاء مجالس إدارة التعاونيات من النساء لكفالة التمثيل العادل للجنسين. وتضطلع الحكومة حاليا بإجراءات للتأكد من عدد النساء الأعضاء في هذه المجالس فضلا عن طبيعة الواجبات التي تؤدَّى.</w:t>
      </w:r>
    </w:p>
    <w:p w:rsidR="00000000" w:rsidRDefault="00D8679F">
      <w:pPr>
        <w:pStyle w:val="SingleTxt"/>
        <w:jc w:val="both"/>
        <w:rPr>
          <w:rFonts w:hint="cs"/>
          <w:rtl/>
          <w:lang w:bidi="ar-EG"/>
        </w:rPr>
      </w:pPr>
      <w:r>
        <w:rPr>
          <w:rFonts w:hint="cs"/>
          <w:rtl/>
          <w:lang w:bidi="ar-EG"/>
        </w:rPr>
        <w:t>50</w:t>
      </w:r>
      <w:r>
        <w:rPr>
          <w:rFonts w:hint="cs"/>
          <w:rtl/>
          <w:lang w:bidi="ar-EG"/>
        </w:rPr>
        <w:t xml:space="preserve"> -</w:t>
      </w:r>
      <w:r>
        <w:rPr>
          <w:rFonts w:hint="cs"/>
          <w:rtl/>
          <w:lang w:bidi="ar-EG"/>
        </w:rPr>
        <w:tab/>
        <w:t xml:space="preserve">وينص </w:t>
      </w:r>
      <w:r>
        <w:rPr>
          <w:rFonts w:hint="cs"/>
          <w:i/>
          <w:iCs/>
          <w:rtl/>
          <w:lang w:bidi="ar-EG"/>
        </w:rPr>
        <w:t>قانون الصندوق الإنمائي للدوائر الانتخابية، لعام 2003</w:t>
      </w:r>
      <w:r>
        <w:rPr>
          <w:rFonts w:hint="cs"/>
          <w:rtl/>
          <w:lang w:bidi="ar-EG"/>
        </w:rPr>
        <w:t>، على أنه يقتضي أن يكون ثلث أعضاء لجان الصندوق الإنمائي للدوائر الانتخابية من النساء. ومن المتوقع أن يضمن هذا التمثيل سماع صوت المرأة فيما يتعلق بالمشاريع المقرر تنفيذها. ونحن بصدد جمع البيانات ال</w:t>
      </w:r>
      <w:r>
        <w:rPr>
          <w:rFonts w:hint="cs"/>
          <w:rtl/>
          <w:lang w:bidi="ar-EG"/>
        </w:rPr>
        <w:t>متعلقة بتمثيل المرأة في اللجان وكذلك المناصب التي تشغلها من أجل تحديد قدرتها على التأثير على خطة التنمية على صعيد الدوائر الانتخابية. ومن المتوقع أيضا أن يؤدي بدء العمل بالصندوق الإنمائي للدوائر الانتخابية إلى الإسراع بتنمية القواعد الشعبية بتخفيف حدة الفق</w:t>
      </w:r>
      <w:r>
        <w:rPr>
          <w:rFonts w:hint="cs"/>
          <w:rtl/>
          <w:lang w:bidi="ar-EG"/>
        </w:rPr>
        <w:t>ر بين فقراء الريف ومعظمهم من النساء.</w:t>
      </w:r>
    </w:p>
    <w:p w:rsidR="00000000" w:rsidRDefault="00D8679F">
      <w:pPr>
        <w:pStyle w:val="SingleTxt"/>
        <w:jc w:val="both"/>
        <w:rPr>
          <w:rFonts w:hint="cs"/>
          <w:rtl/>
          <w:lang w:bidi="ar-EG"/>
        </w:rPr>
      </w:pPr>
      <w:r>
        <w:rPr>
          <w:rFonts w:hint="cs"/>
          <w:rtl/>
          <w:lang w:bidi="ar-EG"/>
        </w:rPr>
        <w:t>51 -</w:t>
      </w:r>
      <w:r>
        <w:rPr>
          <w:rFonts w:hint="cs"/>
          <w:rtl/>
          <w:lang w:bidi="ar-EG"/>
        </w:rPr>
        <w:tab/>
        <w:t>وقد تقبلت الجمعية التشريعية لشرق أفريقيا العمل الإيجابي بمعنى أنه يقتضي أن يكون تسعة من أعضائها من النساء من البلدان الثلاثة لشرق أفريقيا التي تكون جماعة شرق أفريقيا: كينيا، وأوغندا وتنـزانيا. وقد خالف النظام الساب</w:t>
      </w:r>
      <w:r>
        <w:rPr>
          <w:rFonts w:hint="cs"/>
          <w:rtl/>
          <w:lang w:bidi="ar-EG"/>
        </w:rPr>
        <w:t>ق هذه القاعدة حيث تمثَّل كينيا حاليا بسيدتين بدلا من ثلاث في حين تمثل كل من تنـزانيا وأوغندا بثلاث ممثلات. وكان التبرير المستخدم لإرسال أقل من ثلاث سيدات للجمعية التشريعية لشرق أفريقيا هو أن الآلية الدقيقة لتحقيق تعادل الجنسين لم تحدد بوضوح في معاهدة شرق أ</w:t>
      </w:r>
      <w:r>
        <w:rPr>
          <w:rFonts w:hint="cs"/>
          <w:rtl/>
          <w:lang w:bidi="ar-EG"/>
        </w:rPr>
        <w:t>فريقيا. وما أوضحه ذلك للعاملين في مجال حقوق المرأة الكينية هو أهمية توخي الدقة في اللغة والتشريع المراد به في تعزيز وحماية حقوق المرأة. والانتخابات الوشيكة للجمعية التشريعية لشرق أفريقيا ستتيح لكينيا فرصة لتصحيح هذا الوضع الشاذ.</w:t>
      </w:r>
    </w:p>
    <w:p w:rsidR="00000000" w:rsidRDefault="00D8679F">
      <w:pPr>
        <w:pStyle w:val="SingleTxt"/>
        <w:jc w:val="both"/>
        <w:rPr>
          <w:rFonts w:hint="cs"/>
          <w:rtl/>
          <w:lang w:bidi="ar-EG"/>
        </w:rPr>
      </w:pPr>
      <w:r>
        <w:rPr>
          <w:rFonts w:hint="cs"/>
          <w:rtl/>
          <w:lang w:bidi="ar-EG"/>
        </w:rPr>
        <w:t>52 -</w:t>
      </w:r>
      <w:r>
        <w:rPr>
          <w:rFonts w:hint="cs"/>
          <w:rtl/>
          <w:lang w:bidi="ar-EG"/>
        </w:rPr>
        <w:tab/>
        <w:t>ومن ناحية أخرى، تنص ال</w:t>
      </w:r>
      <w:r>
        <w:rPr>
          <w:rFonts w:hint="cs"/>
          <w:rtl/>
          <w:lang w:bidi="ar-EG"/>
        </w:rPr>
        <w:t xml:space="preserve">مادة 11 (5) من </w:t>
      </w:r>
      <w:r>
        <w:rPr>
          <w:rFonts w:hint="eastAsia"/>
          <w:rtl/>
          <w:lang w:bidi="ar-EG"/>
        </w:rPr>
        <w:t>قانون اللجنة الوطنية المعنية با</w:t>
      </w:r>
      <w:r>
        <w:rPr>
          <w:rFonts w:hint="cs"/>
          <w:rtl/>
          <w:lang w:bidi="ar-EG"/>
        </w:rPr>
        <w:t>لشؤون</w:t>
      </w:r>
      <w:r>
        <w:rPr>
          <w:rFonts w:hint="eastAsia"/>
          <w:rtl/>
          <w:lang w:bidi="ar-EG"/>
        </w:rPr>
        <w:t xml:space="preserve"> الجنس</w:t>
      </w:r>
      <w:r>
        <w:rPr>
          <w:rFonts w:hint="cs"/>
          <w:rtl/>
          <w:lang w:bidi="ar-EG"/>
        </w:rPr>
        <w:t>ان</w:t>
      </w:r>
      <w:r>
        <w:rPr>
          <w:rFonts w:hint="eastAsia"/>
          <w:rtl/>
          <w:lang w:bidi="ar-EG"/>
        </w:rPr>
        <w:t>ي</w:t>
      </w:r>
      <w:r>
        <w:rPr>
          <w:rFonts w:hint="cs"/>
          <w:rtl/>
          <w:lang w:bidi="ar-EG"/>
        </w:rPr>
        <w:t>ة</w:t>
      </w:r>
      <w:r>
        <w:rPr>
          <w:rFonts w:hint="eastAsia"/>
          <w:rtl/>
          <w:lang w:bidi="ar-EG"/>
        </w:rPr>
        <w:t xml:space="preserve"> والتنمية لعام 2003</w:t>
      </w:r>
      <w:r>
        <w:rPr>
          <w:rFonts w:hint="cs"/>
          <w:rtl/>
          <w:lang w:bidi="ar-EG"/>
        </w:rPr>
        <w:t>، على أن يكون مدير اللجنة ونائبه من جنسين مختلفين وألا</w:t>
      </w:r>
      <w:r>
        <w:rPr>
          <w:rFonts w:hint="eastAsia"/>
          <w:rtl/>
          <w:lang w:bidi="ar-EG"/>
        </w:rPr>
        <w:t> </w:t>
      </w:r>
      <w:r>
        <w:rPr>
          <w:rFonts w:hint="cs"/>
          <w:rtl/>
          <w:lang w:bidi="ar-EG"/>
        </w:rPr>
        <w:t>يكون أكثر من ثلثي أعضاء اللجنة من نفس الجنس في أي وقت من الأوقات. ويوجد أيضا حكم مماثل فيما يتعلق بالتشريع المخول للصلاحي</w:t>
      </w:r>
      <w:r>
        <w:rPr>
          <w:rFonts w:hint="cs"/>
          <w:rtl/>
          <w:lang w:bidi="ar-EG"/>
        </w:rPr>
        <w:t>ات للجنة الوطنية لحقوق الإنسان في كينيا، حيث يشغل رجل منصب رئيس اللجنة في حين تشغل سيدة منصب نائبة الرئيس.</w:t>
      </w:r>
    </w:p>
    <w:p w:rsidR="00000000" w:rsidRDefault="00D8679F">
      <w:pPr>
        <w:pStyle w:val="SingleTxt"/>
        <w:jc w:val="both"/>
        <w:rPr>
          <w:rFonts w:hint="cs"/>
          <w:rtl/>
          <w:lang w:bidi="ar-EG"/>
        </w:rPr>
      </w:pPr>
      <w:r>
        <w:rPr>
          <w:rFonts w:hint="cs"/>
          <w:rtl/>
          <w:lang w:bidi="ar-EG"/>
        </w:rPr>
        <w:t>53 -</w:t>
      </w:r>
      <w:r>
        <w:rPr>
          <w:rFonts w:hint="cs"/>
          <w:rtl/>
          <w:lang w:bidi="ar-EG"/>
        </w:rPr>
        <w:tab/>
        <w:t>وهذه التدابير الخاصة تعتبر غير تمييزية لأنه يقصد بها ضمان تعادل المرأة مع الرجل في مجالات محددة من حياتهما.</w:t>
      </w:r>
    </w:p>
    <w:p w:rsidR="00000000" w:rsidRDefault="00D8679F">
      <w:pPr>
        <w:pStyle w:val="SingleTxt"/>
        <w:jc w:val="both"/>
        <w:rPr>
          <w:rFonts w:hint="cs"/>
          <w:rtl/>
          <w:lang w:bidi="ar-EG"/>
        </w:rPr>
      </w:pPr>
      <w:r>
        <w:rPr>
          <w:rFonts w:hint="cs"/>
          <w:rtl/>
          <w:lang w:bidi="ar-EG"/>
        </w:rPr>
        <w:t>54 -</w:t>
      </w:r>
      <w:r>
        <w:rPr>
          <w:rFonts w:hint="cs"/>
          <w:rtl/>
          <w:lang w:bidi="ar-EG"/>
        </w:rPr>
        <w:tab/>
        <w:t>وفيما يتعلق بتنفيذ منهاج عمل بي</w:t>
      </w:r>
      <w:r>
        <w:rPr>
          <w:rFonts w:hint="cs"/>
          <w:rtl/>
          <w:lang w:bidi="ar-EG"/>
        </w:rPr>
        <w:t>جين، تقوم الحكومة بإعداد تقارير مرحلية عن حالة التنفيذ لتقديمها للاجتماعات السنوية للجنة مركز المرأة التي تعقد في نيويورك. ووضع نظام لتتبع وقياس التقدم المحرز في تعميم مراعاة المنظور الجنساني من بين الأنشطة الرئيسية التي ستضطلع بها إدارة الشؤون الجنسانية ف</w:t>
      </w:r>
      <w:r>
        <w:rPr>
          <w:rFonts w:hint="cs"/>
          <w:rtl/>
          <w:lang w:bidi="ar-EG"/>
        </w:rPr>
        <w:t>ي عام 2006 كما هو مبين في الخطة الاستراتيجية للإدارة. وسيُستخدم أيضا هذا النظام لرصد تنفيذ منهاج العمل.</w:t>
      </w:r>
    </w:p>
    <w:p w:rsidR="00000000" w:rsidRDefault="00D8679F">
      <w:pPr>
        <w:pStyle w:val="SingleTxt"/>
        <w:spacing w:after="0" w:line="120" w:lineRule="exact"/>
        <w:ind w:left="1930" w:hanging="663"/>
        <w:jc w:val="both"/>
        <w:rPr>
          <w:rFonts w:hint="cs"/>
          <w:sz w:val="10"/>
          <w:rtl/>
          <w:lang w:bidi="ar-EG"/>
        </w:rPr>
      </w:pPr>
    </w:p>
    <w:p w:rsidR="00000000" w:rsidRDefault="00D867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5 (أ) - أدوار الجنسين والقولبة</w:t>
      </w:r>
    </w:p>
    <w:p w:rsidR="00000000" w:rsidRDefault="00D8679F">
      <w:pPr>
        <w:pStyle w:val="SingleTxt"/>
        <w:jc w:val="both"/>
        <w:rPr>
          <w:rFonts w:hint="cs"/>
          <w:rtl/>
          <w:lang w:bidi="ar-EG"/>
        </w:rPr>
      </w:pPr>
      <w:r>
        <w:rPr>
          <w:rFonts w:hint="cs"/>
          <w:rtl/>
          <w:lang w:bidi="ar-EG"/>
        </w:rPr>
        <w:t>55 -</w:t>
      </w:r>
      <w:r>
        <w:rPr>
          <w:rFonts w:hint="cs"/>
          <w:rtl/>
          <w:lang w:bidi="ar-EG"/>
        </w:rPr>
        <w:tab/>
        <w:t>تسلم حكومة كينيا بالالتزام بتعديل أنماط السلوك الاجتماعية والثقافية التي من المرجح أن تؤدي إلى تحيزات تشوه</w:t>
      </w:r>
      <w:r>
        <w:rPr>
          <w:rFonts w:hint="cs"/>
          <w:rtl/>
          <w:lang w:bidi="ar-EG"/>
        </w:rPr>
        <w:t xml:space="preserve"> المساواة بين الرجل والمرأة. وتُقر الحكومة أيضا بأن اللجنة المعنية بالقضاء على التمييز ضد المرأة قد طلبت إليها أن تتخذ إجراءات بشأن الممارسات الثقافية التي ما زالت ترسخ القوالب الجنسانية الجامدة. وفي هذا الصدد، اضطلعت الحكومة بعدد من التدابير التشريعية وال</w:t>
      </w:r>
      <w:r>
        <w:rPr>
          <w:rFonts w:hint="cs"/>
          <w:rtl/>
          <w:lang w:bidi="ar-EG"/>
        </w:rPr>
        <w:t>سياسية وغيرها الرامية إلى تحقيق هذه الغاية. وهذه التدابير تناقش أدناه.</w:t>
      </w:r>
    </w:p>
    <w:p w:rsidR="00000000" w:rsidRDefault="00D8679F">
      <w:pPr>
        <w:pStyle w:val="SingleTxt"/>
        <w:jc w:val="both"/>
        <w:rPr>
          <w:rFonts w:hint="cs"/>
          <w:rtl/>
          <w:lang w:bidi="ar-EG"/>
        </w:rPr>
      </w:pPr>
      <w:r>
        <w:rPr>
          <w:rFonts w:hint="cs"/>
          <w:rtl/>
          <w:lang w:bidi="ar-EG"/>
        </w:rPr>
        <w:t>56 -</w:t>
      </w:r>
      <w:r>
        <w:rPr>
          <w:rFonts w:hint="cs"/>
          <w:rtl/>
          <w:lang w:bidi="ar-EG"/>
        </w:rPr>
        <w:tab/>
        <w:t>تغيير المناهج الدراسية: أجرت الحكومة استعراضا شاملا للمناهج التعليمية في المدارس الابتدائية والثانوية. والكتب التي صورت المرأة أصلا على أنها عاملة في الجبهة المنزلية وصورت الرجل عل</w:t>
      </w:r>
      <w:r>
        <w:rPr>
          <w:rFonts w:hint="cs"/>
          <w:rtl/>
          <w:lang w:bidi="ar-EG"/>
        </w:rPr>
        <w:t>ى أنه لاعب في الحياة العامة إما أنه أعيد النظر فيها أو ألغيت. ويشجع المقرر الدراسي أيضا البنين والبنات على تعلم الفنون الخلاقة، والتدبير المنزلي (بما في ذلك الطهي، والحبك بالسنارة، وغسل الملابس، وما إلى ذلك) وحتى الألعاب الرياضية. والأمل معقود على أن هذا ا</w:t>
      </w:r>
      <w:r>
        <w:rPr>
          <w:rFonts w:hint="cs"/>
          <w:rtl/>
          <w:lang w:bidi="ar-EG"/>
        </w:rPr>
        <w:t>لمنهاج الجديد سيقطع شوطا طويلا تجاه القضاء على القوالب الجامدة السائدة حاليا. ولما كان المقرر الدراسي يستهدف الأطفال في مراحل حياتهم المبكرة جدا. من المتوقع أن نجد كينيا خالية من القوالب الجامدة التعسفية.</w:t>
      </w:r>
    </w:p>
    <w:p w:rsidR="00000000" w:rsidRDefault="00D8679F">
      <w:pPr>
        <w:pStyle w:val="SingleTxt"/>
        <w:jc w:val="both"/>
        <w:rPr>
          <w:rFonts w:hint="cs"/>
          <w:rtl/>
          <w:lang w:bidi="ar-EG"/>
        </w:rPr>
      </w:pPr>
      <w:r>
        <w:rPr>
          <w:rFonts w:hint="cs"/>
          <w:rtl/>
          <w:lang w:bidi="ar-EG"/>
        </w:rPr>
        <w:t>57 -</w:t>
      </w:r>
      <w:r>
        <w:rPr>
          <w:rFonts w:hint="cs"/>
          <w:rtl/>
          <w:lang w:bidi="ar-EG"/>
        </w:rPr>
        <w:tab/>
        <w:t xml:space="preserve">تنفيذ </w:t>
      </w:r>
      <w:r>
        <w:rPr>
          <w:rFonts w:hint="cs"/>
          <w:i/>
          <w:iCs/>
          <w:rtl/>
          <w:lang w:bidi="ar-EG"/>
        </w:rPr>
        <w:t>قانون الأطفال (2001)</w:t>
      </w:r>
      <w:r>
        <w:rPr>
          <w:rFonts w:hint="cs"/>
          <w:rtl/>
          <w:lang w:bidi="ar-EG"/>
        </w:rPr>
        <w:t>: وقد أدركت حكومة كي</w:t>
      </w:r>
      <w:r>
        <w:rPr>
          <w:rFonts w:hint="cs"/>
          <w:rtl/>
          <w:lang w:bidi="ar-EG"/>
        </w:rPr>
        <w:t>نيا أيضا أن الممارسات الثقافية مثل تشويه الأعضاء التناسلية للإناث وزواج الأطفال القسري المبكر ما</w:t>
      </w:r>
      <w:r>
        <w:rPr>
          <w:rFonts w:hint="eastAsia"/>
          <w:rtl/>
          <w:lang w:bidi="ar-EG"/>
        </w:rPr>
        <w:t> </w:t>
      </w:r>
      <w:r>
        <w:rPr>
          <w:rFonts w:hint="cs"/>
          <w:rtl/>
          <w:lang w:bidi="ar-EG"/>
        </w:rPr>
        <w:t>زالت تمارس بلا هوادة. وفي هذا الصدد، من الجدير بالذكر بوجه خاص أن الحكومة قد سنت قانون الأطفال الذي يحظر، في جملة أمور، الممارسات من قبيل تشويه الأعضاء التناسل</w:t>
      </w:r>
      <w:r>
        <w:rPr>
          <w:rFonts w:hint="cs"/>
          <w:rtl/>
          <w:lang w:bidi="ar-EG"/>
        </w:rPr>
        <w:t>ية للإناث فيما يتعلق بالأطفال دون سن 18 عاما. ويعامل القانون تشويه الأعضاء التناسلية للإناث بوصفه اعتداء على الأطفال ويعاقب عليه القانون. ويمثل القانون أيضا خطوة جريئة ضد ممارسة الزواج المبكر للأطفال التي ما زالت تقوض حقوق الطفلة. ومن المتوقع أن يكون القان</w:t>
      </w:r>
      <w:r>
        <w:rPr>
          <w:rFonts w:hint="cs"/>
          <w:rtl/>
          <w:lang w:bidi="ar-EG"/>
        </w:rPr>
        <w:t>ون علامة على بداية عصر ستتمتع فيه الطفلة بنفس الفرص التي يتمتع بها الطفل. ومن المتوقع أنه يجري عما قريب التخلص من الممارسة الثقافية المتعلقة بتشويه الأعضاء التناسلية للإناث والممارسة المتعلقة بزواج الأطفال المبكر.</w:t>
      </w:r>
    </w:p>
    <w:p w:rsidR="00000000" w:rsidRDefault="00D8679F">
      <w:pPr>
        <w:pStyle w:val="SingleTxt"/>
        <w:jc w:val="both"/>
        <w:rPr>
          <w:rFonts w:hint="cs"/>
          <w:rtl/>
          <w:lang w:bidi="ar-EG"/>
        </w:rPr>
      </w:pPr>
      <w:r>
        <w:rPr>
          <w:rFonts w:hint="cs"/>
          <w:rtl/>
          <w:lang w:bidi="ar-EG"/>
        </w:rPr>
        <w:t>58 -</w:t>
      </w:r>
      <w:r>
        <w:rPr>
          <w:rFonts w:hint="cs"/>
          <w:rtl/>
          <w:lang w:bidi="ar-EG"/>
        </w:rPr>
        <w:tab/>
        <w:t>بيد أن هناك مشاكل ما زالت مرتبطة بتنف</w:t>
      </w:r>
      <w:r>
        <w:rPr>
          <w:rFonts w:hint="cs"/>
          <w:rtl/>
          <w:lang w:bidi="ar-EG"/>
        </w:rPr>
        <w:t>يذ قانون الأطفال. أولا، بالنظر إلى أن مستوى الأمية مرتفع بوجه عام، فإن عددا كبيرا من المواطنين يجهل بالقانون؛ وهذا لا</w:t>
      </w:r>
      <w:r>
        <w:rPr>
          <w:rFonts w:hint="eastAsia"/>
          <w:rtl/>
          <w:lang w:bidi="ar-EG"/>
        </w:rPr>
        <w:t> </w:t>
      </w:r>
      <w:r>
        <w:rPr>
          <w:rFonts w:hint="cs"/>
          <w:rtl/>
          <w:lang w:bidi="ar-EG"/>
        </w:rPr>
        <w:t xml:space="preserve">يساعد في تحقيق الهدف المتمثل في رؤية الأطفال متحررين، في جملة أمور، من تشويه الأعضاء التناسلية للإناث وزواج الأطفال المبكر. وثانيا، لاحظت </w:t>
      </w:r>
      <w:r>
        <w:rPr>
          <w:rFonts w:hint="cs"/>
          <w:rtl/>
          <w:lang w:bidi="ar-EG"/>
        </w:rPr>
        <w:t>الحكومة أنه حتى مع حصانة الأطفال قانونا الآن من الزواج القسري وتشويه الأعضاء التناسلية للإناث، ما زالت المرأة التي تجاوز عمرها 18 عاما مكبلة بهذه القيود ذاتها.</w:t>
      </w:r>
    </w:p>
    <w:p w:rsidR="00000000" w:rsidRDefault="00D8679F">
      <w:pPr>
        <w:pStyle w:val="SingleTxt"/>
        <w:jc w:val="both"/>
        <w:rPr>
          <w:rFonts w:hint="cs"/>
          <w:rtl/>
          <w:lang w:bidi="ar-EG"/>
        </w:rPr>
      </w:pPr>
      <w:r>
        <w:rPr>
          <w:rFonts w:hint="cs"/>
          <w:rtl/>
          <w:lang w:bidi="ar-EG"/>
        </w:rPr>
        <w:t>59 -</w:t>
      </w:r>
      <w:r>
        <w:rPr>
          <w:rFonts w:hint="cs"/>
          <w:rtl/>
          <w:lang w:bidi="ar-EG"/>
        </w:rPr>
        <w:tab/>
      </w:r>
      <w:r>
        <w:rPr>
          <w:rFonts w:hint="cs"/>
          <w:i/>
          <w:iCs/>
          <w:rtl/>
          <w:lang w:bidi="ar-EG"/>
        </w:rPr>
        <w:t>قانون آداب مهنة الموظفين العموميين، لعام 2003</w:t>
      </w:r>
      <w:r>
        <w:rPr>
          <w:rFonts w:hint="cs"/>
          <w:rtl/>
          <w:lang w:bidi="ar-EG"/>
        </w:rPr>
        <w:t>: بعد أن سلَّمت الحكومة بأن تفشي التقولب القائ</w:t>
      </w:r>
      <w:r>
        <w:rPr>
          <w:rFonts w:hint="cs"/>
          <w:rtl/>
          <w:lang w:bidi="ar-EG"/>
        </w:rPr>
        <w:t>م على نوع الجنس ما زال واسع الإنتشار في مكان العمل، فقد سنَّت قانون آداب مهنة الموظفين العموميين لعام 2003. وهذا القانون يُحرِّم الإيذاء الجنسي في مكان العمل؛ ويشجع على تهيئة بيئة عمل تعزز حالة احترام لحقوق الإنسان الأساسية؛ ويقضي بأن يطيع الموظفون العمومي</w:t>
      </w:r>
      <w:r>
        <w:rPr>
          <w:rFonts w:hint="cs"/>
          <w:rtl/>
          <w:lang w:bidi="ar-EG"/>
        </w:rPr>
        <w:t>ون مبادئ المساءلة والشفافية، وأن يحترموها. ومن المتوقع أن تضع جميع اللجان وتنفذ مدونات لقواعد السلوك لمختلف منظمات الخدمات العامة تسترشد بها تلك المنظمات في سلوكها. وقد وضعت بالفعل لجنة الخدمة العامة ولجنة خدمة المدرسين مدونات قواعد سلوك لموظفيها. ونتوقع أ</w:t>
      </w:r>
      <w:r>
        <w:rPr>
          <w:rFonts w:hint="cs"/>
          <w:rtl/>
          <w:lang w:bidi="ar-EG"/>
        </w:rPr>
        <w:t>نه حين يؤون الأوان، سيساعد هذا القانون في القضاء على المضايقات الجنسية في مكان العمل.</w:t>
      </w:r>
    </w:p>
    <w:p w:rsidR="00000000" w:rsidRDefault="00D8679F">
      <w:pPr>
        <w:pStyle w:val="SingleTxt"/>
        <w:jc w:val="both"/>
        <w:rPr>
          <w:rFonts w:hint="cs"/>
          <w:rtl/>
          <w:lang w:bidi="ar-EG"/>
        </w:rPr>
      </w:pPr>
      <w:r>
        <w:rPr>
          <w:rFonts w:hint="cs"/>
          <w:rtl/>
          <w:lang w:bidi="ar-EG"/>
        </w:rPr>
        <w:t>60 -</w:t>
      </w:r>
      <w:r>
        <w:rPr>
          <w:rFonts w:hint="cs"/>
          <w:rtl/>
          <w:lang w:bidi="ar-EG"/>
        </w:rPr>
        <w:tab/>
      </w:r>
      <w:r>
        <w:rPr>
          <w:rFonts w:hint="cs"/>
          <w:i/>
          <w:iCs/>
          <w:rtl/>
          <w:lang w:bidi="ar-EG"/>
        </w:rPr>
        <w:t>قانون اللجنة الوطنية المعنية بالشؤون الجنسانية والتنمية (2003)</w:t>
      </w:r>
      <w:r>
        <w:rPr>
          <w:rFonts w:hint="cs"/>
          <w:rtl/>
          <w:lang w:bidi="ar-EG"/>
        </w:rPr>
        <w:t xml:space="preserve"> واللجنة المعنية بالشؤون الجنسانية: في التاسع من كانون الثاني/يناير عام 2004، دخل </w:t>
      </w:r>
      <w:r>
        <w:rPr>
          <w:rFonts w:hint="cs"/>
          <w:i/>
          <w:iCs/>
          <w:rtl/>
          <w:lang w:bidi="ar-EG"/>
        </w:rPr>
        <w:t xml:space="preserve">قانون اللجنة الوطنية </w:t>
      </w:r>
      <w:r>
        <w:rPr>
          <w:rFonts w:hint="cs"/>
          <w:i/>
          <w:iCs/>
          <w:rtl/>
          <w:lang w:bidi="ar-EG"/>
        </w:rPr>
        <w:t>المعنية بالشؤون الجنسانية والتنمية (2003)</w:t>
      </w:r>
      <w:r>
        <w:rPr>
          <w:rFonts w:hint="cs"/>
          <w:rtl/>
          <w:lang w:bidi="ar-EG"/>
        </w:rPr>
        <w:t>، حيز النفاذ. وهذا القانون ينشئ اللجنة المعنية بالشؤون الجنسانية المكلفة، في جملة أمور، بما يلي:</w:t>
      </w:r>
    </w:p>
    <w:p w:rsidR="00000000" w:rsidRDefault="00D8679F">
      <w:pPr>
        <w:pStyle w:val="SingleTxt"/>
        <w:ind w:left="1930" w:hanging="663"/>
        <w:jc w:val="both"/>
        <w:rPr>
          <w:rFonts w:hint="cs"/>
          <w:rtl/>
          <w:lang w:bidi="ar-EG"/>
        </w:rPr>
      </w:pPr>
      <w:r>
        <w:rPr>
          <w:rFonts w:hint="cs"/>
          <w:rtl/>
          <w:lang w:bidi="ar-EG"/>
        </w:rPr>
        <w:tab/>
      </w:r>
      <w:r>
        <w:rPr>
          <w:rFonts w:hint="cs"/>
          <w:rtl/>
          <w:lang w:bidi="ar-EG"/>
        </w:rPr>
        <w:tab/>
        <w:t xml:space="preserve">تمهيد الطريق لإجراء إصلاحات قانونية بشأن القضايا التي تمس المرأة، ومحاولة التأثير على السلطات بشأنها والدعوة إليها، </w:t>
      </w:r>
      <w:r>
        <w:rPr>
          <w:rFonts w:hint="cs"/>
          <w:rtl/>
          <w:lang w:bidi="ar-EG"/>
        </w:rPr>
        <w:t>وصياغة القوانين، والممارسات والسياسات التي تقضي على جميع أشكال التمييز ضد المرأة في جميع المؤسسات، وكذلك على جميع النظم والممارسات والعادات الضارة بكرامة المرأة.</w:t>
      </w:r>
    </w:p>
    <w:p w:rsidR="00000000" w:rsidRDefault="00D8679F">
      <w:pPr>
        <w:pStyle w:val="SingleTxt"/>
        <w:ind w:left="1930" w:hanging="663"/>
        <w:jc w:val="both"/>
        <w:rPr>
          <w:rFonts w:hint="cs"/>
          <w:rtl/>
          <w:lang w:bidi="ar-EG"/>
        </w:rPr>
      </w:pPr>
      <w:r>
        <w:rPr>
          <w:rFonts w:hint="cs"/>
          <w:rtl/>
          <w:lang w:bidi="ar-EG"/>
        </w:rPr>
        <w:tab/>
        <w:t>وبدأت اللجنة عملها في تشرين الثاني/نوفمبر عام 2004.</w:t>
      </w:r>
    </w:p>
    <w:p w:rsidR="00000000" w:rsidRDefault="00D8679F">
      <w:pPr>
        <w:pStyle w:val="SingleTxt"/>
        <w:jc w:val="both"/>
        <w:rPr>
          <w:rFonts w:hint="cs"/>
          <w:rtl/>
          <w:lang w:bidi="ar-EG"/>
        </w:rPr>
      </w:pPr>
      <w:r>
        <w:rPr>
          <w:rFonts w:hint="cs"/>
          <w:rtl/>
          <w:lang w:bidi="ar-EG"/>
        </w:rPr>
        <w:t>61 -</w:t>
      </w:r>
      <w:r>
        <w:rPr>
          <w:rFonts w:hint="cs"/>
          <w:rtl/>
          <w:lang w:bidi="ar-EG"/>
        </w:rPr>
        <w:tab/>
        <w:t>دعم المنظمات غير الحكومية: تقوم المن</w:t>
      </w:r>
      <w:r>
        <w:rPr>
          <w:rFonts w:hint="cs"/>
          <w:rtl/>
          <w:lang w:bidi="ar-EG"/>
        </w:rPr>
        <w:t>ظمات غير الحكومية بتعزيز السعي لتغيير الثقافات الرجعية. وتدعم الحكومة أيضا - وتواصل تقديم الدعم إلى - المنظمات غير الحكومية العاملة من أجل تحقيق هذه الغاية النبيلة. وعلى سبيل المثال، بدأ صندوق الأمم المتحدة الإنمائي للمرأة برامج تهدف إلى دعم الفتيات اللائي</w:t>
      </w:r>
      <w:r>
        <w:rPr>
          <w:rFonts w:hint="cs"/>
          <w:rtl/>
          <w:lang w:bidi="ar-EG"/>
        </w:rPr>
        <w:t xml:space="preserve"> ترفضهن المجتمعات المحلية الأصلية التي تمارس تشويه الأعضاء التناسلية للإناث. وإحدى الطرق التي ضمنت بها الدولة دعم هذا المسعى تتمثل في تنازلها عن الضرائب المفروضة على جميع التكاليف المنفقة على هذا النوع من العمل.</w:t>
      </w:r>
    </w:p>
    <w:p w:rsidR="00000000" w:rsidRDefault="00D8679F">
      <w:pPr>
        <w:pStyle w:val="SingleTxt"/>
        <w:jc w:val="both"/>
        <w:rPr>
          <w:rFonts w:hint="cs"/>
          <w:rtl/>
          <w:lang w:bidi="ar-EG"/>
        </w:rPr>
      </w:pPr>
      <w:r>
        <w:rPr>
          <w:rFonts w:hint="cs"/>
          <w:rtl/>
          <w:lang w:bidi="ar-EG"/>
        </w:rPr>
        <w:t>62 -</w:t>
      </w:r>
      <w:r>
        <w:rPr>
          <w:rFonts w:hint="cs"/>
          <w:rtl/>
          <w:lang w:bidi="ar-EG"/>
        </w:rPr>
        <w:tab/>
        <w:t xml:space="preserve">ومن الجدير بالذكر أنه ظهر اتجاه إيجابي </w:t>
      </w:r>
      <w:r>
        <w:rPr>
          <w:rFonts w:hint="cs"/>
          <w:rtl/>
          <w:lang w:bidi="ar-EG"/>
        </w:rPr>
        <w:t>في تصوير وسائط الإعلام للمرأة. ويمكن أن يُعزى ذلك إلى الجهود التي تبذلها رابطة العاملات بوسائط الإعلام بكينيا، والمجتمع المدني والحكومة. وسياسات تكنولوجيا المعلومات والاتصالات التي من المقرر أن تنفذها الحكومة تعالج أيضا هذا الشاغل. بيد أن هناك حالات جرى في</w:t>
      </w:r>
      <w:r>
        <w:rPr>
          <w:rFonts w:hint="cs"/>
          <w:rtl/>
          <w:lang w:bidi="ar-EG"/>
        </w:rPr>
        <w:t>ها استغلال المرأة في الإعلانات بصورة غير مناسبة. وعلى سبيل المثال، استمرت بعض إعلانات وسائط الإعلام في تصوير الرجال بأنهم مثقفون، وأغنياء وأقوياء ستولع بهم دائما النساء الجميلات جدا. وفي الوقت ذاته، يتعين أن تكون وسائط الإعلام مع ذلك حساسة للأشخاص ذوي الإع</w:t>
      </w:r>
      <w:r>
        <w:rPr>
          <w:rFonts w:hint="cs"/>
          <w:rtl/>
          <w:lang w:bidi="ar-EG"/>
        </w:rPr>
        <w:t>اقات بوجه عام. وقد ظهرت أيضا وسائل ابتكارية لاستغلال الممارسات الثقافية الإيجابية - وعلى سبيل المثال في مقاطعة نيانزا، تشجع اللجنة الوطنية لحقوق الإنسان في كينيا الممارسة الثقافية لإعالة الأرملة، في حين أنها لا تشجع الممارسة السلبية لوراثة الأرملة. وهذا ال</w:t>
      </w:r>
      <w:r>
        <w:rPr>
          <w:rFonts w:hint="cs"/>
          <w:rtl/>
          <w:lang w:bidi="ar-EG"/>
        </w:rPr>
        <w:t>مشروع يبين أيضا استخدام النهج الهامة ثقافيا للقضاء على الممارسات الثقافية السلبية.</w:t>
      </w:r>
    </w:p>
    <w:p w:rsidR="00000000" w:rsidRDefault="00D8679F">
      <w:pPr>
        <w:pStyle w:val="SingleTxt"/>
        <w:jc w:val="both"/>
        <w:rPr>
          <w:rFonts w:hint="cs"/>
          <w:rtl/>
          <w:lang w:bidi="ar-EG"/>
        </w:rPr>
      </w:pPr>
      <w:r>
        <w:rPr>
          <w:rFonts w:hint="cs"/>
          <w:rtl/>
          <w:lang w:bidi="ar-EG"/>
        </w:rPr>
        <w:t>63 -</w:t>
      </w:r>
      <w:r>
        <w:rPr>
          <w:rFonts w:hint="cs"/>
          <w:rtl/>
          <w:lang w:bidi="ar-EG"/>
        </w:rPr>
        <w:tab/>
        <w:t xml:space="preserve">وبوجه عام، ما زالت الممارسات الثقافية التمييزية، مثل تشويه الأعضاء التناسلية للإناث، والزواج المبكر والقسري مستمرة. وإننا ندرك أن تنظيم وسائط الإعلام كان مهمة صعبة إذا </w:t>
      </w:r>
      <w:r>
        <w:rPr>
          <w:rFonts w:hint="cs"/>
          <w:rtl/>
          <w:lang w:bidi="ar-EG"/>
        </w:rPr>
        <w:t>أخذنا في الاعتبار أن المبدأ الأساسي المتمثل في أنه يجب أن تكون وسائط الإعلام حرة وأن تكون خاضعة لأقل تنظيم ممكن. ونعترف أيضا بأن الممارسات الثقافية تمثل طرق حياة عميقة الجذور ستستغرق بالتأكيد وقتا طويلا لتغييرها.</w:t>
      </w:r>
    </w:p>
    <w:p w:rsidR="00000000" w:rsidRDefault="00D8679F">
      <w:pPr>
        <w:pStyle w:val="SingleTxt"/>
        <w:spacing w:after="0" w:line="120" w:lineRule="exact"/>
        <w:ind w:left="1930" w:hanging="663"/>
        <w:jc w:val="both"/>
        <w:rPr>
          <w:rFonts w:hint="cs"/>
          <w:sz w:val="10"/>
          <w:rtl/>
          <w:lang w:bidi="ar-EG"/>
        </w:rPr>
      </w:pPr>
    </w:p>
    <w:p w:rsidR="00000000" w:rsidRDefault="00D867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6 - قمع استغلال المرأة</w:t>
      </w:r>
    </w:p>
    <w:p w:rsidR="00000000" w:rsidRDefault="00D8679F">
      <w:pPr>
        <w:pStyle w:val="SingleTxt"/>
        <w:jc w:val="both"/>
        <w:rPr>
          <w:rFonts w:hint="cs"/>
          <w:rtl/>
          <w:lang w:bidi="ar-EG"/>
        </w:rPr>
      </w:pPr>
      <w:r>
        <w:rPr>
          <w:rFonts w:hint="cs"/>
          <w:rtl/>
          <w:lang w:bidi="ar-EG"/>
        </w:rPr>
        <w:t>64 -</w:t>
      </w:r>
      <w:r>
        <w:rPr>
          <w:rFonts w:hint="cs"/>
          <w:rtl/>
          <w:lang w:bidi="ar-EG"/>
        </w:rPr>
        <w:tab/>
        <w:t>البغا</w:t>
      </w:r>
      <w:r>
        <w:rPr>
          <w:rFonts w:hint="cs"/>
          <w:rtl/>
          <w:lang w:bidi="ar-EG"/>
        </w:rPr>
        <w:t>ء غير قانوني في البلد ولو أنه موجود في المقام الأول في المناطق الحضرية بسبب النمو السريع للحضر وارتفاع معدلات البطالة ولا سيما للنساء. والتقدير الوطني لعام 2002 لمن هم دون خط الفقر (الذين يعيشون على أقل من دولار واحد من دولارات الولايات المتحدة في اليوم) ب</w:t>
      </w:r>
      <w:r>
        <w:rPr>
          <w:rFonts w:hint="cs"/>
          <w:rtl/>
          <w:lang w:bidi="ar-EG"/>
        </w:rPr>
        <w:t>لغت نسبته 56 في المائة من السكان. وفي مناطق الحضر، يعيش 49.2 في المائة من الرجال تحت خط الفقر مقابل 63 في المائة من نساء الحضر</w:t>
      </w:r>
      <w:r>
        <w:rPr>
          <w:vertAlign w:val="superscript"/>
          <w:rtl/>
          <w:lang w:bidi="ar-EG"/>
        </w:rPr>
        <w:t>(</w:t>
      </w:r>
      <w:r>
        <w:rPr>
          <w:rStyle w:val="FootnoteReference"/>
          <w:rtl/>
        </w:rPr>
        <w:footnoteReference w:id="3"/>
      </w:r>
      <w:r>
        <w:rPr>
          <w:vertAlign w:val="superscript"/>
          <w:rtl/>
          <w:lang w:bidi="ar-EG"/>
        </w:rPr>
        <w:t>)</w:t>
      </w:r>
      <w:r>
        <w:rPr>
          <w:rFonts w:hint="cs"/>
          <w:rtl/>
          <w:lang w:bidi="ar-EG"/>
        </w:rPr>
        <w:t>. ونظرا لأن المرأة محرومة اقتصاديا، فإن أي إنفاذ للقوانين ضد البغاء يؤثر عليها أكثر مما يؤثر على</w:t>
      </w:r>
      <w:r>
        <w:rPr>
          <w:rFonts w:hint="eastAsia"/>
          <w:rtl/>
          <w:lang w:bidi="ar-EG"/>
        </w:rPr>
        <w:t> </w:t>
      </w:r>
      <w:r>
        <w:rPr>
          <w:rFonts w:hint="cs"/>
          <w:rtl/>
          <w:lang w:bidi="ar-EG"/>
        </w:rPr>
        <w:t>الرجل.</w:t>
      </w:r>
    </w:p>
    <w:p w:rsidR="00000000" w:rsidRDefault="00D8679F">
      <w:pPr>
        <w:pStyle w:val="SingleTxt"/>
        <w:jc w:val="both"/>
        <w:rPr>
          <w:rFonts w:hint="cs"/>
          <w:rtl/>
          <w:lang w:bidi="ar-EG"/>
        </w:rPr>
      </w:pPr>
      <w:r>
        <w:rPr>
          <w:rFonts w:hint="cs"/>
          <w:rtl/>
          <w:lang w:bidi="ar-EG"/>
        </w:rPr>
        <w:t>65 -</w:t>
      </w:r>
      <w:r>
        <w:rPr>
          <w:rFonts w:hint="cs"/>
          <w:rtl/>
          <w:lang w:bidi="ar-EG"/>
        </w:rPr>
        <w:tab/>
        <w:t xml:space="preserve">والقوانين الحالية </w:t>
      </w:r>
      <w:r>
        <w:rPr>
          <w:rFonts w:hint="cs"/>
          <w:rtl/>
          <w:lang w:bidi="ar-EG"/>
        </w:rPr>
        <w:t xml:space="preserve">لكينيا بشأن الاشتغال بالجنس على أساس تجاري عتيقة وتميز ضد المرأة كما يتضح في الفقرات التالية. وترد فيما يلي الجزاءات المعمول بها: لم تتغير قوانين كينيا فيما يتعلق بالبغاء منذ تقريرنا الأخير. وتتناول المادة 147 من قانون العقوبات بصورة مسهبة القوادة، في حين </w:t>
      </w:r>
      <w:r>
        <w:rPr>
          <w:rFonts w:hint="cs"/>
          <w:rtl/>
          <w:lang w:bidi="ar-EG"/>
        </w:rPr>
        <w:t>تتناول المادتان 153 و 154 بصورة مسهبة جريمة البغاء. وكل امرأة تعيش عن قصد بصورة كلية أو جزئية على ما تكتسبه من البغاء، أو التي يثبت أنها، لأغراض تحقيق الكسب، مارست الرقابة، أو التوجيه أو التأثير على تحركات إحدى المشتغلات بالجنس على أساس تجاري على نحو يُظهر</w:t>
      </w:r>
      <w:r>
        <w:rPr>
          <w:rFonts w:hint="cs"/>
          <w:rtl/>
          <w:lang w:bidi="ar-EG"/>
        </w:rPr>
        <w:t xml:space="preserve"> أنها تساعدها، أو تحرضها أو ترغمها على البغاء مع أي شخص أو أنها تدير بيت دعارة تكون مذنبة بارتكاب جنحة.</w:t>
      </w:r>
    </w:p>
    <w:p w:rsidR="00000000" w:rsidRDefault="00D8679F">
      <w:pPr>
        <w:pStyle w:val="SingleTxt"/>
        <w:jc w:val="both"/>
        <w:rPr>
          <w:rFonts w:hint="cs"/>
          <w:rtl/>
          <w:lang w:bidi="ar-EG"/>
        </w:rPr>
      </w:pPr>
      <w:r>
        <w:rPr>
          <w:rFonts w:hint="cs"/>
          <w:rtl/>
          <w:lang w:bidi="ar-EG"/>
        </w:rPr>
        <w:t>66 -</w:t>
      </w:r>
      <w:r>
        <w:rPr>
          <w:rFonts w:hint="cs"/>
          <w:rtl/>
          <w:lang w:bidi="ar-EG"/>
        </w:rPr>
        <w:tab/>
        <w:t>ولمنع الاتجار بالنساء واستغلالهن، فإن كل شخص يقود أو يحاول أن يقود أي فتاة أو امرأة دون سن الحادية والعشرين لممارسة البغاء أو لممارسة اتصال جنسي غي</w:t>
      </w:r>
      <w:r>
        <w:rPr>
          <w:rFonts w:hint="cs"/>
          <w:rtl/>
          <w:lang w:bidi="ar-EG"/>
        </w:rPr>
        <w:t>ر مشروع، سواء في كينيا أو في مكان آخر، يكون مذنبا بارتكاب جنحة، ورهنا بأحكام المادة 27 من قانون العقوبات، وحسب تقدير المحكمة، وبالإضافة إلى أي عقوبة بالسجن توقع فيما يتعلق بالجريمة المذكورة، يجوز معاقبته بعقوبة بدينة. وهذا ينطبق على كل شخص يستعمل التهديدات</w:t>
      </w:r>
      <w:r>
        <w:rPr>
          <w:rFonts w:hint="cs"/>
          <w:rtl/>
          <w:lang w:bidi="ar-EG"/>
        </w:rPr>
        <w:t xml:space="preserve"> أو يدبر بصورة خادعة أو يستعمل، أو يُعطي أو يتسبب في أخذ أي امرأة أو فتاة لأي مخدر، أو مادة أو شيء، بقصد تخديرها أو التغلب عليها لتمكين أي شخص من ممارسة الاتصال الجنسي يكون مذنبا بارتكاب جنحة.</w:t>
      </w:r>
    </w:p>
    <w:p w:rsidR="00000000" w:rsidRDefault="00D8679F">
      <w:pPr>
        <w:pStyle w:val="SingleTxt"/>
        <w:jc w:val="both"/>
        <w:rPr>
          <w:rFonts w:hint="cs"/>
          <w:rtl/>
          <w:lang w:bidi="ar-EG"/>
        </w:rPr>
      </w:pPr>
      <w:r>
        <w:rPr>
          <w:rFonts w:hint="cs"/>
          <w:rtl/>
          <w:lang w:bidi="ar-EG"/>
        </w:rPr>
        <w:t>67 -</w:t>
      </w:r>
      <w:r>
        <w:rPr>
          <w:rFonts w:hint="cs"/>
          <w:rtl/>
          <w:lang w:bidi="ar-EG"/>
        </w:rPr>
        <w:tab/>
        <w:t>وتنص المادة 156 من قانون العقوبات على أنه يرتكب جريمة كل ش</w:t>
      </w:r>
      <w:r>
        <w:rPr>
          <w:rFonts w:hint="cs"/>
          <w:rtl/>
          <w:lang w:bidi="ar-EG"/>
        </w:rPr>
        <w:t>خص يدير بيتا للدعارة، أو يستأجر أو يؤجر أي جزء من المبنى مع علمه بأن المبنى أو جزءا منه يستخدم بيتا للدعارة. وقيام شخص ثالث ببيع الخدمات الجنسية التي تقدمها المرأة غير قانوني. وتحظر المادة 151 احتجاز الإناث لأغراض لا أخلاقية في حين تبرر المادة 152 إجراء بح</w:t>
      </w:r>
      <w:r>
        <w:rPr>
          <w:rFonts w:hint="cs"/>
          <w:rtl/>
          <w:lang w:bidi="ar-EG"/>
        </w:rPr>
        <w:t>ث عن المرأة المحتجزة لأغراض لا أخلاقية. وكل شخص يحتجز أي امرأة أو فتاة ضد إرادتها في أي مبنى بقصد قيام أي رجل بالاتصال بها جنسيا بصورة غير مشروعة، يكون مذنبا بارتكاب جنحة. وفي تلك الظروف، إذا هربت امرأة ترتدي ملابس قُصد بها حبسها في ذلك المبنى، لا</w:t>
      </w:r>
      <w:r>
        <w:rPr>
          <w:rFonts w:hint="eastAsia"/>
          <w:rtl/>
          <w:lang w:bidi="ar-EG"/>
        </w:rPr>
        <w:t> </w:t>
      </w:r>
      <w:bookmarkStart w:id="1" w:name="TmpSave"/>
      <w:bookmarkEnd w:id="1"/>
      <w:r>
        <w:rPr>
          <w:rFonts w:hint="cs"/>
          <w:rtl/>
          <w:lang w:bidi="ar-EG"/>
        </w:rPr>
        <w:t>تتخذ ضده</w:t>
      </w:r>
      <w:r>
        <w:rPr>
          <w:rFonts w:hint="cs"/>
          <w:rtl/>
          <w:lang w:bidi="ar-EG"/>
        </w:rPr>
        <w:t>ا أي إجراءات قانونية.</w:t>
      </w:r>
    </w:p>
    <w:p w:rsidR="00000000" w:rsidRDefault="00D8679F">
      <w:pPr>
        <w:pStyle w:val="SingleTxt"/>
        <w:jc w:val="both"/>
        <w:rPr>
          <w:rFonts w:hint="cs"/>
          <w:rtl/>
          <w:lang w:bidi="ar-EG"/>
        </w:rPr>
      </w:pPr>
      <w:r>
        <w:rPr>
          <w:rFonts w:hint="cs"/>
          <w:rtl/>
          <w:lang w:bidi="ar-EG"/>
        </w:rPr>
        <w:t>68 -</w:t>
      </w:r>
      <w:r>
        <w:rPr>
          <w:rFonts w:hint="cs"/>
          <w:rtl/>
          <w:lang w:bidi="ar-EG"/>
        </w:rPr>
        <w:tab/>
        <w:t>وقد ضاعفت حكومة كينيا الجهود المبذولة لمنح المرأة حقوقها بما فيها التشريعات، لقمع جميع أشكال الاتجار بالنساء واستغلال النساء عن طريق البغاء. وعلى هذا المنوال، واصل البلد وضع عدد من التدابير التشريعية لمنع الاتجار بالنساء والفتيات</w:t>
      </w:r>
      <w:r>
        <w:rPr>
          <w:rFonts w:hint="cs"/>
          <w:rtl/>
          <w:lang w:bidi="ar-EG"/>
        </w:rPr>
        <w:t>. وتشمل هذه التدابير توقيع بروتوكول باليرمو بشأن الاتجار بالبشر وإعداد مشروع قانون الاتجار بالأشخاص.</w:t>
      </w:r>
    </w:p>
    <w:p w:rsidR="00000000" w:rsidRDefault="00D8679F">
      <w:pPr>
        <w:pStyle w:val="SingleTxt"/>
        <w:jc w:val="both"/>
        <w:rPr>
          <w:rFonts w:hint="cs"/>
          <w:rtl/>
          <w:lang w:bidi="ar-EG"/>
        </w:rPr>
      </w:pPr>
      <w:r>
        <w:rPr>
          <w:rFonts w:hint="cs"/>
          <w:rtl/>
          <w:lang w:bidi="ar-EG"/>
        </w:rPr>
        <w:t>69 -</w:t>
      </w:r>
      <w:r>
        <w:rPr>
          <w:rFonts w:hint="cs"/>
          <w:rtl/>
          <w:lang w:bidi="ar-EG"/>
        </w:rPr>
        <w:tab/>
        <w:t xml:space="preserve">والحكومة أيضا عضو في لجنة لأصحاب المصلحة أُنشئت في إطار المنظمة الدولية للهجرة من أجل </w:t>
      </w:r>
      <w:r>
        <w:rPr>
          <w:rFonts w:hint="eastAsia"/>
          <w:rtl/>
          <w:lang w:bidi="ar-EG"/>
        </w:rPr>
        <w:t xml:space="preserve">”مكافحة الاتجار </w:t>
      </w:r>
      <w:r>
        <w:rPr>
          <w:rFonts w:hint="cs"/>
          <w:rtl/>
          <w:lang w:bidi="ar-EG"/>
        </w:rPr>
        <w:t xml:space="preserve">بالبشر </w:t>
      </w:r>
      <w:r>
        <w:rPr>
          <w:rFonts w:hint="eastAsia"/>
          <w:rtl/>
          <w:lang w:bidi="ar-EG"/>
        </w:rPr>
        <w:t>في كينيا</w:t>
      </w:r>
      <w:r>
        <w:rPr>
          <w:rFonts w:hint="cs"/>
          <w:rtl/>
          <w:lang w:bidi="ar-EG"/>
        </w:rPr>
        <w:t>: مبادرة متعلقة ببناء القدرات وزي</w:t>
      </w:r>
      <w:r>
        <w:rPr>
          <w:rFonts w:hint="cs"/>
          <w:rtl/>
          <w:lang w:bidi="ar-EG"/>
        </w:rPr>
        <w:t>ادة الوعي</w:t>
      </w:r>
      <w:r>
        <w:rPr>
          <w:rFonts w:cs="Times New Roman"/>
          <w:rtl/>
          <w:lang w:bidi="ar-EG"/>
        </w:rPr>
        <w:t>“</w:t>
      </w:r>
      <w:r>
        <w:rPr>
          <w:rFonts w:hint="eastAsia"/>
          <w:rtl/>
          <w:lang w:bidi="ar-EG"/>
        </w:rPr>
        <w:t xml:space="preserve">. </w:t>
      </w:r>
      <w:r>
        <w:rPr>
          <w:rFonts w:hint="cs"/>
          <w:rtl/>
          <w:lang w:bidi="ar-EG"/>
        </w:rPr>
        <w:t>وتعمل اللجنة، بوصفها منتدى لمناقشة أنشطة أصحاب المصلحة في مكافحة الاتجار بالبشر. وتجري مناقشة استراتيجية متعلقة ببناء قدرات الحكومة ومنظمات المجتمع المدني لمكافحة الاتجار بالبشر في كينيا.</w:t>
      </w:r>
    </w:p>
    <w:p w:rsidR="00000000" w:rsidRDefault="00D8679F">
      <w:pPr>
        <w:pStyle w:val="SingleTxt"/>
        <w:jc w:val="both"/>
        <w:rPr>
          <w:rFonts w:hint="cs"/>
          <w:rtl/>
          <w:lang w:bidi="ar-EG"/>
        </w:rPr>
      </w:pPr>
      <w:r>
        <w:rPr>
          <w:rFonts w:hint="cs"/>
          <w:rtl/>
          <w:lang w:bidi="ar-EG"/>
        </w:rPr>
        <w:t>70 -</w:t>
      </w:r>
      <w:r>
        <w:rPr>
          <w:rFonts w:hint="cs"/>
          <w:rtl/>
          <w:lang w:bidi="ar-EG"/>
        </w:rPr>
        <w:tab/>
        <w:t>وانضمت الحكومة إلى اتفاقية الأمم المتحدة لمكافحة ال</w:t>
      </w:r>
      <w:r>
        <w:rPr>
          <w:rFonts w:hint="cs"/>
          <w:rtl/>
          <w:lang w:bidi="ar-EG"/>
        </w:rPr>
        <w:t>جريمة المنظمة عبر الوطنية في حزيران/يونيه عام 2004 التي تتناول بإسهاب قضية الاتجار بالبشر.</w:t>
      </w:r>
    </w:p>
    <w:p w:rsidR="00000000" w:rsidRDefault="00D8679F">
      <w:pPr>
        <w:pStyle w:val="SingleTxt"/>
        <w:jc w:val="both"/>
        <w:rPr>
          <w:rFonts w:hint="cs"/>
          <w:rtl/>
          <w:lang w:bidi="ar-EG"/>
        </w:rPr>
      </w:pPr>
      <w:r>
        <w:rPr>
          <w:rFonts w:hint="cs"/>
          <w:rtl/>
          <w:lang w:bidi="ar-EG"/>
        </w:rPr>
        <w:t>71 -</w:t>
      </w:r>
      <w:r>
        <w:rPr>
          <w:rFonts w:hint="cs"/>
          <w:rtl/>
          <w:lang w:bidi="ar-EG"/>
        </w:rPr>
        <w:tab/>
        <w:t>وأنشأت الحكومة أيضا وحدة شرطة مكافحة الاتجار بالبشر في إطار إدارة الشرطة للقيام على وجه التحديد بالتحقيق في حالات التبني الدولي المشتبه فيها، والسياحة الجنسية ا</w:t>
      </w:r>
      <w:r>
        <w:rPr>
          <w:rFonts w:hint="cs"/>
          <w:rtl/>
          <w:lang w:bidi="ar-EG"/>
        </w:rPr>
        <w:t>لتجارية للأطفال واستغلالهم في البغاء  أيضا. وقد حصلت وحدة الشرطة هذه على تدريب خاص لبناء قدرتها على تحديد مجالات الخطر وحالات التبني التي تعادل الاتجار بالبشر.</w:t>
      </w:r>
    </w:p>
    <w:p w:rsidR="00000000" w:rsidRDefault="00D8679F">
      <w:pPr>
        <w:pStyle w:val="SingleTxt"/>
        <w:jc w:val="both"/>
        <w:rPr>
          <w:rFonts w:hint="cs"/>
          <w:rtl/>
          <w:lang w:bidi="ar-EG"/>
        </w:rPr>
      </w:pPr>
      <w:r>
        <w:rPr>
          <w:rFonts w:hint="cs"/>
          <w:rtl/>
          <w:lang w:bidi="ar-EG"/>
        </w:rPr>
        <w:t>72 -</w:t>
      </w:r>
      <w:r>
        <w:rPr>
          <w:rFonts w:hint="cs"/>
          <w:rtl/>
          <w:lang w:bidi="ar-EG"/>
        </w:rPr>
        <w:tab/>
        <w:t xml:space="preserve">ويجوز أن يَمثل الوالدان أو الأوصياء أمام القاضي أو القاضي الجزئي لاستعادة امرأة أو فتاة من </w:t>
      </w:r>
      <w:r>
        <w:rPr>
          <w:rFonts w:hint="cs"/>
          <w:rtl/>
          <w:lang w:bidi="ar-EG"/>
        </w:rPr>
        <w:t>الاحتجاز غير المشروع لأغراض لا أخلاقية. وفي تلك الحالة، يجوز إصدار أمر بحث عن المرأة لإعادتها إلى والديها أو للتصرف معها على نحو آخر حسبما تسمح الظروف وتقتضي. وبنفس الأمر أو بأي أمر آخر، للقاضي الجزئي الذي يصدر أمرا بموجب المادة 152 (1) من قانون العقوبات أ</w:t>
      </w:r>
      <w:r>
        <w:rPr>
          <w:rFonts w:hint="cs"/>
          <w:rtl/>
          <w:lang w:bidi="ar-EG"/>
        </w:rPr>
        <w:t>ن يأمر باعتقال أي شخص متهم باحتجاز امرأة أو فتاة بصورة غير مشروعة وإحضاره أمام قاض جزئي والإجراءات التي تتخذ لمعاقبة ذلك الشخص وفقا للقانون. وتعتبر المرأة أو الفتاة محتجزة بصورة غير مشروعة لأغراض لا أخلاقية إذا</w:t>
      </w:r>
      <w:r>
        <w:rPr>
          <w:rFonts w:hint="eastAsia"/>
          <w:rtl/>
          <w:lang w:bidi="ar-EG"/>
        </w:rPr>
        <w:t> </w:t>
      </w:r>
      <w:r>
        <w:rPr>
          <w:rFonts w:hint="cs"/>
          <w:rtl/>
          <w:lang w:bidi="ar-EG"/>
        </w:rPr>
        <w:t>كانت محتجزة بغرض قيام أي رجل بالاتصال بها جنس</w:t>
      </w:r>
      <w:r>
        <w:rPr>
          <w:rFonts w:hint="cs"/>
          <w:rtl/>
          <w:lang w:bidi="ar-EG"/>
        </w:rPr>
        <w:t>يا بصورة غير مشروعة.</w:t>
      </w:r>
    </w:p>
    <w:p w:rsidR="00000000" w:rsidRDefault="00D8679F">
      <w:pPr>
        <w:pStyle w:val="SingleTxt"/>
        <w:jc w:val="both"/>
        <w:rPr>
          <w:rFonts w:hint="cs"/>
          <w:rtl/>
          <w:lang w:bidi="ar-EG"/>
        </w:rPr>
      </w:pPr>
      <w:r>
        <w:rPr>
          <w:rFonts w:hint="cs"/>
          <w:rtl/>
          <w:lang w:bidi="ar-EG"/>
        </w:rPr>
        <w:t>73 -</w:t>
      </w:r>
      <w:r>
        <w:rPr>
          <w:rFonts w:hint="cs"/>
          <w:rtl/>
          <w:lang w:bidi="ar-EG"/>
        </w:rPr>
        <w:tab/>
        <w:t>وقد بدأت الحكومة حملة شاملة قوية جدا لتسجيل المواليد. ونشأ هذا عن استيعابات</w:t>
      </w:r>
      <w:r>
        <w:rPr>
          <w:rFonts w:hint="eastAsia"/>
          <w:rtl/>
          <w:lang w:bidi="ar-EG"/>
        </w:rPr>
        <w:t> </w:t>
      </w:r>
      <w:r>
        <w:rPr>
          <w:rFonts w:hint="cs"/>
          <w:rtl/>
          <w:lang w:bidi="ar-EG"/>
        </w:rPr>
        <w:t>مختلفة:</w:t>
      </w:r>
    </w:p>
    <w:p w:rsidR="00000000" w:rsidRDefault="00D8679F">
      <w:pPr>
        <w:pStyle w:val="SingleTxt"/>
        <w:tabs>
          <w:tab w:val="clear" w:pos="2592"/>
          <w:tab w:val="left" w:pos="2228"/>
        </w:tabs>
        <w:ind w:left="2228" w:hanging="961"/>
        <w:jc w:val="both"/>
        <w:rPr>
          <w:rFonts w:hint="cs"/>
          <w:rtl/>
          <w:lang w:bidi="ar-EG"/>
        </w:rPr>
      </w:pPr>
      <w:r>
        <w:rPr>
          <w:rFonts w:hint="cs"/>
          <w:rtl/>
          <w:lang w:bidi="ar-EG"/>
        </w:rPr>
        <w:tab/>
        <w:t>•</w:t>
      </w:r>
      <w:r>
        <w:rPr>
          <w:rFonts w:hint="cs"/>
          <w:rtl/>
          <w:lang w:bidi="ar-EG"/>
        </w:rPr>
        <w:tab/>
        <w:t>أن أكثر الأطفال عرضة للاتجار بهم هم الذين لم يسجلوا عند الولادة، وعلى هذا النحو، لم تتمكن الحكومة من تتبعهم بسبب عدم الاستدلال عليهم.</w:t>
      </w:r>
    </w:p>
    <w:p w:rsidR="00000000" w:rsidRDefault="00D8679F">
      <w:pPr>
        <w:pStyle w:val="SingleTxt"/>
        <w:tabs>
          <w:tab w:val="clear" w:pos="2592"/>
          <w:tab w:val="left" w:pos="2228"/>
        </w:tabs>
        <w:ind w:left="2228" w:hanging="961"/>
        <w:jc w:val="both"/>
        <w:rPr>
          <w:rFonts w:hint="cs"/>
          <w:rtl/>
          <w:lang w:bidi="ar-EG"/>
        </w:rPr>
      </w:pPr>
      <w:r>
        <w:rPr>
          <w:rFonts w:hint="cs"/>
          <w:rtl/>
          <w:lang w:bidi="ar-EG"/>
        </w:rPr>
        <w:tab/>
        <w:t>•</w:t>
      </w:r>
      <w:r>
        <w:rPr>
          <w:rFonts w:hint="cs"/>
          <w:rtl/>
          <w:lang w:bidi="ar-EG"/>
        </w:rPr>
        <w:tab/>
        <w:t>أنه في</w:t>
      </w:r>
      <w:r>
        <w:rPr>
          <w:rFonts w:hint="cs"/>
          <w:rtl/>
          <w:lang w:bidi="ar-EG"/>
        </w:rPr>
        <w:t xml:space="preserve"> حالات الاستغلال الجنسي للأطفال، واستغلال الأطفال في البغاء، والزواج المبكر والقسري، يصبح من المستحيل للوالدين وللأوصياء على الأطفال المطالبة بحقوقهم لتوفير الحماية لهم حتى من الممارسات الثقافية الضارة بسبب عدم وجود شهادة الميلاد التي لا يمكن أن تصدر إلا ب</w:t>
      </w:r>
      <w:r>
        <w:rPr>
          <w:rFonts w:hint="cs"/>
          <w:rtl/>
          <w:lang w:bidi="ar-EG"/>
        </w:rPr>
        <w:t>التسجيل عند الولادة. ولعدم وجود شهادة ميلاد، يصبح من المستحيل عمليا البرهنة بالفعل على أن الطفل الضحية للأعمال البشعة السالفة الذكر دون السن القانونية بالفعل.</w:t>
      </w:r>
    </w:p>
    <w:p w:rsidR="00000000" w:rsidRDefault="00D8679F">
      <w:pPr>
        <w:pStyle w:val="SingleTxt"/>
        <w:tabs>
          <w:tab w:val="clear" w:pos="2592"/>
          <w:tab w:val="left" w:pos="2228"/>
        </w:tabs>
        <w:ind w:left="2228" w:hanging="961"/>
        <w:jc w:val="both"/>
        <w:rPr>
          <w:rFonts w:hint="cs"/>
          <w:rtl/>
          <w:lang w:bidi="ar-EG"/>
        </w:rPr>
      </w:pPr>
      <w:r>
        <w:rPr>
          <w:rFonts w:hint="cs"/>
          <w:rtl/>
          <w:lang w:bidi="ar-EG"/>
        </w:rPr>
        <w:tab/>
        <w:t>•</w:t>
      </w:r>
      <w:r>
        <w:rPr>
          <w:rFonts w:hint="cs"/>
          <w:rtl/>
          <w:lang w:bidi="ar-EG"/>
        </w:rPr>
        <w:tab/>
        <w:t>أن غالبية الكينيين لا يدركون أهمية التسجيل عند الولادة.</w:t>
      </w:r>
    </w:p>
    <w:p w:rsidR="00000000" w:rsidRDefault="00D8679F">
      <w:pPr>
        <w:pStyle w:val="SingleTxt"/>
        <w:tabs>
          <w:tab w:val="clear" w:pos="2592"/>
          <w:tab w:val="left" w:pos="2228"/>
        </w:tabs>
        <w:jc w:val="both"/>
        <w:rPr>
          <w:rFonts w:hint="cs"/>
          <w:rtl/>
          <w:lang w:bidi="ar-EG"/>
        </w:rPr>
      </w:pPr>
      <w:r>
        <w:rPr>
          <w:rFonts w:hint="cs"/>
          <w:rtl/>
          <w:lang w:bidi="ar-EG"/>
        </w:rPr>
        <w:t>74 -</w:t>
      </w:r>
      <w:r>
        <w:rPr>
          <w:rFonts w:hint="cs"/>
          <w:rtl/>
          <w:lang w:bidi="ar-EG"/>
        </w:rPr>
        <w:tab/>
        <w:t>وهذه الحملة تواجه عدة تحديات من ب</w:t>
      </w:r>
      <w:r>
        <w:rPr>
          <w:rFonts w:hint="cs"/>
          <w:rtl/>
          <w:lang w:bidi="ar-EG"/>
        </w:rPr>
        <w:t xml:space="preserve">ينها المعتقدات الثقافية والاجتماعية التي تمنع تسمية الأطفال قبل مرور فترة زمنية معينة، وبُعد المسافة الجغرافية من المكاتب التي يقتضي التسجيل فيها، والجهل والإجراءات المملة التي ينطوي عليها تسجيل المواليد. وتستعين الحكومة حاليا بالدايات لتسجيل الأطفال نظرا </w:t>
      </w:r>
      <w:r>
        <w:rPr>
          <w:rFonts w:hint="cs"/>
          <w:rtl/>
          <w:lang w:bidi="ar-EG"/>
        </w:rPr>
        <w:t>لأن معظم النساء، ولا</w:t>
      </w:r>
      <w:r>
        <w:rPr>
          <w:rFonts w:hint="eastAsia"/>
          <w:rtl/>
          <w:lang w:bidi="ar-EG"/>
        </w:rPr>
        <w:t> </w:t>
      </w:r>
      <w:r>
        <w:rPr>
          <w:rFonts w:hint="cs"/>
          <w:rtl/>
          <w:lang w:bidi="ar-EG"/>
        </w:rPr>
        <w:t xml:space="preserve">سيما في المناطق الريفية، يلدن في البيت. والمشكلة التي تُواجه تتمثل في أنه مع أن معظم هؤلاء الدايات تدربهن الحكومة على هذا العمل فإنهن يقمن به على أساس عدم التفرغ وعليهن الوفاء بالتزاماتهن المتعلقة بالتسجيل ضمن واجباتهن اليومية. ويتمثل </w:t>
      </w:r>
      <w:r>
        <w:rPr>
          <w:rFonts w:hint="cs"/>
          <w:rtl/>
          <w:lang w:bidi="ar-EG"/>
        </w:rPr>
        <w:t>تحد أكبر في أن غالبيتهن أميات ويتعين عليهن الاعتماد على أطفالهن للتدوين لهن قبل إرسال السجلات إلى الرئيس. وعندئذ يفقد كثير من المعلومات في النقل.</w:t>
      </w:r>
    </w:p>
    <w:p w:rsidR="00000000" w:rsidRDefault="00D8679F">
      <w:pPr>
        <w:pStyle w:val="SingleTxt"/>
        <w:tabs>
          <w:tab w:val="clear" w:pos="2592"/>
          <w:tab w:val="left" w:pos="2228"/>
        </w:tabs>
        <w:jc w:val="both"/>
        <w:rPr>
          <w:rFonts w:hint="cs"/>
          <w:rtl/>
          <w:lang w:bidi="ar-EG"/>
        </w:rPr>
      </w:pPr>
      <w:r>
        <w:rPr>
          <w:rFonts w:hint="cs"/>
          <w:rtl/>
          <w:lang w:bidi="ar-EG"/>
        </w:rPr>
        <w:t>75 -</w:t>
      </w:r>
      <w:r>
        <w:rPr>
          <w:rFonts w:hint="cs"/>
          <w:rtl/>
          <w:lang w:bidi="ar-EG"/>
        </w:rPr>
        <w:tab/>
        <w:t xml:space="preserve">واستغلال الأطفال في البغاء مخالف للقانون على حد سواء. وكل شخص يُخرج بصورة غير مشروعة فتاة غير متزوجة دون </w:t>
      </w:r>
      <w:r>
        <w:rPr>
          <w:rFonts w:hint="cs"/>
          <w:rtl/>
          <w:lang w:bidi="ar-EG"/>
        </w:rPr>
        <w:t>سن السادسة عشر من حضانة أو حماية والديها، أو شخص آخر يرعاها أو يكون مسؤولا عنها قانونا، وضد إرادة والديها أو الشخص الآخر، يكون مذنبا بارتكاب جنحة. وفضلا عن ذلك، تنص المادة 255 من قانون العقوبات على أن كل شخص يأخذ بطريق الغش، أو يُغري، أو يحتجز، أو يتلقى أو</w:t>
      </w:r>
      <w:r>
        <w:rPr>
          <w:rFonts w:hint="cs"/>
          <w:rtl/>
          <w:lang w:bidi="ar-EG"/>
        </w:rPr>
        <w:t xml:space="preserve"> يُؤوي طفلا مغررا به يكون مذنبا بارتكاب جناية ومعرضا للسجن لمدة سبع سنوات.</w:t>
      </w:r>
    </w:p>
    <w:p w:rsidR="00000000" w:rsidRDefault="00D8679F">
      <w:pPr>
        <w:pStyle w:val="SingleTxt"/>
        <w:tabs>
          <w:tab w:val="clear" w:pos="2592"/>
          <w:tab w:val="left" w:pos="2228"/>
        </w:tabs>
        <w:jc w:val="both"/>
        <w:rPr>
          <w:rFonts w:hint="cs"/>
          <w:rtl/>
          <w:lang w:bidi="ar-EG"/>
        </w:rPr>
      </w:pPr>
      <w:r>
        <w:rPr>
          <w:rFonts w:hint="cs"/>
          <w:rtl/>
          <w:lang w:bidi="ar-EG"/>
        </w:rPr>
        <w:t>76 -</w:t>
      </w:r>
      <w:r>
        <w:rPr>
          <w:rFonts w:hint="cs"/>
          <w:rtl/>
          <w:lang w:bidi="ar-EG"/>
        </w:rPr>
        <w:tab/>
        <w:t>وللحد من مشكلة الاستغلال الجنسي التجاري للأطفال، أنشأت الحكومة شرطة السياحة التي يقع مقرها على الساحل الكيني (وهو مقصد شائع للسائحين) وهي مكلفة بتناول استغلال الأطفال في البغاء</w:t>
      </w:r>
      <w:r>
        <w:rPr>
          <w:rFonts w:hint="cs"/>
          <w:rtl/>
          <w:lang w:bidi="ar-EG"/>
        </w:rPr>
        <w:t xml:space="preserve"> والمشتغلين/ المشتغلات بالجنس على أساس تجاري. وهذا يرجع إلى أنه تبين أنه في معظم الحالات يكون هؤلاء هم نفس الأطفال الذين يُتاجر بهم لأغراض الاستغلال الجنسي والزواج المبكر والقسري في بلدان أخرى.</w:t>
      </w:r>
    </w:p>
    <w:p w:rsidR="00000000" w:rsidRDefault="00D8679F">
      <w:pPr>
        <w:pStyle w:val="SingleTxt"/>
        <w:tabs>
          <w:tab w:val="clear" w:pos="2592"/>
          <w:tab w:val="left" w:pos="2228"/>
        </w:tabs>
        <w:jc w:val="both"/>
        <w:rPr>
          <w:rFonts w:hint="cs"/>
          <w:rtl/>
          <w:lang w:bidi="ar-EG"/>
        </w:rPr>
      </w:pPr>
      <w:r>
        <w:rPr>
          <w:rFonts w:hint="cs"/>
          <w:rtl/>
          <w:lang w:bidi="ar-EG"/>
        </w:rPr>
        <w:t>77 -</w:t>
      </w:r>
      <w:r>
        <w:rPr>
          <w:rFonts w:hint="cs"/>
          <w:rtl/>
          <w:lang w:bidi="ar-EG"/>
        </w:rPr>
        <w:tab/>
        <w:t xml:space="preserve">وهناك قوانين أخرى لمنع استغلال المرأة على الصعيد الدولي. </w:t>
      </w:r>
      <w:r>
        <w:rPr>
          <w:rFonts w:hint="cs"/>
          <w:rtl/>
          <w:lang w:bidi="ar-EG"/>
        </w:rPr>
        <w:t>وطبقا للمادة 257 من قانون العقوبات فإن كل شخص يخطف أي شخص من كينيا أو من وصاية قانونية يكون مذنبا بارتكاب جناية ويكون عرضة للسجن لمدة سبع سنوات. وتنص المادة</w:t>
      </w:r>
      <w:r>
        <w:rPr>
          <w:rFonts w:hint="eastAsia"/>
          <w:rtl/>
          <w:lang w:bidi="ar-EG"/>
        </w:rPr>
        <w:t> </w:t>
      </w:r>
      <w:r>
        <w:rPr>
          <w:rFonts w:hint="cs"/>
          <w:rtl/>
          <w:lang w:bidi="ar-EG"/>
        </w:rPr>
        <w:t>260 على أن الخطف بقصد الحبس أو لرغبة جنسية غير طبيعية غير مشروع؛ وهو جناية يُعاقَب عليها بالسجن. ول</w:t>
      </w:r>
      <w:r>
        <w:rPr>
          <w:rFonts w:hint="cs"/>
          <w:rtl/>
          <w:lang w:bidi="ar-EG"/>
        </w:rPr>
        <w:t>معاقبة الرعايا الذين يستغلون النساء والطفلات خارج البلد، تنص المادة 264 من قانون العقوبات على أن الشخص الذي يجلب، أو يصدر، أو ينقل أو يشتري، أو يبيع أو يتصرف في أي شخص كرقيق، أو يقبل، أو يتلقى أو يحتجز هذا الشخص ضد إرادته يكون مذنبا بارتكاب جناية ويعاقب با</w:t>
      </w:r>
      <w:r>
        <w:rPr>
          <w:rFonts w:hint="cs"/>
          <w:rtl/>
          <w:lang w:bidi="ar-EG"/>
        </w:rPr>
        <w:t>لسجن لمدة عشر سنوات.</w:t>
      </w:r>
    </w:p>
    <w:p w:rsidR="00000000" w:rsidRDefault="00D8679F">
      <w:pPr>
        <w:pStyle w:val="SingleTxt"/>
        <w:tabs>
          <w:tab w:val="clear" w:pos="2592"/>
          <w:tab w:val="left" w:pos="2228"/>
        </w:tabs>
        <w:jc w:val="both"/>
        <w:rPr>
          <w:rFonts w:hint="cs"/>
          <w:rtl/>
          <w:lang w:bidi="ar-EG"/>
        </w:rPr>
      </w:pPr>
      <w:r>
        <w:rPr>
          <w:rFonts w:hint="cs"/>
          <w:rtl/>
          <w:lang w:bidi="ar-EG"/>
        </w:rPr>
        <w:t>78 -</w:t>
      </w:r>
      <w:r>
        <w:rPr>
          <w:rFonts w:hint="cs"/>
          <w:rtl/>
          <w:lang w:bidi="ar-EG"/>
        </w:rPr>
        <w:tab/>
        <w:t>ويرد القانون المتعلق بالاغتصاب في كينيا في إطار القسم الذي يتناول الجرائم ضد المبادئ الأخلاقية. وهذا القانون يحمي جميع النساء بمن فيهن المشتغلات بالجنس على أساس تجاري. ولما كان البغاء غير قانوني ما لم يثبت خلاف ذلك، لن يكون موقف ا</w:t>
      </w:r>
      <w:r>
        <w:rPr>
          <w:rFonts w:hint="cs"/>
          <w:rtl/>
          <w:lang w:bidi="ar-EG"/>
        </w:rPr>
        <w:t>لمشتغلة بالجنس على أساس تجاري المغتصبة قويا للحصول على العدالة بشأن الاغتصاب بالمقارنة بالمرأة التي لا تمارسه. وتتمثل الصعوبة التي تواجهها المشتغلات بالجنس على أساس تجاري في أنهن موصومات وبالتالي يقل احتمال رغبتهن في الإبلاغ عن الاغتصاب.</w:t>
      </w:r>
    </w:p>
    <w:p w:rsidR="00000000" w:rsidRDefault="00D8679F">
      <w:pPr>
        <w:pStyle w:val="SingleTxt"/>
        <w:jc w:val="both"/>
        <w:rPr>
          <w:rFonts w:hint="cs"/>
          <w:rtl/>
          <w:lang w:bidi="ar-EG"/>
        </w:rPr>
      </w:pPr>
      <w:r>
        <w:rPr>
          <w:rFonts w:hint="cs"/>
          <w:rtl/>
          <w:lang w:bidi="ar-EG"/>
        </w:rPr>
        <w:t>79 -</w:t>
      </w:r>
      <w:r>
        <w:rPr>
          <w:rFonts w:hint="cs"/>
          <w:rtl/>
          <w:lang w:bidi="ar-EG"/>
        </w:rPr>
        <w:tab/>
        <w:t>وقوانين منع ا</w:t>
      </w:r>
      <w:r>
        <w:rPr>
          <w:rFonts w:hint="cs"/>
          <w:rtl/>
          <w:lang w:bidi="ar-EG"/>
        </w:rPr>
        <w:t>لبغاء متحيز أيضا ضد المرأة. أما الذين يعرضون الحصول على خدمات المشتغلات بالجنس على أساس تجاري فلا يُعاقبون بموجب القانون. وعند إلقاء القبض على المشتغلين بالجنس على أساس تجاري، يجري في المقام الأول اصطياد المشتغلات بالجنس على أساس تجاري بعكس زبائهن من الذكو</w:t>
      </w:r>
      <w:r>
        <w:rPr>
          <w:rFonts w:hint="cs"/>
          <w:rtl/>
          <w:lang w:bidi="ar-EG"/>
        </w:rPr>
        <w:t>ر في الغالب. ولا توجد قوانين محددة فيما يتعلق بزبائن المشتغلات بالجنس على أساس تجاري مع أنه في عدد لا بأس به من الكبسات أُلقي القبض على عدد قليل من الزبائن الذكور.</w:t>
      </w:r>
    </w:p>
    <w:p w:rsidR="00000000" w:rsidRDefault="00D8679F">
      <w:pPr>
        <w:pStyle w:val="SingleTxt"/>
        <w:jc w:val="both"/>
        <w:rPr>
          <w:rFonts w:hint="cs"/>
          <w:rtl/>
          <w:lang w:bidi="ar-EG"/>
        </w:rPr>
      </w:pPr>
      <w:r>
        <w:rPr>
          <w:rFonts w:hint="cs"/>
          <w:rtl/>
          <w:lang w:bidi="ar-EG"/>
        </w:rPr>
        <w:t>80 -</w:t>
      </w:r>
      <w:r>
        <w:rPr>
          <w:rFonts w:hint="cs"/>
          <w:rtl/>
          <w:lang w:bidi="ar-EG"/>
        </w:rPr>
        <w:tab/>
        <w:t>وبالنظر إلى أن العيش على مكاسب البغاء غير قانوني في كينيا، لا يجري الترخيص للمشتغلات با</w:t>
      </w:r>
      <w:r>
        <w:rPr>
          <w:rFonts w:hint="cs"/>
          <w:rtl/>
          <w:lang w:bidi="ar-EG"/>
        </w:rPr>
        <w:t>لجنس على أساس تجاري كما أن الاشتغال بالجنس على أساس تجاري موصوم، ويعاقب عليه ومحظور في قانون كينيا.</w:t>
      </w:r>
    </w:p>
    <w:p w:rsidR="00000000" w:rsidRDefault="00D8679F">
      <w:pPr>
        <w:pStyle w:val="SingleTxt"/>
        <w:jc w:val="both"/>
        <w:rPr>
          <w:rFonts w:hint="cs"/>
          <w:rtl/>
          <w:lang w:bidi="ar-EG"/>
        </w:rPr>
      </w:pPr>
      <w:r>
        <w:rPr>
          <w:rFonts w:hint="cs"/>
          <w:rtl/>
          <w:lang w:bidi="ar-EG"/>
        </w:rPr>
        <w:t>81 -</w:t>
      </w:r>
      <w:r>
        <w:rPr>
          <w:rFonts w:hint="cs"/>
          <w:rtl/>
          <w:lang w:bidi="ar-EG"/>
        </w:rPr>
        <w:tab/>
        <w:t>وأحد التحديات التي واجهتها الدولة يتمثل في معالجة الأسباب الجزرية للاتجار بالنساء والأطفال واستغلال المشتغلات بالجنس على أساس تجاري على حد سواء. والأسب</w:t>
      </w:r>
      <w:r>
        <w:rPr>
          <w:rFonts w:hint="cs"/>
          <w:rtl/>
          <w:lang w:bidi="ar-EG"/>
        </w:rPr>
        <w:t>اب الرئيسية للبغاء تتمثل في الفقر الناتج عن ارتفاع البطالة وانخفاض الدخول. ويواصل البغاء الازدهار بقوة أيضا لأن العقوبات المنصوص عليها لا تعالج إلا أحد الطرفين، ولا يتعرض الزبائن لأي مخاطر.</w:t>
      </w:r>
    </w:p>
    <w:p w:rsidR="00000000" w:rsidRDefault="00D8679F">
      <w:pPr>
        <w:pStyle w:val="SingleTxt"/>
        <w:jc w:val="both"/>
        <w:rPr>
          <w:rFonts w:hint="cs"/>
          <w:rtl/>
          <w:lang w:bidi="ar-EG"/>
        </w:rPr>
      </w:pPr>
      <w:r>
        <w:rPr>
          <w:rFonts w:hint="cs"/>
          <w:rtl/>
          <w:lang w:bidi="ar-EG"/>
        </w:rPr>
        <w:t>82 -</w:t>
      </w:r>
      <w:r>
        <w:rPr>
          <w:rFonts w:hint="cs"/>
          <w:rtl/>
          <w:lang w:bidi="ar-EG"/>
        </w:rPr>
        <w:tab/>
        <w:t xml:space="preserve">وفي محاولة لمعالجة المشكلة، تضع الحكومة تدابير لتمكين المرأة </w:t>
      </w:r>
      <w:r>
        <w:rPr>
          <w:rFonts w:hint="cs"/>
          <w:rtl/>
          <w:lang w:bidi="ar-EG"/>
        </w:rPr>
        <w:t>اقتصاديا عن طريق توفير تسهيلات ائتمانية لها لبدء مشاريع قانونية مدرة للدخل. ويجري إتخاذ تدابير أخرى مثل تعزيز الأمن على طول حدود الدولة عن طريق تعزيز وتسهيل إدارة الهجرة. بيد أنه لا يوجد حتى الآن نظام معمول به لرصد ما إذا كان المهاجرون الوافدون أو المهاجرو</w:t>
      </w:r>
      <w:r>
        <w:rPr>
          <w:rFonts w:hint="cs"/>
          <w:rtl/>
          <w:lang w:bidi="ar-EG"/>
        </w:rPr>
        <w:t>ن للخارج يشتغلون بالجنس في الغالب. وفي الوقت ذاته، لا</w:t>
      </w:r>
      <w:r>
        <w:rPr>
          <w:rFonts w:hint="eastAsia"/>
          <w:rtl/>
          <w:lang w:bidi="ar-EG"/>
        </w:rPr>
        <w:t> </w:t>
      </w:r>
      <w:r>
        <w:rPr>
          <w:rFonts w:hint="cs"/>
          <w:rtl/>
          <w:lang w:bidi="ar-EG"/>
        </w:rPr>
        <w:t>توجد قوانين محددة لحماية الفتيات الصغيرات من وكالات العمل، ومكاتب الزواج وغيرها التي تشتغل أساسيا أحيانا بالاتجار</w:t>
      </w:r>
      <w:r>
        <w:rPr>
          <w:rFonts w:hint="eastAsia"/>
          <w:rtl/>
          <w:lang w:bidi="ar-EG"/>
        </w:rPr>
        <w:t> </w:t>
      </w:r>
      <w:r>
        <w:rPr>
          <w:rFonts w:hint="cs"/>
          <w:rtl/>
          <w:lang w:bidi="ar-EG"/>
        </w:rPr>
        <w:t>بالبشر.</w:t>
      </w:r>
    </w:p>
    <w:p w:rsidR="00000000" w:rsidRDefault="00D8679F">
      <w:pPr>
        <w:pStyle w:val="SingleTxt"/>
        <w:jc w:val="both"/>
        <w:rPr>
          <w:rFonts w:hint="cs"/>
          <w:rtl/>
          <w:lang w:bidi="ar-EG"/>
        </w:rPr>
      </w:pPr>
      <w:r>
        <w:rPr>
          <w:rFonts w:hint="cs"/>
          <w:rtl/>
          <w:lang w:bidi="ar-EG"/>
        </w:rPr>
        <w:t>83 -</w:t>
      </w:r>
      <w:r>
        <w:rPr>
          <w:rFonts w:hint="cs"/>
          <w:rtl/>
          <w:lang w:bidi="ar-EG"/>
        </w:rPr>
        <w:tab/>
        <w:t>واجتماع الفقر، والبطالة وعدم المساواة بين الجنسين (انخفاض مركز الطفلة)، وعد</w:t>
      </w:r>
      <w:r>
        <w:rPr>
          <w:rFonts w:hint="cs"/>
          <w:rtl/>
          <w:lang w:bidi="ar-EG"/>
        </w:rPr>
        <w:t>م كفاية التشريعات وسوء إنفاذ القوانين في كينيا سمح بازدهار الاتجار بالأطفال. وفي حين لا</w:t>
      </w:r>
      <w:r>
        <w:rPr>
          <w:rFonts w:hint="eastAsia"/>
          <w:rtl/>
          <w:lang w:bidi="ar-EG"/>
        </w:rPr>
        <w:t> </w:t>
      </w:r>
      <w:r>
        <w:rPr>
          <w:rFonts w:hint="cs"/>
          <w:rtl/>
          <w:lang w:bidi="ar-EG"/>
        </w:rPr>
        <w:t>يمكن القول بأن كينيا تنافس مراكز السياحة الجنسية في آسيا وأمريكا الجنوبية، يبدو أن المشكلة تتصاعد في أفريقيا بسبب سن تشريعات صارمة ضد الإعتداء على الأطفال في المناطق ال</w:t>
      </w:r>
      <w:r>
        <w:rPr>
          <w:rFonts w:hint="cs"/>
          <w:rtl/>
          <w:lang w:bidi="ar-EG"/>
        </w:rPr>
        <w:t>سالفة الذكر. والمدن والبلدات الكينية مومباسا، ونيروبي، وماليندي، ونانيوكي، وناكورو أصبح يشار إليها على أنها مناطق معروفة للسياحة الجنسية للأطفال. وعلى سبيل المثال في ماليندي، يوجد ما يقدر بـ 500 فيلا مملوكة للأجانب، يقع معظمها في مناطق معزولة ومحاطة بقدر ك</w:t>
      </w:r>
      <w:r>
        <w:rPr>
          <w:rFonts w:hint="cs"/>
          <w:rtl/>
          <w:lang w:bidi="ar-EG"/>
        </w:rPr>
        <w:t>بير من الأمن، وتشتبه السلطات في أن تلك الممارسة مستمرة فيها</w:t>
      </w:r>
      <w:r>
        <w:rPr>
          <w:rFonts w:hint="eastAsia"/>
          <w:rtl/>
          <w:lang w:bidi="ar-EG"/>
        </w:rPr>
        <w:t> </w:t>
      </w:r>
      <w:r>
        <w:rPr>
          <w:rFonts w:hint="cs"/>
          <w:rtl/>
          <w:lang w:bidi="ar-EG"/>
        </w:rPr>
        <w:t>بلا</w:t>
      </w:r>
      <w:r>
        <w:rPr>
          <w:rFonts w:hint="eastAsia"/>
          <w:rtl/>
          <w:lang w:bidi="ar-EG"/>
        </w:rPr>
        <w:t> </w:t>
      </w:r>
      <w:r>
        <w:rPr>
          <w:rFonts w:hint="cs"/>
          <w:rtl/>
          <w:lang w:bidi="ar-EG"/>
        </w:rPr>
        <w:t>هوادة.</w:t>
      </w:r>
    </w:p>
    <w:p w:rsidR="00000000" w:rsidRDefault="00D8679F">
      <w:pPr>
        <w:pStyle w:val="SingleTxt"/>
        <w:jc w:val="both"/>
        <w:rPr>
          <w:rFonts w:hint="cs"/>
          <w:rtl/>
          <w:lang w:bidi="ar-EG"/>
        </w:rPr>
      </w:pPr>
      <w:r>
        <w:rPr>
          <w:rFonts w:hint="cs"/>
          <w:rtl/>
          <w:lang w:bidi="ar-EG"/>
        </w:rPr>
        <w:t>84 -</w:t>
      </w:r>
      <w:r>
        <w:rPr>
          <w:rFonts w:hint="cs"/>
          <w:rtl/>
          <w:lang w:bidi="ar-EG"/>
        </w:rPr>
        <w:tab/>
        <w:t>وكينيا بسبيل وضع قانون بشأن الاتجار بالبشر. وتجري حاليا مناقشة مشروع</w:t>
      </w:r>
      <w:r>
        <w:rPr>
          <w:rFonts w:hint="eastAsia"/>
          <w:rtl/>
          <w:lang w:bidi="ar-EG"/>
        </w:rPr>
        <w:t> </w:t>
      </w:r>
      <w:r>
        <w:rPr>
          <w:rFonts w:hint="cs"/>
          <w:rtl/>
          <w:lang w:bidi="ar-EG"/>
        </w:rPr>
        <w:t>القانون.</w:t>
      </w:r>
    </w:p>
    <w:p w:rsidR="00000000" w:rsidRDefault="00D8679F">
      <w:pPr>
        <w:pStyle w:val="SingleTxt"/>
        <w:spacing w:after="0" w:line="120" w:lineRule="exact"/>
        <w:ind w:left="1930" w:hanging="663"/>
        <w:jc w:val="both"/>
        <w:rPr>
          <w:rFonts w:hint="cs"/>
          <w:sz w:val="10"/>
          <w:rtl/>
          <w:lang w:bidi="ar-EG"/>
        </w:rPr>
      </w:pPr>
    </w:p>
    <w:p w:rsidR="00000000" w:rsidRDefault="00D867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7: الحياة السياسية والعامة</w:t>
      </w:r>
    </w:p>
    <w:p w:rsidR="00000000" w:rsidRDefault="00D8679F">
      <w:pPr>
        <w:pStyle w:val="SingleTxt"/>
        <w:jc w:val="both"/>
        <w:rPr>
          <w:rFonts w:hint="cs"/>
          <w:rtl/>
          <w:lang w:bidi="ar-EG"/>
        </w:rPr>
      </w:pPr>
      <w:r>
        <w:rPr>
          <w:rFonts w:hint="cs"/>
          <w:rtl/>
          <w:lang w:bidi="ar-EG"/>
        </w:rPr>
        <w:t>85 -</w:t>
      </w:r>
      <w:r>
        <w:rPr>
          <w:rFonts w:hint="cs"/>
          <w:rtl/>
          <w:lang w:bidi="ar-EG"/>
        </w:rPr>
        <w:tab/>
        <w:t>كما توضح في تقريرنا الأخير، يضمن دستور كينيا حقوقا متساوية ل</w:t>
      </w:r>
      <w:r>
        <w:rPr>
          <w:rFonts w:hint="cs"/>
          <w:rtl/>
          <w:lang w:bidi="ar-EG"/>
        </w:rPr>
        <w:t>لرجل والمرأة بوصفهما ناخبين. والقوانين الانتخابية في كينيا لا تميز على أساس الجنس وتسمح للرجل والمرأة على حد سواء البالغين سن الرشد للإقتراع والتنافس لشغل المناصب العامة. ويمكن للمرأة أيضا أن تدير حملة وأن تشترك بوصفها مراقبة للانتخابات.</w:t>
      </w:r>
    </w:p>
    <w:p w:rsidR="00000000" w:rsidRDefault="00D8679F">
      <w:pPr>
        <w:pStyle w:val="SingleTxt"/>
        <w:jc w:val="both"/>
        <w:rPr>
          <w:rFonts w:hint="cs"/>
          <w:rtl/>
          <w:lang w:bidi="ar-EG"/>
        </w:rPr>
      </w:pPr>
      <w:r>
        <w:rPr>
          <w:rFonts w:hint="cs"/>
          <w:rtl/>
          <w:lang w:bidi="ar-EG"/>
        </w:rPr>
        <w:t>86 -</w:t>
      </w:r>
      <w:r>
        <w:rPr>
          <w:rFonts w:hint="cs"/>
          <w:rtl/>
          <w:lang w:bidi="ar-EG"/>
        </w:rPr>
        <w:tab/>
        <w:t>وفي عام 2002،</w:t>
      </w:r>
      <w:r>
        <w:rPr>
          <w:rFonts w:hint="cs"/>
          <w:rtl/>
          <w:lang w:bidi="ar-EG"/>
        </w:rPr>
        <w:t xml:space="preserve"> شكلت النساء نسبة 51.8 في المائة من الناخبين، بزيادة طفيفة عن نسبة 51.1 في المائة في عام 1997. وتضاعف عدد النساء البرلمانيات من 9 إلى 18 في آذار/مارس عام 2003، بزيادة من نسبة 4.1 في المائة إلى 8.1 في المائة عقب الانتخابات العامة لعام 2002.</w:t>
      </w:r>
    </w:p>
    <w:p w:rsidR="00000000" w:rsidRDefault="00D8679F">
      <w:pPr>
        <w:pStyle w:val="SingleTxt"/>
        <w:jc w:val="both"/>
        <w:rPr>
          <w:rFonts w:hint="cs"/>
          <w:rtl/>
          <w:lang w:bidi="ar-EG"/>
        </w:rPr>
      </w:pPr>
      <w:r>
        <w:rPr>
          <w:rFonts w:hint="cs"/>
          <w:rtl/>
          <w:lang w:bidi="ar-EG"/>
        </w:rPr>
        <w:t>87 -</w:t>
      </w:r>
      <w:r>
        <w:rPr>
          <w:rFonts w:hint="cs"/>
          <w:rtl/>
          <w:lang w:bidi="ar-EG"/>
        </w:rPr>
        <w:tab/>
        <w:t>الاشتراك في</w:t>
      </w:r>
      <w:r>
        <w:rPr>
          <w:rFonts w:hint="cs"/>
          <w:rtl/>
          <w:lang w:bidi="ar-EG"/>
        </w:rPr>
        <w:t xml:space="preserve"> الحياة السياسية: تظهر الانتخابات العامة لعام 2002 زيادة في اشتراك المرأة. وشكلت النساء المتنافسات 84 (7.9 في المائة) من بين 057 1 من المرشحين للبرلمان. وهذا يقابل 50 (5.7 في المائة) من النساء المتنافسات من بين 882 من المرشحين للبرلمان في الانتخابات العامة</w:t>
      </w:r>
      <w:r>
        <w:rPr>
          <w:rFonts w:hint="cs"/>
          <w:rtl/>
          <w:lang w:bidi="ar-EG"/>
        </w:rPr>
        <w:t xml:space="preserve"> لعام 1997. ومن بين أعضاء البرلمان المنتخبين البالغ عددهم 210 عضوا في عام 2003، كان هناك 10 نساء (4.8 في المائة) مقابل 4 (1.9 في المائة) من 210 في عام 1997. وبالإضافة إلى ذلك، فإن التدابير التي اتخذتها الأحزاب السياسية لزيادة اشتراك المرأة في انتخابات عام </w:t>
      </w:r>
      <w:r>
        <w:rPr>
          <w:rFonts w:hint="cs"/>
          <w:rtl/>
          <w:lang w:bidi="ar-EG"/>
        </w:rPr>
        <w:t>2002 بترشيح نساء إضافيات للجمعية الوطنية، ترجمت إلى نسبة 66.7 في المائة من الأعضاء المرشحين للبرلمان في عام 2002 مقابل 41.7 في المائة في عام 1997.</w:t>
      </w:r>
    </w:p>
    <w:p w:rsidR="00000000" w:rsidRDefault="00D8679F">
      <w:pPr>
        <w:pStyle w:val="SingleTxt"/>
        <w:jc w:val="both"/>
        <w:rPr>
          <w:rFonts w:hint="cs"/>
          <w:rtl/>
          <w:lang w:bidi="ar-EG"/>
        </w:rPr>
      </w:pPr>
      <w:r>
        <w:rPr>
          <w:rFonts w:hint="cs"/>
          <w:rtl/>
          <w:lang w:bidi="ar-EG"/>
        </w:rPr>
        <w:t>88 -</w:t>
      </w:r>
      <w:r>
        <w:rPr>
          <w:rFonts w:hint="cs"/>
          <w:rtl/>
          <w:lang w:bidi="ar-EG"/>
        </w:rPr>
        <w:tab/>
        <w:t>وأحد التحديات المستمرة التي تواجهها كينيا يتمثل في مجال زيادة تمثيل المرأة في المؤسسات الوطنية لصنع القر</w:t>
      </w:r>
      <w:r>
        <w:rPr>
          <w:rFonts w:hint="cs"/>
          <w:rtl/>
          <w:lang w:bidi="ar-EG"/>
        </w:rPr>
        <w:t>ار مثل البرلمان. والعمل الإيجابي لزيادة تمثيل المرأة في البرلمان</w:t>
      </w:r>
      <w:r>
        <w:rPr>
          <w:rFonts w:hint="eastAsia"/>
          <w:rtl/>
          <w:lang w:bidi="ar-EG"/>
        </w:rPr>
        <w:t> </w:t>
      </w:r>
      <w:r>
        <w:rPr>
          <w:rFonts w:hint="cs"/>
          <w:rtl/>
          <w:lang w:bidi="ar-EG"/>
        </w:rPr>
        <w:t>سيتطلب إجراء تعديل دستوري حيث أن عدد المقاعد في البرلمان يحدده الدستور. وقد ثبت أن التعديل الدستوري ينطوي على نضال طويل ومحفوف بالمخاطر. ومع أن المادة</w:t>
      </w:r>
      <w:r>
        <w:rPr>
          <w:rFonts w:hint="eastAsia"/>
          <w:rtl/>
          <w:lang w:bidi="ar-EG"/>
        </w:rPr>
        <w:t> </w:t>
      </w:r>
      <w:r>
        <w:rPr>
          <w:rFonts w:hint="cs"/>
          <w:rtl/>
          <w:lang w:bidi="ar-EG"/>
        </w:rPr>
        <w:t>82 (4 (د)) من الدستور تنص على تعويض واتخ</w:t>
      </w:r>
      <w:r>
        <w:rPr>
          <w:rFonts w:hint="cs"/>
          <w:rtl/>
          <w:lang w:bidi="ar-EG"/>
        </w:rPr>
        <w:t>اذ تدابير إيجابية للفئات التي عانت من أحد أشكال التمييز المعترف بها مثل الاستبعاد القائم</w:t>
      </w:r>
      <w:r>
        <w:rPr>
          <w:rFonts w:hint="eastAsia"/>
          <w:rtl/>
          <w:lang w:bidi="ar-EG"/>
        </w:rPr>
        <w:t> </w:t>
      </w:r>
      <w:r>
        <w:rPr>
          <w:rFonts w:hint="cs"/>
          <w:rtl/>
          <w:lang w:bidi="ar-EG"/>
        </w:rPr>
        <w:t>على الجنس، لا يوجد تشريع مخول للسلطة لضمان إنفاذ المادة</w:t>
      </w:r>
      <w:r>
        <w:rPr>
          <w:rFonts w:hint="eastAsia"/>
          <w:rtl/>
          <w:lang w:bidi="ar-EG"/>
        </w:rPr>
        <w:t> </w:t>
      </w:r>
      <w:r>
        <w:rPr>
          <w:rFonts w:hint="cs"/>
          <w:rtl/>
          <w:lang w:bidi="ar-EG"/>
        </w:rPr>
        <w:t>82</w:t>
      </w:r>
      <w:r>
        <w:rPr>
          <w:rFonts w:hint="eastAsia"/>
          <w:rtl/>
          <w:lang w:bidi="ar-EG"/>
        </w:rPr>
        <w:t> </w:t>
      </w:r>
      <w:r>
        <w:rPr>
          <w:rFonts w:hint="cs"/>
          <w:rtl/>
          <w:lang w:bidi="ar-EG"/>
        </w:rPr>
        <w:t>(4 (د)).</w:t>
      </w:r>
    </w:p>
    <w:p w:rsidR="00000000" w:rsidRDefault="00D8679F">
      <w:pPr>
        <w:pStyle w:val="SingleTxt"/>
        <w:jc w:val="both"/>
        <w:rPr>
          <w:rFonts w:hint="cs"/>
          <w:rtl/>
          <w:lang w:bidi="ar-EG"/>
        </w:rPr>
      </w:pPr>
      <w:r>
        <w:rPr>
          <w:rFonts w:hint="cs"/>
          <w:rtl/>
          <w:lang w:bidi="ar-EG"/>
        </w:rPr>
        <w:t>89 -</w:t>
      </w:r>
      <w:r>
        <w:rPr>
          <w:rFonts w:hint="cs"/>
          <w:rtl/>
          <w:lang w:bidi="ar-EG"/>
        </w:rPr>
        <w:tab/>
        <w:t>التحديات الأخرى أمام شغل المرأة للمناصب العامة: إن القيم والمواقف السائدة بين الجمهور الكيني ت</w:t>
      </w:r>
      <w:r>
        <w:rPr>
          <w:rFonts w:hint="cs"/>
          <w:rtl/>
          <w:lang w:bidi="ar-EG"/>
        </w:rPr>
        <w:t xml:space="preserve">جعل المرأة تتجنب بوجه عام المناصب التي تُشغل بالانتخاب. وبعض العوامل التي ما زالت تعوق اشتراك المرأة في الشؤون السياسية تتمثل في عدم كفاية الموارد، والمواقف الاجتماعية الثقافية التي لا تشجع المرأة على الاشتراك في الشؤون السياسية مما يؤدي إلى افتقار المرأة </w:t>
      </w:r>
      <w:r>
        <w:rPr>
          <w:rFonts w:hint="cs"/>
          <w:rtl/>
          <w:lang w:bidi="ar-EG"/>
        </w:rPr>
        <w:t>إلى الثقة، والمضايقات الجنسية للمرشحات والافتقار إلى الموارد. والعوامل الأخرى التي تعوق المرأة من الترشيح للمناصب السياسية تشمل العنف وطبيعة الشؤون السياسية القائمة على المحسوبية في كينيا. وهناك أيضا عقبات قانونية مثل الافتقار إلى الإطار التنظيمي للأحزاب ا</w:t>
      </w:r>
      <w:r>
        <w:rPr>
          <w:rFonts w:hint="cs"/>
          <w:rtl/>
          <w:lang w:bidi="ar-EG"/>
        </w:rPr>
        <w:t>لسياسية. وأخيرا فإن الأنماط الجامدة لدور المرأة بوصفها من بين الذين يؤدون أدوارا ثانوية وقائدات التشجيع بالهتاف اللائي لسن بقائدات في الواقع تعوق أيضا اشتراك المرأة في الشؤون السياسية.</w:t>
      </w:r>
    </w:p>
    <w:p w:rsidR="00000000" w:rsidRDefault="00D8679F">
      <w:pPr>
        <w:pStyle w:val="SingleTxt"/>
        <w:jc w:val="both"/>
        <w:rPr>
          <w:rFonts w:hint="cs"/>
          <w:rtl/>
          <w:lang w:bidi="ar-EG"/>
        </w:rPr>
      </w:pPr>
      <w:r>
        <w:rPr>
          <w:rFonts w:hint="cs"/>
          <w:rtl/>
          <w:lang w:bidi="ar-EG"/>
        </w:rPr>
        <w:t>90 -</w:t>
      </w:r>
      <w:r>
        <w:rPr>
          <w:rFonts w:hint="cs"/>
          <w:rtl/>
          <w:lang w:bidi="ar-EG"/>
        </w:rPr>
        <w:tab/>
        <w:t xml:space="preserve">وبعض التدابير التي تدعم اشتراك المرأة تشمل التربية الوطنية بمعرفة </w:t>
      </w:r>
      <w:r>
        <w:rPr>
          <w:rFonts w:hint="cs"/>
          <w:rtl/>
          <w:lang w:bidi="ar-EG"/>
        </w:rPr>
        <w:t>الحكومة والمجتمع المدني على حد سواء، وتكوين جماعات من الجمعيات المدنية تسعى للتأثير على المسؤولين والدعوة. ومن بين هذه التدابير الجهود المتعلقة بتثقيف الناخبين والتربية الوطنية التي تبذلها اللجنة الانتخابية لكينيا التي ترصد أيضا مدى وجود الناخبات والمرشحات</w:t>
      </w:r>
      <w:r>
        <w:rPr>
          <w:rFonts w:hint="cs"/>
          <w:rtl/>
          <w:lang w:bidi="ar-EG"/>
        </w:rPr>
        <w:t>.</w:t>
      </w:r>
    </w:p>
    <w:p w:rsidR="00000000" w:rsidRDefault="00D8679F">
      <w:pPr>
        <w:pStyle w:val="SingleTxt"/>
        <w:spacing w:after="0" w:line="120" w:lineRule="exact"/>
        <w:ind w:left="1930" w:hanging="663"/>
        <w:jc w:val="both"/>
        <w:rPr>
          <w:rFonts w:hint="cs"/>
          <w:sz w:val="10"/>
          <w:rtl/>
          <w:lang w:bidi="ar-EG"/>
        </w:rPr>
      </w:pPr>
    </w:p>
    <w:p w:rsidR="00000000" w:rsidRDefault="00D8679F">
      <w:pPr>
        <w:pStyle w:val="SingleTxt"/>
        <w:tabs>
          <w:tab w:val="clear" w:pos="2592"/>
          <w:tab w:val="left" w:pos="2228"/>
        </w:tabs>
        <w:ind w:left="2228" w:hanging="961"/>
        <w:jc w:val="both"/>
        <w:rPr>
          <w:rFonts w:hint="cs"/>
          <w:rtl/>
          <w:lang w:bidi="ar-EG"/>
        </w:rPr>
      </w:pPr>
      <w:r>
        <w:rPr>
          <w:rtl/>
          <w:lang w:bidi="ar-EG"/>
        </w:rPr>
        <w:br w:type="page"/>
      </w:r>
      <w:r>
        <w:rPr>
          <w:rFonts w:hint="cs"/>
          <w:rtl/>
          <w:lang w:bidi="ar-EG"/>
        </w:rPr>
        <w:t>الجدول 1</w:t>
      </w:r>
    </w:p>
    <w:p w:rsidR="00000000" w:rsidRDefault="00D8679F">
      <w:pPr>
        <w:pStyle w:val="SingleTxt"/>
        <w:tabs>
          <w:tab w:val="clear" w:pos="2592"/>
          <w:tab w:val="left" w:pos="2228"/>
        </w:tabs>
        <w:spacing w:after="0" w:line="120" w:lineRule="exact"/>
        <w:ind w:left="2228" w:hanging="961"/>
        <w:jc w:val="both"/>
        <w:rPr>
          <w:rFonts w:hint="cs"/>
          <w:sz w:val="12"/>
          <w:rtl/>
          <w:lang w:bidi="ar-EG"/>
        </w:rPr>
      </w:pPr>
    </w:p>
    <w:p w:rsidR="00000000" w:rsidRDefault="00D8679F">
      <w:pPr>
        <w:pStyle w:val="SingleTxt"/>
        <w:tabs>
          <w:tab w:val="clear" w:pos="2592"/>
          <w:tab w:val="left" w:pos="2228"/>
        </w:tabs>
        <w:ind w:left="2228" w:hanging="961"/>
        <w:jc w:val="both"/>
        <w:rPr>
          <w:rFonts w:hint="cs"/>
          <w:rtl/>
          <w:lang w:bidi="ar-EG"/>
        </w:rPr>
      </w:pPr>
      <w:r>
        <w:rPr>
          <w:rFonts w:hint="cs"/>
          <w:b/>
          <w:bCs/>
          <w:rtl/>
          <w:lang w:bidi="ar-EG"/>
        </w:rPr>
        <w:t>الشؤون السياسية وصنع القرار، حزيران/يونيه 2003 - كانون الثاني/ يناير</w:t>
      </w:r>
      <w:r>
        <w:rPr>
          <w:rFonts w:hint="eastAsia"/>
          <w:rtl/>
        </w:rPr>
        <w:t> </w:t>
      </w:r>
      <w:r>
        <w:rPr>
          <w:rFonts w:hint="cs"/>
          <w:b/>
          <w:bCs/>
          <w:rtl/>
          <w:lang w:bidi="ar-EG"/>
        </w:rPr>
        <w:t>2006</w:t>
      </w:r>
    </w:p>
    <w:p w:rsidR="00000000" w:rsidRDefault="00D8679F">
      <w:pPr>
        <w:pStyle w:val="SingleTxt"/>
        <w:spacing w:after="0" w:line="120" w:lineRule="exact"/>
        <w:ind w:left="1930" w:hanging="663"/>
        <w:jc w:val="both"/>
        <w:rPr>
          <w:rFonts w:hint="cs"/>
          <w:sz w:val="10"/>
          <w:rtl/>
          <w:lang w:bidi="ar-EG"/>
        </w:rPr>
      </w:pPr>
    </w:p>
    <w:p w:rsidR="00000000" w:rsidRDefault="00D8679F">
      <w:pPr>
        <w:pStyle w:val="SingleTxt"/>
        <w:spacing w:after="0" w:line="120" w:lineRule="exact"/>
        <w:ind w:left="1930" w:hanging="663"/>
        <w:jc w:val="both"/>
        <w:rPr>
          <w:rFonts w:hint="cs"/>
          <w:sz w:val="10"/>
          <w:rtl/>
          <w:lang w:bidi="ar-EG"/>
        </w:rPr>
      </w:pPr>
    </w:p>
    <w:tbl>
      <w:tblPr>
        <w:bidiVisual/>
        <w:tblW w:w="0" w:type="auto"/>
        <w:jc w:val="center"/>
        <w:tblLayout w:type="fixed"/>
        <w:tblCellMar>
          <w:left w:w="0" w:type="dxa"/>
          <w:right w:w="0" w:type="dxa"/>
        </w:tblCellMar>
        <w:tblLook w:val="0000" w:firstRow="0" w:lastRow="0" w:firstColumn="0" w:lastColumn="0" w:noHBand="0" w:noVBand="0"/>
      </w:tblPr>
      <w:tblGrid>
        <w:gridCol w:w="1888"/>
        <w:gridCol w:w="721"/>
        <w:gridCol w:w="721"/>
        <w:gridCol w:w="721"/>
        <w:gridCol w:w="618"/>
        <w:gridCol w:w="721"/>
        <w:gridCol w:w="721"/>
        <w:gridCol w:w="721"/>
        <w:gridCol w:w="685"/>
      </w:tblGrid>
      <w:tr w:rsidR="00D8679F" w:rsidTr="00D8679F">
        <w:tblPrEx>
          <w:tblCellMar>
            <w:top w:w="0" w:type="dxa"/>
            <w:bottom w:w="0" w:type="dxa"/>
          </w:tblCellMar>
        </w:tblPrEx>
        <w:trPr>
          <w:cantSplit/>
          <w:tblHeader/>
          <w:jc w:val="center"/>
        </w:trPr>
        <w:tc>
          <w:tcPr>
            <w:tcW w:w="1888" w:type="dxa"/>
            <w:tcBorders>
              <w:top w:val="single" w:sz="4" w:space="0" w:color="auto"/>
              <w:bottom w:val="single" w:sz="2" w:space="0" w:color="auto"/>
            </w:tcBorders>
            <w:vAlign w:val="bottom"/>
          </w:tcPr>
          <w:p w:rsidR="00D8679F" w:rsidRDefault="00D8679F">
            <w:pPr>
              <w:tabs>
                <w:tab w:val="left" w:pos="288"/>
                <w:tab w:val="left" w:pos="576"/>
                <w:tab w:val="left" w:pos="864"/>
                <w:tab w:val="left" w:pos="1152"/>
              </w:tabs>
              <w:spacing w:before="80" w:after="80" w:line="240" w:lineRule="exact"/>
              <w:ind w:right="40"/>
              <w:rPr>
                <w:rFonts w:hint="cs"/>
                <w:i/>
                <w:iCs/>
                <w:sz w:val="16"/>
                <w:szCs w:val="24"/>
                <w:rtl/>
                <w:lang w:bidi="ar-EG"/>
              </w:rPr>
            </w:pPr>
          </w:p>
        </w:tc>
        <w:tc>
          <w:tcPr>
            <w:tcW w:w="2781" w:type="dxa"/>
            <w:gridSpan w:val="4"/>
            <w:tcBorders>
              <w:top w:val="single" w:sz="4" w:space="0" w:color="auto"/>
              <w:bottom w:val="single" w:sz="2" w:space="0" w:color="auto"/>
            </w:tcBorders>
            <w:vAlign w:val="bottom"/>
          </w:tcPr>
          <w:p w:rsidR="00D8679F" w:rsidRDefault="00D8679F">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حزيران/يونيه 2003</w:t>
            </w:r>
          </w:p>
        </w:tc>
        <w:tc>
          <w:tcPr>
            <w:tcW w:w="2848" w:type="dxa"/>
            <w:gridSpan w:val="4"/>
            <w:tcBorders>
              <w:top w:val="single" w:sz="4" w:space="0" w:color="auto"/>
              <w:bottom w:val="single" w:sz="2" w:space="0" w:color="auto"/>
            </w:tcBorders>
            <w:vAlign w:val="bottom"/>
          </w:tcPr>
          <w:p w:rsidR="00D8679F" w:rsidRDefault="00D8679F">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كانون الثاني/يناير 2006</w:t>
            </w:r>
          </w:p>
        </w:tc>
      </w:tr>
      <w:tr w:rsidR="00D8679F" w:rsidTr="00D8679F">
        <w:tblPrEx>
          <w:tblCellMar>
            <w:top w:w="0" w:type="dxa"/>
            <w:bottom w:w="0" w:type="dxa"/>
          </w:tblCellMar>
        </w:tblPrEx>
        <w:trPr>
          <w:cantSplit/>
          <w:tblHeader/>
          <w:jc w:val="center"/>
        </w:trPr>
        <w:tc>
          <w:tcPr>
            <w:tcW w:w="1888" w:type="dxa"/>
            <w:tcBorders>
              <w:top w:val="single" w:sz="2" w:space="0" w:color="auto"/>
              <w:bottom w:val="single" w:sz="12" w:space="0" w:color="auto"/>
            </w:tcBorders>
            <w:vAlign w:val="bottom"/>
          </w:tcPr>
          <w:p w:rsidR="00D8679F" w:rsidRDefault="00D8679F">
            <w:pPr>
              <w:tabs>
                <w:tab w:val="left" w:pos="288"/>
                <w:tab w:val="left" w:pos="576"/>
                <w:tab w:val="left" w:pos="864"/>
                <w:tab w:val="left" w:pos="1152"/>
              </w:tabs>
              <w:spacing w:after="80" w:line="240" w:lineRule="exact"/>
              <w:ind w:right="40"/>
              <w:rPr>
                <w:rFonts w:hint="cs"/>
                <w:i/>
                <w:iCs/>
                <w:sz w:val="16"/>
                <w:szCs w:val="24"/>
                <w:rtl/>
                <w:lang w:bidi="ar-EG"/>
              </w:rPr>
            </w:pPr>
            <w:r>
              <w:rPr>
                <w:rFonts w:hint="cs"/>
                <w:i/>
                <w:iCs/>
                <w:sz w:val="16"/>
                <w:szCs w:val="24"/>
                <w:rtl/>
                <w:lang w:bidi="ar-EG"/>
              </w:rPr>
              <w:t>الرتبة</w:t>
            </w:r>
          </w:p>
        </w:tc>
        <w:tc>
          <w:tcPr>
            <w:tcW w:w="721" w:type="dxa"/>
            <w:tcBorders>
              <w:top w:val="single" w:sz="2" w:space="0" w:color="auto"/>
              <w:bottom w:val="single" w:sz="12" w:space="0" w:color="auto"/>
            </w:tcBorders>
            <w:vAlign w:val="bottom"/>
          </w:tcPr>
          <w:p w:rsidR="00D8679F" w:rsidRDefault="00D8679F">
            <w:pPr>
              <w:tabs>
                <w:tab w:val="left" w:pos="288"/>
                <w:tab w:val="left" w:pos="576"/>
                <w:tab w:val="left" w:pos="864"/>
                <w:tab w:val="left" w:pos="1152"/>
              </w:tabs>
              <w:spacing w:after="80" w:line="240" w:lineRule="exact"/>
              <w:ind w:right="144"/>
              <w:jc w:val="lowKashida"/>
              <w:rPr>
                <w:rFonts w:hint="cs"/>
                <w:i/>
                <w:iCs/>
                <w:sz w:val="16"/>
                <w:szCs w:val="24"/>
                <w:rtl/>
                <w:lang w:bidi="ar-EG"/>
              </w:rPr>
            </w:pPr>
            <w:r>
              <w:rPr>
                <w:rFonts w:hint="cs"/>
                <w:i/>
                <w:iCs/>
                <w:sz w:val="16"/>
                <w:szCs w:val="24"/>
                <w:rtl/>
                <w:lang w:bidi="ar-EG"/>
              </w:rPr>
              <w:t>النساء</w:t>
            </w:r>
          </w:p>
        </w:tc>
        <w:tc>
          <w:tcPr>
            <w:tcW w:w="721" w:type="dxa"/>
            <w:tcBorders>
              <w:top w:val="single" w:sz="2" w:space="0" w:color="auto"/>
              <w:bottom w:val="single" w:sz="12" w:space="0" w:color="auto"/>
            </w:tcBorders>
            <w:vAlign w:val="bottom"/>
          </w:tcPr>
          <w:p w:rsidR="00D8679F" w:rsidRDefault="00D8679F">
            <w:pPr>
              <w:tabs>
                <w:tab w:val="left" w:pos="288"/>
                <w:tab w:val="left" w:pos="576"/>
                <w:tab w:val="left" w:pos="864"/>
                <w:tab w:val="left" w:pos="1152"/>
              </w:tabs>
              <w:spacing w:after="80" w:line="240" w:lineRule="exact"/>
              <w:ind w:right="144"/>
              <w:jc w:val="lowKashida"/>
              <w:rPr>
                <w:rFonts w:hint="cs"/>
                <w:i/>
                <w:iCs/>
                <w:sz w:val="16"/>
                <w:szCs w:val="24"/>
                <w:rtl/>
                <w:lang w:bidi="ar-EG"/>
              </w:rPr>
            </w:pPr>
            <w:r>
              <w:rPr>
                <w:rFonts w:hint="cs"/>
                <w:i/>
                <w:iCs/>
                <w:sz w:val="16"/>
                <w:szCs w:val="24"/>
                <w:rtl/>
                <w:lang w:bidi="ar-EG"/>
              </w:rPr>
              <w:t>الرجال</w:t>
            </w:r>
          </w:p>
        </w:tc>
        <w:tc>
          <w:tcPr>
            <w:tcW w:w="721" w:type="dxa"/>
            <w:tcBorders>
              <w:top w:val="single" w:sz="2" w:space="0" w:color="auto"/>
              <w:bottom w:val="single" w:sz="12" w:space="0" w:color="auto"/>
            </w:tcBorders>
            <w:vAlign w:val="bottom"/>
          </w:tcPr>
          <w:p w:rsidR="00D8679F" w:rsidRDefault="00D8679F">
            <w:pPr>
              <w:tabs>
                <w:tab w:val="left" w:pos="288"/>
                <w:tab w:val="left" w:pos="576"/>
                <w:tab w:val="left" w:pos="864"/>
                <w:tab w:val="left" w:pos="1152"/>
              </w:tabs>
              <w:spacing w:after="80" w:line="240" w:lineRule="exact"/>
              <w:ind w:right="144"/>
              <w:jc w:val="lowKashida"/>
              <w:rPr>
                <w:rFonts w:hint="cs"/>
                <w:i/>
                <w:iCs/>
                <w:sz w:val="16"/>
                <w:szCs w:val="24"/>
                <w:rtl/>
                <w:lang w:bidi="ar-EG"/>
              </w:rPr>
            </w:pPr>
            <w:r>
              <w:rPr>
                <w:rFonts w:hint="cs"/>
                <w:i/>
                <w:iCs/>
                <w:sz w:val="16"/>
                <w:szCs w:val="24"/>
                <w:rtl/>
                <w:lang w:bidi="ar-EG"/>
              </w:rPr>
              <w:t>المجموع</w:t>
            </w:r>
          </w:p>
        </w:tc>
        <w:tc>
          <w:tcPr>
            <w:tcW w:w="618" w:type="dxa"/>
            <w:tcBorders>
              <w:top w:val="single" w:sz="2" w:space="0" w:color="auto"/>
              <w:bottom w:val="single" w:sz="12" w:space="0" w:color="auto"/>
            </w:tcBorders>
            <w:vAlign w:val="bottom"/>
          </w:tcPr>
          <w:p w:rsidR="00D8679F" w:rsidRDefault="00D8679F">
            <w:pPr>
              <w:tabs>
                <w:tab w:val="left" w:pos="288"/>
                <w:tab w:val="left" w:pos="576"/>
                <w:tab w:val="left" w:pos="864"/>
                <w:tab w:val="left" w:pos="1152"/>
              </w:tabs>
              <w:spacing w:after="80" w:line="240" w:lineRule="exact"/>
              <w:ind w:right="144"/>
              <w:jc w:val="lowKashida"/>
              <w:rPr>
                <w:rFonts w:hint="cs"/>
                <w:i/>
                <w:iCs/>
                <w:sz w:val="16"/>
                <w:szCs w:val="24"/>
                <w:rtl/>
                <w:lang w:bidi="ar-EG"/>
              </w:rPr>
            </w:pPr>
            <w:r>
              <w:rPr>
                <w:rFonts w:hint="cs"/>
                <w:i/>
                <w:iCs/>
                <w:sz w:val="16"/>
                <w:szCs w:val="24"/>
                <w:rtl/>
                <w:lang w:bidi="ar-EG"/>
              </w:rPr>
              <w:t>(%) للنساء</w:t>
            </w:r>
          </w:p>
        </w:tc>
        <w:tc>
          <w:tcPr>
            <w:tcW w:w="721" w:type="dxa"/>
            <w:tcBorders>
              <w:top w:val="single" w:sz="2" w:space="0" w:color="auto"/>
              <w:bottom w:val="single" w:sz="12" w:space="0" w:color="auto"/>
            </w:tcBorders>
            <w:vAlign w:val="bottom"/>
          </w:tcPr>
          <w:p w:rsidR="00D8679F" w:rsidRDefault="00D8679F">
            <w:pPr>
              <w:tabs>
                <w:tab w:val="left" w:pos="288"/>
                <w:tab w:val="left" w:pos="576"/>
                <w:tab w:val="left" w:pos="864"/>
                <w:tab w:val="left" w:pos="1152"/>
              </w:tabs>
              <w:spacing w:after="80" w:line="240" w:lineRule="exact"/>
              <w:ind w:right="144"/>
              <w:jc w:val="lowKashida"/>
              <w:rPr>
                <w:rFonts w:hint="cs"/>
                <w:i/>
                <w:iCs/>
                <w:sz w:val="16"/>
                <w:szCs w:val="24"/>
                <w:rtl/>
                <w:lang w:bidi="ar-EG"/>
              </w:rPr>
            </w:pPr>
            <w:r>
              <w:rPr>
                <w:rFonts w:hint="cs"/>
                <w:i/>
                <w:iCs/>
                <w:sz w:val="16"/>
                <w:szCs w:val="24"/>
                <w:rtl/>
                <w:lang w:bidi="ar-EG"/>
              </w:rPr>
              <w:t>النساء</w:t>
            </w:r>
          </w:p>
        </w:tc>
        <w:tc>
          <w:tcPr>
            <w:tcW w:w="721" w:type="dxa"/>
            <w:tcBorders>
              <w:top w:val="single" w:sz="2" w:space="0" w:color="auto"/>
              <w:bottom w:val="single" w:sz="12" w:space="0" w:color="auto"/>
            </w:tcBorders>
            <w:vAlign w:val="bottom"/>
          </w:tcPr>
          <w:p w:rsidR="00D8679F" w:rsidRDefault="00D8679F">
            <w:pPr>
              <w:tabs>
                <w:tab w:val="left" w:pos="288"/>
                <w:tab w:val="left" w:pos="576"/>
                <w:tab w:val="left" w:pos="864"/>
                <w:tab w:val="left" w:pos="1152"/>
              </w:tabs>
              <w:spacing w:after="80" w:line="240" w:lineRule="exact"/>
              <w:ind w:right="144"/>
              <w:jc w:val="lowKashida"/>
              <w:rPr>
                <w:rFonts w:hint="cs"/>
                <w:i/>
                <w:iCs/>
                <w:sz w:val="16"/>
                <w:szCs w:val="24"/>
                <w:rtl/>
                <w:lang w:bidi="ar-EG"/>
              </w:rPr>
            </w:pPr>
            <w:r>
              <w:rPr>
                <w:rFonts w:hint="cs"/>
                <w:i/>
                <w:iCs/>
                <w:sz w:val="16"/>
                <w:szCs w:val="24"/>
                <w:rtl/>
                <w:lang w:bidi="ar-EG"/>
              </w:rPr>
              <w:t>الرجال</w:t>
            </w:r>
          </w:p>
        </w:tc>
        <w:tc>
          <w:tcPr>
            <w:tcW w:w="721" w:type="dxa"/>
            <w:tcBorders>
              <w:top w:val="single" w:sz="2" w:space="0" w:color="auto"/>
              <w:bottom w:val="single" w:sz="12" w:space="0" w:color="auto"/>
            </w:tcBorders>
            <w:vAlign w:val="bottom"/>
          </w:tcPr>
          <w:p w:rsidR="00D8679F" w:rsidRDefault="00D8679F">
            <w:pPr>
              <w:tabs>
                <w:tab w:val="left" w:pos="288"/>
                <w:tab w:val="left" w:pos="576"/>
                <w:tab w:val="left" w:pos="864"/>
                <w:tab w:val="left" w:pos="1152"/>
              </w:tabs>
              <w:spacing w:after="80" w:line="240" w:lineRule="exact"/>
              <w:ind w:right="144"/>
              <w:jc w:val="lowKashida"/>
              <w:rPr>
                <w:rFonts w:hint="cs"/>
                <w:i/>
                <w:iCs/>
                <w:sz w:val="16"/>
                <w:szCs w:val="24"/>
                <w:rtl/>
                <w:lang w:bidi="ar-EG"/>
              </w:rPr>
            </w:pPr>
            <w:r>
              <w:rPr>
                <w:rFonts w:hint="cs"/>
                <w:i/>
                <w:iCs/>
                <w:sz w:val="16"/>
                <w:szCs w:val="24"/>
                <w:rtl/>
                <w:lang w:bidi="ar-EG"/>
              </w:rPr>
              <w:t>المجموع</w:t>
            </w:r>
          </w:p>
        </w:tc>
        <w:tc>
          <w:tcPr>
            <w:tcW w:w="685" w:type="dxa"/>
            <w:tcBorders>
              <w:top w:val="single" w:sz="2" w:space="0" w:color="auto"/>
              <w:bottom w:val="single" w:sz="12" w:space="0" w:color="auto"/>
            </w:tcBorders>
            <w:vAlign w:val="bottom"/>
          </w:tcPr>
          <w:p w:rsidR="00D8679F" w:rsidRDefault="00D8679F">
            <w:pPr>
              <w:tabs>
                <w:tab w:val="left" w:pos="288"/>
                <w:tab w:val="left" w:pos="576"/>
                <w:tab w:val="left" w:pos="864"/>
                <w:tab w:val="left" w:pos="1152"/>
              </w:tabs>
              <w:spacing w:after="80" w:line="240" w:lineRule="exact"/>
              <w:ind w:right="144"/>
              <w:jc w:val="lowKashida"/>
              <w:rPr>
                <w:rFonts w:hint="cs"/>
                <w:i/>
                <w:iCs/>
                <w:sz w:val="16"/>
                <w:szCs w:val="24"/>
                <w:rtl/>
                <w:lang w:bidi="ar-EG"/>
              </w:rPr>
            </w:pPr>
            <w:r>
              <w:rPr>
                <w:rFonts w:hint="cs"/>
                <w:i/>
                <w:iCs/>
                <w:sz w:val="16"/>
                <w:szCs w:val="24"/>
                <w:rtl/>
                <w:lang w:bidi="ar-EG"/>
              </w:rPr>
              <w:t>(%) للنساء</w:t>
            </w:r>
          </w:p>
        </w:tc>
      </w:tr>
      <w:tr w:rsidR="00D8679F" w:rsidTr="00D8679F">
        <w:tblPrEx>
          <w:tblCellMar>
            <w:top w:w="0" w:type="dxa"/>
            <w:bottom w:w="0" w:type="dxa"/>
          </w:tblCellMar>
        </w:tblPrEx>
        <w:trPr>
          <w:cantSplit/>
          <w:trHeight w:hRule="exact" w:val="115"/>
          <w:tblHeader/>
          <w:jc w:val="center"/>
        </w:trPr>
        <w:tc>
          <w:tcPr>
            <w:tcW w:w="1888"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p>
        </w:tc>
        <w:tc>
          <w:tcPr>
            <w:tcW w:w="721"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721"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721"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618"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721"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721"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721"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685"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D8679F" w:rsidTr="00D8679F">
        <w:tblPrEx>
          <w:tblCellMar>
            <w:top w:w="0" w:type="dxa"/>
            <w:bottom w:w="0" w:type="dxa"/>
          </w:tblCellMar>
        </w:tblPrEx>
        <w:trPr>
          <w:cantSplit/>
          <w:jc w:val="center"/>
        </w:trPr>
        <w:tc>
          <w:tcPr>
            <w:tcW w:w="1888"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وزراء</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26</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29</w:t>
            </w:r>
          </w:p>
        </w:tc>
        <w:tc>
          <w:tcPr>
            <w:tcW w:w="618"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10.3</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32</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34</w:t>
            </w:r>
          </w:p>
        </w:tc>
        <w:tc>
          <w:tcPr>
            <w:tcW w:w="685"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5.8</w:t>
            </w:r>
          </w:p>
        </w:tc>
      </w:tr>
      <w:tr w:rsidR="00D8679F" w:rsidTr="00D8679F">
        <w:tblPrEx>
          <w:tblCellMar>
            <w:top w:w="0" w:type="dxa"/>
            <w:bottom w:w="0" w:type="dxa"/>
          </w:tblCellMar>
        </w:tblPrEx>
        <w:trPr>
          <w:cantSplit/>
          <w:jc w:val="center"/>
        </w:trPr>
        <w:tc>
          <w:tcPr>
            <w:tcW w:w="1888"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مساعدو الوزراء</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39</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43</w:t>
            </w:r>
          </w:p>
        </w:tc>
        <w:tc>
          <w:tcPr>
            <w:tcW w:w="618"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9.3</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40</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46</w:t>
            </w:r>
          </w:p>
        </w:tc>
        <w:tc>
          <w:tcPr>
            <w:tcW w:w="685"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13</w:t>
            </w:r>
          </w:p>
        </w:tc>
      </w:tr>
      <w:tr w:rsidR="00D8679F" w:rsidTr="00D8679F">
        <w:tblPrEx>
          <w:tblCellMar>
            <w:top w:w="0" w:type="dxa"/>
            <w:bottom w:w="0" w:type="dxa"/>
          </w:tblCellMar>
        </w:tblPrEx>
        <w:trPr>
          <w:cantSplit/>
          <w:jc w:val="center"/>
        </w:trPr>
        <w:tc>
          <w:tcPr>
            <w:tcW w:w="1888"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الجمعية الوطنية</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18</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204</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222</w:t>
            </w:r>
          </w:p>
        </w:tc>
        <w:tc>
          <w:tcPr>
            <w:tcW w:w="618"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8.1</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18</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204</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222</w:t>
            </w:r>
          </w:p>
        </w:tc>
        <w:tc>
          <w:tcPr>
            <w:tcW w:w="685"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8.1</w:t>
            </w:r>
          </w:p>
        </w:tc>
      </w:tr>
      <w:tr w:rsidR="00D8679F" w:rsidTr="00D8679F">
        <w:tblPrEx>
          <w:tblCellMar>
            <w:top w:w="0" w:type="dxa"/>
            <w:bottom w:w="0" w:type="dxa"/>
          </w:tblCellMar>
        </w:tblPrEx>
        <w:trPr>
          <w:cantSplit/>
          <w:jc w:val="center"/>
        </w:trPr>
        <w:tc>
          <w:tcPr>
            <w:tcW w:w="1888"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السفراء/المفوضون السامون</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7</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27</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34</w:t>
            </w:r>
          </w:p>
        </w:tc>
        <w:tc>
          <w:tcPr>
            <w:tcW w:w="618"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20.6</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11</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29</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40</w:t>
            </w:r>
          </w:p>
        </w:tc>
        <w:tc>
          <w:tcPr>
            <w:tcW w:w="685"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27.5</w:t>
            </w:r>
          </w:p>
        </w:tc>
      </w:tr>
      <w:tr w:rsidR="00D8679F" w:rsidTr="00D8679F">
        <w:tblPrEx>
          <w:tblCellMar>
            <w:top w:w="0" w:type="dxa"/>
            <w:bottom w:w="0" w:type="dxa"/>
          </w:tblCellMar>
        </w:tblPrEx>
        <w:trPr>
          <w:cantSplit/>
          <w:jc w:val="center"/>
        </w:trPr>
        <w:tc>
          <w:tcPr>
            <w:tcW w:w="1888"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الأمين الدائم</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21</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24</w:t>
            </w:r>
          </w:p>
        </w:tc>
        <w:tc>
          <w:tcPr>
            <w:tcW w:w="618"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12.5</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25</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30</w:t>
            </w:r>
          </w:p>
        </w:tc>
        <w:tc>
          <w:tcPr>
            <w:tcW w:w="685"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16.7</w:t>
            </w:r>
          </w:p>
        </w:tc>
      </w:tr>
      <w:tr w:rsidR="00D8679F" w:rsidTr="00D8679F">
        <w:tblPrEx>
          <w:tblCellMar>
            <w:top w:w="0" w:type="dxa"/>
            <w:bottom w:w="0" w:type="dxa"/>
          </w:tblCellMar>
        </w:tblPrEx>
        <w:trPr>
          <w:cantSplit/>
          <w:jc w:val="center"/>
        </w:trPr>
        <w:tc>
          <w:tcPr>
            <w:tcW w:w="1888"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مفوضو الولايات</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صفر</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8</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8</w:t>
            </w:r>
          </w:p>
        </w:tc>
        <w:tc>
          <w:tcPr>
            <w:tcW w:w="618"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صفر</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8</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8</w:t>
            </w:r>
          </w:p>
        </w:tc>
        <w:tc>
          <w:tcPr>
            <w:tcW w:w="685"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w:t>
            </w:r>
          </w:p>
        </w:tc>
      </w:tr>
      <w:tr w:rsidR="00D8679F" w:rsidTr="00D8679F">
        <w:tblPrEx>
          <w:tblCellMar>
            <w:top w:w="0" w:type="dxa"/>
            <w:bottom w:w="0" w:type="dxa"/>
          </w:tblCellMar>
        </w:tblPrEx>
        <w:trPr>
          <w:cantSplit/>
          <w:jc w:val="center"/>
        </w:trPr>
        <w:tc>
          <w:tcPr>
            <w:tcW w:w="1888"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مفوضو المناطق</w:t>
            </w:r>
            <w:r>
              <w:rPr>
                <w:sz w:val="16"/>
                <w:szCs w:val="24"/>
                <w:vertAlign w:val="superscript"/>
                <w:rtl/>
                <w:lang w:bidi="ar-EG"/>
              </w:rPr>
              <w:t>(</w:t>
            </w:r>
            <w:r>
              <w:rPr>
                <w:rStyle w:val="FootnoteReference"/>
                <w:rtl/>
              </w:rPr>
              <w:footnoteRef/>
            </w:r>
            <w:r>
              <w:rPr>
                <w:sz w:val="16"/>
                <w:szCs w:val="24"/>
                <w:vertAlign w:val="superscript"/>
                <w:rtl/>
                <w:lang w:bidi="ar-EG"/>
              </w:rPr>
              <w:t>)</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68</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71</w:t>
            </w:r>
          </w:p>
        </w:tc>
        <w:tc>
          <w:tcPr>
            <w:tcW w:w="618"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4.2</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69</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71</w:t>
            </w:r>
          </w:p>
        </w:tc>
        <w:tc>
          <w:tcPr>
            <w:tcW w:w="685"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2.8</w:t>
            </w:r>
          </w:p>
        </w:tc>
      </w:tr>
      <w:tr w:rsidR="00D8679F" w:rsidTr="00D8679F">
        <w:tblPrEx>
          <w:tblCellMar>
            <w:top w:w="0" w:type="dxa"/>
            <w:bottom w:w="0" w:type="dxa"/>
          </w:tblCellMar>
        </w:tblPrEx>
        <w:trPr>
          <w:cantSplit/>
          <w:jc w:val="center"/>
        </w:trPr>
        <w:tc>
          <w:tcPr>
            <w:tcW w:w="1888"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نائب الأمين</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19</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75</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94</w:t>
            </w:r>
          </w:p>
        </w:tc>
        <w:tc>
          <w:tcPr>
            <w:tcW w:w="618"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20.2</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21</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77</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98</w:t>
            </w:r>
          </w:p>
        </w:tc>
        <w:tc>
          <w:tcPr>
            <w:tcW w:w="685"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21.4</w:t>
            </w:r>
          </w:p>
        </w:tc>
      </w:tr>
      <w:tr w:rsidR="00D8679F" w:rsidTr="00D8679F">
        <w:tblPrEx>
          <w:tblCellMar>
            <w:top w:w="0" w:type="dxa"/>
            <w:bottom w:w="0" w:type="dxa"/>
          </w:tblCellMar>
        </w:tblPrEx>
        <w:trPr>
          <w:cantSplit/>
          <w:jc w:val="center"/>
        </w:trPr>
        <w:tc>
          <w:tcPr>
            <w:tcW w:w="1888"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مستشارون</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377</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460 2</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837 2</w:t>
            </w:r>
          </w:p>
        </w:tc>
        <w:tc>
          <w:tcPr>
            <w:tcW w:w="618"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13.3</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377</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460 2</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837 2</w:t>
            </w:r>
          </w:p>
        </w:tc>
        <w:tc>
          <w:tcPr>
            <w:tcW w:w="685"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13.3</w:t>
            </w:r>
          </w:p>
        </w:tc>
      </w:tr>
      <w:tr w:rsidR="00D8679F" w:rsidTr="00D8679F">
        <w:tblPrEx>
          <w:tblCellMar>
            <w:top w:w="0" w:type="dxa"/>
            <w:bottom w:w="0" w:type="dxa"/>
          </w:tblCellMar>
        </w:tblPrEx>
        <w:trPr>
          <w:cantSplit/>
          <w:jc w:val="center"/>
        </w:trPr>
        <w:tc>
          <w:tcPr>
            <w:tcW w:w="1888"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محامون</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645 1</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179 3</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824 4</w:t>
            </w:r>
          </w:p>
        </w:tc>
        <w:tc>
          <w:tcPr>
            <w:tcW w:w="618"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34.3</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708 1</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277 3</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985 4</w:t>
            </w:r>
          </w:p>
        </w:tc>
        <w:tc>
          <w:tcPr>
            <w:tcW w:w="685"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34.3</w:t>
            </w:r>
          </w:p>
        </w:tc>
      </w:tr>
      <w:tr w:rsidR="00D8679F" w:rsidTr="00D8679F">
        <w:tblPrEx>
          <w:tblCellMar>
            <w:top w:w="0" w:type="dxa"/>
            <w:bottom w:w="0" w:type="dxa"/>
          </w:tblCellMar>
        </w:tblPrEx>
        <w:trPr>
          <w:cantSplit/>
          <w:jc w:val="center"/>
        </w:trPr>
        <w:tc>
          <w:tcPr>
            <w:tcW w:w="1888"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مسؤولو المناطق</w:t>
            </w:r>
          </w:p>
        </w:tc>
        <w:tc>
          <w:tcPr>
            <w:tcW w:w="721"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68</w:t>
            </w:r>
          </w:p>
        </w:tc>
        <w:tc>
          <w:tcPr>
            <w:tcW w:w="721"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355</w:t>
            </w:r>
          </w:p>
        </w:tc>
        <w:tc>
          <w:tcPr>
            <w:tcW w:w="721"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423</w:t>
            </w:r>
          </w:p>
        </w:tc>
        <w:tc>
          <w:tcPr>
            <w:tcW w:w="618"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16.1</w:t>
            </w:r>
          </w:p>
        </w:tc>
        <w:tc>
          <w:tcPr>
            <w:tcW w:w="721"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88</w:t>
            </w:r>
          </w:p>
        </w:tc>
        <w:tc>
          <w:tcPr>
            <w:tcW w:w="721"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359</w:t>
            </w:r>
          </w:p>
        </w:tc>
        <w:tc>
          <w:tcPr>
            <w:tcW w:w="721"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447</w:t>
            </w:r>
          </w:p>
        </w:tc>
        <w:tc>
          <w:tcPr>
            <w:tcW w:w="685"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19.7</w:t>
            </w:r>
          </w:p>
        </w:tc>
      </w:tr>
    </w:tbl>
    <w:p w:rsidR="00000000" w:rsidRDefault="00D8679F">
      <w:pPr>
        <w:pStyle w:val="SingleTxt"/>
        <w:spacing w:after="0" w:line="120" w:lineRule="exact"/>
        <w:ind w:left="1930" w:hanging="663"/>
        <w:jc w:val="both"/>
        <w:rPr>
          <w:rFonts w:hint="cs"/>
          <w:sz w:val="10"/>
          <w:rtl/>
          <w:lang w:bidi="ar-EG"/>
        </w:rPr>
      </w:pPr>
    </w:p>
    <w:p w:rsidR="00000000" w:rsidRDefault="00D8679F">
      <w:pPr>
        <w:pStyle w:val="FootnoteText"/>
        <w:tabs>
          <w:tab w:val="clear" w:pos="418"/>
          <w:tab w:val="right" w:pos="1915"/>
          <w:tab w:val="left" w:pos="2016"/>
          <w:tab w:val="left" w:pos="2491"/>
          <w:tab w:val="left" w:pos="2966"/>
          <w:tab w:val="left" w:pos="3442"/>
          <w:tab w:val="left" w:pos="3917"/>
        </w:tabs>
        <w:spacing w:after="80" w:line="240" w:lineRule="exact"/>
        <w:ind w:left="2030" w:right="1267" w:hanging="763"/>
        <w:rPr>
          <w:rFonts w:hint="cs"/>
          <w:rtl/>
          <w:lang w:bidi="ar-EG"/>
        </w:rPr>
      </w:pPr>
      <w:r>
        <w:rPr>
          <w:rFonts w:hint="cs"/>
          <w:rtl/>
          <w:lang w:bidi="ar-EG"/>
        </w:rPr>
        <w:tab/>
      </w:r>
      <w:r>
        <w:rPr>
          <w:rFonts w:hint="cs"/>
          <w:i/>
          <w:iCs/>
          <w:rtl/>
          <w:lang w:bidi="ar-EG"/>
        </w:rPr>
        <w:t>المصدر</w:t>
      </w:r>
      <w:r>
        <w:rPr>
          <w:rFonts w:hint="cs"/>
          <w:rtl/>
          <w:lang w:bidi="ar-EG"/>
        </w:rPr>
        <w:t>:</w:t>
      </w:r>
      <w:r>
        <w:rPr>
          <w:rFonts w:hint="cs"/>
          <w:rtl/>
          <w:lang w:bidi="ar-EG"/>
        </w:rPr>
        <w:tab/>
        <w:t>- إدارة الشؤون الجنسانية</w:t>
      </w:r>
    </w:p>
    <w:p w:rsidR="00000000" w:rsidRDefault="00D8679F">
      <w:pPr>
        <w:pStyle w:val="FootnoteText"/>
        <w:tabs>
          <w:tab w:val="clear" w:pos="418"/>
          <w:tab w:val="right" w:pos="1915"/>
          <w:tab w:val="left" w:pos="2016"/>
          <w:tab w:val="left" w:pos="2491"/>
          <w:tab w:val="left" w:pos="2966"/>
          <w:tab w:val="left" w:pos="3442"/>
          <w:tab w:val="left" w:pos="3917"/>
        </w:tabs>
        <w:spacing w:after="80" w:line="240" w:lineRule="exact"/>
        <w:ind w:left="2030" w:right="1267" w:hanging="763"/>
        <w:rPr>
          <w:rFonts w:hint="cs"/>
          <w:rtl/>
          <w:lang w:bidi="ar-EG"/>
        </w:rPr>
      </w:pPr>
      <w:r>
        <w:rPr>
          <w:rFonts w:hint="cs"/>
          <w:rtl/>
          <w:lang w:bidi="ar-EG"/>
        </w:rPr>
        <w:tab/>
      </w:r>
      <w:r>
        <w:rPr>
          <w:rFonts w:hint="cs"/>
          <w:rtl/>
          <w:lang w:bidi="ar-EG"/>
        </w:rPr>
        <w:tab/>
        <w:t>- اللجنة الانتخابية</w:t>
      </w:r>
    </w:p>
    <w:p w:rsidR="00000000" w:rsidRDefault="00D8679F">
      <w:pPr>
        <w:pStyle w:val="FootnoteText"/>
        <w:tabs>
          <w:tab w:val="clear" w:pos="418"/>
          <w:tab w:val="right" w:pos="1915"/>
          <w:tab w:val="left" w:pos="2016"/>
          <w:tab w:val="left" w:pos="2491"/>
          <w:tab w:val="left" w:pos="2966"/>
          <w:tab w:val="left" w:pos="3442"/>
          <w:tab w:val="left" w:pos="3917"/>
        </w:tabs>
        <w:spacing w:after="80" w:line="240" w:lineRule="exact"/>
        <w:ind w:left="2030" w:right="1267" w:hanging="763"/>
        <w:rPr>
          <w:rFonts w:hint="cs"/>
          <w:rtl/>
          <w:lang w:bidi="ar-EG"/>
        </w:rPr>
      </w:pPr>
      <w:r>
        <w:rPr>
          <w:rFonts w:hint="cs"/>
          <w:rtl/>
          <w:lang w:bidi="ar-EG"/>
        </w:rPr>
        <w:tab/>
      </w:r>
      <w:r>
        <w:rPr>
          <w:rFonts w:hint="cs"/>
          <w:rtl/>
          <w:lang w:bidi="ar-EG"/>
        </w:rPr>
        <w:tab/>
        <w:t>- الوح</w:t>
      </w:r>
      <w:r>
        <w:rPr>
          <w:rFonts w:hint="cs"/>
          <w:rtl/>
          <w:lang w:bidi="ar-EG"/>
        </w:rPr>
        <w:t>دة الإحصائية بمديرية شؤون الموظفين</w:t>
      </w:r>
    </w:p>
    <w:p w:rsidR="00000000" w:rsidRDefault="00D8679F">
      <w:pPr>
        <w:pStyle w:val="SingleTxt"/>
        <w:spacing w:after="0" w:line="120" w:lineRule="exact"/>
        <w:ind w:left="1930" w:hanging="663"/>
        <w:jc w:val="both"/>
        <w:rPr>
          <w:rFonts w:hint="cs"/>
          <w:sz w:val="10"/>
          <w:rtl/>
          <w:lang w:bidi="ar-EG"/>
        </w:rPr>
      </w:pPr>
    </w:p>
    <w:p w:rsidR="00000000" w:rsidRDefault="00D8679F">
      <w:pPr>
        <w:pStyle w:val="SingleTxt"/>
        <w:spacing w:after="0" w:line="120" w:lineRule="exact"/>
        <w:ind w:left="1930" w:hanging="663"/>
        <w:jc w:val="both"/>
        <w:rPr>
          <w:rFonts w:hint="cs"/>
          <w:sz w:val="10"/>
          <w:rtl/>
          <w:lang w:bidi="ar-EG"/>
        </w:rPr>
      </w:pPr>
    </w:p>
    <w:p w:rsidR="00000000" w:rsidRDefault="00D8679F">
      <w:pPr>
        <w:pStyle w:val="SingleTxt"/>
        <w:spacing w:after="0" w:line="120" w:lineRule="exact"/>
        <w:ind w:left="1930" w:hanging="663"/>
        <w:jc w:val="both"/>
        <w:rPr>
          <w:rFonts w:hint="cs"/>
          <w:sz w:val="10"/>
          <w:rtl/>
          <w:lang w:bidi="ar-EG"/>
        </w:rPr>
      </w:pPr>
    </w:p>
    <w:p w:rsidR="00000000" w:rsidRDefault="00D8679F">
      <w:pPr>
        <w:pStyle w:val="SingleTxt"/>
        <w:ind w:left="1930" w:hanging="663"/>
        <w:jc w:val="both"/>
        <w:rPr>
          <w:rFonts w:hint="cs"/>
          <w:rtl/>
          <w:lang w:bidi="ar-EG"/>
        </w:rPr>
      </w:pPr>
      <w:r>
        <w:rPr>
          <w:rFonts w:hint="cs"/>
          <w:rtl/>
          <w:lang w:bidi="ar-EG"/>
        </w:rPr>
        <w:t>91 -</w:t>
      </w:r>
      <w:r>
        <w:rPr>
          <w:rFonts w:hint="cs"/>
          <w:rtl/>
          <w:lang w:bidi="ar-EG"/>
        </w:rPr>
        <w:tab/>
        <w:t>وفي المجالس المحلية، ازداد تمثيل المرأة تدريجيا من 8.1 في المائة في عام 1998 إلى 13.3 في المائة في عام 2002 كما هو مبين أدناه.</w:t>
      </w:r>
    </w:p>
    <w:p w:rsidR="00000000" w:rsidRDefault="00D8679F">
      <w:pPr>
        <w:pStyle w:val="SingleTxt"/>
        <w:spacing w:after="0" w:line="120" w:lineRule="exact"/>
        <w:ind w:left="1930" w:hanging="663"/>
        <w:jc w:val="both"/>
        <w:rPr>
          <w:rFonts w:hint="cs"/>
          <w:sz w:val="10"/>
          <w:rtl/>
          <w:lang w:bidi="ar-EG"/>
        </w:rPr>
      </w:pPr>
    </w:p>
    <w:p w:rsidR="00000000" w:rsidRDefault="00D8679F">
      <w:pPr>
        <w:pStyle w:val="SingleTxt"/>
        <w:ind w:left="1930" w:hanging="1659"/>
        <w:jc w:val="both"/>
        <w:rPr>
          <w:rFonts w:hint="cs"/>
          <w:rtl/>
          <w:lang w:bidi="ar-EG"/>
        </w:rPr>
      </w:pPr>
      <w:r>
        <w:rPr>
          <w:rtl/>
          <w:lang w:bidi="ar-EG"/>
        </w:rPr>
        <w:br w:type="page"/>
      </w:r>
      <w:r>
        <w:rPr>
          <w:rFonts w:hint="cs"/>
          <w:rtl/>
          <w:lang w:bidi="ar-EG"/>
        </w:rPr>
        <w:t>الجدول 2</w:t>
      </w:r>
    </w:p>
    <w:p w:rsidR="00000000" w:rsidRDefault="00D8679F">
      <w:pPr>
        <w:pStyle w:val="SingleTxt"/>
        <w:spacing w:after="0" w:line="120" w:lineRule="exact"/>
        <w:ind w:left="1930" w:hanging="1659"/>
        <w:jc w:val="both"/>
        <w:rPr>
          <w:rFonts w:hint="cs"/>
          <w:sz w:val="12"/>
          <w:rtl/>
          <w:lang w:bidi="ar-EG"/>
        </w:rPr>
      </w:pPr>
    </w:p>
    <w:p w:rsidR="00000000" w:rsidRDefault="00D8679F">
      <w:pPr>
        <w:pStyle w:val="SingleTxt"/>
        <w:ind w:left="1930" w:hanging="1659"/>
        <w:jc w:val="both"/>
        <w:rPr>
          <w:rFonts w:hint="cs"/>
          <w:rtl/>
          <w:lang w:bidi="ar-EG"/>
        </w:rPr>
      </w:pPr>
      <w:r>
        <w:rPr>
          <w:rFonts w:hint="cs"/>
          <w:b/>
          <w:bCs/>
          <w:rtl/>
          <w:lang w:bidi="ar-EG"/>
        </w:rPr>
        <w:t>عضوية السلطات المحلية حسب الجنس (1988-2002)</w:t>
      </w:r>
    </w:p>
    <w:p w:rsidR="00000000" w:rsidRDefault="00D8679F">
      <w:pPr>
        <w:pStyle w:val="SingleTxt"/>
        <w:spacing w:after="0" w:line="120" w:lineRule="exact"/>
        <w:ind w:left="1930" w:hanging="663"/>
        <w:jc w:val="both"/>
        <w:rPr>
          <w:rFonts w:hint="cs"/>
          <w:sz w:val="10"/>
          <w:rtl/>
          <w:lang w:bidi="ar-EG"/>
        </w:rPr>
      </w:pPr>
    </w:p>
    <w:p w:rsidR="00000000" w:rsidRDefault="00D8679F">
      <w:pPr>
        <w:pStyle w:val="SingleTxt"/>
        <w:spacing w:after="0" w:line="120" w:lineRule="exact"/>
        <w:ind w:left="1930" w:hanging="663"/>
        <w:jc w:val="both"/>
        <w:rPr>
          <w:rFonts w:hint="cs"/>
          <w:sz w:val="10"/>
          <w:rtl/>
          <w:lang w:bidi="ar-EG"/>
        </w:rPr>
      </w:pPr>
    </w:p>
    <w:tbl>
      <w:tblPr>
        <w:bidiVisual/>
        <w:tblW w:w="9854" w:type="dxa"/>
        <w:tblLayout w:type="fixed"/>
        <w:tblCellMar>
          <w:left w:w="0" w:type="dxa"/>
          <w:right w:w="0" w:type="dxa"/>
        </w:tblCellMar>
        <w:tblLook w:val="0000" w:firstRow="0" w:lastRow="0" w:firstColumn="0" w:lastColumn="0" w:noHBand="0" w:noVBand="0"/>
      </w:tblPr>
      <w:tblGrid>
        <w:gridCol w:w="1404"/>
        <w:gridCol w:w="721"/>
        <w:gridCol w:w="721"/>
        <w:gridCol w:w="721"/>
        <w:gridCol w:w="721"/>
        <w:gridCol w:w="721"/>
        <w:gridCol w:w="721"/>
        <w:gridCol w:w="721"/>
        <w:gridCol w:w="618"/>
        <w:gridCol w:w="721"/>
        <w:gridCol w:w="721"/>
        <w:gridCol w:w="618"/>
        <w:gridCol w:w="725"/>
      </w:tblGrid>
      <w:tr w:rsidR="00D8679F" w:rsidTr="00D8679F">
        <w:tblPrEx>
          <w:tblCellMar>
            <w:top w:w="0" w:type="dxa"/>
            <w:bottom w:w="0" w:type="dxa"/>
          </w:tblCellMar>
        </w:tblPrEx>
        <w:trPr>
          <w:cantSplit/>
          <w:tblHeader/>
        </w:trPr>
        <w:tc>
          <w:tcPr>
            <w:tcW w:w="1404" w:type="dxa"/>
            <w:tcBorders>
              <w:top w:val="single" w:sz="4" w:space="0" w:color="auto"/>
              <w:bottom w:val="single" w:sz="2" w:space="0" w:color="auto"/>
            </w:tcBorders>
            <w:tcMar>
              <w:left w:w="0" w:type="dxa"/>
              <w:right w:w="0" w:type="dxa"/>
            </w:tcMar>
            <w:vAlign w:val="bottom"/>
          </w:tcPr>
          <w:p w:rsidR="00D8679F" w:rsidRDefault="00D8679F">
            <w:pPr>
              <w:spacing w:before="80" w:after="80" w:line="240" w:lineRule="exact"/>
              <w:jc w:val="center"/>
              <w:rPr>
                <w:rFonts w:hint="cs"/>
                <w:i/>
                <w:iCs/>
                <w:sz w:val="16"/>
                <w:szCs w:val="24"/>
                <w:rtl/>
                <w:lang w:bidi="ar-EG"/>
              </w:rPr>
            </w:pPr>
          </w:p>
        </w:tc>
        <w:tc>
          <w:tcPr>
            <w:tcW w:w="2163" w:type="dxa"/>
            <w:gridSpan w:val="3"/>
            <w:tcBorders>
              <w:top w:val="single" w:sz="4" w:space="0" w:color="auto"/>
              <w:bottom w:val="single" w:sz="2" w:space="0" w:color="auto"/>
            </w:tcBorders>
            <w:vAlign w:val="bottom"/>
          </w:tcPr>
          <w:p w:rsidR="00D8679F" w:rsidRDefault="00D8679F">
            <w:pPr>
              <w:spacing w:before="80" w:after="80" w:line="240" w:lineRule="exact"/>
              <w:ind w:right="144"/>
              <w:jc w:val="center"/>
              <w:rPr>
                <w:rFonts w:hint="cs"/>
                <w:i/>
                <w:iCs/>
                <w:sz w:val="16"/>
                <w:szCs w:val="24"/>
                <w:rtl/>
                <w:lang w:bidi="ar-EG"/>
              </w:rPr>
            </w:pPr>
            <w:r>
              <w:rPr>
                <w:rFonts w:hint="cs"/>
                <w:i/>
                <w:iCs/>
                <w:sz w:val="16"/>
                <w:szCs w:val="24"/>
                <w:rtl/>
                <w:lang w:bidi="ar-EG"/>
              </w:rPr>
              <w:t>1988</w:t>
            </w:r>
          </w:p>
        </w:tc>
        <w:tc>
          <w:tcPr>
            <w:tcW w:w="2163" w:type="dxa"/>
            <w:gridSpan w:val="3"/>
            <w:tcBorders>
              <w:top w:val="single" w:sz="4" w:space="0" w:color="auto"/>
              <w:bottom w:val="single" w:sz="2" w:space="0" w:color="auto"/>
            </w:tcBorders>
            <w:vAlign w:val="bottom"/>
          </w:tcPr>
          <w:p w:rsidR="00D8679F" w:rsidRDefault="00D8679F">
            <w:pPr>
              <w:spacing w:before="80" w:after="80" w:line="240" w:lineRule="exact"/>
              <w:ind w:right="144"/>
              <w:jc w:val="center"/>
              <w:rPr>
                <w:rFonts w:hint="cs"/>
                <w:i/>
                <w:iCs/>
                <w:sz w:val="16"/>
                <w:szCs w:val="24"/>
                <w:rtl/>
                <w:lang w:bidi="ar-EG"/>
              </w:rPr>
            </w:pPr>
            <w:r>
              <w:rPr>
                <w:rFonts w:hint="cs"/>
                <w:i/>
                <w:iCs/>
                <w:sz w:val="16"/>
                <w:szCs w:val="24"/>
                <w:rtl/>
                <w:lang w:bidi="ar-EG"/>
              </w:rPr>
              <w:t>1992</w:t>
            </w:r>
          </w:p>
        </w:tc>
        <w:tc>
          <w:tcPr>
            <w:tcW w:w="2060" w:type="dxa"/>
            <w:gridSpan w:val="3"/>
            <w:tcBorders>
              <w:top w:val="single" w:sz="4" w:space="0" w:color="auto"/>
              <w:bottom w:val="single" w:sz="2" w:space="0" w:color="auto"/>
            </w:tcBorders>
            <w:vAlign w:val="bottom"/>
          </w:tcPr>
          <w:p w:rsidR="00D8679F" w:rsidRDefault="00D8679F">
            <w:pPr>
              <w:spacing w:before="80" w:after="80" w:line="240" w:lineRule="exact"/>
              <w:ind w:right="144"/>
              <w:jc w:val="center"/>
              <w:rPr>
                <w:rFonts w:hint="cs"/>
                <w:i/>
                <w:iCs/>
                <w:sz w:val="16"/>
                <w:szCs w:val="24"/>
                <w:rtl/>
                <w:lang w:bidi="ar-EG"/>
              </w:rPr>
            </w:pPr>
            <w:r>
              <w:rPr>
                <w:rFonts w:hint="cs"/>
                <w:i/>
                <w:iCs/>
                <w:sz w:val="16"/>
                <w:szCs w:val="24"/>
                <w:rtl/>
                <w:lang w:bidi="ar-EG"/>
              </w:rPr>
              <w:t>1998</w:t>
            </w:r>
          </w:p>
        </w:tc>
        <w:tc>
          <w:tcPr>
            <w:tcW w:w="2064" w:type="dxa"/>
            <w:gridSpan w:val="3"/>
            <w:tcBorders>
              <w:top w:val="single" w:sz="4" w:space="0" w:color="auto"/>
              <w:bottom w:val="single" w:sz="2" w:space="0" w:color="auto"/>
            </w:tcBorders>
            <w:vAlign w:val="bottom"/>
          </w:tcPr>
          <w:p w:rsidR="00D8679F" w:rsidRDefault="00D8679F">
            <w:pPr>
              <w:spacing w:before="80" w:after="80" w:line="240" w:lineRule="exact"/>
              <w:ind w:right="144"/>
              <w:jc w:val="center"/>
              <w:rPr>
                <w:rFonts w:hint="cs"/>
                <w:i/>
                <w:iCs/>
                <w:sz w:val="16"/>
                <w:szCs w:val="24"/>
                <w:rtl/>
                <w:lang w:bidi="ar-EG"/>
              </w:rPr>
            </w:pPr>
            <w:r>
              <w:rPr>
                <w:rFonts w:hint="cs"/>
                <w:i/>
                <w:iCs/>
                <w:sz w:val="16"/>
                <w:szCs w:val="24"/>
                <w:rtl/>
                <w:lang w:bidi="ar-EG"/>
              </w:rPr>
              <w:t>2002</w:t>
            </w:r>
          </w:p>
        </w:tc>
      </w:tr>
      <w:tr w:rsidR="00D8679F" w:rsidTr="00D8679F">
        <w:tblPrEx>
          <w:tblCellMar>
            <w:top w:w="0" w:type="dxa"/>
            <w:bottom w:w="0" w:type="dxa"/>
          </w:tblCellMar>
        </w:tblPrEx>
        <w:trPr>
          <w:cantSplit/>
          <w:tblHeader/>
        </w:trPr>
        <w:tc>
          <w:tcPr>
            <w:tcW w:w="1404" w:type="dxa"/>
            <w:tcBorders>
              <w:top w:val="single" w:sz="2" w:space="0" w:color="auto"/>
              <w:bottom w:val="single" w:sz="12" w:space="0" w:color="auto"/>
            </w:tcBorders>
            <w:vAlign w:val="bottom"/>
          </w:tcPr>
          <w:p w:rsidR="00D8679F" w:rsidRDefault="00D8679F">
            <w:pPr>
              <w:spacing w:after="80" w:line="240" w:lineRule="exact"/>
              <w:rPr>
                <w:rFonts w:hint="cs"/>
                <w:i/>
                <w:iCs/>
                <w:sz w:val="16"/>
                <w:szCs w:val="24"/>
                <w:rtl/>
                <w:lang w:bidi="ar-EG"/>
              </w:rPr>
            </w:pPr>
            <w:r>
              <w:rPr>
                <w:rFonts w:hint="cs"/>
                <w:i/>
                <w:iCs/>
                <w:sz w:val="16"/>
                <w:szCs w:val="24"/>
                <w:rtl/>
                <w:lang w:bidi="ar-EG"/>
              </w:rPr>
              <w:t>السلطات</w:t>
            </w:r>
          </w:p>
        </w:tc>
        <w:tc>
          <w:tcPr>
            <w:tcW w:w="721" w:type="dxa"/>
            <w:tcBorders>
              <w:top w:val="single" w:sz="2" w:space="0" w:color="auto"/>
              <w:bottom w:val="single" w:sz="12" w:space="0" w:color="auto"/>
            </w:tcBorders>
            <w:vAlign w:val="bottom"/>
          </w:tcPr>
          <w:p w:rsidR="00D8679F" w:rsidRDefault="00D8679F">
            <w:pPr>
              <w:spacing w:after="80" w:line="240" w:lineRule="exact"/>
              <w:ind w:right="144"/>
              <w:jc w:val="lowKashida"/>
              <w:rPr>
                <w:rFonts w:hint="cs"/>
                <w:i/>
                <w:iCs/>
                <w:sz w:val="16"/>
                <w:szCs w:val="24"/>
                <w:rtl/>
                <w:lang w:bidi="ar-EG"/>
              </w:rPr>
            </w:pPr>
            <w:r>
              <w:rPr>
                <w:rFonts w:hint="cs"/>
                <w:i/>
                <w:iCs/>
                <w:sz w:val="16"/>
                <w:szCs w:val="24"/>
                <w:rtl/>
                <w:lang w:bidi="ar-EG"/>
              </w:rPr>
              <w:t>المجموع</w:t>
            </w:r>
          </w:p>
        </w:tc>
        <w:tc>
          <w:tcPr>
            <w:tcW w:w="721" w:type="dxa"/>
            <w:tcBorders>
              <w:top w:val="single" w:sz="2" w:space="0" w:color="auto"/>
              <w:bottom w:val="single" w:sz="12" w:space="0" w:color="auto"/>
            </w:tcBorders>
            <w:vAlign w:val="bottom"/>
          </w:tcPr>
          <w:p w:rsidR="00D8679F" w:rsidRDefault="00D8679F">
            <w:pPr>
              <w:spacing w:after="80" w:line="240" w:lineRule="exact"/>
              <w:ind w:right="144"/>
              <w:jc w:val="lowKashida"/>
              <w:rPr>
                <w:rFonts w:hint="cs"/>
                <w:i/>
                <w:iCs/>
                <w:sz w:val="16"/>
                <w:szCs w:val="24"/>
                <w:rtl/>
                <w:lang w:bidi="ar-EG"/>
              </w:rPr>
            </w:pPr>
            <w:r>
              <w:rPr>
                <w:rFonts w:hint="cs"/>
                <w:i/>
                <w:iCs/>
                <w:sz w:val="16"/>
                <w:szCs w:val="24"/>
                <w:rtl/>
                <w:lang w:bidi="ar-EG"/>
              </w:rPr>
              <w:t>النساء</w:t>
            </w:r>
          </w:p>
        </w:tc>
        <w:tc>
          <w:tcPr>
            <w:tcW w:w="721" w:type="dxa"/>
            <w:tcBorders>
              <w:top w:val="single" w:sz="2" w:space="0" w:color="auto"/>
              <w:bottom w:val="single" w:sz="12" w:space="0" w:color="auto"/>
            </w:tcBorders>
            <w:vAlign w:val="bottom"/>
          </w:tcPr>
          <w:p w:rsidR="00D8679F" w:rsidRDefault="00D8679F">
            <w:pPr>
              <w:spacing w:after="80" w:line="240" w:lineRule="exact"/>
              <w:ind w:right="144"/>
              <w:jc w:val="lowKashida"/>
              <w:rPr>
                <w:rFonts w:hint="cs"/>
                <w:i/>
                <w:iCs/>
                <w:sz w:val="16"/>
                <w:szCs w:val="24"/>
                <w:rtl/>
                <w:lang w:bidi="ar-EG"/>
              </w:rPr>
            </w:pPr>
            <w:r>
              <w:rPr>
                <w:rFonts w:hint="cs"/>
                <w:i/>
                <w:iCs/>
                <w:sz w:val="16"/>
                <w:szCs w:val="24"/>
                <w:rtl/>
                <w:lang w:bidi="ar-EG"/>
              </w:rPr>
              <w:t>النسبة المئوية للنساء</w:t>
            </w:r>
          </w:p>
        </w:tc>
        <w:tc>
          <w:tcPr>
            <w:tcW w:w="721" w:type="dxa"/>
            <w:tcBorders>
              <w:top w:val="single" w:sz="2" w:space="0" w:color="auto"/>
              <w:bottom w:val="single" w:sz="12" w:space="0" w:color="auto"/>
            </w:tcBorders>
            <w:vAlign w:val="bottom"/>
          </w:tcPr>
          <w:p w:rsidR="00D8679F" w:rsidRDefault="00D8679F">
            <w:pPr>
              <w:spacing w:after="80" w:line="240" w:lineRule="exact"/>
              <w:ind w:right="144"/>
              <w:jc w:val="lowKashida"/>
              <w:rPr>
                <w:rFonts w:hint="cs"/>
                <w:i/>
                <w:iCs/>
                <w:sz w:val="16"/>
                <w:szCs w:val="24"/>
                <w:rtl/>
                <w:lang w:bidi="ar-EG"/>
              </w:rPr>
            </w:pPr>
            <w:r>
              <w:rPr>
                <w:rFonts w:hint="cs"/>
                <w:i/>
                <w:iCs/>
                <w:sz w:val="16"/>
                <w:szCs w:val="24"/>
                <w:rtl/>
                <w:lang w:bidi="ar-EG"/>
              </w:rPr>
              <w:t>المجموع</w:t>
            </w:r>
          </w:p>
        </w:tc>
        <w:tc>
          <w:tcPr>
            <w:tcW w:w="721" w:type="dxa"/>
            <w:tcBorders>
              <w:top w:val="single" w:sz="2" w:space="0" w:color="auto"/>
              <w:bottom w:val="single" w:sz="12" w:space="0" w:color="auto"/>
            </w:tcBorders>
            <w:vAlign w:val="bottom"/>
          </w:tcPr>
          <w:p w:rsidR="00D8679F" w:rsidRDefault="00D8679F">
            <w:pPr>
              <w:spacing w:after="80" w:line="240" w:lineRule="exact"/>
              <w:ind w:right="144"/>
              <w:jc w:val="lowKashida"/>
              <w:rPr>
                <w:rFonts w:hint="cs"/>
                <w:i/>
                <w:iCs/>
                <w:sz w:val="16"/>
                <w:szCs w:val="24"/>
                <w:rtl/>
                <w:lang w:bidi="ar-EG"/>
              </w:rPr>
            </w:pPr>
            <w:r>
              <w:rPr>
                <w:rFonts w:hint="cs"/>
                <w:i/>
                <w:iCs/>
                <w:sz w:val="16"/>
                <w:szCs w:val="24"/>
                <w:rtl/>
                <w:lang w:bidi="ar-EG"/>
              </w:rPr>
              <w:t>النساء</w:t>
            </w:r>
          </w:p>
        </w:tc>
        <w:tc>
          <w:tcPr>
            <w:tcW w:w="721" w:type="dxa"/>
            <w:tcBorders>
              <w:top w:val="single" w:sz="2" w:space="0" w:color="auto"/>
              <w:bottom w:val="single" w:sz="12" w:space="0" w:color="auto"/>
            </w:tcBorders>
            <w:vAlign w:val="bottom"/>
          </w:tcPr>
          <w:p w:rsidR="00D8679F" w:rsidRDefault="00D8679F">
            <w:pPr>
              <w:spacing w:after="80" w:line="240" w:lineRule="exact"/>
              <w:ind w:right="144"/>
              <w:jc w:val="lowKashida"/>
              <w:rPr>
                <w:rFonts w:hint="cs"/>
                <w:i/>
                <w:iCs/>
                <w:sz w:val="16"/>
                <w:szCs w:val="24"/>
                <w:rtl/>
                <w:lang w:bidi="ar-EG"/>
              </w:rPr>
            </w:pPr>
            <w:r>
              <w:rPr>
                <w:rFonts w:hint="cs"/>
                <w:i/>
                <w:iCs/>
                <w:sz w:val="16"/>
                <w:szCs w:val="24"/>
                <w:rtl/>
                <w:lang w:bidi="ar-EG"/>
              </w:rPr>
              <w:t>النسبة المئوية للنساء</w:t>
            </w:r>
          </w:p>
        </w:tc>
        <w:tc>
          <w:tcPr>
            <w:tcW w:w="721" w:type="dxa"/>
            <w:tcBorders>
              <w:top w:val="single" w:sz="2" w:space="0" w:color="auto"/>
              <w:bottom w:val="single" w:sz="12" w:space="0" w:color="auto"/>
            </w:tcBorders>
            <w:vAlign w:val="bottom"/>
          </w:tcPr>
          <w:p w:rsidR="00D8679F" w:rsidRDefault="00D8679F">
            <w:pPr>
              <w:spacing w:after="80" w:line="240" w:lineRule="exact"/>
              <w:ind w:right="144"/>
              <w:jc w:val="lowKashida"/>
              <w:rPr>
                <w:rFonts w:hint="cs"/>
                <w:i/>
                <w:iCs/>
                <w:sz w:val="16"/>
                <w:szCs w:val="24"/>
                <w:rtl/>
                <w:lang w:bidi="ar-EG"/>
              </w:rPr>
            </w:pPr>
            <w:r>
              <w:rPr>
                <w:rFonts w:hint="cs"/>
                <w:i/>
                <w:iCs/>
                <w:sz w:val="16"/>
                <w:szCs w:val="24"/>
                <w:rtl/>
                <w:lang w:bidi="ar-EG"/>
              </w:rPr>
              <w:t>المجموع</w:t>
            </w:r>
          </w:p>
        </w:tc>
        <w:tc>
          <w:tcPr>
            <w:tcW w:w="618" w:type="dxa"/>
            <w:tcBorders>
              <w:top w:val="single" w:sz="2" w:space="0" w:color="auto"/>
              <w:bottom w:val="single" w:sz="12" w:space="0" w:color="auto"/>
            </w:tcBorders>
            <w:vAlign w:val="bottom"/>
          </w:tcPr>
          <w:p w:rsidR="00D8679F" w:rsidRDefault="00D8679F">
            <w:pPr>
              <w:spacing w:after="80" w:line="240" w:lineRule="exact"/>
              <w:ind w:right="144"/>
              <w:jc w:val="lowKashida"/>
              <w:rPr>
                <w:rFonts w:hint="cs"/>
                <w:i/>
                <w:iCs/>
                <w:sz w:val="16"/>
                <w:szCs w:val="24"/>
                <w:rtl/>
                <w:lang w:bidi="ar-EG"/>
              </w:rPr>
            </w:pPr>
            <w:r>
              <w:rPr>
                <w:rFonts w:hint="cs"/>
                <w:i/>
                <w:iCs/>
                <w:sz w:val="16"/>
                <w:szCs w:val="24"/>
                <w:rtl/>
                <w:lang w:bidi="ar-EG"/>
              </w:rPr>
              <w:t>النساء</w:t>
            </w:r>
          </w:p>
        </w:tc>
        <w:tc>
          <w:tcPr>
            <w:tcW w:w="721" w:type="dxa"/>
            <w:tcBorders>
              <w:top w:val="single" w:sz="2" w:space="0" w:color="auto"/>
              <w:bottom w:val="single" w:sz="12" w:space="0" w:color="auto"/>
            </w:tcBorders>
            <w:vAlign w:val="bottom"/>
          </w:tcPr>
          <w:p w:rsidR="00D8679F" w:rsidRDefault="00D8679F">
            <w:pPr>
              <w:spacing w:after="80" w:line="240" w:lineRule="exact"/>
              <w:ind w:right="144"/>
              <w:jc w:val="lowKashida"/>
              <w:rPr>
                <w:rFonts w:hint="cs"/>
                <w:i/>
                <w:iCs/>
                <w:sz w:val="16"/>
                <w:szCs w:val="24"/>
                <w:rtl/>
                <w:lang w:bidi="ar-EG"/>
              </w:rPr>
            </w:pPr>
            <w:r>
              <w:rPr>
                <w:rFonts w:hint="cs"/>
                <w:i/>
                <w:iCs/>
                <w:sz w:val="16"/>
                <w:szCs w:val="24"/>
                <w:rtl/>
                <w:lang w:bidi="ar-EG"/>
              </w:rPr>
              <w:t>النسبة المئوية للنساء</w:t>
            </w:r>
          </w:p>
        </w:tc>
        <w:tc>
          <w:tcPr>
            <w:tcW w:w="721" w:type="dxa"/>
            <w:tcBorders>
              <w:top w:val="single" w:sz="2" w:space="0" w:color="auto"/>
              <w:bottom w:val="single" w:sz="12" w:space="0" w:color="auto"/>
            </w:tcBorders>
            <w:vAlign w:val="bottom"/>
          </w:tcPr>
          <w:p w:rsidR="00D8679F" w:rsidRDefault="00D8679F">
            <w:pPr>
              <w:spacing w:after="80" w:line="240" w:lineRule="exact"/>
              <w:ind w:right="144"/>
              <w:jc w:val="lowKashida"/>
              <w:rPr>
                <w:rFonts w:hint="cs"/>
                <w:i/>
                <w:iCs/>
                <w:sz w:val="16"/>
                <w:szCs w:val="24"/>
                <w:rtl/>
                <w:lang w:bidi="ar-EG"/>
              </w:rPr>
            </w:pPr>
            <w:r>
              <w:rPr>
                <w:rFonts w:hint="cs"/>
                <w:i/>
                <w:iCs/>
                <w:sz w:val="16"/>
                <w:szCs w:val="24"/>
                <w:rtl/>
                <w:lang w:bidi="ar-EG"/>
              </w:rPr>
              <w:t>المجموع</w:t>
            </w:r>
          </w:p>
        </w:tc>
        <w:tc>
          <w:tcPr>
            <w:tcW w:w="618" w:type="dxa"/>
            <w:tcBorders>
              <w:top w:val="single" w:sz="2" w:space="0" w:color="auto"/>
              <w:bottom w:val="single" w:sz="12" w:space="0" w:color="auto"/>
            </w:tcBorders>
            <w:vAlign w:val="bottom"/>
          </w:tcPr>
          <w:p w:rsidR="00D8679F" w:rsidRDefault="00D8679F">
            <w:pPr>
              <w:spacing w:after="80" w:line="240" w:lineRule="exact"/>
              <w:ind w:right="144"/>
              <w:jc w:val="lowKashida"/>
              <w:rPr>
                <w:rFonts w:hint="cs"/>
                <w:i/>
                <w:iCs/>
                <w:sz w:val="16"/>
                <w:szCs w:val="24"/>
                <w:rtl/>
                <w:lang w:bidi="ar-EG"/>
              </w:rPr>
            </w:pPr>
            <w:r>
              <w:rPr>
                <w:rFonts w:hint="cs"/>
                <w:i/>
                <w:iCs/>
                <w:sz w:val="16"/>
                <w:szCs w:val="24"/>
                <w:rtl/>
                <w:lang w:bidi="ar-EG"/>
              </w:rPr>
              <w:t>النساء</w:t>
            </w:r>
          </w:p>
        </w:tc>
        <w:tc>
          <w:tcPr>
            <w:tcW w:w="725" w:type="dxa"/>
            <w:tcBorders>
              <w:top w:val="single" w:sz="2" w:space="0" w:color="auto"/>
              <w:bottom w:val="single" w:sz="12" w:space="0" w:color="auto"/>
            </w:tcBorders>
            <w:vAlign w:val="bottom"/>
          </w:tcPr>
          <w:p w:rsidR="00D8679F" w:rsidRDefault="00D8679F">
            <w:pPr>
              <w:spacing w:after="80" w:line="240" w:lineRule="exact"/>
              <w:ind w:right="144"/>
              <w:jc w:val="lowKashida"/>
              <w:rPr>
                <w:rFonts w:hint="cs"/>
                <w:i/>
                <w:iCs/>
                <w:sz w:val="16"/>
                <w:szCs w:val="24"/>
                <w:rtl/>
                <w:lang w:bidi="ar-EG"/>
              </w:rPr>
            </w:pPr>
            <w:r>
              <w:rPr>
                <w:rFonts w:hint="cs"/>
                <w:i/>
                <w:iCs/>
                <w:sz w:val="16"/>
                <w:szCs w:val="24"/>
                <w:rtl/>
                <w:lang w:bidi="ar-EG"/>
              </w:rPr>
              <w:t>النسبة المئوية للنساء</w:t>
            </w:r>
          </w:p>
        </w:tc>
      </w:tr>
      <w:tr w:rsidR="00D8679F" w:rsidTr="00D8679F">
        <w:tblPrEx>
          <w:tblCellMar>
            <w:top w:w="0" w:type="dxa"/>
            <w:bottom w:w="0" w:type="dxa"/>
          </w:tblCellMar>
        </w:tblPrEx>
        <w:trPr>
          <w:cantSplit/>
          <w:trHeight w:hRule="exact" w:val="115"/>
          <w:tblHeader/>
        </w:trPr>
        <w:tc>
          <w:tcPr>
            <w:tcW w:w="1404" w:type="dxa"/>
            <w:tcBorders>
              <w:top w:val="single" w:sz="12" w:space="0" w:color="auto"/>
            </w:tcBorders>
            <w:vAlign w:val="bottom"/>
          </w:tcPr>
          <w:p w:rsidR="00D8679F" w:rsidRDefault="00D8679F">
            <w:pPr>
              <w:spacing w:before="40" w:after="80" w:line="240" w:lineRule="exact"/>
              <w:rPr>
                <w:rFonts w:hint="cs"/>
                <w:sz w:val="16"/>
                <w:szCs w:val="24"/>
                <w:rtl/>
                <w:lang w:bidi="ar-EG"/>
              </w:rPr>
            </w:pPr>
          </w:p>
        </w:tc>
        <w:tc>
          <w:tcPr>
            <w:tcW w:w="721" w:type="dxa"/>
            <w:tcBorders>
              <w:top w:val="single" w:sz="12" w:space="0" w:color="auto"/>
            </w:tcBorders>
            <w:vAlign w:val="bottom"/>
          </w:tcPr>
          <w:p w:rsidR="00D8679F" w:rsidRDefault="00D8679F">
            <w:pPr>
              <w:spacing w:before="40" w:after="80" w:line="240" w:lineRule="exact"/>
              <w:ind w:right="144"/>
              <w:jc w:val="lowKashida"/>
              <w:rPr>
                <w:rFonts w:hint="cs"/>
                <w:sz w:val="16"/>
                <w:szCs w:val="24"/>
                <w:rtl/>
                <w:lang w:bidi="ar-EG"/>
              </w:rPr>
            </w:pPr>
          </w:p>
        </w:tc>
        <w:tc>
          <w:tcPr>
            <w:tcW w:w="721" w:type="dxa"/>
            <w:tcBorders>
              <w:top w:val="single" w:sz="12" w:space="0" w:color="auto"/>
            </w:tcBorders>
            <w:vAlign w:val="bottom"/>
          </w:tcPr>
          <w:p w:rsidR="00D8679F" w:rsidRDefault="00D8679F">
            <w:pPr>
              <w:spacing w:before="40" w:after="80" w:line="240" w:lineRule="exact"/>
              <w:ind w:right="144"/>
              <w:jc w:val="lowKashida"/>
              <w:rPr>
                <w:rFonts w:hint="cs"/>
                <w:sz w:val="16"/>
                <w:szCs w:val="24"/>
                <w:rtl/>
                <w:lang w:bidi="ar-EG"/>
              </w:rPr>
            </w:pPr>
          </w:p>
        </w:tc>
        <w:tc>
          <w:tcPr>
            <w:tcW w:w="721" w:type="dxa"/>
            <w:tcBorders>
              <w:top w:val="single" w:sz="12" w:space="0" w:color="auto"/>
            </w:tcBorders>
            <w:vAlign w:val="bottom"/>
          </w:tcPr>
          <w:p w:rsidR="00D8679F" w:rsidRDefault="00D8679F">
            <w:pPr>
              <w:spacing w:before="40" w:after="80" w:line="240" w:lineRule="exact"/>
              <w:ind w:right="144"/>
              <w:jc w:val="lowKashida"/>
              <w:rPr>
                <w:rFonts w:hint="cs"/>
                <w:sz w:val="16"/>
                <w:szCs w:val="24"/>
                <w:rtl/>
                <w:lang w:bidi="ar-EG"/>
              </w:rPr>
            </w:pPr>
          </w:p>
        </w:tc>
        <w:tc>
          <w:tcPr>
            <w:tcW w:w="721" w:type="dxa"/>
            <w:tcBorders>
              <w:top w:val="single" w:sz="12" w:space="0" w:color="auto"/>
            </w:tcBorders>
            <w:vAlign w:val="bottom"/>
          </w:tcPr>
          <w:p w:rsidR="00D8679F" w:rsidRDefault="00D8679F">
            <w:pPr>
              <w:spacing w:before="40" w:after="80" w:line="240" w:lineRule="exact"/>
              <w:ind w:right="144"/>
              <w:jc w:val="lowKashida"/>
              <w:rPr>
                <w:rFonts w:hint="cs"/>
                <w:sz w:val="16"/>
                <w:szCs w:val="24"/>
                <w:rtl/>
                <w:lang w:bidi="ar-EG"/>
              </w:rPr>
            </w:pPr>
          </w:p>
        </w:tc>
        <w:tc>
          <w:tcPr>
            <w:tcW w:w="721" w:type="dxa"/>
            <w:tcBorders>
              <w:top w:val="single" w:sz="12" w:space="0" w:color="auto"/>
            </w:tcBorders>
            <w:vAlign w:val="bottom"/>
          </w:tcPr>
          <w:p w:rsidR="00D8679F" w:rsidRDefault="00D8679F">
            <w:pPr>
              <w:spacing w:before="40" w:after="80" w:line="240" w:lineRule="exact"/>
              <w:ind w:right="144"/>
              <w:jc w:val="lowKashida"/>
              <w:rPr>
                <w:rFonts w:hint="cs"/>
                <w:sz w:val="16"/>
                <w:szCs w:val="24"/>
                <w:rtl/>
                <w:lang w:bidi="ar-EG"/>
              </w:rPr>
            </w:pPr>
          </w:p>
        </w:tc>
        <w:tc>
          <w:tcPr>
            <w:tcW w:w="721" w:type="dxa"/>
            <w:tcBorders>
              <w:top w:val="single" w:sz="12" w:space="0" w:color="auto"/>
            </w:tcBorders>
            <w:vAlign w:val="bottom"/>
          </w:tcPr>
          <w:p w:rsidR="00D8679F" w:rsidRDefault="00D8679F">
            <w:pPr>
              <w:spacing w:before="40" w:after="80" w:line="240" w:lineRule="exact"/>
              <w:ind w:right="144"/>
              <w:jc w:val="lowKashida"/>
              <w:rPr>
                <w:rFonts w:hint="cs"/>
                <w:sz w:val="16"/>
                <w:szCs w:val="24"/>
                <w:rtl/>
                <w:lang w:bidi="ar-EG"/>
              </w:rPr>
            </w:pPr>
          </w:p>
        </w:tc>
        <w:tc>
          <w:tcPr>
            <w:tcW w:w="721" w:type="dxa"/>
            <w:tcBorders>
              <w:top w:val="single" w:sz="12" w:space="0" w:color="auto"/>
            </w:tcBorders>
            <w:vAlign w:val="bottom"/>
          </w:tcPr>
          <w:p w:rsidR="00D8679F" w:rsidRDefault="00D8679F">
            <w:pPr>
              <w:spacing w:before="40" w:after="80" w:line="240" w:lineRule="exact"/>
              <w:ind w:right="144"/>
              <w:jc w:val="lowKashida"/>
              <w:rPr>
                <w:rFonts w:hint="cs"/>
                <w:sz w:val="16"/>
                <w:szCs w:val="24"/>
                <w:rtl/>
                <w:lang w:bidi="ar-EG"/>
              </w:rPr>
            </w:pPr>
          </w:p>
        </w:tc>
        <w:tc>
          <w:tcPr>
            <w:tcW w:w="618" w:type="dxa"/>
            <w:tcBorders>
              <w:top w:val="single" w:sz="12" w:space="0" w:color="auto"/>
            </w:tcBorders>
            <w:vAlign w:val="bottom"/>
          </w:tcPr>
          <w:p w:rsidR="00D8679F" w:rsidRDefault="00D8679F">
            <w:pPr>
              <w:spacing w:before="40" w:after="80" w:line="240" w:lineRule="exact"/>
              <w:ind w:right="144"/>
              <w:jc w:val="lowKashida"/>
              <w:rPr>
                <w:rFonts w:hint="cs"/>
                <w:sz w:val="16"/>
                <w:szCs w:val="24"/>
                <w:rtl/>
                <w:lang w:bidi="ar-EG"/>
              </w:rPr>
            </w:pPr>
          </w:p>
        </w:tc>
        <w:tc>
          <w:tcPr>
            <w:tcW w:w="721" w:type="dxa"/>
            <w:tcBorders>
              <w:top w:val="single" w:sz="12" w:space="0" w:color="auto"/>
            </w:tcBorders>
            <w:vAlign w:val="bottom"/>
          </w:tcPr>
          <w:p w:rsidR="00D8679F" w:rsidRDefault="00D8679F">
            <w:pPr>
              <w:spacing w:before="40" w:after="80" w:line="240" w:lineRule="exact"/>
              <w:ind w:right="144"/>
              <w:jc w:val="lowKashida"/>
              <w:rPr>
                <w:rFonts w:hint="cs"/>
                <w:sz w:val="16"/>
                <w:szCs w:val="24"/>
                <w:rtl/>
                <w:lang w:bidi="ar-EG"/>
              </w:rPr>
            </w:pPr>
          </w:p>
        </w:tc>
        <w:tc>
          <w:tcPr>
            <w:tcW w:w="721" w:type="dxa"/>
            <w:tcBorders>
              <w:top w:val="single" w:sz="12" w:space="0" w:color="auto"/>
            </w:tcBorders>
            <w:vAlign w:val="bottom"/>
          </w:tcPr>
          <w:p w:rsidR="00D8679F" w:rsidRDefault="00D8679F">
            <w:pPr>
              <w:spacing w:before="40" w:after="80" w:line="240" w:lineRule="exact"/>
              <w:ind w:right="144"/>
              <w:jc w:val="lowKashida"/>
              <w:rPr>
                <w:rFonts w:hint="cs"/>
                <w:sz w:val="16"/>
                <w:szCs w:val="24"/>
                <w:rtl/>
                <w:lang w:bidi="ar-EG"/>
              </w:rPr>
            </w:pPr>
          </w:p>
        </w:tc>
        <w:tc>
          <w:tcPr>
            <w:tcW w:w="618" w:type="dxa"/>
            <w:tcBorders>
              <w:top w:val="single" w:sz="12" w:space="0" w:color="auto"/>
            </w:tcBorders>
            <w:vAlign w:val="bottom"/>
          </w:tcPr>
          <w:p w:rsidR="00D8679F" w:rsidRDefault="00D8679F">
            <w:pPr>
              <w:spacing w:before="40" w:after="80" w:line="240" w:lineRule="exact"/>
              <w:ind w:right="144"/>
              <w:jc w:val="lowKashida"/>
              <w:rPr>
                <w:rFonts w:hint="cs"/>
                <w:sz w:val="16"/>
                <w:szCs w:val="24"/>
                <w:rtl/>
                <w:lang w:bidi="ar-EG"/>
              </w:rPr>
            </w:pPr>
          </w:p>
        </w:tc>
        <w:tc>
          <w:tcPr>
            <w:tcW w:w="725" w:type="dxa"/>
            <w:tcBorders>
              <w:top w:val="single" w:sz="12" w:space="0" w:color="auto"/>
            </w:tcBorders>
            <w:vAlign w:val="bottom"/>
          </w:tcPr>
          <w:p w:rsidR="00D8679F" w:rsidRDefault="00D8679F">
            <w:pPr>
              <w:spacing w:before="40" w:after="80" w:line="240" w:lineRule="exact"/>
              <w:ind w:right="144"/>
              <w:jc w:val="lowKashida"/>
              <w:rPr>
                <w:rFonts w:hint="cs"/>
                <w:sz w:val="16"/>
                <w:szCs w:val="24"/>
                <w:rtl/>
                <w:lang w:bidi="ar-EG"/>
              </w:rPr>
            </w:pPr>
          </w:p>
        </w:tc>
      </w:tr>
      <w:tr w:rsidR="00D8679F" w:rsidTr="00D8679F">
        <w:tblPrEx>
          <w:tblCellMar>
            <w:top w:w="0" w:type="dxa"/>
            <w:bottom w:w="0" w:type="dxa"/>
          </w:tblCellMar>
        </w:tblPrEx>
        <w:trPr>
          <w:cantSplit/>
        </w:trPr>
        <w:tc>
          <w:tcPr>
            <w:tcW w:w="1404" w:type="dxa"/>
            <w:vAlign w:val="bottom"/>
          </w:tcPr>
          <w:p w:rsidR="00D8679F" w:rsidRDefault="00D8679F">
            <w:pPr>
              <w:spacing w:before="40" w:after="80" w:line="240" w:lineRule="exact"/>
              <w:rPr>
                <w:rFonts w:hint="cs"/>
                <w:sz w:val="16"/>
                <w:szCs w:val="24"/>
                <w:rtl/>
                <w:lang w:bidi="ar-EG"/>
              </w:rPr>
            </w:pPr>
            <w:r>
              <w:rPr>
                <w:rFonts w:hint="cs"/>
                <w:sz w:val="16"/>
                <w:szCs w:val="24"/>
                <w:rtl/>
                <w:lang w:bidi="ar-EG"/>
              </w:rPr>
              <w:t>المقاطعة</w:t>
            </w:r>
          </w:p>
        </w:tc>
        <w:tc>
          <w:tcPr>
            <w:tcW w:w="721" w:type="dxa"/>
            <w:vAlign w:val="bottom"/>
          </w:tcPr>
          <w:p w:rsidR="00D8679F" w:rsidRDefault="00D8679F">
            <w:pPr>
              <w:spacing w:before="40" w:after="80" w:line="240" w:lineRule="exact"/>
              <w:ind w:right="144"/>
              <w:jc w:val="lowKashida"/>
              <w:rPr>
                <w:rFonts w:hint="cs"/>
                <w:sz w:val="16"/>
                <w:szCs w:val="24"/>
                <w:rtl/>
                <w:lang w:bidi="ar-EG"/>
              </w:rPr>
            </w:pPr>
            <w:r>
              <w:rPr>
                <w:rFonts w:hint="cs"/>
                <w:sz w:val="16"/>
                <w:szCs w:val="24"/>
                <w:rtl/>
                <w:lang w:bidi="ar-EG"/>
              </w:rPr>
              <w:t>631</w:t>
            </w:r>
          </w:p>
        </w:tc>
        <w:tc>
          <w:tcPr>
            <w:tcW w:w="721" w:type="dxa"/>
            <w:vAlign w:val="bottom"/>
          </w:tcPr>
          <w:p w:rsidR="00D8679F" w:rsidRDefault="00D8679F">
            <w:pPr>
              <w:spacing w:before="40" w:after="80" w:line="240" w:lineRule="exact"/>
              <w:ind w:right="144"/>
              <w:jc w:val="lowKashida"/>
              <w:rPr>
                <w:rFonts w:hint="cs"/>
                <w:sz w:val="16"/>
                <w:szCs w:val="24"/>
                <w:rtl/>
                <w:lang w:bidi="ar-EG"/>
              </w:rPr>
            </w:pPr>
            <w:r>
              <w:rPr>
                <w:rFonts w:hint="cs"/>
                <w:sz w:val="16"/>
                <w:szCs w:val="24"/>
                <w:rtl/>
                <w:lang w:bidi="ar-EG"/>
              </w:rPr>
              <w:t>13</w:t>
            </w:r>
          </w:p>
        </w:tc>
        <w:tc>
          <w:tcPr>
            <w:tcW w:w="721" w:type="dxa"/>
            <w:vAlign w:val="bottom"/>
          </w:tcPr>
          <w:p w:rsidR="00D8679F" w:rsidRDefault="00D8679F">
            <w:pPr>
              <w:spacing w:before="40" w:after="80" w:line="240" w:lineRule="exact"/>
              <w:ind w:right="144"/>
              <w:jc w:val="lowKashida"/>
              <w:rPr>
                <w:rFonts w:hint="cs"/>
                <w:sz w:val="16"/>
                <w:szCs w:val="24"/>
                <w:rtl/>
                <w:lang w:bidi="ar-EG"/>
              </w:rPr>
            </w:pPr>
            <w:r>
              <w:rPr>
                <w:rFonts w:hint="cs"/>
                <w:sz w:val="16"/>
                <w:szCs w:val="24"/>
                <w:rtl/>
                <w:lang w:bidi="ar-EG"/>
              </w:rPr>
              <w:t>2.1</w:t>
            </w:r>
          </w:p>
        </w:tc>
        <w:tc>
          <w:tcPr>
            <w:tcW w:w="721" w:type="dxa"/>
            <w:vAlign w:val="bottom"/>
          </w:tcPr>
          <w:p w:rsidR="00D8679F" w:rsidRDefault="00D8679F">
            <w:pPr>
              <w:spacing w:before="40" w:after="80" w:line="240" w:lineRule="exact"/>
              <w:ind w:right="144"/>
              <w:jc w:val="lowKashida"/>
              <w:rPr>
                <w:rFonts w:hint="cs"/>
                <w:sz w:val="16"/>
                <w:szCs w:val="24"/>
                <w:rtl/>
                <w:lang w:bidi="ar-EG"/>
              </w:rPr>
            </w:pPr>
            <w:r>
              <w:rPr>
                <w:rFonts w:hint="cs"/>
                <w:sz w:val="16"/>
                <w:szCs w:val="24"/>
                <w:rtl/>
                <w:lang w:bidi="ar-EG"/>
              </w:rPr>
              <w:t>029 1</w:t>
            </w:r>
          </w:p>
        </w:tc>
        <w:tc>
          <w:tcPr>
            <w:tcW w:w="721" w:type="dxa"/>
            <w:vAlign w:val="bottom"/>
          </w:tcPr>
          <w:p w:rsidR="00D8679F" w:rsidRDefault="00D8679F">
            <w:pPr>
              <w:spacing w:before="40" w:after="80" w:line="240" w:lineRule="exact"/>
              <w:ind w:right="144"/>
              <w:jc w:val="lowKashida"/>
              <w:rPr>
                <w:rFonts w:hint="cs"/>
                <w:sz w:val="16"/>
                <w:szCs w:val="24"/>
                <w:rtl/>
                <w:lang w:bidi="ar-EG"/>
              </w:rPr>
            </w:pPr>
            <w:r>
              <w:rPr>
                <w:rFonts w:hint="cs"/>
                <w:sz w:val="16"/>
                <w:szCs w:val="24"/>
                <w:rtl/>
                <w:lang w:bidi="ar-EG"/>
              </w:rPr>
              <w:t>24</w:t>
            </w:r>
          </w:p>
        </w:tc>
        <w:tc>
          <w:tcPr>
            <w:tcW w:w="721" w:type="dxa"/>
            <w:vAlign w:val="bottom"/>
          </w:tcPr>
          <w:p w:rsidR="00D8679F" w:rsidRDefault="00D8679F">
            <w:pPr>
              <w:spacing w:before="40" w:after="80" w:line="240" w:lineRule="exact"/>
              <w:ind w:right="144"/>
              <w:jc w:val="lowKashida"/>
              <w:rPr>
                <w:rFonts w:hint="cs"/>
                <w:sz w:val="16"/>
                <w:szCs w:val="24"/>
                <w:rtl/>
                <w:lang w:bidi="ar-EG"/>
              </w:rPr>
            </w:pPr>
            <w:r>
              <w:rPr>
                <w:rFonts w:hint="cs"/>
                <w:sz w:val="16"/>
                <w:szCs w:val="24"/>
                <w:rtl/>
                <w:lang w:bidi="ar-EG"/>
              </w:rPr>
              <w:t>2.3</w:t>
            </w:r>
          </w:p>
        </w:tc>
        <w:tc>
          <w:tcPr>
            <w:tcW w:w="721" w:type="dxa"/>
            <w:vAlign w:val="bottom"/>
          </w:tcPr>
          <w:p w:rsidR="00D8679F" w:rsidRDefault="00D8679F">
            <w:pPr>
              <w:spacing w:before="40" w:after="80" w:line="240" w:lineRule="exact"/>
              <w:ind w:right="144"/>
              <w:jc w:val="lowKashida"/>
              <w:rPr>
                <w:rFonts w:hint="cs"/>
                <w:sz w:val="16"/>
                <w:szCs w:val="24"/>
                <w:rtl/>
                <w:lang w:bidi="ar-EG"/>
              </w:rPr>
            </w:pPr>
            <w:r>
              <w:rPr>
                <w:rFonts w:hint="cs"/>
                <w:sz w:val="16"/>
                <w:szCs w:val="24"/>
                <w:rtl/>
                <w:lang w:bidi="ar-EG"/>
              </w:rPr>
              <w:t>455 2</w:t>
            </w:r>
          </w:p>
        </w:tc>
        <w:tc>
          <w:tcPr>
            <w:tcW w:w="618" w:type="dxa"/>
            <w:vAlign w:val="bottom"/>
          </w:tcPr>
          <w:p w:rsidR="00D8679F" w:rsidRDefault="00D8679F">
            <w:pPr>
              <w:spacing w:before="40" w:after="80" w:line="240" w:lineRule="exact"/>
              <w:ind w:right="144"/>
              <w:jc w:val="lowKashida"/>
              <w:rPr>
                <w:rFonts w:hint="cs"/>
                <w:sz w:val="16"/>
                <w:szCs w:val="24"/>
                <w:rtl/>
                <w:lang w:bidi="ar-EG"/>
              </w:rPr>
            </w:pPr>
            <w:r>
              <w:rPr>
                <w:rFonts w:hint="cs"/>
                <w:sz w:val="16"/>
                <w:szCs w:val="24"/>
                <w:rtl/>
                <w:lang w:bidi="ar-EG"/>
              </w:rPr>
              <w:t>201</w:t>
            </w:r>
          </w:p>
        </w:tc>
        <w:tc>
          <w:tcPr>
            <w:tcW w:w="721" w:type="dxa"/>
            <w:vAlign w:val="bottom"/>
          </w:tcPr>
          <w:p w:rsidR="00D8679F" w:rsidRDefault="00D8679F">
            <w:pPr>
              <w:spacing w:before="40" w:after="80" w:line="240" w:lineRule="exact"/>
              <w:ind w:right="144"/>
              <w:jc w:val="lowKashida"/>
              <w:rPr>
                <w:rFonts w:hint="cs"/>
                <w:sz w:val="16"/>
                <w:szCs w:val="24"/>
                <w:rtl/>
                <w:lang w:bidi="ar-EG"/>
              </w:rPr>
            </w:pPr>
            <w:r>
              <w:rPr>
                <w:rFonts w:hint="cs"/>
                <w:sz w:val="16"/>
                <w:szCs w:val="24"/>
                <w:rtl/>
                <w:lang w:bidi="ar-EG"/>
              </w:rPr>
              <w:t>8.2</w:t>
            </w:r>
          </w:p>
        </w:tc>
        <w:tc>
          <w:tcPr>
            <w:tcW w:w="721" w:type="dxa"/>
            <w:vAlign w:val="bottom"/>
          </w:tcPr>
          <w:p w:rsidR="00D8679F" w:rsidRDefault="00D8679F">
            <w:pPr>
              <w:spacing w:before="40" w:after="80" w:line="240" w:lineRule="exact"/>
              <w:ind w:right="144"/>
              <w:jc w:val="lowKashida"/>
              <w:rPr>
                <w:rFonts w:hint="cs"/>
                <w:sz w:val="16"/>
                <w:szCs w:val="24"/>
                <w:rtl/>
                <w:lang w:bidi="ar-EG"/>
              </w:rPr>
            </w:pPr>
            <w:r>
              <w:rPr>
                <w:rFonts w:hint="cs"/>
                <w:sz w:val="16"/>
                <w:szCs w:val="24"/>
                <w:rtl/>
                <w:lang w:bidi="ar-EG"/>
              </w:rPr>
              <w:t>847 1</w:t>
            </w:r>
          </w:p>
        </w:tc>
        <w:tc>
          <w:tcPr>
            <w:tcW w:w="618" w:type="dxa"/>
            <w:vAlign w:val="bottom"/>
          </w:tcPr>
          <w:p w:rsidR="00D8679F" w:rsidRDefault="00D8679F">
            <w:pPr>
              <w:spacing w:before="40" w:after="80" w:line="240" w:lineRule="exact"/>
              <w:ind w:right="144"/>
              <w:jc w:val="lowKashida"/>
              <w:rPr>
                <w:rFonts w:hint="cs"/>
                <w:sz w:val="16"/>
                <w:szCs w:val="24"/>
                <w:rtl/>
                <w:lang w:bidi="ar-EG"/>
              </w:rPr>
            </w:pPr>
            <w:r>
              <w:rPr>
                <w:rFonts w:hint="cs"/>
                <w:sz w:val="16"/>
                <w:szCs w:val="24"/>
                <w:rtl/>
                <w:lang w:bidi="ar-EG"/>
              </w:rPr>
              <w:t>248</w:t>
            </w:r>
          </w:p>
        </w:tc>
        <w:tc>
          <w:tcPr>
            <w:tcW w:w="725" w:type="dxa"/>
            <w:vAlign w:val="bottom"/>
          </w:tcPr>
          <w:p w:rsidR="00D8679F" w:rsidRDefault="00D8679F">
            <w:pPr>
              <w:spacing w:before="40" w:after="80" w:line="240" w:lineRule="exact"/>
              <w:ind w:right="144"/>
              <w:jc w:val="lowKashida"/>
              <w:rPr>
                <w:rFonts w:hint="cs"/>
                <w:sz w:val="16"/>
                <w:szCs w:val="24"/>
                <w:rtl/>
                <w:lang w:bidi="ar-EG"/>
              </w:rPr>
            </w:pPr>
            <w:r>
              <w:rPr>
                <w:rFonts w:hint="cs"/>
                <w:sz w:val="16"/>
                <w:szCs w:val="24"/>
                <w:rtl/>
                <w:lang w:bidi="ar-EG"/>
              </w:rPr>
              <w:t>13.4</w:t>
            </w:r>
          </w:p>
        </w:tc>
      </w:tr>
      <w:tr w:rsidR="00D8679F" w:rsidTr="00D8679F">
        <w:tblPrEx>
          <w:tblCellMar>
            <w:top w:w="0" w:type="dxa"/>
            <w:bottom w:w="0" w:type="dxa"/>
          </w:tblCellMar>
        </w:tblPrEx>
        <w:trPr>
          <w:cantSplit/>
        </w:trPr>
        <w:tc>
          <w:tcPr>
            <w:tcW w:w="1404" w:type="dxa"/>
            <w:vAlign w:val="bottom"/>
          </w:tcPr>
          <w:p w:rsidR="00D8679F" w:rsidRDefault="00D8679F">
            <w:pPr>
              <w:spacing w:before="40" w:after="80" w:line="240" w:lineRule="exact"/>
              <w:rPr>
                <w:rFonts w:hint="cs"/>
                <w:sz w:val="16"/>
                <w:szCs w:val="24"/>
                <w:rtl/>
                <w:lang w:bidi="ar-EG"/>
              </w:rPr>
            </w:pPr>
            <w:r>
              <w:rPr>
                <w:rFonts w:hint="cs"/>
                <w:sz w:val="16"/>
                <w:szCs w:val="24"/>
                <w:rtl/>
                <w:lang w:bidi="ar-EG"/>
              </w:rPr>
              <w:t>البلدية</w:t>
            </w:r>
          </w:p>
        </w:tc>
        <w:tc>
          <w:tcPr>
            <w:tcW w:w="721" w:type="dxa"/>
            <w:vAlign w:val="bottom"/>
          </w:tcPr>
          <w:p w:rsidR="00D8679F" w:rsidRDefault="00D8679F">
            <w:pPr>
              <w:spacing w:before="40" w:after="80" w:line="240" w:lineRule="exact"/>
              <w:ind w:right="144"/>
              <w:jc w:val="lowKashida"/>
              <w:rPr>
                <w:rFonts w:hint="cs"/>
                <w:sz w:val="16"/>
                <w:szCs w:val="24"/>
                <w:rtl/>
                <w:lang w:bidi="ar-EG"/>
              </w:rPr>
            </w:pPr>
            <w:r>
              <w:rPr>
                <w:rFonts w:hint="cs"/>
                <w:sz w:val="16"/>
                <w:szCs w:val="24"/>
                <w:rtl/>
                <w:lang w:bidi="ar-EG"/>
              </w:rPr>
              <w:t>215</w:t>
            </w:r>
          </w:p>
        </w:tc>
        <w:tc>
          <w:tcPr>
            <w:tcW w:w="721" w:type="dxa"/>
            <w:vAlign w:val="bottom"/>
          </w:tcPr>
          <w:p w:rsidR="00D8679F" w:rsidRDefault="00D8679F">
            <w:pPr>
              <w:spacing w:before="40" w:after="80" w:line="240" w:lineRule="exact"/>
              <w:ind w:right="144"/>
              <w:jc w:val="lowKashida"/>
              <w:rPr>
                <w:rFonts w:hint="cs"/>
                <w:sz w:val="16"/>
                <w:szCs w:val="24"/>
                <w:rtl/>
                <w:lang w:bidi="ar-EG"/>
              </w:rPr>
            </w:pPr>
            <w:r>
              <w:rPr>
                <w:rFonts w:hint="cs"/>
                <w:sz w:val="16"/>
                <w:szCs w:val="24"/>
                <w:rtl/>
                <w:lang w:bidi="ar-EG"/>
              </w:rPr>
              <w:t>7</w:t>
            </w:r>
          </w:p>
        </w:tc>
        <w:tc>
          <w:tcPr>
            <w:tcW w:w="721" w:type="dxa"/>
            <w:vAlign w:val="bottom"/>
          </w:tcPr>
          <w:p w:rsidR="00D8679F" w:rsidRDefault="00D8679F">
            <w:pPr>
              <w:spacing w:before="40" w:after="80" w:line="240" w:lineRule="exact"/>
              <w:ind w:right="144"/>
              <w:jc w:val="lowKashida"/>
              <w:rPr>
                <w:rFonts w:hint="cs"/>
                <w:sz w:val="16"/>
                <w:szCs w:val="24"/>
                <w:rtl/>
                <w:lang w:bidi="ar-EG"/>
              </w:rPr>
            </w:pPr>
            <w:r>
              <w:rPr>
                <w:rFonts w:hint="cs"/>
                <w:sz w:val="16"/>
                <w:szCs w:val="24"/>
                <w:rtl/>
                <w:lang w:bidi="ar-EG"/>
              </w:rPr>
              <w:t>3.3</w:t>
            </w:r>
          </w:p>
        </w:tc>
        <w:tc>
          <w:tcPr>
            <w:tcW w:w="721" w:type="dxa"/>
            <w:vAlign w:val="bottom"/>
          </w:tcPr>
          <w:p w:rsidR="00D8679F" w:rsidRDefault="00D8679F">
            <w:pPr>
              <w:spacing w:before="40" w:after="80" w:line="240" w:lineRule="exact"/>
              <w:ind w:right="144"/>
              <w:jc w:val="lowKashida"/>
              <w:rPr>
                <w:rFonts w:hint="cs"/>
                <w:sz w:val="16"/>
                <w:szCs w:val="24"/>
                <w:rtl/>
                <w:lang w:bidi="ar-EG"/>
              </w:rPr>
            </w:pPr>
            <w:r>
              <w:rPr>
                <w:rFonts w:hint="cs"/>
                <w:sz w:val="16"/>
                <w:szCs w:val="24"/>
                <w:rtl/>
                <w:lang w:bidi="ar-EG"/>
              </w:rPr>
              <w:t>354</w:t>
            </w:r>
          </w:p>
        </w:tc>
        <w:tc>
          <w:tcPr>
            <w:tcW w:w="721" w:type="dxa"/>
            <w:vAlign w:val="bottom"/>
          </w:tcPr>
          <w:p w:rsidR="00D8679F" w:rsidRDefault="00D8679F">
            <w:pPr>
              <w:spacing w:before="40" w:after="80" w:line="240" w:lineRule="exact"/>
              <w:ind w:right="144"/>
              <w:jc w:val="lowKashida"/>
              <w:rPr>
                <w:rFonts w:hint="cs"/>
                <w:sz w:val="16"/>
                <w:szCs w:val="24"/>
                <w:rtl/>
                <w:lang w:bidi="ar-EG"/>
              </w:rPr>
            </w:pPr>
            <w:r>
              <w:rPr>
                <w:rFonts w:hint="cs"/>
                <w:sz w:val="16"/>
                <w:szCs w:val="24"/>
                <w:rtl/>
                <w:lang w:bidi="ar-EG"/>
              </w:rPr>
              <w:t>15</w:t>
            </w:r>
          </w:p>
        </w:tc>
        <w:tc>
          <w:tcPr>
            <w:tcW w:w="721" w:type="dxa"/>
            <w:vAlign w:val="bottom"/>
          </w:tcPr>
          <w:p w:rsidR="00D8679F" w:rsidRDefault="00D8679F">
            <w:pPr>
              <w:spacing w:before="40" w:after="80" w:line="240" w:lineRule="exact"/>
              <w:ind w:right="144"/>
              <w:jc w:val="lowKashida"/>
              <w:rPr>
                <w:rFonts w:hint="cs"/>
                <w:sz w:val="16"/>
                <w:szCs w:val="24"/>
                <w:rtl/>
                <w:lang w:bidi="ar-EG"/>
              </w:rPr>
            </w:pPr>
            <w:r>
              <w:rPr>
                <w:rFonts w:hint="cs"/>
                <w:sz w:val="16"/>
                <w:szCs w:val="24"/>
                <w:rtl/>
                <w:lang w:bidi="ar-EG"/>
              </w:rPr>
              <w:t>4.2</w:t>
            </w:r>
          </w:p>
        </w:tc>
        <w:tc>
          <w:tcPr>
            <w:tcW w:w="721" w:type="dxa"/>
            <w:vAlign w:val="bottom"/>
          </w:tcPr>
          <w:p w:rsidR="00D8679F" w:rsidRDefault="00D8679F">
            <w:pPr>
              <w:spacing w:before="40" w:after="80" w:line="240" w:lineRule="exact"/>
              <w:ind w:right="144"/>
              <w:jc w:val="lowKashida"/>
              <w:rPr>
                <w:rFonts w:hint="cs"/>
                <w:sz w:val="16"/>
                <w:szCs w:val="24"/>
                <w:rtl/>
                <w:lang w:bidi="ar-EG"/>
              </w:rPr>
            </w:pPr>
            <w:r>
              <w:rPr>
                <w:rFonts w:hint="cs"/>
                <w:sz w:val="16"/>
                <w:szCs w:val="24"/>
                <w:rtl/>
                <w:lang w:bidi="ar-EG"/>
              </w:rPr>
              <w:t>596</w:t>
            </w:r>
          </w:p>
        </w:tc>
        <w:tc>
          <w:tcPr>
            <w:tcW w:w="618" w:type="dxa"/>
            <w:vAlign w:val="bottom"/>
          </w:tcPr>
          <w:p w:rsidR="00D8679F" w:rsidRDefault="00D8679F">
            <w:pPr>
              <w:spacing w:before="40" w:after="80" w:line="240" w:lineRule="exact"/>
              <w:ind w:right="144"/>
              <w:jc w:val="lowKashida"/>
              <w:rPr>
                <w:rFonts w:hint="cs"/>
                <w:sz w:val="16"/>
                <w:szCs w:val="24"/>
                <w:rtl/>
                <w:lang w:bidi="ar-EG"/>
              </w:rPr>
            </w:pPr>
            <w:r>
              <w:rPr>
                <w:rFonts w:hint="cs"/>
                <w:sz w:val="16"/>
                <w:szCs w:val="24"/>
                <w:rtl/>
                <w:lang w:bidi="ar-EG"/>
              </w:rPr>
              <w:t>52</w:t>
            </w:r>
          </w:p>
        </w:tc>
        <w:tc>
          <w:tcPr>
            <w:tcW w:w="721" w:type="dxa"/>
            <w:vAlign w:val="bottom"/>
          </w:tcPr>
          <w:p w:rsidR="00D8679F" w:rsidRDefault="00D8679F">
            <w:pPr>
              <w:spacing w:before="40" w:after="80" w:line="240" w:lineRule="exact"/>
              <w:ind w:right="144"/>
              <w:jc w:val="lowKashida"/>
              <w:rPr>
                <w:rFonts w:hint="cs"/>
                <w:sz w:val="16"/>
                <w:szCs w:val="24"/>
                <w:rtl/>
                <w:lang w:bidi="ar-EG"/>
              </w:rPr>
            </w:pPr>
            <w:r>
              <w:rPr>
                <w:rFonts w:hint="cs"/>
                <w:sz w:val="16"/>
                <w:szCs w:val="24"/>
                <w:rtl/>
                <w:lang w:bidi="ar-EG"/>
              </w:rPr>
              <w:t>8.7</w:t>
            </w:r>
          </w:p>
        </w:tc>
        <w:tc>
          <w:tcPr>
            <w:tcW w:w="721" w:type="dxa"/>
            <w:vAlign w:val="bottom"/>
          </w:tcPr>
          <w:p w:rsidR="00D8679F" w:rsidRDefault="00D8679F">
            <w:pPr>
              <w:spacing w:before="40" w:after="80" w:line="240" w:lineRule="exact"/>
              <w:ind w:right="144"/>
              <w:jc w:val="lowKashida"/>
              <w:rPr>
                <w:rFonts w:hint="cs"/>
                <w:sz w:val="16"/>
                <w:szCs w:val="24"/>
                <w:rtl/>
                <w:lang w:bidi="ar-EG"/>
              </w:rPr>
            </w:pPr>
            <w:r>
              <w:rPr>
                <w:rFonts w:hint="cs"/>
                <w:sz w:val="16"/>
                <w:szCs w:val="24"/>
                <w:rtl/>
                <w:lang w:bidi="ar-EG"/>
              </w:rPr>
              <w:t>446</w:t>
            </w:r>
          </w:p>
        </w:tc>
        <w:tc>
          <w:tcPr>
            <w:tcW w:w="618" w:type="dxa"/>
            <w:vAlign w:val="bottom"/>
          </w:tcPr>
          <w:p w:rsidR="00D8679F" w:rsidRDefault="00D8679F">
            <w:pPr>
              <w:spacing w:before="40" w:after="80" w:line="240" w:lineRule="exact"/>
              <w:ind w:right="144"/>
              <w:jc w:val="lowKashida"/>
              <w:rPr>
                <w:rFonts w:hint="cs"/>
                <w:sz w:val="16"/>
                <w:szCs w:val="24"/>
                <w:rtl/>
                <w:lang w:bidi="ar-EG"/>
              </w:rPr>
            </w:pPr>
            <w:r>
              <w:rPr>
                <w:rFonts w:hint="cs"/>
                <w:sz w:val="16"/>
                <w:szCs w:val="24"/>
                <w:rtl/>
                <w:lang w:bidi="ar-EG"/>
              </w:rPr>
              <w:t>60</w:t>
            </w:r>
          </w:p>
        </w:tc>
        <w:tc>
          <w:tcPr>
            <w:tcW w:w="725" w:type="dxa"/>
            <w:vAlign w:val="bottom"/>
          </w:tcPr>
          <w:p w:rsidR="00D8679F" w:rsidRDefault="00D8679F">
            <w:pPr>
              <w:spacing w:before="40" w:after="80" w:line="240" w:lineRule="exact"/>
              <w:ind w:right="144"/>
              <w:jc w:val="lowKashida"/>
              <w:rPr>
                <w:rFonts w:hint="cs"/>
                <w:sz w:val="16"/>
                <w:szCs w:val="24"/>
                <w:rtl/>
                <w:lang w:bidi="ar-EG"/>
              </w:rPr>
            </w:pPr>
            <w:r>
              <w:rPr>
                <w:rFonts w:hint="cs"/>
                <w:sz w:val="16"/>
                <w:szCs w:val="24"/>
                <w:rtl/>
                <w:lang w:bidi="ar-EG"/>
              </w:rPr>
              <w:t>13.5</w:t>
            </w:r>
          </w:p>
        </w:tc>
      </w:tr>
      <w:tr w:rsidR="00D8679F" w:rsidTr="00D8679F">
        <w:tblPrEx>
          <w:tblCellMar>
            <w:top w:w="0" w:type="dxa"/>
            <w:bottom w:w="0" w:type="dxa"/>
          </w:tblCellMar>
        </w:tblPrEx>
        <w:trPr>
          <w:cantSplit/>
        </w:trPr>
        <w:tc>
          <w:tcPr>
            <w:tcW w:w="1404" w:type="dxa"/>
            <w:vAlign w:val="bottom"/>
          </w:tcPr>
          <w:p w:rsidR="00D8679F" w:rsidRDefault="00D8679F">
            <w:pPr>
              <w:spacing w:before="40" w:after="80" w:line="240" w:lineRule="exact"/>
              <w:rPr>
                <w:rFonts w:hint="cs"/>
                <w:sz w:val="16"/>
                <w:szCs w:val="24"/>
                <w:rtl/>
                <w:lang w:bidi="ar-EG"/>
              </w:rPr>
            </w:pPr>
            <w:r>
              <w:rPr>
                <w:rFonts w:hint="cs"/>
                <w:sz w:val="16"/>
                <w:szCs w:val="24"/>
                <w:rtl/>
                <w:lang w:bidi="ar-EG"/>
              </w:rPr>
              <w:t>مجلس المدينة</w:t>
            </w:r>
          </w:p>
        </w:tc>
        <w:tc>
          <w:tcPr>
            <w:tcW w:w="721" w:type="dxa"/>
            <w:vAlign w:val="bottom"/>
          </w:tcPr>
          <w:p w:rsidR="00D8679F" w:rsidRDefault="00D8679F">
            <w:pPr>
              <w:spacing w:before="40" w:after="80" w:line="240" w:lineRule="exact"/>
              <w:ind w:right="144"/>
              <w:jc w:val="lowKashida"/>
              <w:rPr>
                <w:rFonts w:hint="cs"/>
                <w:sz w:val="16"/>
                <w:szCs w:val="24"/>
                <w:rtl/>
                <w:lang w:bidi="ar-EG"/>
              </w:rPr>
            </w:pPr>
            <w:r>
              <w:rPr>
                <w:rFonts w:hint="cs"/>
                <w:sz w:val="16"/>
                <w:szCs w:val="24"/>
                <w:rtl/>
                <w:lang w:bidi="ar-EG"/>
              </w:rPr>
              <w:t>-</w:t>
            </w:r>
          </w:p>
        </w:tc>
        <w:tc>
          <w:tcPr>
            <w:tcW w:w="721" w:type="dxa"/>
            <w:vAlign w:val="bottom"/>
          </w:tcPr>
          <w:p w:rsidR="00D8679F" w:rsidRDefault="00D8679F">
            <w:pPr>
              <w:spacing w:before="40" w:after="80" w:line="240" w:lineRule="exact"/>
              <w:ind w:right="144"/>
              <w:jc w:val="lowKashida"/>
              <w:rPr>
                <w:rFonts w:hint="cs"/>
                <w:sz w:val="16"/>
                <w:szCs w:val="24"/>
                <w:rtl/>
                <w:lang w:bidi="ar-EG"/>
              </w:rPr>
            </w:pPr>
            <w:r>
              <w:rPr>
                <w:rFonts w:hint="cs"/>
                <w:sz w:val="16"/>
                <w:szCs w:val="24"/>
                <w:rtl/>
                <w:lang w:bidi="ar-EG"/>
              </w:rPr>
              <w:t>-</w:t>
            </w:r>
          </w:p>
        </w:tc>
        <w:tc>
          <w:tcPr>
            <w:tcW w:w="721" w:type="dxa"/>
            <w:vAlign w:val="bottom"/>
          </w:tcPr>
          <w:p w:rsidR="00D8679F" w:rsidRDefault="00D8679F">
            <w:pPr>
              <w:spacing w:before="40" w:after="80" w:line="240" w:lineRule="exact"/>
              <w:ind w:right="144"/>
              <w:jc w:val="lowKashida"/>
              <w:rPr>
                <w:rFonts w:hint="cs"/>
                <w:sz w:val="16"/>
                <w:szCs w:val="24"/>
                <w:rtl/>
                <w:lang w:bidi="ar-EG"/>
              </w:rPr>
            </w:pPr>
            <w:r>
              <w:rPr>
                <w:rFonts w:hint="cs"/>
                <w:sz w:val="16"/>
                <w:szCs w:val="24"/>
                <w:rtl/>
                <w:lang w:bidi="ar-EG"/>
              </w:rPr>
              <w:t>-</w:t>
            </w:r>
          </w:p>
        </w:tc>
        <w:tc>
          <w:tcPr>
            <w:tcW w:w="721" w:type="dxa"/>
            <w:vAlign w:val="bottom"/>
          </w:tcPr>
          <w:p w:rsidR="00D8679F" w:rsidRDefault="00D8679F">
            <w:pPr>
              <w:spacing w:before="40" w:after="80" w:line="240" w:lineRule="exact"/>
              <w:ind w:right="144"/>
              <w:jc w:val="lowKashida"/>
              <w:rPr>
                <w:rFonts w:hint="cs"/>
                <w:sz w:val="16"/>
                <w:szCs w:val="24"/>
                <w:rtl/>
                <w:lang w:bidi="ar-EG"/>
              </w:rPr>
            </w:pPr>
            <w:r>
              <w:rPr>
                <w:rFonts w:hint="cs"/>
                <w:sz w:val="16"/>
                <w:szCs w:val="24"/>
                <w:rtl/>
                <w:lang w:bidi="ar-EG"/>
              </w:rPr>
              <w:t>55</w:t>
            </w:r>
          </w:p>
        </w:tc>
        <w:tc>
          <w:tcPr>
            <w:tcW w:w="721" w:type="dxa"/>
            <w:vAlign w:val="bottom"/>
          </w:tcPr>
          <w:p w:rsidR="00D8679F" w:rsidRDefault="00D8679F">
            <w:pPr>
              <w:spacing w:before="40" w:after="80" w:line="240" w:lineRule="exact"/>
              <w:ind w:right="144"/>
              <w:jc w:val="lowKashida"/>
              <w:rPr>
                <w:rFonts w:hint="cs"/>
                <w:sz w:val="16"/>
                <w:szCs w:val="24"/>
                <w:rtl/>
                <w:lang w:bidi="ar-EG"/>
              </w:rPr>
            </w:pPr>
            <w:r>
              <w:rPr>
                <w:rFonts w:hint="cs"/>
                <w:sz w:val="16"/>
                <w:szCs w:val="24"/>
                <w:rtl/>
                <w:lang w:bidi="ar-EG"/>
              </w:rPr>
              <w:t>4</w:t>
            </w:r>
          </w:p>
        </w:tc>
        <w:tc>
          <w:tcPr>
            <w:tcW w:w="721" w:type="dxa"/>
            <w:vAlign w:val="bottom"/>
          </w:tcPr>
          <w:p w:rsidR="00D8679F" w:rsidRDefault="00D8679F">
            <w:pPr>
              <w:spacing w:before="40" w:after="80" w:line="240" w:lineRule="exact"/>
              <w:ind w:right="144"/>
              <w:jc w:val="lowKashida"/>
              <w:rPr>
                <w:rFonts w:hint="cs"/>
                <w:sz w:val="16"/>
                <w:szCs w:val="24"/>
                <w:rtl/>
                <w:lang w:bidi="ar-EG"/>
              </w:rPr>
            </w:pPr>
            <w:r>
              <w:rPr>
                <w:rFonts w:hint="cs"/>
                <w:sz w:val="16"/>
                <w:szCs w:val="24"/>
                <w:rtl/>
                <w:lang w:bidi="ar-EG"/>
              </w:rPr>
              <w:t>7.3</w:t>
            </w:r>
          </w:p>
        </w:tc>
        <w:tc>
          <w:tcPr>
            <w:tcW w:w="721" w:type="dxa"/>
            <w:vAlign w:val="bottom"/>
          </w:tcPr>
          <w:p w:rsidR="00D8679F" w:rsidRDefault="00D8679F">
            <w:pPr>
              <w:spacing w:before="40" w:after="80" w:line="240" w:lineRule="exact"/>
              <w:ind w:right="144"/>
              <w:jc w:val="lowKashida"/>
              <w:rPr>
                <w:rFonts w:hint="cs"/>
                <w:sz w:val="16"/>
                <w:szCs w:val="24"/>
                <w:rtl/>
                <w:lang w:bidi="ar-EG"/>
              </w:rPr>
            </w:pPr>
            <w:r>
              <w:rPr>
                <w:rFonts w:hint="cs"/>
                <w:sz w:val="16"/>
                <w:szCs w:val="24"/>
                <w:rtl/>
                <w:lang w:bidi="ar-EG"/>
              </w:rPr>
              <w:t>69</w:t>
            </w:r>
          </w:p>
        </w:tc>
        <w:tc>
          <w:tcPr>
            <w:tcW w:w="618" w:type="dxa"/>
            <w:vAlign w:val="bottom"/>
          </w:tcPr>
          <w:p w:rsidR="00D8679F" w:rsidRDefault="00D8679F">
            <w:pPr>
              <w:spacing w:before="40" w:after="80" w:line="240" w:lineRule="exact"/>
              <w:ind w:right="144"/>
              <w:jc w:val="lowKashida"/>
              <w:rPr>
                <w:rFonts w:hint="cs"/>
                <w:sz w:val="16"/>
                <w:szCs w:val="24"/>
                <w:rtl/>
                <w:lang w:bidi="ar-EG"/>
              </w:rPr>
            </w:pPr>
            <w:r>
              <w:rPr>
                <w:rFonts w:hint="cs"/>
                <w:sz w:val="16"/>
                <w:szCs w:val="24"/>
                <w:rtl/>
                <w:lang w:bidi="ar-EG"/>
              </w:rPr>
              <w:t>7</w:t>
            </w:r>
          </w:p>
        </w:tc>
        <w:tc>
          <w:tcPr>
            <w:tcW w:w="721" w:type="dxa"/>
            <w:vAlign w:val="bottom"/>
          </w:tcPr>
          <w:p w:rsidR="00D8679F" w:rsidRDefault="00D8679F">
            <w:pPr>
              <w:spacing w:before="40" w:after="80" w:line="240" w:lineRule="exact"/>
              <w:ind w:right="144"/>
              <w:jc w:val="lowKashida"/>
              <w:rPr>
                <w:rFonts w:hint="cs"/>
                <w:sz w:val="16"/>
                <w:szCs w:val="24"/>
                <w:rtl/>
                <w:lang w:bidi="ar-EG"/>
              </w:rPr>
            </w:pPr>
            <w:r>
              <w:rPr>
                <w:rFonts w:hint="cs"/>
                <w:sz w:val="16"/>
                <w:szCs w:val="24"/>
                <w:rtl/>
                <w:lang w:bidi="ar-EG"/>
              </w:rPr>
              <w:t>10.1</w:t>
            </w:r>
          </w:p>
        </w:tc>
        <w:tc>
          <w:tcPr>
            <w:tcW w:w="721" w:type="dxa"/>
            <w:vAlign w:val="bottom"/>
          </w:tcPr>
          <w:p w:rsidR="00D8679F" w:rsidRDefault="00D8679F">
            <w:pPr>
              <w:spacing w:before="40" w:after="80" w:line="240" w:lineRule="exact"/>
              <w:ind w:right="144"/>
              <w:jc w:val="lowKashida"/>
              <w:rPr>
                <w:rFonts w:hint="cs"/>
                <w:sz w:val="16"/>
                <w:szCs w:val="24"/>
                <w:rtl/>
                <w:lang w:bidi="ar-EG"/>
              </w:rPr>
            </w:pPr>
            <w:r>
              <w:rPr>
                <w:rFonts w:hint="cs"/>
                <w:sz w:val="16"/>
                <w:szCs w:val="24"/>
                <w:rtl/>
                <w:lang w:bidi="ar-EG"/>
              </w:rPr>
              <w:t>113</w:t>
            </w:r>
          </w:p>
        </w:tc>
        <w:tc>
          <w:tcPr>
            <w:tcW w:w="618" w:type="dxa"/>
            <w:vAlign w:val="bottom"/>
          </w:tcPr>
          <w:p w:rsidR="00D8679F" w:rsidRDefault="00D8679F">
            <w:pPr>
              <w:spacing w:before="40" w:after="80" w:line="240" w:lineRule="exact"/>
              <w:ind w:right="144"/>
              <w:jc w:val="lowKashida"/>
              <w:rPr>
                <w:rFonts w:hint="cs"/>
                <w:sz w:val="16"/>
                <w:szCs w:val="24"/>
                <w:rtl/>
                <w:lang w:bidi="ar-EG"/>
              </w:rPr>
            </w:pPr>
            <w:r>
              <w:rPr>
                <w:rFonts w:hint="cs"/>
                <w:sz w:val="16"/>
                <w:szCs w:val="24"/>
                <w:rtl/>
                <w:lang w:bidi="ar-EG"/>
              </w:rPr>
              <w:t>13</w:t>
            </w:r>
          </w:p>
        </w:tc>
        <w:tc>
          <w:tcPr>
            <w:tcW w:w="725" w:type="dxa"/>
            <w:vAlign w:val="bottom"/>
          </w:tcPr>
          <w:p w:rsidR="00D8679F" w:rsidRDefault="00D8679F">
            <w:pPr>
              <w:spacing w:before="40" w:after="80" w:line="240" w:lineRule="exact"/>
              <w:ind w:right="144"/>
              <w:jc w:val="lowKashida"/>
              <w:rPr>
                <w:rFonts w:hint="cs"/>
                <w:sz w:val="16"/>
                <w:szCs w:val="24"/>
                <w:rtl/>
                <w:lang w:bidi="ar-EG"/>
              </w:rPr>
            </w:pPr>
            <w:r>
              <w:rPr>
                <w:rFonts w:hint="cs"/>
                <w:sz w:val="16"/>
                <w:szCs w:val="24"/>
                <w:rtl/>
                <w:lang w:bidi="ar-EG"/>
              </w:rPr>
              <w:t>11.5</w:t>
            </w:r>
          </w:p>
        </w:tc>
      </w:tr>
      <w:tr w:rsidR="00D8679F" w:rsidTr="00D8679F">
        <w:tblPrEx>
          <w:tblCellMar>
            <w:top w:w="0" w:type="dxa"/>
            <w:bottom w:w="0" w:type="dxa"/>
          </w:tblCellMar>
        </w:tblPrEx>
        <w:trPr>
          <w:cantSplit/>
        </w:trPr>
        <w:tc>
          <w:tcPr>
            <w:tcW w:w="1404" w:type="dxa"/>
            <w:tcBorders>
              <w:bottom w:val="single" w:sz="4" w:space="0" w:color="auto"/>
            </w:tcBorders>
            <w:vAlign w:val="bottom"/>
          </w:tcPr>
          <w:p w:rsidR="00D8679F" w:rsidRDefault="00D8679F">
            <w:pPr>
              <w:spacing w:before="40" w:after="80" w:line="240" w:lineRule="exact"/>
              <w:rPr>
                <w:rFonts w:hint="cs"/>
                <w:sz w:val="16"/>
                <w:szCs w:val="24"/>
                <w:rtl/>
                <w:lang w:bidi="ar-EG"/>
              </w:rPr>
            </w:pPr>
            <w:r>
              <w:rPr>
                <w:rFonts w:hint="cs"/>
                <w:sz w:val="16"/>
                <w:szCs w:val="24"/>
                <w:rtl/>
                <w:lang w:bidi="ar-EG"/>
              </w:rPr>
              <w:t>مجلس البلدة</w:t>
            </w:r>
          </w:p>
        </w:tc>
        <w:tc>
          <w:tcPr>
            <w:tcW w:w="721" w:type="dxa"/>
            <w:tcBorders>
              <w:bottom w:val="single" w:sz="4" w:space="0" w:color="auto"/>
            </w:tcBorders>
            <w:vAlign w:val="bottom"/>
          </w:tcPr>
          <w:p w:rsidR="00D8679F" w:rsidRDefault="00D8679F">
            <w:pPr>
              <w:spacing w:before="40" w:after="80" w:line="240" w:lineRule="exact"/>
              <w:ind w:right="144"/>
              <w:jc w:val="lowKashida"/>
              <w:rPr>
                <w:rFonts w:hint="cs"/>
                <w:sz w:val="16"/>
                <w:szCs w:val="24"/>
                <w:rtl/>
                <w:lang w:bidi="ar-EG"/>
              </w:rPr>
            </w:pPr>
            <w:r>
              <w:rPr>
                <w:rFonts w:hint="cs"/>
                <w:sz w:val="16"/>
                <w:szCs w:val="24"/>
                <w:rtl/>
                <w:lang w:bidi="ar-EG"/>
              </w:rPr>
              <w:t>125</w:t>
            </w:r>
          </w:p>
        </w:tc>
        <w:tc>
          <w:tcPr>
            <w:tcW w:w="721" w:type="dxa"/>
            <w:tcBorders>
              <w:bottom w:val="single" w:sz="4" w:space="0" w:color="auto"/>
            </w:tcBorders>
            <w:vAlign w:val="bottom"/>
          </w:tcPr>
          <w:p w:rsidR="00D8679F" w:rsidRDefault="00D8679F">
            <w:pPr>
              <w:spacing w:before="40" w:after="80" w:line="240" w:lineRule="exact"/>
              <w:ind w:right="144"/>
              <w:jc w:val="lowKashida"/>
              <w:rPr>
                <w:rFonts w:hint="cs"/>
                <w:sz w:val="16"/>
                <w:szCs w:val="24"/>
                <w:rtl/>
                <w:lang w:bidi="ar-EG"/>
              </w:rPr>
            </w:pPr>
            <w:r>
              <w:rPr>
                <w:rFonts w:hint="cs"/>
                <w:sz w:val="16"/>
                <w:szCs w:val="24"/>
                <w:rtl/>
                <w:lang w:bidi="ar-EG"/>
              </w:rPr>
              <w:t>3</w:t>
            </w:r>
          </w:p>
        </w:tc>
        <w:tc>
          <w:tcPr>
            <w:tcW w:w="721" w:type="dxa"/>
            <w:tcBorders>
              <w:bottom w:val="single" w:sz="4" w:space="0" w:color="auto"/>
            </w:tcBorders>
            <w:vAlign w:val="bottom"/>
          </w:tcPr>
          <w:p w:rsidR="00D8679F" w:rsidRDefault="00D8679F">
            <w:pPr>
              <w:spacing w:before="40" w:after="80" w:line="240" w:lineRule="exact"/>
              <w:ind w:right="144"/>
              <w:jc w:val="lowKashida"/>
              <w:rPr>
                <w:rFonts w:hint="cs"/>
                <w:sz w:val="16"/>
                <w:szCs w:val="24"/>
                <w:rtl/>
                <w:lang w:bidi="ar-EG"/>
              </w:rPr>
            </w:pPr>
            <w:r>
              <w:rPr>
                <w:rFonts w:hint="cs"/>
                <w:sz w:val="16"/>
                <w:szCs w:val="24"/>
                <w:rtl/>
                <w:lang w:bidi="ar-EG"/>
              </w:rPr>
              <w:t>2.4</w:t>
            </w:r>
          </w:p>
        </w:tc>
        <w:tc>
          <w:tcPr>
            <w:tcW w:w="721" w:type="dxa"/>
            <w:tcBorders>
              <w:bottom w:val="single" w:sz="4" w:space="0" w:color="auto"/>
            </w:tcBorders>
            <w:vAlign w:val="bottom"/>
          </w:tcPr>
          <w:p w:rsidR="00D8679F" w:rsidRDefault="00D8679F">
            <w:pPr>
              <w:spacing w:before="40" w:after="80" w:line="240" w:lineRule="exact"/>
              <w:ind w:right="144"/>
              <w:jc w:val="lowKashida"/>
              <w:rPr>
                <w:rFonts w:hint="cs"/>
                <w:sz w:val="16"/>
                <w:szCs w:val="24"/>
                <w:rtl/>
                <w:lang w:bidi="ar-EG"/>
              </w:rPr>
            </w:pPr>
            <w:r>
              <w:rPr>
                <w:rFonts w:hint="cs"/>
                <w:sz w:val="16"/>
                <w:szCs w:val="24"/>
                <w:rtl/>
                <w:lang w:bidi="ar-EG"/>
              </w:rPr>
              <w:t>398</w:t>
            </w:r>
          </w:p>
        </w:tc>
        <w:tc>
          <w:tcPr>
            <w:tcW w:w="721" w:type="dxa"/>
            <w:tcBorders>
              <w:bottom w:val="single" w:sz="4" w:space="0" w:color="auto"/>
            </w:tcBorders>
            <w:vAlign w:val="bottom"/>
          </w:tcPr>
          <w:p w:rsidR="00D8679F" w:rsidRDefault="00D8679F">
            <w:pPr>
              <w:spacing w:before="40" w:after="80" w:line="240" w:lineRule="exact"/>
              <w:ind w:right="144"/>
              <w:jc w:val="lowKashida"/>
              <w:rPr>
                <w:rFonts w:hint="cs"/>
                <w:sz w:val="16"/>
                <w:szCs w:val="24"/>
                <w:rtl/>
                <w:lang w:bidi="ar-EG"/>
              </w:rPr>
            </w:pPr>
            <w:r>
              <w:rPr>
                <w:rFonts w:hint="cs"/>
                <w:sz w:val="16"/>
                <w:szCs w:val="24"/>
                <w:rtl/>
                <w:lang w:bidi="ar-EG"/>
              </w:rPr>
              <w:t>7</w:t>
            </w:r>
          </w:p>
        </w:tc>
        <w:tc>
          <w:tcPr>
            <w:tcW w:w="721" w:type="dxa"/>
            <w:tcBorders>
              <w:bottom w:val="single" w:sz="4" w:space="0" w:color="auto"/>
            </w:tcBorders>
            <w:vAlign w:val="bottom"/>
          </w:tcPr>
          <w:p w:rsidR="00D8679F" w:rsidRDefault="00D8679F">
            <w:pPr>
              <w:spacing w:before="40" w:after="80" w:line="240" w:lineRule="exact"/>
              <w:ind w:right="144"/>
              <w:jc w:val="lowKashida"/>
              <w:rPr>
                <w:rFonts w:hint="cs"/>
                <w:sz w:val="16"/>
                <w:szCs w:val="24"/>
                <w:rtl/>
                <w:lang w:bidi="ar-EG"/>
              </w:rPr>
            </w:pPr>
            <w:r>
              <w:rPr>
                <w:rFonts w:hint="cs"/>
                <w:sz w:val="16"/>
                <w:szCs w:val="24"/>
                <w:rtl/>
                <w:lang w:bidi="ar-EG"/>
              </w:rPr>
              <w:t>1.8</w:t>
            </w:r>
          </w:p>
        </w:tc>
        <w:tc>
          <w:tcPr>
            <w:tcW w:w="721" w:type="dxa"/>
            <w:tcBorders>
              <w:bottom w:val="single" w:sz="4" w:space="0" w:color="auto"/>
            </w:tcBorders>
            <w:vAlign w:val="bottom"/>
          </w:tcPr>
          <w:p w:rsidR="00D8679F" w:rsidRDefault="00D8679F">
            <w:pPr>
              <w:spacing w:before="40" w:after="80" w:line="240" w:lineRule="exact"/>
              <w:ind w:right="144"/>
              <w:jc w:val="lowKashida"/>
              <w:rPr>
                <w:rFonts w:hint="cs"/>
                <w:sz w:val="16"/>
                <w:szCs w:val="24"/>
                <w:rtl/>
                <w:lang w:bidi="ar-EG"/>
              </w:rPr>
            </w:pPr>
            <w:r>
              <w:rPr>
                <w:rFonts w:hint="cs"/>
                <w:sz w:val="16"/>
                <w:szCs w:val="24"/>
                <w:rtl/>
                <w:lang w:bidi="ar-EG"/>
              </w:rPr>
              <w:t>572</w:t>
            </w:r>
          </w:p>
        </w:tc>
        <w:tc>
          <w:tcPr>
            <w:tcW w:w="618" w:type="dxa"/>
            <w:tcBorders>
              <w:bottom w:val="single" w:sz="4" w:space="0" w:color="auto"/>
            </w:tcBorders>
            <w:vAlign w:val="bottom"/>
          </w:tcPr>
          <w:p w:rsidR="00D8679F" w:rsidRDefault="00D8679F">
            <w:pPr>
              <w:spacing w:before="40" w:after="80" w:line="240" w:lineRule="exact"/>
              <w:ind w:right="144"/>
              <w:jc w:val="lowKashida"/>
              <w:rPr>
                <w:rFonts w:hint="cs"/>
                <w:sz w:val="16"/>
                <w:szCs w:val="24"/>
                <w:rtl/>
                <w:lang w:bidi="ar-EG"/>
              </w:rPr>
            </w:pPr>
            <w:r>
              <w:rPr>
                <w:rFonts w:hint="cs"/>
                <w:sz w:val="16"/>
                <w:szCs w:val="24"/>
                <w:rtl/>
                <w:lang w:bidi="ar-EG"/>
              </w:rPr>
              <w:t>40</w:t>
            </w:r>
          </w:p>
        </w:tc>
        <w:tc>
          <w:tcPr>
            <w:tcW w:w="721" w:type="dxa"/>
            <w:tcBorders>
              <w:bottom w:val="single" w:sz="4" w:space="0" w:color="auto"/>
            </w:tcBorders>
            <w:vAlign w:val="bottom"/>
          </w:tcPr>
          <w:p w:rsidR="00D8679F" w:rsidRDefault="00D8679F">
            <w:pPr>
              <w:spacing w:before="40" w:after="80" w:line="240" w:lineRule="exact"/>
              <w:ind w:right="144"/>
              <w:jc w:val="lowKashida"/>
              <w:rPr>
                <w:rFonts w:hint="cs"/>
                <w:sz w:val="16"/>
                <w:szCs w:val="24"/>
                <w:rtl/>
                <w:lang w:bidi="ar-EG"/>
              </w:rPr>
            </w:pPr>
            <w:r>
              <w:rPr>
                <w:rFonts w:hint="cs"/>
                <w:sz w:val="16"/>
                <w:szCs w:val="24"/>
                <w:rtl/>
                <w:lang w:bidi="ar-EG"/>
              </w:rPr>
              <w:t>7.0</w:t>
            </w:r>
          </w:p>
        </w:tc>
        <w:tc>
          <w:tcPr>
            <w:tcW w:w="721" w:type="dxa"/>
            <w:tcBorders>
              <w:bottom w:val="single" w:sz="4" w:space="0" w:color="auto"/>
            </w:tcBorders>
            <w:vAlign w:val="bottom"/>
          </w:tcPr>
          <w:p w:rsidR="00D8679F" w:rsidRDefault="00D8679F">
            <w:pPr>
              <w:spacing w:before="40" w:after="80" w:line="240" w:lineRule="exact"/>
              <w:ind w:right="144"/>
              <w:jc w:val="lowKashida"/>
              <w:rPr>
                <w:rFonts w:hint="cs"/>
                <w:sz w:val="16"/>
                <w:szCs w:val="24"/>
                <w:rtl/>
                <w:lang w:bidi="ar-EG"/>
              </w:rPr>
            </w:pPr>
            <w:r>
              <w:rPr>
                <w:rFonts w:hint="cs"/>
                <w:sz w:val="16"/>
                <w:szCs w:val="24"/>
                <w:rtl/>
                <w:lang w:bidi="ar-EG"/>
              </w:rPr>
              <w:t>431</w:t>
            </w:r>
          </w:p>
        </w:tc>
        <w:tc>
          <w:tcPr>
            <w:tcW w:w="618" w:type="dxa"/>
            <w:tcBorders>
              <w:bottom w:val="single" w:sz="4" w:space="0" w:color="auto"/>
            </w:tcBorders>
            <w:vAlign w:val="bottom"/>
          </w:tcPr>
          <w:p w:rsidR="00D8679F" w:rsidRDefault="00D8679F">
            <w:pPr>
              <w:spacing w:before="40" w:after="80" w:line="240" w:lineRule="exact"/>
              <w:ind w:right="144"/>
              <w:jc w:val="lowKashida"/>
              <w:rPr>
                <w:rFonts w:hint="cs"/>
                <w:sz w:val="16"/>
                <w:szCs w:val="24"/>
                <w:rtl/>
                <w:lang w:bidi="ar-EG"/>
              </w:rPr>
            </w:pPr>
            <w:r>
              <w:rPr>
                <w:rFonts w:hint="cs"/>
                <w:sz w:val="16"/>
                <w:szCs w:val="24"/>
                <w:rtl/>
                <w:lang w:bidi="ar-EG"/>
              </w:rPr>
              <w:t>56</w:t>
            </w:r>
          </w:p>
        </w:tc>
        <w:tc>
          <w:tcPr>
            <w:tcW w:w="725" w:type="dxa"/>
            <w:tcBorders>
              <w:bottom w:val="single" w:sz="4" w:space="0" w:color="auto"/>
            </w:tcBorders>
            <w:vAlign w:val="bottom"/>
          </w:tcPr>
          <w:p w:rsidR="00D8679F" w:rsidRDefault="00D8679F">
            <w:pPr>
              <w:spacing w:before="40" w:after="80" w:line="240" w:lineRule="exact"/>
              <w:ind w:right="144"/>
              <w:jc w:val="lowKashida"/>
              <w:rPr>
                <w:rFonts w:hint="cs"/>
                <w:sz w:val="16"/>
                <w:szCs w:val="24"/>
                <w:rtl/>
                <w:lang w:bidi="ar-EG"/>
              </w:rPr>
            </w:pPr>
            <w:r>
              <w:rPr>
                <w:rFonts w:hint="cs"/>
                <w:sz w:val="16"/>
                <w:szCs w:val="24"/>
                <w:rtl/>
                <w:lang w:bidi="ar-EG"/>
              </w:rPr>
              <w:t>13.0</w:t>
            </w:r>
          </w:p>
        </w:tc>
      </w:tr>
      <w:tr w:rsidR="00D8679F" w:rsidTr="00D8679F">
        <w:tblPrEx>
          <w:tblCellMar>
            <w:top w:w="0" w:type="dxa"/>
            <w:bottom w:w="0" w:type="dxa"/>
          </w:tblCellMar>
        </w:tblPrEx>
        <w:trPr>
          <w:cantSplit/>
        </w:trPr>
        <w:tc>
          <w:tcPr>
            <w:tcW w:w="1404" w:type="dxa"/>
            <w:tcBorders>
              <w:top w:val="single" w:sz="4" w:space="0" w:color="auto"/>
              <w:bottom w:val="single" w:sz="12" w:space="0" w:color="auto"/>
            </w:tcBorders>
            <w:vAlign w:val="bottom"/>
          </w:tcPr>
          <w:p w:rsidR="00D8679F" w:rsidRDefault="00D8679F">
            <w:pPr>
              <w:spacing w:before="60" w:after="60" w:line="240" w:lineRule="exact"/>
              <w:rPr>
                <w:rFonts w:hint="cs"/>
                <w:bCs/>
                <w:sz w:val="16"/>
                <w:szCs w:val="24"/>
                <w:rtl/>
                <w:lang w:bidi="ar-EG"/>
              </w:rPr>
            </w:pPr>
            <w:r>
              <w:rPr>
                <w:bCs/>
                <w:sz w:val="16"/>
                <w:szCs w:val="24"/>
                <w:rtl/>
                <w:lang w:bidi="ar-EG"/>
              </w:rPr>
              <w:tab/>
            </w:r>
            <w:r>
              <w:rPr>
                <w:rFonts w:hint="cs"/>
                <w:bCs/>
                <w:sz w:val="16"/>
                <w:szCs w:val="24"/>
                <w:rtl/>
                <w:lang w:bidi="ar-EG"/>
              </w:rPr>
              <w:t>المجموع</w:t>
            </w:r>
          </w:p>
        </w:tc>
        <w:tc>
          <w:tcPr>
            <w:tcW w:w="721" w:type="dxa"/>
            <w:tcBorders>
              <w:top w:val="single" w:sz="4" w:space="0" w:color="auto"/>
              <w:bottom w:val="single" w:sz="12" w:space="0" w:color="auto"/>
            </w:tcBorders>
            <w:vAlign w:val="bottom"/>
          </w:tcPr>
          <w:p w:rsidR="00D8679F" w:rsidRDefault="00D8679F">
            <w:pPr>
              <w:spacing w:before="60" w:after="60" w:line="240" w:lineRule="exact"/>
              <w:ind w:right="144"/>
              <w:jc w:val="lowKashida"/>
              <w:rPr>
                <w:rFonts w:hint="cs"/>
                <w:bCs/>
                <w:sz w:val="16"/>
                <w:szCs w:val="24"/>
                <w:rtl/>
                <w:lang w:bidi="ar-EG"/>
              </w:rPr>
            </w:pPr>
            <w:r>
              <w:rPr>
                <w:rFonts w:hint="cs"/>
                <w:bCs/>
                <w:sz w:val="16"/>
                <w:szCs w:val="24"/>
                <w:rtl/>
                <w:lang w:bidi="ar-EG"/>
              </w:rPr>
              <w:t>971</w:t>
            </w:r>
          </w:p>
        </w:tc>
        <w:tc>
          <w:tcPr>
            <w:tcW w:w="721" w:type="dxa"/>
            <w:tcBorders>
              <w:top w:val="single" w:sz="4" w:space="0" w:color="auto"/>
              <w:bottom w:val="single" w:sz="12" w:space="0" w:color="auto"/>
            </w:tcBorders>
            <w:vAlign w:val="bottom"/>
          </w:tcPr>
          <w:p w:rsidR="00D8679F" w:rsidRDefault="00D8679F">
            <w:pPr>
              <w:spacing w:before="60" w:after="60" w:line="240" w:lineRule="exact"/>
              <w:ind w:right="144"/>
              <w:jc w:val="lowKashida"/>
              <w:rPr>
                <w:rFonts w:hint="cs"/>
                <w:bCs/>
                <w:sz w:val="16"/>
                <w:szCs w:val="24"/>
                <w:rtl/>
                <w:lang w:bidi="ar-EG"/>
              </w:rPr>
            </w:pPr>
            <w:r>
              <w:rPr>
                <w:rFonts w:hint="cs"/>
                <w:bCs/>
                <w:sz w:val="16"/>
                <w:szCs w:val="24"/>
                <w:rtl/>
                <w:lang w:bidi="ar-EG"/>
              </w:rPr>
              <w:t>23</w:t>
            </w:r>
          </w:p>
        </w:tc>
        <w:tc>
          <w:tcPr>
            <w:tcW w:w="721" w:type="dxa"/>
            <w:tcBorders>
              <w:top w:val="single" w:sz="4" w:space="0" w:color="auto"/>
              <w:bottom w:val="single" w:sz="12" w:space="0" w:color="auto"/>
            </w:tcBorders>
            <w:vAlign w:val="bottom"/>
          </w:tcPr>
          <w:p w:rsidR="00D8679F" w:rsidRDefault="00D8679F">
            <w:pPr>
              <w:spacing w:before="60" w:after="60" w:line="240" w:lineRule="exact"/>
              <w:ind w:right="144"/>
              <w:jc w:val="lowKashida"/>
              <w:rPr>
                <w:rFonts w:hint="cs"/>
                <w:bCs/>
                <w:sz w:val="16"/>
                <w:szCs w:val="24"/>
                <w:rtl/>
                <w:lang w:bidi="ar-EG"/>
              </w:rPr>
            </w:pPr>
            <w:r>
              <w:rPr>
                <w:rFonts w:hint="cs"/>
                <w:bCs/>
                <w:sz w:val="16"/>
                <w:szCs w:val="24"/>
                <w:rtl/>
                <w:lang w:bidi="ar-EG"/>
              </w:rPr>
              <w:t>2.4</w:t>
            </w:r>
          </w:p>
        </w:tc>
        <w:tc>
          <w:tcPr>
            <w:tcW w:w="721" w:type="dxa"/>
            <w:tcBorders>
              <w:top w:val="single" w:sz="4" w:space="0" w:color="auto"/>
              <w:bottom w:val="single" w:sz="12" w:space="0" w:color="auto"/>
            </w:tcBorders>
            <w:vAlign w:val="bottom"/>
          </w:tcPr>
          <w:p w:rsidR="00D8679F" w:rsidRDefault="00D8679F">
            <w:pPr>
              <w:spacing w:before="60" w:after="60" w:line="240" w:lineRule="exact"/>
              <w:ind w:right="144"/>
              <w:jc w:val="lowKashida"/>
              <w:rPr>
                <w:rFonts w:hint="cs"/>
                <w:bCs/>
                <w:sz w:val="16"/>
                <w:szCs w:val="24"/>
                <w:rtl/>
                <w:lang w:bidi="ar-EG"/>
              </w:rPr>
            </w:pPr>
            <w:r>
              <w:rPr>
                <w:rFonts w:hint="cs"/>
                <w:bCs/>
                <w:sz w:val="16"/>
                <w:szCs w:val="24"/>
                <w:rtl/>
                <w:lang w:bidi="ar-EG"/>
              </w:rPr>
              <w:t>836 1</w:t>
            </w:r>
          </w:p>
        </w:tc>
        <w:tc>
          <w:tcPr>
            <w:tcW w:w="721" w:type="dxa"/>
            <w:tcBorders>
              <w:top w:val="single" w:sz="4" w:space="0" w:color="auto"/>
              <w:bottom w:val="single" w:sz="12" w:space="0" w:color="auto"/>
            </w:tcBorders>
            <w:vAlign w:val="bottom"/>
          </w:tcPr>
          <w:p w:rsidR="00D8679F" w:rsidRDefault="00D8679F">
            <w:pPr>
              <w:spacing w:before="60" w:after="60" w:line="240" w:lineRule="exact"/>
              <w:ind w:right="144"/>
              <w:jc w:val="lowKashida"/>
              <w:rPr>
                <w:rFonts w:hint="cs"/>
                <w:bCs/>
                <w:sz w:val="16"/>
                <w:szCs w:val="24"/>
                <w:rtl/>
                <w:lang w:bidi="ar-EG"/>
              </w:rPr>
            </w:pPr>
            <w:r>
              <w:rPr>
                <w:rFonts w:hint="cs"/>
                <w:bCs/>
                <w:sz w:val="16"/>
                <w:szCs w:val="24"/>
                <w:rtl/>
                <w:lang w:bidi="ar-EG"/>
              </w:rPr>
              <w:t>50</w:t>
            </w:r>
          </w:p>
        </w:tc>
        <w:tc>
          <w:tcPr>
            <w:tcW w:w="721" w:type="dxa"/>
            <w:tcBorders>
              <w:top w:val="single" w:sz="4" w:space="0" w:color="auto"/>
              <w:bottom w:val="single" w:sz="12" w:space="0" w:color="auto"/>
            </w:tcBorders>
            <w:vAlign w:val="bottom"/>
          </w:tcPr>
          <w:p w:rsidR="00D8679F" w:rsidRDefault="00D8679F">
            <w:pPr>
              <w:spacing w:before="60" w:after="60" w:line="240" w:lineRule="exact"/>
              <w:ind w:right="144"/>
              <w:jc w:val="lowKashida"/>
              <w:rPr>
                <w:rFonts w:hint="cs"/>
                <w:bCs/>
                <w:sz w:val="16"/>
                <w:szCs w:val="24"/>
                <w:rtl/>
                <w:lang w:bidi="ar-EG"/>
              </w:rPr>
            </w:pPr>
            <w:r>
              <w:rPr>
                <w:rFonts w:hint="cs"/>
                <w:bCs/>
                <w:sz w:val="16"/>
                <w:szCs w:val="24"/>
                <w:rtl/>
                <w:lang w:bidi="ar-EG"/>
              </w:rPr>
              <w:t>2.7</w:t>
            </w:r>
          </w:p>
        </w:tc>
        <w:tc>
          <w:tcPr>
            <w:tcW w:w="721" w:type="dxa"/>
            <w:tcBorders>
              <w:top w:val="single" w:sz="4" w:space="0" w:color="auto"/>
              <w:bottom w:val="single" w:sz="12" w:space="0" w:color="auto"/>
            </w:tcBorders>
            <w:vAlign w:val="bottom"/>
          </w:tcPr>
          <w:p w:rsidR="00D8679F" w:rsidRDefault="00D8679F">
            <w:pPr>
              <w:spacing w:before="60" w:after="60" w:line="240" w:lineRule="exact"/>
              <w:ind w:right="144"/>
              <w:jc w:val="lowKashida"/>
              <w:rPr>
                <w:rFonts w:hint="cs"/>
                <w:bCs/>
                <w:sz w:val="16"/>
                <w:szCs w:val="24"/>
                <w:rtl/>
                <w:lang w:bidi="ar-EG"/>
              </w:rPr>
            </w:pPr>
            <w:r>
              <w:rPr>
                <w:rFonts w:hint="cs"/>
                <w:bCs/>
                <w:sz w:val="16"/>
                <w:szCs w:val="24"/>
                <w:rtl/>
                <w:lang w:bidi="ar-EG"/>
              </w:rPr>
              <w:t>692 3</w:t>
            </w:r>
          </w:p>
        </w:tc>
        <w:tc>
          <w:tcPr>
            <w:tcW w:w="618" w:type="dxa"/>
            <w:tcBorders>
              <w:top w:val="single" w:sz="4" w:space="0" w:color="auto"/>
              <w:bottom w:val="single" w:sz="12" w:space="0" w:color="auto"/>
            </w:tcBorders>
            <w:vAlign w:val="bottom"/>
          </w:tcPr>
          <w:p w:rsidR="00D8679F" w:rsidRDefault="00D8679F">
            <w:pPr>
              <w:spacing w:before="60" w:after="60" w:line="240" w:lineRule="exact"/>
              <w:ind w:right="144"/>
              <w:jc w:val="lowKashida"/>
              <w:rPr>
                <w:rFonts w:hint="cs"/>
                <w:bCs/>
                <w:sz w:val="16"/>
                <w:szCs w:val="24"/>
                <w:rtl/>
                <w:lang w:bidi="ar-EG"/>
              </w:rPr>
            </w:pPr>
            <w:r>
              <w:rPr>
                <w:rFonts w:hint="cs"/>
                <w:bCs/>
                <w:sz w:val="16"/>
                <w:szCs w:val="24"/>
                <w:rtl/>
                <w:lang w:bidi="ar-EG"/>
              </w:rPr>
              <w:t>300</w:t>
            </w:r>
          </w:p>
        </w:tc>
        <w:tc>
          <w:tcPr>
            <w:tcW w:w="721" w:type="dxa"/>
            <w:tcBorders>
              <w:top w:val="single" w:sz="4" w:space="0" w:color="auto"/>
              <w:bottom w:val="single" w:sz="12" w:space="0" w:color="auto"/>
            </w:tcBorders>
            <w:vAlign w:val="bottom"/>
          </w:tcPr>
          <w:p w:rsidR="00D8679F" w:rsidRDefault="00D8679F">
            <w:pPr>
              <w:spacing w:before="60" w:after="60" w:line="240" w:lineRule="exact"/>
              <w:ind w:right="144"/>
              <w:jc w:val="lowKashida"/>
              <w:rPr>
                <w:rFonts w:hint="cs"/>
                <w:bCs/>
                <w:sz w:val="16"/>
                <w:szCs w:val="24"/>
                <w:rtl/>
                <w:lang w:bidi="ar-EG"/>
              </w:rPr>
            </w:pPr>
            <w:r>
              <w:rPr>
                <w:rFonts w:hint="cs"/>
                <w:bCs/>
                <w:sz w:val="16"/>
                <w:szCs w:val="24"/>
                <w:rtl/>
                <w:lang w:bidi="ar-EG"/>
              </w:rPr>
              <w:t>8.1</w:t>
            </w:r>
          </w:p>
        </w:tc>
        <w:tc>
          <w:tcPr>
            <w:tcW w:w="721" w:type="dxa"/>
            <w:tcBorders>
              <w:top w:val="single" w:sz="4" w:space="0" w:color="auto"/>
              <w:bottom w:val="single" w:sz="12" w:space="0" w:color="auto"/>
            </w:tcBorders>
            <w:vAlign w:val="bottom"/>
          </w:tcPr>
          <w:p w:rsidR="00D8679F" w:rsidRDefault="00D8679F">
            <w:pPr>
              <w:spacing w:before="60" w:after="60" w:line="240" w:lineRule="exact"/>
              <w:ind w:right="144"/>
              <w:jc w:val="lowKashida"/>
              <w:rPr>
                <w:rFonts w:hint="cs"/>
                <w:bCs/>
                <w:sz w:val="16"/>
                <w:szCs w:val="24"/>
                <w:rtl/>
                <w:lang w:bidi="ar-EG"/>
              </w:rPr>
            </w:pPr>
            <w:r>
              <w:rPr>
                <w:rFonts w:hint="cs"/>
                <w:bCs/>
                <w:sz w:val="16"/>
                <w:szCs w:val="24"/>
                <w:rtl/>
                <w:lang w:bidi="ar-EG"/>
              </w:rPr>
              <w:t>837 2</w:t>
            </w:r>
          </w:p>
        </w:tc>
        <w:tc>
          <w:tcPr>
            <w:tcW w:w="618" w:type="dxa"/>
            <w:tcBorders>
              <w:top w:val="single" w:sz="4" w:space="0" w:color="auto"/>
              <w:bottom w:val="single" w:sz="12" w:space="0" w:color="auto"/>
            </w:tcBorders>
            <w:vAlign w:val="bottom"/>
          </w:tcPr>
          <w:p w:rsidR="00D8679F" w:rsidRDefault="00D8679F">
            <w:pPr>
              <w:spacing w:before="60" w:after="60" w:line="240" w:lineRule="exact"/>
              <w:ind w:right="144"/>
              <w:jc w:val="lowKashida"/>
              <w:rPr>
                <w:rFonts w:hint="cs"/>
                <w:bCs/>
                <w:sz w:val="16"/>
                <w:szCs w:val="24"/>
                <w:rtl/>
                <w:lang w:bidi="ar-EG"/>
              </w:rPr>
            </w:pPr>
            <w:r>
              <w:rPr>
                <w:rFonts w:hint="cs"/>
                <w:bCs/>
                <w:sz w:val="16"/>
                <w:szCs w:val="24"/>
                <w:rtl/>
                <w:lang w:bidi="ar-EG"/>
              </w:rPr>
              <w:t>377</w:t>
            </w:r>
          </w:p>
        </w:tc>
        <w:tc>
          <w:tcPr>
            <w:tcW w:w="725" w:type="dxa"/>
            <w:tcBorders>
              <w:top w:val="single" w:sz="4" w:space="0" w:color="auto"/>
              <w:bottom w:val="single" w:sz="12" w:space="0" w:color="auto"/>
            </w:tcBorders>
            <w:vAlign w:val="bottom"/>
          </w:tcPr>
          <w:p w:rsidR="00D8679F" w:rsidRDefault="00D8679F">
            <w:pPr>
              <w:spacing w:before="60" w:after="60" w:line="240" w:lineRule="exact"/>
              <w:ind w:right="144"/>
              <w:jc w:val="lowKashida"/>
              <w:rPr>
                <w:rFonts w:hint="cs"/>
                <w:bCs/>
                <w:sz w:val="16"/>
                <w:szCs w:val="24"/>
                <w:rtl/>
                <w:lang w:bidi="ar-EG"/>
              </w:rPr>
            </w:pPr>
            <w:r>
              <w:rPr>
                <w:rFonts w:hint="cs"/>
                <w:bCs/>
                <w:sz w:val="16"/>
                <w:szCs w:val="24"/>
                <w:rtl/>
                <w:lang w:bidi="ar-EG"/>
              </w:rPr>
              <w:t>13.3</w:t>
            </w:r>
          </w:p>
        </w:tc>
      </w:tr>
    </w:tbl>
    <w:p w:rsidR="00000000" w:rsidRDefault="00D8679F">
      <w:pPr>
        <w:pStyle w:val="SingleTxt"/>
        <w:spacing w:after="0" w:line="120" w:lineRule="exact"/>
        <w:ind w:left="1930" w:hanging="663"/>
        <w:jc w:val="both"/>
        <w:rPr>
          <w:rFonts w:hint="cs"/>
          <w:sz w:val="10"/>
          <w:rtl/>
          <w:lang w:bidi="ar-EG"/>
        </w:rPr>
      </w:pPr>
    </w:p>
    <w:p w:rsidR="00000000" w:rsidRDefault="00D8679F">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bidi="ar-EG"/>
        </w:rPr>
      </w:pPr>
      <w:r>
        <w:rPr>
          <w:rFonts w:hint="cs"/>
          <w:rtl/>
          <w:lang w:bidi="ar-EG"/>
        </w:rPr>
        <w:tab/>
      </w:r>
      <w:r>
        <w:rPr>
          <w:rFonts w:hint="cs"/>
          <w:rtl/>
          <w:lang w:bidi="ar-EG"/>
        </w:rPr>
        <w:tab/>
      </w:r>
      <w:r>
        <w:rPr>
          <w:rFonts w:hint="cs"/>
          <w:i/>
          <w:iCs/>
          <w:rtl/>
          <w:lang w:bidi="ar-EG"/>
        </w:rPr>
        <w:t>المصدر</w:t>
      </w:r>
      <w:r>
        <w:rPr>
          <w:rFonts w:hint="cs"/>
          <w:rtl/>
          <w:lang w:bidi="ar-EG"/>
        </w:rPr>
        <w:t>: اللجنة الانتخابية، 2002.</w:t>
      </w:r>
    </w:p>
    <w:p w:rsidR="00000000" w:rsidRDefault="00D8679F">
      <w:pPr>
        <w:pStyle w:val="SingleTxt"/>
        <w:spacing w:after="0" w:line="120" w:lineRule="exact"/>
        <w:ind w:left="1930" w:hanging="663"/>
        <w:jc w:val="both"/>
        <w:rPr>
          <w:rFonts w:hint="cs"/>
          <w:sz w:val="10"/>
          <w:rtl/>
          <w:lang w:bidi="ar-EG"/>
        </w:rPr>
      </w:pPr>
    </w:p>
    <w:p w:rsidR="00000000" w:rsidRDefault="00D8679F">
      <w:pPr>
        <w:pStyle w:val="SingleTxt"/>
        <w:spacing w:after="0" w:line="120" w:lineRule="exact"/>
        <w:ind w:left="1930" w:hanging="663"/>
        <w:jc w:val="both"/>
        <w:rPr>
          <w:rFonts w:hint="cs"/>
          <w:sz w:val="10"/>
          <w:rtl/>
          <w:lang w:bidi="ar-EG"/>
        </w:rPr>
      </w:pPr>
    </w:p>
    <w:p w:rsidR="00000000" w:rsidRDefault="00D8679F">
      <w:pPr>
        <w:pStyle w:val="SingleTxt"/>
        <w:jc w:val="both"/>
        <w:rPr>
          <w:rFonts w:hint="cs"/>
          <w:rtl/>
          <w:lang w:bidi="ar-EG"/>
        </w:rPr>
      </w:pPr>
      <w:r>
        <w:rPr>
          <w:rFonts w:hint="cs"/>
          <w:rtl/>
          <w:lang w:bidi="ar-EG"/>
        </w:rPr>
        <w:t>92 -</w:t>
      </w:r>
      <w:r>
        <w:rPr>
          <w:rFonts w:hint="cs"/>
          <w:rtl/>
          <w:lang w:bidi="ar-EG"/>
        </w:rPr>
        <w:tab/>
        <w:t>الخدمة المدنية: وا</w:t>
      </w:r>
      <w:r>
        <w:rPr>
          <w:rFonts w:hint="cs"/>
          <w:rtl/>
          <w:lang w:bidi="ar-EG"/>
        </w:rPr>
        <w:t>صلت الحكومة بذل جهود كبيرة لتعيين النساء في الهيئات العامة المختلفة بما فيها شبه الحكومية. وتحقق تحسن ملحوظ في تمثيل المرأة في الهيئة القضائية على جميع المستويات. وفي عام 2005، شكلت النساء نسبة 42.2 في المائة من القضاة الجزئيين المحليين، ونسبة 37.6 في الما</w:t>
      </w:r>
      <w:r>
        <w:rPr>
          <w:rFonts w:hint="cs"/>
          <w:rtl/>
          <w:lang w:bidi="ar-EG"/>
        </w:rPr>
        <w:t>ئة من القضاة الجزئيين المقيمين الأقدم، ونسبة 42.3 في المائة من القضاة الجزئيين الرئيسيين الأقدم ونسبة 20.3 في المائة من قضاة المحكمة العليا مقابل 41.3</w:t>
      </w:r>
      <w:r>
        <w:rPr>
          <w:rFonts w:hint="eastAsia"/>
          <w:rtl/>
          <w:lang w:bidi="ar-EG"/>
        </w:rPr>
        <w:t> </w:t>
      </w:r>
      <w:r>
        <w:rPr>
          <w:rFonts w:hint="cs"/>
          <w:rtl/>
          <w:lang w:bidi="ar-EG"/>
        </w:rPr>
        <w:t>في المائة، و 36.8 في المائة، و 40.9 في المائة و 17.6 في المائة على التوالي في عام</w:t>
      </w:r>
      <w:r>
        <w:rPr>
          <w:rFonts w:hint="eastAsia"/>
          <w:rtl/>
          <w:lang w:bidi="ar-EG"/>
        </w:rPr>
        <w:t> </w:t>
      </w:r>
      <w:r>
        <w:rPr>
          <w:rFonts w:hint="cs"/>
          <w:rtl/>
          <w:lang w:bidi="ar-EG"/>
        </w:rPr>
        <w:t>2003. وزاد عدد موظفات ا</w:t>
      </w:r>
      <w:r>
        <w:rPr>
          <w:rFonts w:hint="cs"/>
          <w:rtl/>
          <w:lang w:bidi="ar-EG"/>
        </w:rPr>
        <w:t>لخدمة القضائية من 196 في عام 2003 إلى 224 في عام</w:t>
      </w:r>
      <w:r>
        <w:rPr>
          <w:rFonts w:hint="eastAsia"/>
          <w:rtl/>
          <w:lang w:bidi="ar-EG"/>
        </w:rPr>
        <w:t> </w:t>
      </w:r>
      <w:r>
        <w:rPr>
          <w:rFonts w:hint="cs"/>
          <w:rtl/>
          <w:lang w:bidi="ar-EG"/>
        </w:rPr>
        <w:t>2005 كما هو مبين في الجدول 3 أدناه. وفي حزيران/يونيه عام 2005، كانت نسبة 34.3 في المائة من المحامين المسجلين لدى المحكمة العليا من النساء مقابل 34.1 في المائة في حزيران/يونيه عام 2003.</w:t>
      </w:r>
    </w:p>
    <w:p w:rsidR="00000000" w:rsidRDefault="00D8679F">
      <w:pPr>
        <w:pStyle w:val="SingleTxt"/>
        <w:jc w:val="both"/>
        <w:rPr>
          <w:rFonts w:hint="cs"/>
          <w:rtl/>
          <w:lang w:bidi="ar-EG"/>
        </w:rPr>
      </w:pPr>
      <w:r>
        <w:rPr>
          <w:rFonts w:hint="cs"/>
          <w:rtl/>
          <w:lang w:bidi="ar-EG"/>
        </w:rPr>
        <w:t>93 -</w:t>
      </w:r>
      <w:r>
        <w:rPr>
          <w:rFonts w:hint="cs"/>
          <w:rtl/>
          <w:lang w:bidi="ar-EG"/>
        </w:rPr>
        <w:tab/>
        <w:t>بيد أنه على الصُع</w:t>
      </w:r>
      <w:r>
        <w:rPr>
          <w:rFonts w:hint="cs"/>
          <w:rtl/>
          <w:lang w:bidi="ar-EG"/>
        </w:rPr>
        <w:t>د الأخرى للخدمة العامة لا تزال المرأة غير ممثلة جيدا في المناصب الأقدم. وعلى سبيل المثال، فإنه بحلول حزيران/يونيه عام 2005، شكلت الأمينات الدائمات 5 (16.7 في المائة) من 30. ولم تكن هناك إلا سيدتان (2.8 في المائة) من بين 71 مفوض منطقة، و 21 (21.4 في المائة)</w:t>
      </w:r>
      <w:r>
        <w:rPr>
          <w:rFonts w:hint="cs"/>
          <w:rtl/>
          <w:lang w:bidi="ar-EG"/>
        </w:rPr>
        <w:t xml:space="preserve"> من بين 98 نائب أمين و 88 (19.7 في المائة) من بين 447 مسؤول منطقة. ولم تشغل أي امرأة منصب مفوض ولاية، من بين 8 مناصب في البلد بأسره.</w:t>
      </w:r>
    </w:p>
    <w:p w:rsidR="00000000" w:rsidRDefault="00D8679F">
      <w:pPr>
        <w:pStyle w:val="SingleTxt"/>
        <w:ind w:left="1930" w:hanging="663"/>
        <w:jc w:val="both"/>
        <w:rPr>
          <w:rFonts w:hint="cs"/>
          <w:rtl/>
          <w:lang w:bidi="ar-EG"/>
        </w:rPr>
      </w:pPr>
      <w:r>
        <w:rPr>
          <w:rtl/>
          <w:lang w:bidi="ar-EG"/>
        </w:rPr>
        <w:br w:type="page"/>
      </w:r>
      <w:r>
        <w:rPr>
          <w:rFonts w:hint="cs"/>
          <w:rtl/>
          <w:lang w:bidi="ar-EG"/>
        </w:rPr>
        <w:t>الجدول 3</w:t>
      </w:r>
    </w:p>
    <w:p w:rsidR="00000000" w:rsidRDefault="00D8679F">
      <w:pPr>
        <w:pStyle w:val="SingleTxt"/>
        <w:spacing w:after="0" w:line="120" w:lineRule="exact"/>
        <w:ind w:left="1930" w:hanging="663"/>
        <w:jc w:val="both"/>
        <w:rPr>
          <w:rFonts w:hint="cs"/>
          <w:sz w:val="12"/>
          <w:rtl/>
          <w:lang w:bidi="ar-EG"/>
        </w:rPr>
      </w:pPr>
    </w:p>
    <w:p w:rsidR="00000000" w:rsidRDefault="00D8679F">
      <w:pPr>
        <w:pStyle w:val="SingleTxt"/>
        <w:ind w:left="1930" w:hanging="663"/>
        <w:jc w:val="both"/>
        <w:rPr>
          <w:rFonts w:hint="cs"/>
          <w:rtl/>
          <w:lang w:bidi="ar-EG"/>
        </w:rPr>
      </w:pPr>
      <w:r>
        <w:rPr>
          <w:rFonts w:hint="cs"/>
          <w:b/>
          <w:bCs/>
          <w:rtl/>
          <w:lang w:bidi="ar-EG"/>
        </w:rPr>
        <w:t>ملاك الخدمة القضائية في كينيا حسب الدرجة والجنس</w:t>
      </w:r>
    </w:p>
    <w:p w:rsidR="00000000" w:rsidRDefault="00D8679F">
      <w:pPr>
        <w:pStyle w:val="SingleTxt"/>
        <w:spacing w:after="0" w:line="120" w:lineRule="exact"/>
        <w:ind w:left="1930" w:hanging="663"/>
        <w:jc w:val="both"/>
        <w:rPr>
          <w:rFonts w:hint="cs"/>
          <w:sz w:val="10"/>
          <w:rtl/>
          <w:lang w:bidi="ar-EG"/>
        </w:rPr>
      </w:pPr>
    </w:p>
    <w:p w:rsidR="00000000" w:rsidRDefault="00D8679F">
      <w:pPr>
        <w:pStyle w:val="SingleTxt"/>
        <w:spacing w:after="0" w:line="120" w:lineRule="exact"/>
        <w:ind w:left="1930" w:hanging="663"/>
        <w:jc w:val="both"/>
        <w:rPr>
          <w:rFonts w:hint="cs"/>
          <w:sz w:val="10"/>
          <w:rtl/>
          <w:lang w:bidi="ar-EG"/>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476"/>
        <w:gridCol w:w="721"/>
        <w:gridCol w:w="721"/>
        <w:gridCol w:w="824"/>
        <w:gridCol w:w="721"/>
        <w:gridCol w:w="721"/>
        <w:gridCol w:w="721"/>
        <w:gridCol w:w="721"/>
        <w:gridCol w:w="691"/>
      </w:tblGrid>
      <w:tr w:rsidR="00D8679F" w:rsidTr="00D8679F">
        <w:tblPrEx>
          <w:tblCellMar>
            <w:top w:w="0" w:type="dxa"/>
            <w:bottom w:w="0" w:type="dxa"/>
          </w:tblCellMar>
        </w:tblPrEx>
        <w:trPr>
          <w:cantSplit/>
          <w:tblHeader/>
        </w:trPr>
        <w:tc>
          <w:tcPr>
            <w:tcW w:w="1476" w:type="dxa"/>
            <w:tcBorders>
              <w:top w:val="single" w:sz="4" w:space="0" w:color="auto"/>
              <w:bottom w:val="single" w:sz="2" w:space="0" w:color="auto"/>
            </w:tcBorders>
            <w:vAlign w:val="bottom"/>
          </w:tcPr>
          <w:p w:rsidR="00D8679F" w:rsidRDefault="00D8679F">
            <w:pPr>
              <w:tabs>
                <w:tab w:val="left" w:pos="288"/>
                <w:tab w:val="left" w:pos="576"/>
                <w:tab w:val="left" w:pos="864"/>
                <w:tab w:val="left" w:pos="1152"/>
              </w:tabs>
              <w:spacing w:before="80" w:after="80" w:line="240" w:lineRule="exact"/>
              <w:ind w:right="40"/>
              <w:jc w:val="lowKashida"/>
              <w:rPr>
                <w:rFonts w:hint="cs"/>
                <w:i/>
                <w:iCs/>
                <w:sz w:val="16"/>
                <w:szCs w:val="24"/>
                <w:rtl/>
                <w:lang w:bidi="ar-EG"/>
              </w:rPr>
            </w:pPr>
          </w:p>
        </w:tc>
        <w:tc>
          <w:tcPr>
            <w:tcW w:w="2987" w:type="dxa"/>
            <w:gridSpan w:val="4"/>
            <w:tcBorders>
              <w:top w:val="single" w:sz="4" w:space="0" w:color="auto"/>
              <w:bottom w:val="single" w:sz="2" w:space="0" w:color="auto"/>
            </w:tcBorders>
            <w:vAlign w:val="bottom"/>
          </w:tcPr>
          <w:p w:rsidR="00D8679F" w:rsidRDefault="00D8679F">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حزيران/يونيه 2003</w:t>
            </w:r>
          </w:p>
        </w:tc>
        <w:tc>
          <w:tcPr>
            <w:tcW w:w="2854" w:type="dxa"/>
            <w:gridSpan w:val="4"/>
            <w:tcBorders>
              <w:top w:val="single" w:sz="4" w:space="0" w:color="auto"/>
              <w:bottom w:val="single" w:sz="2" w:space="0" w:color="auto"/>
            </w:tcBorders>
            <w:vAlign w:val="bottom"/>
          </w:tcPr>
          <w:p w:rsidR="00D8679F" w:rsidRDefault="00D8679F">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حزيران/يونيه 2005</w:t>
            </w:r>
          </w:p>
        </w:tc>
      </w:tr>
      <w:tr w:rsidR="00D8679F" w:rsidTr="00D8679F">
        <w:tblPrEx>
          <w:tblCellMar>
            <w:top w:w="0" w:type="dxa"/>
            <w:bottom w:w="0" w:type="dxa"/>
          </w:tblCellMar>
        </w:tblPrEx>
        <w:trPr>
          <w:cantSplit/>
          <w:tblHeader/>
        </w:trPr>
        <w:tc>
          <w:tcPr>
            <w:tcW w:w="1476" w:type="dxa"/>
            <w:tcBorders>
              <w:top w:val="single" w:sz="2" w:space="0" w:color="auto"/>
              <w:bottom w:val="single" w:sz="12" w:space="0" w:color="auto"/>
            </w:tcBorders>
            <w:vAlign w:val="bottom"/>
          </w:tcPr>
          <w:p w:rsidR="00D8679F" w:rsidRDefault="00D8679F">
            <w:pPr>
              <w:tabs>
                <w:tab w:val="left" w:pos="288"/>
                <w:tab w:val="left" w:pos="576"/>
                <w:tab w:val="left" w:pos="864"/>
                <w:tab w:val="left" w:pos="1152"/>
              </w:tabs>
              <w:spacing w:after="80" w:line="240" w:lineRule="exact"/>
              <w:ind w:right="40"/>
              <w:jc w:val="lowKashida"/>
              <w:rPr>
                <w:rFonts w:hint="cs"/>
                <w:i/>
                <w:iCs/>
                <w:sz w:val="16"/>
                <w:szCs w:val="24"/>
                <w:rtl/>
                <w:lang w:bidi="ar-EG"/>
              </w:rPr>
            </w:pPr>
            <w:r>
              <w:rPr>
                <w:rFonts w:hint="cs"/>
                <w:i/>
                <w:iCs/>
                <w:sz w:val="16"/>
                <w:szCs w:val="24"/>
                <w:rtl/>
                <w:lang w:bidi="ar-EG"/>
              </w:rPr>
              <w:t>الرتبة</w:t>
            </w:r>
          </w:p>
        </w:tc>
        <w:tc>
          <w:tcPr>
            <w:tcW w:w="721" w:type="dxa"/>
            <w:tcBorders>
              <w:top w:val="single" w:sz="2" w:space="0" w:color="auto"/>
              <w:bottom w:val="single" w:sz="12" w:space="0" w:color="auto"/>
            </w:tcBorders>
            <w:vAlign w:val="bottom"/>
          </w:tcPr>
          <w:p w:rsidR="00D8679F" w:rsidRDefault="00D8679F">
            <w:pPr>
              <w:tabs>
                <w:tab w:val="left" w:pos="288"/>
                <w:tab w:val="left" w:pos="576"/>
                <w:tab w:val="left" w:pos="864"/>
                <w:tab w:val="left" w:pos="1152"/>
              </w:tabs>
              <w:spacing w:after="80" w:line="240" w:lineRule="exact"/>
              <w:ind w:right="144"/>
              <w:jc w:val="lowKashida"/>
              <w:rPr>
                <w:rFonts w:hint="cs"/>
                <w:i/>
                <w:iCs/>
                <w:sz w:val="16"/>
                <w:szCs w:val="24"/>
                <w:rtl/>
                <w:lang w:bidi="ar-EG"/>
              </w:rPr>
            </w:pPr>
            <w:r>
              <w:rPr>
                <w:rFonts w:hint="cs"/>
                <w:i/>
                <w:iCs/>
                <w:sz w:val="16"/>
                <w:szCs w:val="24"/>
                <w:rtl/>
                <w:lang w:bidi="ar-EG"/>
              </w:rPr>
              <w:t>النساء</w:t>
            </w:r>
          </w:p>
        </w:tc>
        <w:tc>
          <w:tcPr>
            <w:tcW w:w="721" w:type="dxa"/>
            <w:tcBorders>
              <w:top w:val="single" w:sz="2" w:space="0" w:color="auto"/>
              <w:bottom w:val="single" w:sz="12" w:space="0" w:color="auto"/>
            </w:tcBorders>
            <w:vAlign w:val="bottom"/>
          </w:tcPr>
          <w:p w:rsidR="00D8679F" w:rsidRDefault="00D8679F">
            <w:pPr>
              <w:tabs>
                <w:tab w:val="left" w:pos="288"/>
                <w:tab w:val="left" w:pos="576"/>
                <w:tab w:val="left" w:pos="864"/>
                <w:tab w:val="left" w:pos="1152"/>
              </w:tabs>
              <w:spacing w:after="80" w:line="240" w:lineRule="exact"/>
              <w:ind w:right="144"/>
              <w:jc w:val="lowKashida"/>
              <w:rPr>
                <w:rFonts w:hint="cs"/>
                <w:i/>
                <w:iCs/>
                <w:sz w:val="16"/>
                <w:szCs w:val="24"/>
                <w:rtl/>
                <w:lang w:bidi="ar-EG"/>
              </w:rPr>
            </w:pPr>
            <w:r>
              <w:rPr>
                <w:rFonts w:hint="cs"/>
                <w:i/>
                <w:iCs/>
                <w:sz w:val="16"/>
                <w:szCs w:val="24"/>
                <w:rtl/>
                <w:lang w:bidi="ar-EG"/>
              </w:rPr>
              <w:t>الرجال</w:t>
            </w:r>
          </w:p>
        </w:tc>
        <w:tc>
          <w:tcPr>
            <w:tcW w:w="824" w:type="dxa"/>
            <w:tcBorders>
              <w:top w:val="single" w:sz="2" w:space="0" w:color="auto"/>
              <w:bottom w:val="single" w:sz="12" w:space="0" w:color="auto"/>
            </w:tcBorders>
            <w:vAlign w:val="bottom"/>
          </w:tcPr>
          <w:p w:rsidR="00D8679F" w:rsidRDefault="00D8679F">
            <w:pPr>
              <w:tabs>
                <w:tab w:val="left" w:pos="288"/>
                <w:tab w:val="left" w:pos="576"/>
                <w:tab w:val="left" w:pos="864"/>
                <w:tab w:val="left" w:pos="1152"/>
              </w:tabs>
              <w:spacing w:after="80" w:line="240" w:lineRule="exact"/>
              <w:ind w:right="144"/>
              <w:jc w:val="lowKashida"/>
              <w:rPr>
                <w:rFonts w:hint="cs"/>
                <w:i/>
                <w:iCs/>
                <w:sz w:val="16"/>
                <w:szCs w:val="24"/>
                <w:rtl/>
                <w:lang w:bidi="ar-EG"/>
              </w:rPr>
            </w:pPr>
            <w:r>
              <w:rPr>
                <w:rFonts w:hint="cs"/>
                <w:i/>
                <w:iCs/>
                <w:sz w:val="16"/>
                <w:szCs w:val="24"/>
                <w:rtl/>
                <w:lang w:bidi="ar-EG"/>
              </w:rPr>
              <w:t>المجموع</w:t>
            </w:r>
          </w:p>
        </w:tc>
        <w:tc>
          <w:tcPr>
            <w:tcW w:w="721" w:type="dxa"/>
            <w:tcBorders>
              <w:top w:val="single" w:sz="2" w:space="0" w:color="auto"/>
              <w:bottom w:val="single" w:sz="12" w:space="0" w:color="auto"/>
            </w:tcBorders>
            <w:vAlign w:val="bottom"/>
          </w:tcPr>
          <w:p w:rsidR="00D8679F" w:rsidRDefault="00D8679F">
            <w:pPr>
              <w:tabs>
                <w:tab w:val="left" w:pos="288"/>
                <w:tab w:val="left" w:pos="576"/>
                <w:tab w:val="left" w:pos="864"/>
                <w:tab w:val="left" w:pos="1152"/>
              </w:tabs>
              <w:spacing w:after="80" w:line="240" w:lineRule="exact"/>
              <w:ind w:right="144"/>
              <w:jc w:val="lowKashida"/>
              <w:rPr>
                <w:rFonts w:hint="cs"/>
                <w:i/>
                <w:iCs/>
                <w:sz w:val="16"/>
                <w:szCs w:val="24"/>
                <w:rtl/>
                <w:lang w:bidi="ar-EG"/>
              </w:rPr>
            </w:pPr>
            <w:r>
              <w:rPr>
                <w:rFonts w:hint="cs"/>
                <w:i/>
                <w:iCs/>
                <w:sz w:val="16"/>
                <w:szCs w:val="24"/>
                <w:rtl/>
                <w:lang w:bidi="ar-EG"/>
              </w:rPr>
              <w:t>النسبة المئوية للنساء</w:t>
            </w:r>
          </w:p>
        </w:tc>
        <w:tc>
          <w:tcPr>
            <w:tcW w:w="721" w:type="dxa"/>
            <w:tcBorders>
              <w:top w:val="single" w:sz="2" w:space="0" w:color="auto"/>
              <w:bottom w:val="single" w:sz="12" w:space="0" w:color="auto"/>
            </w:tcBorders>
            <w:vAlign w:val="bottom"/>
          </w:tcPr>
          <w:p w:rsidR="00D8679F" w:rsidRDefault="00D8679F">
            <w:pPr>
              <w:tabs>
                <w:tab w:val="left" w:pos="288"/>
                <w:tab w:val="left" w:pos="576"/>
                <w:tab w:val="left" w:pos="864"/>
                <w:tab w:val="left" w:pos="1152"/>
              </w:tabs>
              <w:spacing w:after="80" w:line="240" w:lineRule="exact"/>
              <w:ind w:right="144"/>
              <w:jc w:val="lowKashida"/>
              <w:rPr>
                <w:rFonts w:hint="cs"/>
                <w:i/>
                <w:iCs/>
                <w:sz w:val="16"/>
                <w:szCs w:val="24"/>
                <w:rtl/>
                <w:lang w:bidi="ar-EG"/>
              </w:rPr>
            </w:pPr>
            <w:r>
              <w:rPr>
                <w:rFonts w:hint="cs"/>
                <w:i/>
                <w:iCs/>
                <w:sz w:val="16"/>
                <w:szCs w:val="24"/>
                <w:rtl/>
                <w:lang w:bidi="ar-EG"/>
              </w:rPr>
              <w:t>النساء</w:t>
            </w:r>
          </w:p>
        </w:tc>
        <w:tc>
          <w:tcPr>
            <w:tcW w:w="721" w:type="dxa"/>
            <w:tcBorders>
              <w:top w:val="single" w:sz="2" w:space="0" w:color="auto"/>
              <w:bottom w:val="single" w:sz="12" w:space="0" w:color="auto"/>
            </w:tcBorders>
            <w:vAlign w:val="bottom"/>
          </w:tcPr>
          <w:p w:rsidR="00D8679F" w:rsidRDefault="00D8679F">
            <w:pPr>
              <w:tabs>
                <w:tab w:val="left" w:pos="288"/>
                <w:tab w:val="left" w:pos="576"/>
                <w:tab w:val="left" w:pos="864"/>
                <w:tab w:val="left" w:pos="1152"/>
              </w:tabs>
              <w:spacing w:after="80" w:line="240" w:lineRule="exact"/>
              <w:ind w:right="144"/>
              <w:jc w:val="lowKashida"/>
              <w:rPr>
                <w:rFonts w:hint="cs"/>
                <w:i/>
                <w:iCs/>
                <w:sz w:val="16"/>
                <w:szCs w:val="24"/>
                <w:rtl/>
                <w:lang w:bidi="ar-EG"/>
              </w:rPr>
            </w:pPr>
            <w:r>
              <w:rPr>
                <w:rFonts w:hint="cs"/>
                <w:i/>
                <w:iCs/>
                <w:sz w:val="16"/>
                <w:szCs w:val="24"/>
                <w:rtl/>
                <w:lang w:bidi="ar-EG"/>
              </w:rPr>
              <w:t>الرجال</w:t>
            </w:r>
          </w:p>
        </w:tc>
        <w:tc>
          <w:tcPr>
            <w:tcW w:w="721" w:type="dxa"/>
            <w:tcBorders>
              <w:top w:val="single" w:sz="2" w:space="0" w:color="auto"/>
              <w:bottom w:val="single" w:sz="12" w:space="0" w:color="auto"/>
            </w:tcBorders>
            <w:vAlign w:val="bottom"/>
          </w:tcPr>
          <w:p w:rsidR="00D8679F" w:rsidRDefault="00D8679F">
            <w:pPr>
              <w:tabs>
                <w:tab w:val="left" w:pos="288"/>
                <w:tab w:val="left" w:pos="576"/>
                <w:tab w:val="left" w:pos="864"/>
                <w:tab w:val="left" w:pos="1152"/>
              </w:tabs>
              <w:spacing w:after="80" w:line="240" w:lineRule="exact"/>
              <w:ind w:right="144"/>
              <w:jc w:val="lowKashida"/>
              <w:rPr>
                <w:rFonts w:hint="cs"/>
                <w:i/>
                <w:iCs/>
                <w:sz w:val="16"/>
                <w:szCs w:val="24"/>
                <w:rtl/>
                <w:lang w:bidi="ar-EG"/>
              </w:rPr>
            </w:pPr>
            <w:r>
              <w:rPr>
                <w:rFonts w:hint="cs"/>
                <w:i/>
                <w:iCs/>
                <w:sz w:val="16"/>
                <w:szCs w:val="24"/>
                <w:rtl/>
                <w:lang w:bidi="ar-EG"/>
              </w:rPr>
              <w:t>المجموع</w:t>
            </w:r>
          </w:p>
        </w:tc>
        <w:tc>
          <w:tcPr>
            <w:tcW w:w="691" w:type="dxa"/>
            <w:tcBorders>
              <w:top w:val="single" w:sz="2" w:space="0" w:color="auto"/>
              <w:bottom w:val="single" w:sz="12" w:space="0" w:color="auto"/>
            </w:tcBorders>
            <w:vAlign w:val="bottom"/>
          </w:tcPr>
          <w:p w:rsidR="00D8679F" w:rsidRDefault="00D8679F">
            <w:pPr>
              <w:tabs>
                <w:tab w:val="left" w:pos="288"/>
                <w:tab w:val="left" w:pos="576"/>
                <w:tab w:val="left" w:pos="864"/>
                <w:tab w:val="left" w:pos="1152"/>
              </w:tabs>
              <w:spacing w:after="80" w:line="240" w:lineRule="exact"/>
              <w:ind w:right="144"/>
              <w:jc w:val="lowKashida"/>
              <w:rPr>
                <w:rFonts w:hint="cs"/>
                <w:i/>
                <w:iCs/>
                <w:sz w:val="16"/>
                <w:szCs w:val="24"/>
                <w:rtl/>
                <w:lang w:bidi="ar-EG"/>
              </w:rPr>
            </w:pPr>
            <w:r>
              <w:rPr>
                <w:rFonts w:hint="cs"/>
                <w:i/>
                <w:iCs/>
                <w:sz w:val="16"/>
                <w:szCs w:val="24"/>
                <w:rtl/>
                <w:lang w:bidi="ar-EG"/>
              </w:rPr>
              <w:t>النسبة المئوية للنساء</w:t>
            </w:r>
          </w:p>
        </w:tc>
      </w:tr>
      <w:tr w:rsidR="00D8679F" w:rsidTr="00D8679F">
        <w:tblPrEx>
          <w:tblCellMar>
            <w:top w:w="0" w:type="dxa"/>
            <w:bottom w:w="0" w:type="dxa"/>
          </w:tblCellMar>
        </w:tblPrEx>
        <w:trPr>
          <w:cantSplit/>
          <w:trHeight w:hRule="exact" w:val="115"/>
          <w:tblHeader/>
        </w:trPr>
        <w:tc>
          <w:tcPr>
            <w:tcW w:w="1476"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40"/>
              <w:jc w:val="lowKashida"/>
              <w:rPr>
                <w:rFonts w:hint="cs"/>
                <w:sz w:val="16"/>
                <w:szCs w:val="24"/>
                <w:rtl/>
                <w:lang w:bidi="ar-EG"/>
              </w:rPr>
            </w:pPr>
          </w:p>
        </w:tc>
        <w:tc>
          <w:tcPr>
            <w:tcW w:w="721"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721"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824"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721"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721"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721"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721"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691"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D8679F" w:rsidTr="00D8679F">
        <w:tblPrEx>
          <w:tblCellMar>
            <w:top w:w="0" w:type="dxa"/>
            <w:bottom w:w="0" w:type="dxa"/>
          </w:tblCellMar>
        </w:tblPrEx>
        <w:trPr>
          <w:cantSplit/>
        </w:trPr>
        <w:tc>
          <w:tcPr>
            <w:tcW w:w="1476" w:type="dxa"/>
            <w:vAlign w:val="bottom"/>
          </w:tcPr>
          <w:p w:rsidR="00D8679F" w:rsidRDefault="00D8679F">
            <w:pPr>
              <w:tabs>
                <w:tab w:val="left" w:pos="288"/>
                <w:tab w:val="left" w:pos="576"/>
                <w:tab w:val="left" w:pos="864"/>
                <w:tab w:val="left" w:pos="1152"/>
              </w:tabs>
              <w:spacing w:before="40" w:after="80" w:line="240" w:lineRule="exact"/>
              <w:ind w:right="40"/>
              <w:jc w:val="lowKashida"/>
              <w:rPr>
                <w:rFonts w:hint="cs"/>
                <w:sz w:val="16"/>
                <w:szCs w:val="24"/>
                <w:rtl/>
                <w:lang w:bidi="ar-EG"/>
              </w:rPr>
            </w:pPr>
            <w:r>
              <w:rPr>
                <w:rFonts w:hint="cs"/>
                <w:sz w:val="16"/>
                <w:szCs w:val="24"/>
                <w:rtl/>
                <w:lang w:bidi="ar-EG"/>
              </w:rPr>
              <w:t>رئيس قضاة</w:t>
            </w:r>
          </w:p>
        </w:tc>
        <w:tc>
          <w:tcPr>
            <w:tcW w:w="721" w:type="dxa"/>
            <w:vAlign w:val="bottom"/>
          </w:tcPr>
          <w:p w:rsidR="00D8679F" w:rsidRDefault="00D8679F">
            <w:pPr>
              <w:tabs>
                <w:tab w:val="left" w:pos="117"/>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 xml:space="preserve">-  </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w:t>
            </w:r>
          </w:p>
        </w:tc>
        <w:tc>
          <w:tcPr>
            <w:tcW w:w="82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w:t>
            </w:r>
          </w:p>
        </w:tc>
        <w:tc>
          <w:tcPr>
            <w:tcW w:w="69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w:t>
            </w:r>
          </w:p>
        </w:tc>
      </w:tr>
      <w:tr w:rsidR="00D8679F" w:rsidTr="00D8679F">
        <w:tblPrEx>
          <w:tblCellMar>
            <w:top w:w="0" w:type="dxa"/>
            <w:bottom w:w="0" w:type="dxa"/>
          </w:tblCellMar>
        </w:tblPrEx>
        <w:trPr>
          <w:cantSplit/>
        </w:trPr>
        <w:tc>
          <w:tcPr>
            <w:tcW w:w="1476" w:type="dxa"/>
            <w:vAlign w:val="bottom"/>
          </w:tcPr>
          <w:p w:rsidR="00D8679F" w:rsidRDefault="00D8679F">
            <w:pPr>
              <w:tabs>
                <w:tab w:val="left" w:pos="288"/>
                <w:tab w:val="left" w:pos="576"/>
                <w:tab w:val="left" w:pos="864"/>
                <w:tab w:val="left" w:pos="1152"/>
              </w:tabs>
              <w:spacing w:before="40" w:after="80" w:line="240" w:lineRule="exact"/>
              <w:ind w:right="40"/>
              <w:jc w:val="lowKashida"/>
              <w:rPr>
                <w:rFonts w:hint="cs"/>
                <w:sz w:val="16"/>
                <w:szCs w:val="24"/>
                <w:rtl/>
                <w:lang w:bidi="ar-EG"/>
              </w:rPr>
            </w:pPr>
            <w:r>
              <w:rPr>
                <w:rFonts w:hint="cs"/>
                <w:sz w:val="16"/>
                <w:szCs w:val="24"/>
                <w:rtl/>
                <w:lang w:bidi="ar-EG"/>
              </w:rPr>
              <w:t>قضاة استئناف</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 xml:space="preserve">1  </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10</w:t>
            </w:r>
          </w:p>
        </w:tc>
        <w:tc>
          <w:tcPr>
            <w:tcW w:w="82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11</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9.1</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12</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12</w:t>
            </w:r>
          </w:p>
        </w:tc>
        <w:tc>
          <w:tcPr>
            <w:tcW w:w="69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w:t>
            </w:r>
          </w:p>
        </w:tc>
      </w:tr>
      <w:tr w:rsidR="00D8679F" w:rsidTr="00D8679F">
        <w:tblPrEx>
          <w:tblCellMar>
            <w:top w:w="0" w:type="dxa"/>
            <w:bottom w:w="0" w:type="dxa"/>
          </w:tblCellMar>
        </w:tblPrEx>
        <w:trPr>
          <w:cantSplit/>
        </w:trPr>
        <w:tc>
          <w:tcPr>
            <w:tcW w:w="1476" w:type="dxa"/>
            <w:vAlign w:val="bottom"/>
          </w:tcPr>
          <w:p w:rsidR="00D8679F" w:rsidRDefault="00D8679F">
            <w:pPr>
              <w:tabs>
                <w:tab w:val="left" w:pos="288"/>
                <w:tab w:val="left" w:pos="576"/>
                <w:tab w:val="left" w:pos="864"/>
                <w:tab w:val="left" w:pos="1152"/>
              </w:tabs>
              <w:spacing w:before="40" w:after="80" w:line="240" w:lineRule="exact"/>
              <w:ind w:right="40"/>
              <w:jc w:val="lowKashida"/>
              <w:rPr>
                <w:rFonts w:hint="cs"/>
                <w:sz w:val="16"/>
                <w:szCs w:val="24"/>
                <w:rtl/>
                <w:lang w:bidi="ar-EG"/>
              </w:rPr>
            </w:pPr>
            <w:r>
              <w:rPr>
                <w:rFonts w:hint="cs"/>
                <w:sz w:val="16"/>
                <w:szCs w:val="24"/>
                <w:rtl/>
                <w:lang w:bidi="ar-EG"/>
              </w:rPr>
              <w:t>قضاة المحكمة العليا</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 xml:space="preserve">9  </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42</w:t>
            </w:r>
          </w:p>
        </w:tc>
        <w:tc>
          <w:tcPr>
            <w:tcW w:w="82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51</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17.6</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12</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47</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59</w:t>
            </w:r>
          </w:p>
        </w:tc>
        <w:tc>
          <w:tcPr>
            <w:tcW w:w="69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20.3</w:t>
            </w:r>
          </w:p>
        </w:tc>
      </w:tr>
      <w:tr w:rsidR="00D8679F" w:rsidTr="00D8679F">
        <w:tblPrEx>
          <w:tblCellMar>
            <w:top w:w="0" w:type="dxa"/>
            <w:bottom w:w="0" w:type="dxa"/>
          </w:tblCellMar>
        </w:tblPrEx>
        <w:trPr>
          <w:cantSplit/>
        </w:trPr>
        <w:tc>
          <w:tcPr>
            <w:tcW w:w="1476" w:type="dxa"/>
            <w:vAlign w:val="bottom"/>
          </w:tcPr>
          <w:p w:rsidR="00D8679F" w:rsidRDefault="00D8679F">
            <w:pPr>
              <w:tabs>
                <w:tab w:val="left" w:pos="288"/>
                <w:tab w:val="left" w:pos="576"/>
                <w:tab w:val="left" w:pos="864"/>
                <w:tab w:val="left" w:pos="1152"/>
              </w:tabs>
              <w:spacing w:before="40" w:after="80" w:line="240" w:lineRule="exact"/>
              <w:ind w:right="40"/>
              <w:jc w:val="lowKashida"/>
              <w:rPr>
                <w:rFonts w:hint="cs"/>
                <w:sz w:val="16"/>
                <w:szCs w:val="24"/>
                <w:rtl/>
                <w:lang w:bidi="ar-EG"/>
              </w:rPr>
            </w:pPr>
            <w:r>
              <w:rPr>
                <w:rFonts w:hint="cs"/>
                <w:sz w:val="16"/>
                <w:szCs w:val="24"/>
                <w:rtl/>
                <w:lang w:bidi="ar-EG"/>
              </w:rPr>
              <w:t>مفوضو المحاكم الدورية</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 xml:space="preserve">1  </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w:t>
            </w:r>
          </w:p>
        </w:tc>
        <w:tc>
          <w:tcPr>
            <w:tcW w:w="82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33.3</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w:t>
            </w:r>
          </w:p>
        </w:tc>
        <w:tc>
          <w:tcPr>
            <w:tcW w:w="69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33.3</w:t>
            </w:r>
          </w:p>
        </w:tc>
      </w:tr>
      <w:tr w:rsidR="00D8679F" w:rsidTr="00D8679F">
        <w:tblPrEx>
          <w:tblCellMar>
            <w:top w:w="0" w:type="dxa"/>
            <w:bottom w:w="0" w:type="dxa"/>
          </w:tblCellMar>
        </w:tblPrEx>
        <w:trPr>
          <w:cantSplit/>
        </w:trPr>
        <w:tc>
          <w:tcPr>
            <w:tcW w:w="1476" w:type="dxa"/>
            <w:vAlign w:val="bottom"/>
          </w:tcPr>
          <w:p w:rsidR="00D8679F" w:rsidRDefault="00D8679F">
            <w:pPr>
              <w:tabs>
                <w:tab w:val="left" w:pos="288"/>
                <w:tab w:val="left" w:pos="576"/>
                <w:tab w:val="left" w:pos="864"/>
                <w:tab w:val="left" w:pos="1152"/>
              </w:tabs>
              <w:spacing w:before="40" w:after="80" w:line="240" w:lineRule="exact"/>
              <w:ind w:right="40"/>
              <w:jc w:val="lowKashida"/>
              <w:rPr>
                <w:rFonts w:hint="cs"/>
                <w:sz w:val="16"/>
                <w:szCs w:val="24"/>
                <w:rtl/>
                <w:lang w:bidi="ar-EG"/>
              </w:rPr>
            </w:pPr>
            <w:r>
              <w:rPr>
                <w:rFonts w:hint="cs"/>
                <w:sz w:val="16"/>
                <w:szCs w:val="24"/>
                <w:rtl/>
                <w:lang w:bidi="ar-EG"/>
              </w:rPr>
              <w:t>رؤساء  القضاة الجزئيين</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 xml:space="preserve">6  </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8</w:t>
            </w:r>
          </w:p>
        </w:tc>
        <w:tc>
          <w:tcPr>
            <w:tcW w:w="82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14</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42.9</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9</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15</w:t>
            </w:r>
          </w:p>
        </w:tc>
        <w:tc>
          <w:tcPr>
            <w:tcW w:w="69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40.0</w:t>
            </w:r>
          </w:p>
        </w:tc>
      </w:tr>
      <w:tr w:rsidR="00D8679F" w:rsidTr="00D8679F">
        <w:tblPrEx>
          <w:tblCellMar>
            <w:top w:w="0" w:type="dxa"/>
            <w:bottom w:w="0" w:type="dxa"/>
          </w:tblCellMar>
        </w:tblPrEx>
        <w:trPr>
          <w:cantSplit/>
        </w:trPr>
        <w:tc>
          <w:tcPr>
            <w:tcW w:w="1476" w:type="dxa"/>
            <w:vAlign w:val="bottom"/>
          </w:tcPr>
          <w:p w:rsidR="00D8679F" w:rsidRDefault="00D8679F">
            <w:pPr>
              <w:tabs>
                <w:tab w:val="left" w:pos="288"/>
                <w:tab w:val="left" w:pos="576"/>
                <w:tab w:val="left" w:pos="864"/>
                <w:tab w:val="left" w:pos="1152"/>
              </w:tabs>
              <w:spacing w:before="40" w:after="80" w:line="240" w:lineRule="exact"/>
              <w:ind w:right="40"/>
              <w:jc w:val="lowKashida"/>
              <w:rPr>
                <w:rFonts w:hint="cs"/>
                <w:sz w:val="16"/>
                <w:szCs w:val="24"/>
                <w:rtl/>
                <w:lang w:bidi="ar-EG"/>
              </w:rPr>
            </w:pPr>
            <w:r>
              <w:rPr>
                <w:rFonts w:hint="cs"/>
                <w:sz w:val="16"/>
                <w:szCs w:val="24"/>
                <w:rtl/>
                <w:lang w:bidi="ar-EG"/>
              </w:rPr>
              <w:t>قضاة جزئيون رئيسيون أقدم</w:t>
            </w:r>
            <w:r>
              <w:rPr>
                <w:sz w:val="16"/>
                <w:szCs w:val="24"/>
                <w:vertAlign w:val="superscript"/>
                <w:rtl/>
                <w:lang w:bidi="ar-EG"/>
              </w:rPr>
              <w:t>(</w:t>
            </w:r>
            <w:r>
              <w:rPr>
                <w:rStyle w:val="FootnoteReference"/>
                <w:rtl/>
              </w:rPr>
              <w:footnoteRef/>
            </w:r>
            <w:r>
              <w:rPr>
                <w:sz w:val="16"/>
                <w:szCs w:val="24"/>
                <w:vertAlign w:val="superscript"/>
                <w:rtl/>
                <w:lang w:bidi="ar-EG"/>
              </w:rPr>
              <w:t>)</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 xml:space="preserve">9  </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13</w:t>
            </w:r>
          </w:p>
        </w:tc>
        <w:tc>
          <w:tcPr>
            <w:tcW w:w="82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22</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40.9</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11</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15</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26</w:t>
            </w:r>
          </w:p>
        </w:tc>
        <w:tc>
          <w:tcPr>
            <w:tcW w:w="69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42.3</w:t>
            </w:r>
          </w:p>
        </w:tc>
      </w:tr>
      <w:tr w:rsidR="00D8679F" w:rsidTr="00D8679F">
        <w:tblPrEx>
          <w:tblCellMar>
            <w:top w:w="0" w:type="dxa"/>
            <w:bottom w:w="0" w:type="dxa"/>
          </w:tblCellMar>
        </w:tblPrEx>
        <w:trPr>
          <w:cantSplit/>
        </w:trPr>
        <w:tc>
          <w:tcPr>
            <w:tcW w:w="1476" w:type="dxa"/>
            <w:vAlign w:val="bottom"/>
          </w:tcPr>
          <w:p w:rsidR="00D8679F" w:rsidRDefault="00D8679F">
            <w:pPr>
              <w:tabs>
                <w:tab w:val="left" w:pos="288"/>
                <w:tab w:val="left" w:pos="576"/>
                <w:tab w:val="left" w:pos="864"/>
                <w:tab w:val="left" w:pos="1152"/>
              </w:tabs>
              <w:spacing w:before="40" w:after="80" w:line="240" w:lineRule="exact"/>
              <w:ind w:right="40"/>
              <w:jc w:val="lowKashida"/>
              <w:rPr>
                <w:rFonts w:hint="cs"/>
                <w:sz w:val="16"/>
                <w:szCs w:val="24"/>
                <w:rtl/>
                <w:lang w:bidi="ar-EG"/>
              </w:rPr>
            </w:pPr>
            <w:r>
              <w:rPr>
                <w:rFonts w:hint="cs"/>
                <w:sz w:val="16"/>
                <w:szCs w:val="24"/>
                <w:rtl/>
                <w:lang w:bidi="ar-EG"/>
              </w:rPr>
              <w:t>قضاة جزئيون مقيمون أقدم</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 xml:space="preserve">32 </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55</w:t>
            </w:r>
          </w:p>
        </w:tc>
        <w:tc>
          <w:tcPr>
            <w:tcW w:w="82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87</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36.8</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38</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63</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101</w:t>
            </w:r>
          </w:p>
        </w:tc>
        <w:tc>
          <w:tcPr>
            <w:tcW w:w="69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37.6</w:t>
            </w:r>
          </w:p>
        </w:tc>
      </w:tr>
      <w:tr w:rsidR="00D8679F" w:rsidTr="00D8679F">
        <w:tblPrEx>
          <w:tblCellMar>
            <w:top w:w="0" w:type="dxa"/>
            <w:bottom w:w="0" w:type="dxa"/>
          </w:tblCellMar>
        </w:tblPrEx>
        <w:trPr>
          <w:cantSplit/>
        </w:trPr>
        <w:tc>
          <w:tcPr>
            <w:tcW w:w="1476" w:type="dxa"/>
            <w:vAlign w:val="bottom"/>
          </w:tcPr>
          <w:p w:rsidR="00D8679F" w:rsidRDefault="00D8679F">
            <w:pPr>
              <w:tabs>
                <w:tab w:val="left" w:pos="288"/>
                <w:tab w:val="left" w:pos="576"/>
                <w:tab w:val="left" w:pos="864"/>
                <w:tab w:val="left" w:pos="1152"/>
              </w:tabs>
              <w:spacing w:before="40" w:after="80" w:line="240" w:lineRule="exact"/>
              <w:ind w:right="40"/>
              <w:jc w:val="lowKashida"/>
              <w:rPr>
                <w:rFonts w:hint="cs"/>
                <w:sz w:val="16"/>
                <w:szCs w:val="24"/>
                <w:rtl/>
                <w:lang w:bidi="ar-EG"/>
              </w:rPr>
            </w:pPr>
            <w:r>
              <w:rPr>
                <w:rFonts w:hint="cs"/>
                <w:sz w:val="16"/>
                <w:szCs w:val="24"/>
                <w:rtl/>
                <w:lang w:bidi="ar-EG"/>
              </w:rPr>
              <w:t>قضاة جزئيون مقيمون</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 xml:space="preserve">53 </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71</w:t>
            </w:r>
          </w:p>
        </w:tc>
        <w:tc>
          <w:tcPr>
            <w:tcW w:w="82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124</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42.7</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64</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82</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146</w:t>
            </w:r>
          </w:p>
        </w:tc>
        <w:tc>
          <w:tcPr>
            <w:tcW w:w="69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43.8</w:t>
            </w:r>
          </w:p>
        </w:tc>
      </w:tr>
      <w:tr w:rsidR="00D8679F" w:rsidTr="00D8679F">
        <w:tblPrEx>
          <w:tblCellMar>
            <w:top w:w="0" w:type="dxa"/>
            <w:bottom w:w="0" w:type="dxa"/>
          </w:tblCellMar>
        </w:tblPrEx>
        <w:trPr>
          <w:cantSplit/>
        </w:trPr>
        <w:tc>
          <w:tcPr>
            <w:tcW w:w="1476" w:type="dxa"/>
            <w:vAlign w:val="bottom"/>
          </w:tcPr>
          <w:p w:rsidR="00D8679F" w:rsidRDefault="00D8679F">
            <w:pPr>
              <w:tabs>
                <w:tab w:val="left" w:pos="288"/>
                <w:tab w:val="left" w:pos="576"/>
                <w:tab w:val="left" w:pos="864"/>
                <w:tab w:val="left" w:pos="1152"/>
              </w:tabs>
              <w:spacing w:before="40" w:after="80" w:line="240" w:lineRule="exact"/>
              <w:ind w:right="40"/>
              <w:jc w:val="lowKashida"/>
              <w:rPr>
                <w:rFonts w:hint="cs"/>
                <w:sz w:val="16"/>
                <w:szCs w:val="24"/>
                <w:rtl/>
                <w:lang w:bidi="ar-EG"/>
              </w:rPr>
            </w:pPr>
            <w:r>
              <w:rPr>
                <w:rFonts w:hint="cs"/>
                <w:sz w:val="16"/>
                <w:szCs w:val="24"/>
                <w:rtl/>
                <w:lang w:bidi="ar-EG"/>
              </w:rPr>
              <w:t>قضاة جزئيون محليون</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 xml:space="preserve">85 </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121</w:t>
            </w:r>
          </w:p>
        </w:tc>
        <w:tc>
          <w:tcPr>
            <w:tcW w:w="82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206</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41.3</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92</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126</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218</w:t>
            </w:r>
          </w:p>
        </w:tc>
        <w:tc>
          <w:tcPr>
            <w:tcW w:w="69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42.2</w:t>
            </w:r>
          </w:p>
        </w:tc>
      </w:tr>
      <w:tr w:rsidR="00D8679F" w:rsidTr="00D8679F">
        <w:tblPrEx>
          <w:tblCellMar>
            <w:top w:w="0" w:type="dxa"/>
            <w:bottom w:w="0" w:type="dxa"/>
          </w:tblCellMar>
        </w:tblPrEx>
        <w:trPr>
          <w:cantSplit/>
        </w:trPr>
        <w:tc>
          <w:tcPr>
            <w:tcW w:w="1476" w:type="dxa"/>
            <w:tcBorders>
              <w:bottom w:val="single" w:sz="4" w:space="0" w:color="auto"/>
            </w:tcBorders>
            <w:vAlign w:val="bottom"/>
          </w:tcPr>
          <w:p w:rsidR="00D8679F" w:rsidRDefault="00D8679F">
            <w:pPr>
              <w:tabs>
                <w:tab w:val="left" w:pos="288"/>
                <w:tab w:val="left" w:pos="576"/>
                <w:tab w:val="left" w:pos="864"/>
                <w:tab w:val="left" w:pos="1152"/>
              </w:tabs>
              <w:spacing w:before="40" w:after="80" w:line="240" w:lineRule="exact"/>
              <w:ind w:right="40"/>
              <w:jc w:val="lowKashida"/>
              <w:rPr>
                <w:rFonts w:hint="cs"/>
                <w:sz w:val="16"/>
                <w:szCs w:val="24"/>
                <w:rtl/>
                <w:lang w:bidi="ar-EG"/>
              </w:rPr>
            </w:pPr>
            <w:r>
              <w:rPr>
                <w:rFonts w:hint="cs"/>
                <w:sz w:val="16"/>
                <w:szCs w:val="24"/>
                <w:rtl/>
                <w:lang w:bidi="ar-EG"/>
              </w:rPr>
              <w:t>قاضي القضاة/قضاة شرعيون</w:t>
            </w:r>
          </w:p>
        </w:tc>
        <w:tc>
          <w:tcPr>
            <w:tcW w:w="721" w:type="dxa"/>
            <w:tcBorders>
              <w:bottom w:val="single" w:sz="4" w:space="0" w:color="auto"/>
            </w:tcBorders>
            <w:vAlign w:val="bottom"/>
          </w:tcPr>
          <w:p w:rsidR="00D8679F" w:rsidRDefault="00D8679F">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 xml:space="preserve">-  </w:t>
            </w:r>
          </w:p>
        </w:tc>
        <w:tc>
          <w:tcPr>
            <w:tcW w:w="721" w:type="dxa"/>
            <w:tcBorders>
              <w:bottom w:val="single" w:sz="4"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17</w:t>
            </w:r>
          </w:p>
        </w:tc>
        <w:tc>
          <w:tcPr>
            <w:tcW w:w="824" w:type="dxa"/>
            <w:tcBorders>
              <w:bottom w:val="single" w:sz="4"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17</w:t>
            </w:r>
          </w:p>
        </w:tc>
        <w:tc>
          <w:tcPr>
            <w:tcW w:w="721" w:type="dxa"/>
            <w:tcBorders>
              <w:bottom w:val="single" w:sz="4"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w:t>
            </w:r>
          </w:p>
        </w:tc>
        <w:tc>
          <w:tcPr>
            <w:tcW w:w="721" w:type="dxa"/>
            <w:tcBorders>
              <w:bottom w:val="single" w:sz="4"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w:t>
            </w:r>
          </w:p>
        </w:tc>
        <w:tc>
          <w:tcPr>
            <w:tcW w:w="721" w:type="dxa"/>
            <w:tcBorders>
              <w:bottom w:val="single" w:sz="4"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17</w:t>
            </w:r>
          </w:p>
        </w:tc>
        <w:tc>
          <w:tcPr>
            <w:tcW w:w="721" w:type="dxa"/>
            <w:tcBorders>
              <w:bottom w:val="single" w:sz="4"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17</w:t>
            </w:r>
          </w:p>
        </w:tc>
        <w:tc>
          <w:tcPr>
            <w:tcW w:w="691" w:type="dxa"/>
            <w:tcBorders>
              <w:bottom w:val="single" w:sz="4"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w:t>
            </w:r>
          </w:p>
        </w:tc>
      </w:tr>
      <w:tr w:rsidR="00D8679F" w:rsidTr="00D8679F">
        <w:tblPrEx>
          <w:tblCellMar>
            <w:top w:w="0" w:type="dxa"/>
            <w:bottom w:w="0" w:type="dxa"/>
          </w:tblCellMar>
        </w:tblPrEx>
        <w:trPr>
          <w:cantSplit/>
        </w:trPr>
        <w:tc>
          <w:tcPr>
            <w:tcW w:w="1476"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60" w:after="60" w:line="240" w:lineRule="exact"/>
              <w:ind w:right="40"/>
              <w:jc w:val="lowKashida"/>
              <w:rPr>
                <w:rFonts w:hint="cs"/>
                <w:bCs/>
                <w:sz w:val="16"/>
                <w:szCs w:val="24"/>
                <w:rtl/>
                <w:lang w:bidi="ar-EG"/>
              </w:rPr>
            </w:pPr>
            <w:r>
              <w:rPr>
                <w:bCs/>
                <w:sz w:val="16"/>
                <w:szCs w:val="24"/>
                <w:rtl/>
                <w:lang w:bidi="ar-EG"/>
              </w:rPr>
              <w:tab/>
            </w:r>
            <w:r>
              <w:rPr>
                <w:rFonts w:hint="cs"/>
                <w:bCs/>
                <w:sz w:val="16"/>
                <w:szCs w:val="24"/>
                <w:rtl/>
                <w:lang w:bidi="ar-EG"/>
              </w:rPr>
              <w:t>المجموع</w:t>
            </w:r>
          </w:p>
        </w:tc>
        <w:tc>
          <w:tcPr>
            <w:tcW w:w="721"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60" w:after="60" w:line="240" w:lineRule="exact"/>
              <w:ind w:right="144"/>
              <w:jc w:val="center"/>
              <w:rPr>
                <w:rFonts w:hint="cs"/>
                <w:bCs/>
                <w:sz w:val="16"/>
                <w:szCs w:val="24"/>
                <w:rtl/>
                <w:lang w:bidi="ar-EG"/>
              </w:rPr>
            </w:pPr>
            <w:r>
              <w:rPr>
                <w:rFonts w:hint="cs"/>
                <w:bCs/>
                <w:sz w:val="16"/>
                <w:szCs w:val="24"/>
                <w:rtl/>
                <w:lang w:bidi="ar-EG"/>
              </w:rPr>
              <w:t>196</w:t>
            </w:r>
          </w:p>
        </w:tc>
        <w:tc>
          <w:tcPr>
            <w:tcW w:w="721"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60" w:after="60" w:line="240" w:lineRule="exact"/>
              <w:ind w:right="144"/>
              <w:jc w:val="lowKashida"/>
              <w:rPr>
                <w:rFonts w:hint="cs"/>
                <w:bCs/>
                <w:sz w:val="16"/>
                <w:szCs w:val="24"/>
                <w:rtl/>
                <w:lang w:bidi="ar-EG"/>
              </w:rPr>
            </w:pPr>
            <w:r>
              <w:rPr>
                <w:rFonts w:hint="cs"/>
                <w:bCs/>
                <w:sz w:val="16"/>
                <w:szCs w:val="24"/>
                <w:rtl/>
                <w:lang w:bidi="ar-EG"/>
              </w:rPr>
              <w:t>340</w:t>
            </w:r>
          </w:p>
        </w:tc>
        <w:tc>
          <w:tcPr>
            <w:tcW w:w="824"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60" w:after="60" w:line="240" w:lineRule="exact"/>
              <w:ind w:right="144"/>
              <w:jc w:val="lowKashida"/>
              <w:rPr>
                <w:rFonts w:hint="cs"/>
                <w:bCs/>
                <w:sz w:val="16"/>
                <w:szCs w:val="24"/>
                <w:rtl/>
                <w:lang w:bidi="ar-EG"/>
              </w:rPr>
            </w:pPr>
            <w:r>
              <w:rPr>
                <w:rFonts w:hint="cs"/>
                <w:bCs/>
                <w:sz w:val="16"/>
                <w:szCs w:val="24"/>
                <w:rtl/>
                <w:lang w:bidi="ar-EG"/>
              </w:rPr>
              <w:t>536</w:t>
            </w:r>
          </w:p>
        </w:tc>
        <w:tc>
          <w:tcPr>
            <w:tcW w:w="721"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60" w:after="60" w:line="240" w:lineRule="exact"/>
              <w:ind w:right="144"/>
              <w:jc w:val="lowKashida"/>
              <w:rPr>
                <w:rFonts w:hint="cs"/>
                <w:bCs/>
                <w:sz w:val="16"/>
                <w:szCs w:val="24"/>
                <w:rtl/>
                <w:lang w:bidi="ar-EG"/>
              </w:rPr>
            </w:pPr>
            <w:r>
              <w:rPr>
                <w:rFonts w:hint="cs"/>
                <w:bCs/>
                <w:sz w:val="16"/>
                <w:szCs w:val="24"/>
                <w:rtl/>
                <w:lang w:bidi="ar-EG"/>
              </w:rPr>
              <w:t>36.6</w:t>
            </w:r>
          </w:p>
        </w:tc>
        <w:tc>
          <w:tcPr>
            <w:tcW w:w="721"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60" w:after="60" w:line="240" w:lineRule="exact"/>
              <w:ind w:right="144"/>
              <w:jc w:val="lowKashida"/>
              <w:rPr>
                <w:rFonts w:hint="cs"/>
                <w:bCs/>
                <w:sz w:val="16"/>
                <w:szCs w:val="24"/>
                <w:rtl/>
                <w:lang w:bidi="ar-EG"/>
              </w:rPr>
            </w:pPr>
            <w:r>
              <w:rPr>
                <w:rFonts w:hint="cs"/>
                <w:bCs/>
                <w:sz w:val="16"/>
                <w:szCs w:val="24"/>
                <w:rtl/>
                <w:lang w:bidi="ar-EG"/>
              </w:rPr>
              <w:t>224</w:t>
            </w:r>
          </w:p>
        </w:tc>
        <w:tc>
          <w:tcPr>
            <w:tcW w:w="721"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60" w:after="60" w:line="240" w:lineRule="exact"/>
              <w:ind w:right="144"/>
              <w:jc w:val="lowKashida"/>
              <w:rPr>
                <w:rFonts w:hint="cs"/>
                <w:bCs/>
                <w:sz w:val="16"/>
                <w:szCs w:val="24"/>
                <w:rtl/>
                <w:lang w:bidi="ar-EG"/>
              </w:rPr>
            </w:pPr>
            <w:r>
              <w:rPr>
                <w:rFonts w:hint="cs"/>
                <w:bCs/>
                <w:sz w:val="16"/>
                <w:szCs w:val="24"/>
                <w:rtl/>
                <w:lang w:bidi="ar-EG"/>
              </w:rPr>
              <w:t>374</w:t>
            </w:r>
          </w:p>
        </w:tc>
        <w:tc>
          <w:tcPr>
            <w:tcW w:w="721"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60" w:after="60" w:line="240" w:lineRule="exact"/>
              <w:ind w:right="144"/>
              <w:jc w:val="lowKashida"/>
              <w:rPr>
                <w:rFonts w:hint="cs"/>
                <w:bCs/>
                <w:sz w:val="16"/>
                <w:szCs w:val="24"/>
                <w:rtl/>
                <w:lang w:bidi="ar-EG"/>
              </w:rPr>
            </w:pPr>
            <w:r>
              <w:rPr>
                <w:rFonts w:hint="cs"/>
                <w:bCs/>
                <w:sz w:val="16"/>
                <w:szCs w:val="24"/>
                <w:rtl/>
                <w:lang w:bidi="ar-EG"/>
              </w:rPr>
              <w:t>598</w:t>
            </w:r>
          </w:p>
        </w:tc>
        <w:tc>
          <w:tcPr>
            <w:tcW w:w="691"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60" w:after="60" w:line="240" w:lineRule="exact"/>
              <w:ind w:right="144"/>
              <w:jc w:val="lowKashida"/>
              <w:rPr>
                <w:rFonts w:hint="cs"/>
                <w:bCs/>
                <w:sz w:val="16"/>
                <w:szCs w:val="24"/>
                <w:rtl/>
                <w:lang w:bidi="ar-EG"/>
              </w:rPr>
            </w:pPr>
            <w:r>
              <w:rPr>
                <w:rFonts w:hint="cs"/>
                <w:bCs/>
                <w:sz w:val="16"/>
                <w:szCs w:val="24"/>
                <w:rtl/>
                <w:lang w:bidi="ar-EG"/>
              </w:rPr>
              <w:t>37.5</w:t>
            </w:r>
          </w:p>
        </w:tc>
      </w:tr>
    </w:tbl>
    <w:p w:rsidR="00000000" w:rsidRDefault="00D8679F">
      <w:pPr>
        <w:pStyle w:val="SingleTxt"/>
        <w:spacing w:after="0" w:line="120" w:lineRule="exact"/>
        <w:ind w:left="1930" w:hanging="663"/>
        <w:jc w:val="both"/>
        <w:rPr>
          <w:rFonts w:hint="cs"/>
          <w:sz w:val="10"/>
          <w:rtl/>
          <w:lang w:bidi="ar-EG"/>
        </w:rPr>
      </w:pPr>
    </w:p>
    <w:p w:rsidR="00000000" w:rsidRDefault="00D8679F">
      <w:pPr>
        <w:pStyle w:val="FootnoteText"/>
        <w:tabs>
          <w:tab w:val="clear" w:pos="418"/>
          <w:tab w:val="right" w:pos="1915"/>
          <w:tab w:val="left" w:pos="2016"/>
          <w:tab w:val="left" w:pos="2491"/>
          <w:tab w:val="left" w:pos="2966"/>
          <w:tab w:val="left" w:pos="3442"/>
          <w:tab w:val="left" w:pos="3917"/>
        </w:tabs>
        <w:spacing w:after="80" w:line="240" w:lineRule="exact"/>
        <w:ind w:left="2030" w:right="1267" w:hanging="763"/>
        <w:rPr>
          <w:rFonts w:hint="cs"/>
          <w:rtl/>
          <w:lang w:bidi="ar-EG"/>
        </w:rPr>
      </w:pPr>
      <w:r>
        <w:rPr>
          <w:rFonts w:hint="cs"/>
          <w:i/>
          <w:iCs/>
          <w:rtl/>
          <w:lang w:bidi="ar-EG"/>
        </w:rPr>
        <w:t>المصدر</w:t>
      </w:r>
      <w:r>
        <w:rPr>
          <w:rFonts w:hint="cs"/>
          <w:rtl/>
          <w:lang w:bidi="ar-EG"/>
        </w:rPr>
        <w:t>: -</w:t>
      </w:r>
      <w:r>
        <w:rPr>
          <w:rFonts w:hint="cs"/>
          <w:rtl/>
          <w:lang w:bidi="ar-EG"/>
        </w:rPr>
        <w:tab/>
        <w:t>اللجنة القضائية</w:t>
      </w:r>
    </w:p>
    <w:p w:rsidR="00000000" w:rsidRDefault="00D8679F">
      <w:pPr>
        <w:pStyle w:val="FootnoteText"/>
        <w:tabs>
          <w:tab w:val="clear" w:pos="418"/>
          <w:tab w:val="right" w:pos="1915"/>
          <w:tab w:val="left" w:pos="2016"/>
          <w:tab w:val="left" w:pos="2491"/>
          <w:tab w:val="left" w:pos="2966"/>
          <w:tab w:val="left" w:pos="3442"/>
          <w:tab w:val="left" w:pos="3917"/>
        </w:tabs>
        <w:spacing w:after="80" w:line="240" w:lineRule="exact"/>
        <w:ind w:left="2030" w:right="1267" w:hanging="763"/>
        <w:rPr>
          <w:rFonts w:hint="cs"/>
          <w:rtl/>
          <w:lang w:bidi="ar-EG"/>
        </w:rPr>
      </w:pPr>
      <w:r>
        <w:rPr>
          <w:rFonts w:hint="cs"/>
          <w:i/>
          <w:iCs/>
          <w:rtl/>
          <w:lang w:bidi="ar-EG"/>
        </w:rPr>
        <w:tab/>
      </w:r>
      <w:r>
        <w:rPr>
          <w:rFonts w:hint="cs"/>
          <w:rtl/>
          <w:lang w:bidi="ar-EG"/>
        </w:rPr>
        <w:t>-</w:t>
      </w:r>
      <w:r>
        <w:rPr>
          <w:rFonts w:hint="cs"/>
          <w:rtl/>
          <w:lang w:bidi="ar-EG"/>
        </w:rPr>
        <w:tab/>
        <w:t>الوحدة الإحصائية بمديرية شؤون الموظفين.</w:t>
      </w:r>
    </w:p>
    <w:p w:rsidR="00000000" w:rsidRDefault="00D8679F">
      <w:pPr>
        <w:pStyle w:val="SingleTxt"/>
        <w:spacing w:after="0" w:line="120" w:lineRule="exact"/>
        <w:ind w:left="1930" w:hanging="663"/>
        <w:jc w:val="both"/>
        <w:rPr>
          <w:rFonts w:hint="cs"/>
          <w:sz w:val="10"/>
          <w:rtl/>
          <w:lang w:bidi="ar-EG"/>
        </w:rPr>
      </w:pPr>
    </w:p>
    <w:p w:rsidR="00000000" w:rsidRDefault="00D8679F">
      <w:pPr>
        <w:pStyle w:val="SingleTxt"/>
        <w:spacing w:after="0" w:line="120" w:lineRule="exact"/>
        <w:ind w:left="1930" w:hanging="663"/>
        <w:jc w:val="both"/>
        <w:rPr>
          <w:rFonts w:hint="cs"/>
          <w:sz w:val="10"/>
          <w:rtl/>
          <w:lang w:bidi="ar-EG"/>
        </w:rPr>
      </w:pPr>
    </w:p>
    <w:p w:rsidR="00000000" w:rsidRDefault="00D8679F">
      <w:pPr>
        <w:pStyle w:val="SingleTxt"/>
        <w:jc w:val="both"/>
        <w:rPr>
          <w:rFonts w:hint="cs"/>
          <w:rtl/>
          <w:lang w:bidi="ar-EG"/>
        </w:rPr>
      </w:pPr>
      <w:r>
        <w:rPr>
          <w:rFonts w:hint="cs"/>
          <w:rtl/>
          <w:lang w:bidi="ar-EG"/>
        </w:rPr>
        <w:t>94 -</w:t>
      </w:r>
      <w:r>
        <w:rPr>
          <w:rFonts w:hint="cs"/>
          <w:rtl/>
          <w:lang w:bidi="ar-EG"/>
        </w:rPr>
        <w:tab/>
        <w:t>دور المنظمات النسائية في مجال رسم السياسات: بذلت الحكومة جهودا لإدراج اشتراك المنظمات ا</w:t>
      </w:r>
      <w:r>
        <w:rPr>
          <w:rFonts w:hint="cs"/>
          <w:rtl/>
          <w:lang w:bidi="ar-EG"/>
        </w:rPr>
        <w:t xml:space="preserve">لنسائية في رسم السياسات. وعلى سبيل المثال، فإن وضع </w:t>
      </w:r>
      <w:r>
        <w:rPr>
          <w:rFonts w:hint="cs"/>
          <w:i/>
          <w:iCs/>
          <w:rtl/>
          <w:lang w:bidi="ar-EG"/>
        </w:rPr>
        <w:t>الخطة الوطنية للقضاء على الفقر</w:t>
      </w:r>
      <w:r>
        <w:rPr>
          <w:rFonts w:hint="cs"/>
          <w:rtl/>
          <w:lang w:bidi="ar-EG"/>
        </w:rPr>
        <w:t xml:space="preserve"> للفترة 1999-2015 اشتمل على </w:t>
      </w:r>
      <w:r>
        <w:rPr>
          <w:rFonts w:hint="eastAsia"/>
          <w:rtl/>
          <w:lang w:bidi="ar-EG"/>
        </w:rPr>
        <w:t>”منظمات دينية</w:t>
      </w:r>
      <w:r>
        <w:rPr>
          <w:rFonts w:hint="cs"/>
          <w:rtl/>
          <w:lang w:bidi="ar-EG"/>
        </w:rPr>
        <w:t>“ من القطاع الخاص ومنظمات غير حكومية بما في ذلك المنظمات النسائية. واشتركت أيضا المنظمات النسائية في صياغة السياسة الوطنية للشؤون الجن</w:t>
      </w:r>
      <w:r>
        <w:rPr>
          <w:rFonts w:hint="cs"/>
          <w:rtl/>
          <w:lang w:bidi="ar-EG"/>
        </w:rPr>
        <w:t>سانية والتنمية والورقة الدورية رقم 5 لعام 2005، ومشروع قانون الرقابة على فيروس نقص المناعة البشرية/الإيدز، وصحة المراهقين والمراهقات والصحة الإنجابية والسياسة الإنمائية، التي أُعدت في عام 2003، من بين أمور أخرى. والعمل الإيجابي المنصوص عليه في المشاريع الد</w:t>
      </w:r>
      <w:r>
        <w:rPr>
          <w:rFonts w:hint="cs"/>
          <w:rtl/>
          <w:lang w:bidi="ar-EG"/>
        </w:rPr>
        <w:t>ستورية المقترحة يمكن أن يعزى أيضا إلى اشتراك المنظمات النسائية خلال عملية الاستعراض، المنصوص عليها صراحة في قانون استعراض دستور كينيا، الفصل 3 ألف من قوانين كينيا.</w:t>
      </w:r>
    </w:p>
    <w:p w:rsidR="00000000" w:rsidRDefault="00D8679F">
      <w:pPr>
        <w:pStyle w:val="SingleTxt"/>
        <w:spacing w:after="0" w:line="120" w:lineRule="exact"/>
        <w:ind w:left="1930" w:hanging="663"/>
        <w:jc w:val="both"/>
        <w:rPr>
          <w:rFonts w:hint="cs"/>
          <w:sz w:val="10"/>
          <w:rtl/>
          <w:lang w:bidi="ar-EG"/>
        </w:rPr>
      </w:pPr>
    </w:p>
    <w:p w:rsidR="00000000" w:rsidRDefault="00D867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8: التمثيل والاشتراك على الصعيد الدولي</w:t>
      </w:r>
    </w:p>
    <w:p w:rsidR="00000000" w:rsidRDefault="00D8679F">
      <w:pPr>
        <w:pStyle w:val="SingleTxt"/>
        <w:jc w:val="both"/>
        <w:rPr>
          <w:rFonts w:hint="cs"/>
          <w:rtl/>
          <w:lang w:bidi="ar-EG"/>
        </w:rPr>
      </w:pPr>
      <w:r>
        <w:rPr>
          <w:rFonts w:hint="cs"/>
          <w:rtl/>
          <w:lang w:bidi="ar-EG"/>
        </w:rPr>
        <w:t>95 -</w:t>
      </w:r>
      <w:r>
        <w:rPr>
          <w:rFonts w:hint="cs"/>
          <w:rtl/>
          <w:lang w:bidi="ar-EG"/>
        </w:rPr>
        <w:tab/>
        <w:t>الاشتراك في السلك الدبلوماسي والمنظمات</w:t>
      </w:r>
      <w:r>
        <w:rPr>
          <w:rFonts w:hint="cs"/>
          <w:rtl/>
          <w:lang w:bidi="ar-EG"/>
        </w:rPr>
        <w:t xml:space="preserve"> الدولية: تدرك حكومة كينيا الحاجة إلى تحقيق المساواة في تمثيل المرأة دوليا وكذلك اشتراكها على أساس تكافؤ الفرص في المنظمات الدولية. وفي الماضي القريب، عند الإعلان عن الوظائف الدولية، جرى تشجيع طالبات الوظائف على تقديم الطلبات. وواصلت الحكومة أيضا تعيين نسا</w:t>
      </w:r>
      <w:r>
        <w:rPr>
          <w:rFonts w:hint="cs"/>
          <w:rtl/>
          <w:lang w:bidi="ar-EG"/>
        </w:rPr>
        <w:t>ء في البعثات الكينية التي شهدت زيادة في السفيرات والمفوضات الساميات من 7 (20.6 في المائة) في عام 2003 إلى 11 (27.5 في المائة) في عام 2005.</w:t>
      </w:r>
    </w:p>
    <w:p w:rsidR="00000000" w:rsidRDefault="00D8679F">
      <w:pPr>
        <w:pStyle w:val="SingleTxt"/>
        <w:jc w:val="both"/>
        <w:rPr>
          <w:rFonts w:hint="cs"/>
          <w:rtl/>
          <w:lang w:bidi="ar-EG"/>
        </w:rPr>
      </w:pPr>
      <w:r>
        <w:rPr>
          <w:rFonts w:hint="cs"/>
          <w:rtl/>
          <w:lang w:bidi="ar-EG"/>
        </w:rPr>
        <w:t>96 -</w:t>
      </w:r>
      <w:r>
        <w:rPr>
          <w:rFonts w:hint="cs"/>
          <w:rtl/>
          <w:lang w:bidi="ar-EG"/>
        </w:rPr>
        <w:tab/>
        <w:t>ويتعين على الحكومة مع ذلك أن تضع معايير لاشتراك المرأة في الاجتماعات الدولية. بيد أن المرأة اشتركت تقريبا في جمي</w:t>
      </w:r>
      <w:r>
        <w:rPr>
          <w:rFonts w:hint="cs"/>
          <w:rtl/>
          <w:lang w:bidi="ar-EG"/>
        </w:rPr>
        <w:t>ع الاجتماعات الإقليمية والدولية في منتديات مثل جماعة شرق أفريقيا، والسوق المشتركة لشرق أفريقيا والجنوب الأفريقي، والهيئة الحكومية الدولية المعنية بالتنمية، والاتحاد الأفريقي، ومنطقة البحيرات الكبرى، والكمنولث، واجتماعات الأمم المتحدة مثل مؤتمر القمة المتعل</w:t>
      </w:r>
      <w:r>
        <w:rPr>
          <w:rFonts w:hint="cs"/>
          <w:rtl/>
          <w:lang w:bidi="ar-EG"/>
        </w:rPr>
        <w:t>ق بتحقيق الأهداف الإنمائية للألفية الذي عُقد في الآونة الأخيرة في نيويورك حيث عملت معظم النساء الممثلات كمستشارات في مجالات تقنية مختلفة. وكانت درايتهن الفنية أساسا في مجال اختصاصهن.</w:t>
      </w:r>
    </w:p>
    <w:p w:rsidR="00000000" w:rsidRDefault="00D8679F">
      <w:pPr>
        <w:pStyle w:val="SingleTxt"/>
        <w:jc w:val="both"/>
        <w:rPr>
          <w:rFonts w:hint="cs"/>
          <w:rtl/>
          <w:lang w:bidi="ar-EG"/>
        </w:rPr>
      </w:pPr>
      <w:r>
        <w:rPr>
          <w:rFonts w:hint="cs"/>
          <w:rtl/>
          <w:lang w:bidi="ar-EG"/>
        </w:rPr>
        <w:t>97 -</w:t>
      </w:r>
      <w:r>
        <w:rPr>
          <w:rFonts w:hint="cs"/>
          <w:rtl/>
          <w:lang w:bidi="ar-EG"/>
        </w:rPr>
        <w:tab/>
        <w:t xml:space="preserve">وعدة هيئات إقليمية بما فيها جماعة شرق أفريقيا والاتحاد الأفريقي على </w:t>
      </w:r>
      <w:r>
        <w:rPr>
          <w:rFonts w:hint="cs"/>
          <w:rtl/>
          <w:lang w:bidi="ar-EG"/>
        </w:rPr>
        <w:t xml:space="preserve">حد سواء شرعت الآن في العمل الإيجابي والحصص. ويقتضي على جميع الدول الأعضاء في الاتحاد الأفريقي على سبيل المثال إيفاد ما لا يقل عن امرأة برلمانية واحدة (من بين خمسة) إلى برلمان عموم أفريقيا - وهو الجهاز التشريعي للاتحاد الأفريقي. وقد امتثلت كينيا لهذا الشرط </w:t>
      </w:r>
      <w:r>
        <w:rPr>
          <w:rFonts w:hint="cs"/>
          <w:rtl/>
          <w:lang w:bidi="ar-EG"/>
        </w:rPr>
        <w:t>وعينت سيدتين برلمانيتين لتمثيلها في برلمان عموم أفريقيا.</w:t>
      </w:r>
    </w:p>
    <w:p w:rsidR="00000000" w:rsidRDefault="00D8679F">
      <w:pPr>
        <w:pStyle w:val="SingleTxt"/>
        <w:jc w:val="both"/>
        <w:rPr>
          <w:rFonts w:hint="cs"/>
          <w:rtl/>
          <w:lang w:bidi="ar-EG"/>
        </w:rPr>
      </w:pPr>
      <w:r>
        <w:rPr>
          <w:rFonts w:hint="cs"/>
          <w:rtl/>
          <w:lang w:bidi="ar-EG"/>
        </w:rPr>
        <w:t>98 -</w:t>
      </w:r>
      <w:r>
        <w:rPr>
          <w:rFonts w:hint="cs"/>
          <w:rtl/>
          <w:lang w:bidi="ar-EG"/>
        </w:rPr>
        <w:tab/>
        <w:t>ومعظم التشريعات الجديدة تقر بصورة متزايدة مبادئ العمل الإيجابي فيما يتعلق بالمناصب التي تُشغل بالتعيين. وهكذا فإن اللجنة الوطنية المعنية بحقوق الإنسان في كينيا، واللجنة الوطنية المعنية بالشؤون ا</w:t>
      </w:r>
      <w:r>
        <w:rPr>
          <w:rFonts w:hint="cs"/>
          <w:rtl/>
          <w:lang w:bidi="ar-EG"/>
        </w:rPr>
        <w:t>لجنسانية والتنمية، يشترطان  ألا يقل تمثيل الإناث عن الثلث في أجهزتهما العليا لصنع القرار. وهذا يدل على حدوث تحول جلي في المواقف الوطنية حيث يتزايد الاعتراف الآن في البلد أن من الضروري تمثيل المرأة في السياسة، والقانون وصنع القرار. ولعل أكبر دليل على هذا هو</w:t>
      </w:r>
      <w:r>
        <w:rPr>
          <w:rFonts w:hint="cs"/>
          <w:rtl/>
          <w:lang w:bidi="ar-EG"/>
        </w:rPr>
        <w:t xml:space="preserve"> أنه فيما يتعلق بجميع عمليات الإصلاح القانوني أو السياسي الهامة التي تجري حاليا مثل عملية الاستعراض الدستوري هناك اشتراطات قانونية تقضي بتمثيل المرأة.</w:t>
      </w:r>
    </w:p>
    <w:p w:rsidR="00000000" w:rsidRDefault="00D8679F">
      <w:pPr>
        <w:pStyle w:val="SingleTxt"/>
        <w:spacing w:after="0" w:line="120" w:lineRule="exact"/>
        <w:ind w:left="1930" w:hanging="663"/>
        <w:jc w:val="both"/>
        <w:rPr>
          <w:rFonts w:hint="cs"/>
          <w:sz w:val="10"/>
          <w:rtl/>
          <w:lang w:bidi="ar-EG"/>
        </w:rPr>
      </w:pPr>
    </w:p>
    <w:p w:rsidR="00000000" w:rsidRDefault="00D867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9: الجنسية</w:t>
      </w:r>
    </w:p>
    <w:p w:rsidR="00000000" w:rsidRDefault="00D8679F">
      <w:pPr>
        <w:pStyle w:val="SingleTxt"/>
        <w:jc w:val="both"/>
        <w:rPr>
          <w:rFonts w:hint="cs"/>
          <w:rtl/>
          <w:lang w:bidi="ar-EG"/>
        </w:rPr>
      </w:pPr>
      <w:r>
        <w:rPr>
          <w:rFonts w:hint="cs"/>
          <w:rtl/>
          <w:lang w:bidi="ar-EG"/>
        </w:rPr>
        <w:t>99 -</w:t>
      </w:r>
      <w:r>
        <w:rPr>
          <w:rFonts w:hint="cs"/>
          <w:rtl/>
          <w:lang w:bidi="ar-EG"/>
        </w:rPr>
        <w:tab/>
        <w:t>تقر حكومة كينيا بالالتزام بمنح المرأة حقوقا متساوية مع الرجل في جميع مجالات الح</w:t>
      </w:r>
      <w:r>
        <w:rPr>
          <w:rFonts w:hint="cs"/>
          <w:rtl/>
          <w:lang w:bidi="ar-EG"/>
        </w:rPr>
        <w:t xml:space="preserve">ياة. بيد أن القوانين الحالية ذات الصلة بالمواطنة والجنسية غير متمشية حتى الآن مع الاتفاقية. وتتقرر المواطنة بالأبوة، أو الزواج، أو التسجيل أو التجنس. ومواطنة الأب تحدد اكتساب المواطنة بالميلاد في حالة الزواج. ولذلك لا يُضفي هذا على مواطنة الأم وزنا مساويا </w:t>
      </w:r>
      <w:r>
        <w:rPr>
          <w:rFonts w:hint="cs"/>
          <w:rtl/>
          <w:lang w:bidi="ar-EG"/>
        </w:rPr>
        <w:t xml:space="preserve">لمواطنة الأب. والمرأة الأجنبية المتزوجة بمواطن كيني يحق لها اكتساب المواطنة. وتنص المادة 91 من دستور كينيا على أن </w:t>
      </w:r>
      <w:r>
        <w:rPr>
          <w:rFonts w:hint="eastAsia"/>
          <w:rtl/>
          <w:lang w:bidi="ar-EG"/>
        </w:rPr>
        <w:t xml:space="preserve">”المرأة المتزوجة </w:t>
      </w:r>
      <w:r>
        <w:rPr>
          <w:rFonts w:hint="cs"/>
          <w:rtl/>
          <w:lang w:bidi="ar-EG"/>
        </w:rPr>
        <w:t>ب</w:t>
      </w:r>
      <w:r>
        <w:rPr>
          <w:rFonts w:hint="eastAsia"/>
          <w:rtl/>
          <w:lang w:bidi="ar-EG"/>
        </w:rPr>
        <w:t xml:space="preserve">مواطن كيني يحق لها اكتساب المواطنة لدى التقدم بطلب </w:t>
      </w:r>
      <w:r>
        <w:rPr>
          <w:rFonts w:hint="cs"/>
          <w:rtl/>
          <w:lang w:bidi="ar-EG"/>
        </w:rPr>
        <w:t>في</w:t>
      </w:r>
      <w:r>
        <w:rPr>
          <w:rFonts w:hint="eastAsia"/>
          <w:rtl/>
          <w:lang w:bidi="ar-EG"/>
        </w:rPr>
        <w:t xml:space="preserve"> الاستمارة المقررة</w:t>
      </w:r>
      <w:r>
        <w:rPr>
          <w:rFonts w:hint="cs"/>
          <w:rtl/>
          <w:lang w:bidi="ar-EG"/>
        </w:rPr>
        <w:t>“. وإلى جانب تحديد الأب للمواطنة على النحو المنصوص عل</w:t>
      </w:r>
      <w:r>
        <w:rPr>
          <w:rFonts w:hint="cs"/>
          <w:rtl/>
          <w:lang w:bidi="ar-EG"/>
        </w:rPr>
        <w:t>يه في المادة 90 من الدستور الحالي، لا تُحرم المرأة من المواطنة على أساس مركزها الاقتصادي، والثقافي ومركزها الاجتماعي الآخر. والطفل المولود في كينيا بعد الاستقلال لأب كيني، يصبح تلقائيا مواطنا كينيا ما لم يكن الأب متمتعا بحصانة من المقاضاة والإجراءات القانو</w:t>
      </w:r>
      <w:r>
        <w:rPr>
          <w:rFonts w:hint="cs"/>
          <w:rtl/>
          <w:lang w:bidi="ar-EG"/>
        </w:rPr>
        <w:t>نية.</w:t>
      </w:r>
    </w:p>
    <w:p w:rsidR="00000000" w:rsidRDefault="00D8679F">
      <w:pPr>
        <w:pStyle w:val="SingleTxt"/>
        <w:jc w:val="both"/>
        <w:rPr>
          <w:rFonts w:hint="cs"/>
          <w:rtl/>
          <w:lang w:bidi="ar-EG"/>
        </w:rPr>
      </w:pPr>
      <w:r>
        <w:rPr>
          <w:rFonts w:hint="cs"/>
          <w:rtl/>
          <w:lang w:bidi="ar-EG"/>
        </w:rPr>
        <w:t>100-</w:t>
      </w:r>
      <w:r>
        <w:rPr>
          <w:rFonts w:hint="cs"/>
          <w:rtl/>
          <w:lang w:bidi="ar-EG"/>
        </w:rPr>
        <w:tab/>
        <w:t xml:space="preserve">ولا يعترف الدستور الحالي بازدواج المواطنة وينص على أن المرأة المواطنة بالتجنس، التي تزوجت في الخارج لا تصبح مواطنة كينية إلا إذا تخلت عن مواطنيتهاا الأخرى، وأدت يمين الولاء للبلد أو سجلت هذا الولاء. لذلك فإن الزواج بغير مواطن أو تغيير الزوج بغير </w:t>
      </w:r>
      <w:r>
        <w:rPr>
          <w:rFonts w:hint="cs"/>
          <w:rtl/>
          <w:lang w:bidi="ar-EG"/>
        </w:rPr>
        <w:t>اعتراف المرأة بتغيير المواطنية يؤثر على جنسيتها.</w:t>
      </w:r>
    </w:p>
    <w:p w:rsidR="00000000" w:rsidRDefault="00D8679F">
      <w:pPr>
        <w:pStyle w:val="SingleTxt"/>
        <w:jc w:val="both"/>
        <w:rPr>
          <w:rFonts w:hint="cs"/>
          <w:rtl/>
          <w:lang w:bidi="ar-EG"/>
        </w:rPr>
      </w:pPr>
      <w:r>
        <w:rPr>
          <w:rFonts w:hint="cs"/>
          <w:rtl/>
          <w:lang w:bidi="ar-EG"/>
        </w:rPr>
        <w:t>101-</w:t>
      </w:r>
      <w:r>
        <w:rPr>
          <w:rFonts w:hint="cs"/>
          <w:rtl/>
          <w:lang w:bidi="ar-EG"/>
        </w:rPr>
        <w:tab/>
        <w:t>ويجب أن تحصل المرأة العز با</w:t>
      </w:r>
      <w:r>
        <w:rPr>
          <w:rFonts w:hint="eastAsia"/>
          <w:rtl/>
          <w:lang w:bidi="ar-EG"/>
        </w:rPr>
        <w:t>ء</w:t>
      </w:r>
      <w:r>
        <w:rPr>
          <w:rFonts w:hint="cs"/>
          <w:rtl/>
          <w:lang w:bidi="ar-EG"/>
        </w:rPr>
        <w:t xml:space="preserve"> على موافقة الأب على الحصول على جواز سفر في حين يجب أن تحصل المرأة المتزوجة على موافقة الزوج. ومتى حصلت المرأة على جواز سفر لا يكون إذن زوجها أو والدها إلزاميا لسفرها خارج ال</w:t>
      </w:r>
      <w:r>
        <w:rPr>
          <w:rFonts w:hint="cs"/>
          <w:rtl/>
          <w:lang w:bidi="ar-EG"/>
        </w:rPr>
        <w:t>بلد.</w:t>
      </w:r>
    </w:p>
    <w:p w:rsidR="00000000" w:rsidRDefault="00D8679F">
      <w:pPr>
        <w:pStyle w:val="SingleTxt"/>
        <w:jc w:val="both"/>
        <w:rPr>
          <w:rFonts w:hint="cs"/>
          <w:rtl/>
          <w:lang w:bidi="ar-EG"/>
        </w:rPr>
      </w:pPr>
      <w:r>
        <w:rPr>
          <w:rFonts w:hint="cs"/>
          <w:rtl/>
          <w:lang w:bidi="ar-EG"/>
        </w:rPr>
        <w:t>102-</w:t>
      </w:r>
      <w:r>
        <w:rPr>
          <w:rFonts w:hint="cs"/>
          <w:rtl/>
          <w:lang w:bidi="ar-EG"/>
        </w:rPr>
        <w:tab/>
        <w:t>وقد واجهت الحكومة تحديات في معالجة قضية مواطنة المرأة بالنظر إلى أنها مسألة دستورية وبعد رفض الدستور الجديد المقترح في الحادي والعشرين من تشرين الثاني/ نوفمبر عام 2005، أصبحت هذه المسألة معطلة الآن. ويلاحظ مع ذلك أن هذا كان المكسب الوحيد من منظور</w:t>
      </w:r>
      <w:r>
        <w:rPr>
          <w:rFonts w:hint="cs"/>
          <w:rtl/>
          <w:lang w:bidi="ar-EG"/>
        </w:rPr>
        <w:t xml:space="preserve"> حقوق المرأة الذي لم يُعترض عليه ولذلك يبدو أن الجمهور قد قبل في النهاية ضرورة تمتع المرأة بحقوق مواطنة متساوية. والأمل معقود على مراعاة هذه القضية عند العمل بدستور جديد.</w:t>
      </w:r>
    </w:p>
    <w:p w:rsidR="00000000" w:rsidRDefault="00D8679F">
      <w:pPr>
        <w:pStyle w:val="SingleTxt"/>
        <w:spacing w:after="0" w:line="120" w:lineRule="exact"/>
        <w:ind w:left="1930" w:hanging="663"/>
        <w:jc w:val="both"/>
        <w:rPr>
          <w:rFonts w:hint="cs"/>
          <w:sz w:val="10"/>
          <w:rtl/>
          <w:lang w:bidi="ar-EG"/>
        </w:rPr>
      </w:pPr>
    </w:p>
    <w:p w:rsidR="00000000" w:rsidRDefault="00D867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10: التعليم</w:t>
      </w:r>
    </w:p>
    <w:p w:rsidR="00000000" w:rsidRDefault="00D8679F">
      <w:pPr>
        <w:pStyle w:val="SingleTxt"/>
        <w:jc w:val="both"/>
        <w:rPr>
          <w:rFonts w:hint="cs"/>
          <w:rtl/>
          <w:lang w:bidi="ar-EG"/>
        </w:rPr>
      </w:pPr>
      <w:r>
        <w:rPr>
          <w:rFonts w:hint="cs"/>
          <w:rtl/>
          <w:lang w:bidi="ar-EG"/>
        </w:rPr>
        <w:t>103 -</w:t>
      </w:r>
      <w:r>
        <w:rPr>
          <w:rFonts w:hint="cs"/>
          <w:rtl/>
          <w:lang w:bidi="ar-EG"/>
        </w:rPr>
        <w:tab/>
        <w:t>واصلت الحكومة معالجة الحواجز المتعددة التي تؤثر على تعليم</w:t>
      </w:r>
      <w:r>
        <w:rPr>
          <w:rFonts w:hint="cs"/>
          <w:rtl/>
          <w:lang w:bidi="ar-EG"/>
        </w:rPr>
        <w:t xml:space="preserve"> الطفلة مع القيام في الوقت ذاته بتعزيز فرص حصول المرأة والرجل على التعليم على قدم المساواة. وتظهر إحصاءات الدراسة الاستقصائية الديمغرافية والصحية لكينيا لعام 2003 أنه فيما يتعلق بالنساء اللائي تراوحت أعمارهن بين 15 و 49 عاما، أتمت نسبة 25 في المائة التعليم</w:t>
      </w:r>
      <w:r>
        <w:rPr>
          <w:rFonts w:hint="cs"/>
          <w:rtl/>
          <w:lang w:bidi="ar-EG"/>
        </w:rPr>
        <w:t xml:space="preserve"> الابتدائي، وأتمت نسبة 12 في المائة التعليم الثانوي وحصلت نسبة 6 في المائة على التعليم اللاحق للمرحلة الثانوية. وفيما يتعلق بالرجال الذين تراوحت أعمارهم بين 15 و 54 عاما، أتمت نسبة 23 في المائة التعليم الابتدائي، وأتمت نسبة 16 في المائة التعليم الثانوي في </w:t>
      </w:r>
      <w:r>
        <w:rPr>
          <w:rFonts w:hint="cs"/>
          <w:rtl/>
          <w:lang w:bidi="ar-EG"/>
        </w:rPr>
        <w:t>حين حصلت نسبة 10 في المائة على تعليم لاحق للمرحلة الثانوية. وزادت نسبة إتمام البنات التعليم الابتدائي من 43 في المائة (في عام 1994) إلى 65.9 في المائة (في عام 2004) في حين زادت النسبة في التعليم الثانوي من 81.9 في المائة في عام 1994 إلى 87.5 في المائة في ع</w:t>
      </w:r>
      <w:r>
        <w:rPr>
          <w:rFonts w:hint="cs"/>
          <w:rtl/>
          <w:lang w:bidi="ar-EG"/>
        </w:rPr>
        <w:t>ام 2004 كما هو مبين في الجدولين 4 و 5 أدناه.</w:t>
      </w:r>
    </w:p>
    <w:p w:rsidR="00000000" w:rsidRDefault="00D8679F">
      <w:pPr>
        <w:pStyle w:val="SingleTxt"/>
        <w:spacing w:after="0" w:line="120" w:lineRule="exact"/>
        <w:ind w:left="1930" w:hanging="663"/>
        <w:jc w:val="both"/>
        <w:rPr>
          <w:rFonts w:hint="cs"/>
          <w:sz w:val="10"/>
          <w:rtl/>
          <w:lang w:bidi="ar-EG"/>
        </w:rPr>
      </w:pPr>
    </w:p>
    <w:p w:rsidR="00000000" w:rsidRDefault="00D8679F">
      <w:pPr>
        <w:pStyle w:val="SingleTxt"/>
        <w:ind w:left="1930" w:hanging="663"/>
        <w:jc w:val="both"/>
        <w:rPr>
          <w:rFonts w:hint="cs"/>
          <w:rtl/>
          <w:lang w:bidi="ar-EG"/>
        </w:rPr>
      </w:pPr>
      <w:r>
        <w:rPr>
          <w:rFonts w:hint="cs"/>
          <w:rtl/>
          <w:lang w:bidi="ar-EG"/>
        </w:rPr>
        <w:t>الجدول 4</w:t>
      </w:r>
    </w:p>
    <w:p w:rsidR="00000000" w:rsidRDefault="00D8679F">
      <w:pPr>
        <w:pStyle w:val="SingleTxt"/>
        <w:spacing w:after="0" w:line="120" w:lineRule="exact"/>
        <w:ind w:left="1930" w:hanging="663"/>
        <w:jc w:val="both"/>
        <w:rPr>
          <w:rFonts w:hint="cs"/>
          <w:sz w:val="12"/>
          <w:rtl/>
          <w:lang w:bidi="ar-EG"/>
        </w:rPr>
      </w:pPr>
    </w:p>
    <w:p w:rsidR="00000000" w:rsidRDefault="00D8679F">
      <w:pPr>
        <w:pStyle w:val="SingleTxt"/>
        <w:ind w:left="1930" w:hanging="663"/>
        <w:jc w:val="both"/>
        <w:rPr>
          <w:rFonts w:hint="cs"/>
          <w:rtl/>
          <w:lang w:bidi="ar-EG"/>
        </w:rPr>
      </w:pPr>
      <w:r>
        <w:rPr>
          <w:rFonts w:hint="cs"/>
          <w:b/>
          <w:bCs/>
          <w:rtl/>
          <w:lang w:bidi="ar-EG"/>
        </w:rPr>
        <w:t>نسبة إتمام التعليم الابتدائي حسب الجنس، 1994-2004</w:t>
      </w:r>
    </w:p>
    <w:p w:rsidR="00000000" w:rsidRDefault="00D8679F">
      <w:pPr>
        <w:pStyle w:val="SingleTxt"/>
        <w:ind w:left="1930" w:hanging="663"/>
        <w:jc w:val="both"/>
        <w:rPr>
          <w:rFonts w:hint="cs"/>
          <w:rtl/>
          <w:lang w:bidi="ar-EG"/>
        </w:rPr>
      </w:pPr>
      <w:r>
        <w:rPr>
          <w:rFonts w:hint="cs"/>
          <w:rtl/>
          <w:lang w:bidi="ar-EG"/>
        </w:rPr>
        <w:t>(بالنسبة المئوية)</w:t>
      </w:r>
    </w:p>
    <w:p w:rsidR="00000000" w:rsidRDefault="00D8679F">
      <w:pPr>
        <w:pStyle w:val="SingleTxt"/>
        <w:spacing w:after="0" w:line="120" w:lineRule="exact"/>
        <w:ind w:left="1930" w:hanging="663"/>
        <w:jc w:val="both"/>
        <w:rPr>
          <w:rFonts w:hint="cs"/>
          <w:sz w:val="10"/>
          <w:rtl/>
          <w:lang w:bidi="ar-EG"/>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1830"/>
        <w:gridCol w:w="1830"/>
        <w:gridCol w:w="1136"/>
      </w:tblGrid>
      <w:tr w:rsidR="00D8679F" w:rsidTr="00D8679F">
        <w:tblPrEx>
          <w:tblCellMar>
            <w:top w:w="0" w:type="dxa"/>
            <w:bottom w:w="0" w:type="dxa"/>
          </w:tblCellMar>
        </w:tblPrEx>
        <w:trPr>
          <w:cantSplit/>
          <w:tblHeader/>
        </w:trPr>
        <w:tc>
          <w:tcPr>
            <w:tcW w:w="1830"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80" w:after="80" w:line="240" w:lineRule="exact"/>
              <w:ind w:right="40"/>
              <w:rPr>
                <w:rFonts w:hint="cs"/>
                <w:i/>
                <w:iCs/>
                <w:sz w:val="30"/>
                <w:rtl/>
                <w:lang w:bidi="ar-EG"/>
              </w:rPr>
            </w:pPr>
            <w:r>
              <w:rPr>
                <w:rFonts w:hint="cs"/>
                <w:i/>
                <w:iCs/>
                <w:sz w:val="30"/>
                <w:rtl/>
                <w:lang w:bidi="ar-EG"/>
              </w:rPr>
              <w:t>السنة</w:t>
            </w:r>
          </w:p>
        </w:tc>
        <w:tc>
          <w:tcPr>
            <w:tcW w:w="1830"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80" w:after="80" w:line="240" w:lineRule="exact"/>
              <w:ind w:right="144"/>
              <w:jc w:val="lowKashida"/>
              <w:rPr>
                <w:rFonts w:hint="cs"/>
                <w:i/>
                <w:iCs/>
                <w:sz w:val="30"/>
                <w:rtl/>
                <w:lang w:bidi="ar-EG"/>
              </w:rPr>
            </w:pPr>
            <w:r>
              <w:rPr>
                <w:rFonts w:hint="cs"/>
                <w:i/>
                <w:iCs/>
                <w:sz w:val="30"/>
                <w:rtl/>
                <w:lang w:bidi="ar-EG"/>
              </w:rPr>
              <w:t>البنون</w:t>
            </w:r>
          </w:p>
        </w:tc>
        <w:tc>
          <w:tcPr>
            <w:tcW w:w="1830"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80" w:after="80" w:line="240" w:lineRule="exact"/>
              <w:ind w:right="144"/>
              <w:jc w:val="lowKashida"/>
              <w:rPr>
                <w:rFonts w:hint="cs"/>
                <w:i/>
                <w:iCs/>
                <w:sz w:val="30"/>
                <w:rtl/>
                <w:lang w:bidi="ar-EG"/>
              </w:rPr>
            </w:pPr>
            <w:r>
              <w:rPr>
                <w:rFonts w:hint="cs"/>
                <w:i/>
                <w:iCs/>
                <w:sz w:val="30"/>
                <w:rtl/>
                <w:lang w:bidi="ar-EG"/>
              </w:rPr>
              <w:t>البنات</w:t>
            </w:r>
          </w:p>
        </w:tc>
        <w:tc>
          <w:tcPr>
            <w:tcW w:w="1136"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80" w:after="80" w:line="240" w:lineRule="exact"/>
              <w:ind w:right="144"/>
              <w:jc w:val="lowKashida"/>
              <w:rPr>
                <w:rFonts w:hint="cs"/>
                <w:i/>
                <w:iCs/>
                <w:sz w:val="30"/>
                <w:rtl/>
                <w:lang w:bidi="ar-EG"/>
              </w:rPr>
            </w:pPr>
            <w:r>
              <w:rPr>
                <w:rFonts w:hint="cs"/>
                <w:i/>
                <w:iCs/>
                <w:sz w:val="30"/>
                <w:rtl/>
                <w:lang w:bidi="ar-EG"/>
              </w:rPr>
              <w:t>المجموع</w:t>
            </w:r>
          </w:p>
        </w:tc>
      </w:tr>
      <w:tr w:rsidR="00D8679F" w:rsidTr="00D8679F">
        <w:tblPrEx>
          <w:tblCellMar>
            <w:top w:w="0" w:type="dxa"/>
            <w:bottom w:w="0" w:type="dxa"/>
          </w:tblCellMar>
        </w:tblPrEx>
        <w:trPr>
          <w:cantSplit/>
          <w:trHeight w:hRule="exact" w:val="115"/>
          <w:tblHeader/>
        </w:trPr>
        <w:tc>
          <w:tcPr>
            <w:tcW w:w="1830"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40"/>
              <w:rPr>
                <w:rFonts w:hint="cs"/>
                <w:sz w:val="30"/>
                <w:rtl/>
                <w:lang w:bidi="ar-EG"/>
              </w:rPr>
            </w:pPr>
          </w:p>
        </w:tc>
        <w:tc>
          <w:tcPr>
            <w:tcW w:w="1830"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p>
        </w:tc>
        <w:tc>
          <w:tcPr>
            <w:tcW w:w="1830"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p>
        </w:tc>
        <w:tc>
          <w:tcPr>
            <w:tcW w:w="1136"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p>
        </w:tc>
      </w:tr>
      <w:tr w:rsidR="00D8679F" w:rsidTr="00D8679F">
        <w:tblPrEx>
          <w:tblCellMar>
            <w:top w:w="0" w:type="dxa"/>
            <w:bottom w:w="0" w:type="dxa"/>
          </w:tblCellMar>
        </w:tblPrEx>
        <w:trPr>
          <w:cantSplit/>
        </w:trPr>
        <w:tc>
          <w:tcPr>
            <w:tcW w:w="1830" w:type="dxa"/>
            <w:vAlign w:val="bottom"/>
          </w:tcPr>
          <w:p w:rsidR="00D8679F" w:rsidRDefault="00D8679F">
            <w:pPr>
              <w:tabs>
                <w:tab w:val="left" w:pos="288"/>
                <w:tab w:val="left" w:pos="576"/>
                <w:tab w:val="left" w:pos="864"/>
                <w:tab w:val="left" w:pos="1152"/>
              </w:tabs>
              <w:spacing w:before="40" w:after="80" w:line="240" w:lineRule="exact"/>
              <w:ind w:right="40"/>
              <w:rPr>
                <w:rFonts w:hint="cs"/>
                <w:sz w:val="30"/>
                <w:rtl/>
                <w:lang w:bidi="ar-EG"/>
              </w:rPr>
            </w:pPr>
            <w:r>
              <w:rPr>
                <w:rFonts w:hint="cs"/>
                <w:sz w:val="30"/>
                <w:rtl/>
                <w:lang w:bidi="ar-EG"/>
              </w:rPr>
              <w:t>1994</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44.6</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43.0</w:t>
            </w:r>
          </w:p>
        </w:tc>
        <w:tc>
          <w:tcPr>
            <w:tcW w:w="1136"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43.9</w:t>
            </w:r>
          </w:p>
        </w:tc>
      </w:tr>
      <w:tr w:rsidR="00D8679F" w:rsidTr="00D8679F">
        <w:tblPrEx>
          <w:tblCellMar>
            <w:top w:w="0" w:type="dxa"/>
            <w:bottom w:w="0" w:type="dxa"/>
          </w:tblCellMar>
        </w:tblPrEx>
        <w:trPr>
          <w:cantSplit/>
        </w:trPr>
        <w:tc>
          <w:tcPr>
            <w:tcW w:w="1830" w:type="dxa"/>
            <w:vAlign w:val="bottom"/>
          </w:tcPr>
          <w:p w:rsidR="00D8679F" w:rsidRDefault="00D8679F">
            <w:pPr>
              <w:tabs>
                <w:tab w:val="left" w:pos="288"/>
                <w:tab w:val="left" w:pos="576"/>
                <w:tab w:val="left" w:pos="864"/>
                <w:tab w:val="left" w:pos="1152"/>
              </w:tabs>
              <w:spacing w:before="40" w:after="80" w:line="240" w:lineRule="exact"/>
              <w:ind w:right="40"/>
              <w:rPr>
                <w:rFonts w:hint="cs"/>
                <w:sz w:val="30"/>
                <w:rtl/>
                <w:lang w:bidi="ar-EG"/>
              </w:rPr>
            </w:pPr>
            <w:r>
              <w:rPr>
                <w:rFonts w:hint="cs"/>
                <w:sz w:val="30"/>
                <w:rtl/>
                <w:lang w:bidi="ar-EG"/>
              </w:rPr>
              <w:t>1995</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43.0</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42.1</w:t>
            </w:r>
          </w:p>
        </w:tc>
        <w:tc>
          <w:tcPr>
            <w:tcW w:w="1136"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42.6</w:t>
            </w:r>
          </w:p>
        </w:tc>
      </w:tr>
      <w:tr w:rsidR="00D8679F" w:rsidTr="00D8679F">
        <w:tblPrEx>
          <w:tblCellMar>
            <w:top w:w="0" w:type="dxa"/>
            <w:bottom w:w="0" w:type="dxa"/>
          </w:tblCellMar>
        </w:tblPrEx>
        <w:trPr>
          <w:cantSplit/>
        </w:trPr>
        <w:tc>
          <w:tcPr>
            <w:tcW w:w="1830" w:type="dxa"/>
            <w:vAlign w:val="bottom"/>
          </w:tcPr>
          <w:p w:rsidR="00D8679F" w:rsidRDefault="00D8679F">
            <w:pPr>
              <w:tabs>
                <w:tab w:val="left" w:pos="288"/>
                <w:tab w:val="left" w:pos="576"/>
                <w:tab w:val="left" w:pos="864"/>
                <w:tab w:val="left" w:pos="1152"/>
              </w:tabs>
              <w:spacing w:before="40" w:after="80" w:line="240" w:lineRule="exact"/>
              <w:ind w:right="40"/>
              <w:rPr>
                <w:rFonts w:hint="cs"/>
                <w:sz w:val="30"/>
                <w:rtl/>
                <w:lang w:bidi="ar-EG"/>
              </w:rPr>
            </w:pPr>
            <w:r>
              <w:rPr>
                <w:rFonts w:hint="cs"/>
                <w:sz w:val="30"/>
                <w:rtl/>
                <w:lang w:bidi="ar-EG"/>
              </w:rPr>
              <w:t>1996</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45.1</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43.5</w:t>
            </w:r>
          </w:p>
        </w:tc>
        <w:tc>
          <w:tcPr>
            <w:tcW w:w="1136"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44.3</w:t>
            </w:r>
          </w:p>
        </w:tc>
      </w:tr>
      <w:tr w:rsidR="00D8679F" w:rsidTr="00D8679F">
        <w:tblPrEx>
          <w:tblCellMar>
            <w:top w:w="0" w:type="dxa"/>
            <w:bottom w:w="0" w:type="dxa"/>
          </w:tblCellMar>
        </w:tblPrEx>
        <w:trPr>
          <w:cantSplit/>
        </w:trPr>
        <w:tc>
          <w:tcPr>
            <w:tcW w:w="1830" w:type="dxa"/>
            <w:vAlign w:val="bottom"/>
          </w:tcPr>
          <w:p w:rsidR="00D8679F" w:rsidRDefault="00D8679F">
            <w:pPr>
              <w:tabs>
                <w:tab w:val="left" w:pos="288"/>
                <w:tab w:val="left" w:pos="576"/>
                <w:tab w:val="left" w:pos="864"/>
                <w:tab w:val="left" w:pos="1152"/>
              </w:tabs>
              <w:spacing w:before="40" w:after="80" w:line="240" w:lineRule="exact"/>
              <w:ind w:right="40"/>
              <w:rPr>
                <w:rFonts w:hint="cs"/>
                <w:sz w:val="30"/>
                <w:rtl/>
                <w:lang w:bidi="ar-EG"/>
              </w:rPr>
            </w:pPr>
            <w:r>
              <w:rPr>
                <w:rFonts w:hint="cs"/>
                <w:sz w:val="30"/>
                <w:rtl/>
                <w:lang w:bidi="ar-EG"/>
              </w:rPr>
              <w:t>1997</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46.3</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45.8</w:t>
            </w:r>
          </w:p>
        </w:tc>
        <w:tc>
          <w:tcPr>
            <w:tcW w:w="1136"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46.1</w:t>
            </w:r>
          </w:p>
        </w:tc>
      </w:tr>
      <w:tr w:rsidR="00D8679F" w:rsidTr="00D8679F">
        <w:tblPrEx>
          <w:tblCellMar>
            <w:top w:w="0" w:type="dxa"/>
            <w:bottom w:w="0" w:type="dxa"/>
          </w:tblCellMar>
        </w:tblPrEx>
        <w:trPr>
          <w:cantSplit/>
        </w:trPr>
        <w:tc>
          <w:tcPr>
            <w:tcW w:w="1830" w:type="dxa"/>
            <w:vAlign w:val="bottom"/>
          </w:tcPr>
          <w:p w:rsidR="00D8679F" w:rsidRDefault="00D8679F">
            <w:pPr>
              <w:tabs>
                <w:tab w:val="left" w:pos="288"/>
                <w:tab w:val="left" w:pos="576"/>
                <w:tab w:val="left" w:pos="864"/>
                <w:tab w:val="left" w:pos="1152"/>
              </w:tabs>
              <w:spacing w:before="40" w:after="80" w:line="240" w:lineRule="exact"/>
              <w:ind w:right="40"/>
              <w:rPr>
                <w:rFonts w:hint="cs"/>
                <w:sz w:val="30"/>
                <w:rtl/>
                <w:lang w:bidi="ar-EG"/>
              </w:rPr>
            </w:pPr>
            <w:r>
              <w:rPr>
                <w:rFonts w:hint="cs"/>
                <w:sz w:val="30"/>
                <w:rtl/>
                <w:lang w:bidi="ar-EG"/>
              </w:rPr>
              <w:t>1998</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46.4</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48.1</w:t>
            </w:r>
          </w:p>
        </w:tc>
        <w:tc>
          <w:tcPr>
            <w:tcW w:w="1136"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47.2</w:t>
            </w:r>
          </w:p>
        </w:tc>
      </w:tr>
      <w:tr w:rsidR="00D8679F" w:rsidTr="00D8679F">
        <w:tblPrEx>
          <w:tblCellMar>
            <w:top w:w="0" w:type="dxa"/>
            <w:bottom w:w="0" w:type="dxa"/>
          </w:tblCellMar>
        </w:tblPrEx>
        <w:trPr>
          <w:cantSplit/>
        </w:trPr>
        <w:tc>
          <w:tcPr>
            <w:tcW w:w="1830" w:type="dxa"/>
            <w:vAlign w:val="bottom"/>
          </w:tcPr>
          <w:p w:rsidR="00D8679F" w:rsidRDefault="00D8679F">
            <w:pPr>
              <w:tabs>
                <w:tab w:val="left" w:pos="288"/>
                <w:tab w:val="left" w:pos="576"/>
                <w:tab w:val="left" w:pos="864"/>
                <w:tab w:val="left" w:pos="1152"/>
              </w:tabs>
              <w:spacing w:before="40" w:after="80" w:line="240" w:lineRule="exact"/>
              <w:ind w:right="40"/>
              <w:rPr>
                <w:rFonts w:hint="cs"/>
                <w:sz w:val="30"/>
                <w:rtl/>
                <w:lang w:bidi="ar-EG"/>
              </w:rPr>
            </w:pPr>
            <w:r>
              <w:rPr>
                <w:rFonts w:hint="cs"/>
                <w:sz w:val="30"/>
                <w:rtl/>
                <w:lang w:bidi="ar-EG"/>
              </w:rPr>
              <w:t>1999</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47.7</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47.8</w:t>
            </w:r>
          </w:p>
        </w:tc>
        <w:tc>
          <w:tcPr>
            <w:tcW w:w="1136"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47.7</w:t>
            </w:r>
          </w:p>
        </w:tc>
      </w:tr>
      <w:tr w:rsidR="00D8679F" w:rsidTr="00D8679F">
        <w:tblPrEx>
          <w:tblCellMar>
            <w:top w:w="0" w:type="dxa"/>
            <w:bottom w:w="0" w:type="dxa"/>
          </w:tblCellMar>
        </w:tblPrEx>
        <w:trPr>
          <w:cantSplit/>
        </w:trPr>
        <w:tc>
          <w:tcPr>
            <w:tcW w:w="1830" w:type="dxa"/>
            <w:vAlign w:val="bottom"/>
          </w:tcPr>
          <w:p w:rsidR="00D8679F" w:rsidRDefault="00D8679F">
            <w:pPr>
              <w:tabs>
                <w:tab w:val="left" w:pos="288"/>
                <w:tab w:val="left" w:pos="576"/>
                <w:tab w:val="left" w:pos="864"/>
                <w:tab w:val="left" w:pos="1152"/>
              </w:tabs>
              <w:spacing w:before="40" w:after="80" w:line="240" w:lineRule="exact"/>
              <w:ind w:right="40"/>
              <w:rPr>
                <w:rFonts w:hint="cs"/>
                <w:sz w:val="30"/>
                <w:rtl/>
                <w:lang w:bidi="ar-EG"/>
              </w:rPr>
            </w:pPr>
            <w:r>
              <w:rPr>
                <w:rFonts w:hint="cs"/>
                <w:sz w:val="30"/>
                <w:rtl/>
                <w:lang w:bidi="ar-EG"/>
              </w:rPr>
              <w:t>2000</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49.9</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51.1</w:t>
            </w:r>
          </w:p>
        </w:tc>
        <w:tc>
          <w:tcPr>
            <w:tcW w:w="1136"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50.5</w:t>
            </w:r>
          </w:p>
        </w:tc>
      </w:tr>
      <w:tr w:rsidR="00D8679F" w:rsidTr="00D8679F">
        <w:tblPrEx>
          <w:tblCellMar>
            <w:top w:w="0" w:type="dxa"/>
            <w:bottom w:w="0" w:type="dxa"/>
          </w:tblCellMar>
        </w:tblPrEx>
        <w:trPr>
          <w:cantSplit/>
        </w:trPr>
        <w:tc>
          <w:tcPr>
            <w:tcW w:w="1830" w:type="dxa"/>
            <w:vAlign w:val="bottom"/>
          </w:tcPr>
          <w:p w:rsidR="00D8679F" w:rsidRDefault="00D8679F">
            <w:pPr>
              <w:tabs>
                <w:tab w:val="left" w:pos="288"/>
                <w:tab w:val="left" w:pos="576"/>
                <w:tab w:val="left" w:pos="864"/>
                <w:tab w:val="left" w:pos="1152"/>
              </w:tabs>
              <w:spacing w:before="40" w:after="80" w:line="240" w:lineRule="exact"/>
              <w:ind w:right="40"/>
              <w:rPr>
                <w:rFonts w:hint="cs"/>
                <w:sz w:val="30"/>
                <w:rtl/>
                <w:lang w:bidi="ar-EG"/>
              </w:rPr>
            </w:pPr>
            <w:r>
              <w:rPr>
                <w:rFonts w:hint="cs"/>
                <w:sz w:val="30"/>
                <w:rtl/>
                <w:lang w:bidi="ar-EG"/>
              </w:rPr>
              <w:t>2001</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53.3</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53.2</w:t>
            </w:r>
          </w:p>
        </w:tc>
        <w:tc>
          <w:tcPr>
            <w:tcW w:w="1136"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53.3</w:t>
            </w:r>
          </w:p>
        </w:tc>
      </w:tr>
      <w:tr w:rsidR="00D8679F" w:rsidTr="00D8679F">
        <w:tblPrEx>
          <w:tblCellMar>
            <w:top w:w="0" w:type="dxa"/>
            <w:bottom w:w="0" w:type="dxa"/>
          </w:tblCellMar>
        </w:tblPrEx>
        <w:trPr>
          <w:cantSplit/>
        </w:trPr>
        <w:tc>
          <w:tcPr>
            <w:tcW w:w="1830" w:type="dxa"/>
            <w:vAlign w:val="bottom"/>
          </w:tcPr>
          <w:p w:rsidR="00D8679F" w:rsidRDefault="00D8679F">
            <w:pPr>
              <w:tabs>
                <w:tab w:val="left" w:pos="288"/>
                <w:tab w:val="left" w:pos="576"/>
                <w:tab w:val="left" w:pos="864"/>
                <w:tab w:val="left" w:pos="1152"/>
              </w:tabs>
              <w:spacing w:before="40" w:after="80" w:line="240" w:lineRule="exact"/>
              <w:ind w:right="40"/>
              <w:rPr>
                <w:rFonts w:hint="cs"/>
                <w:sz w:val="30"/>
                <w:rtl/>
                <w:lang w:bidi="ar-EG"/>
              </w:rPr>
            </w:pPr>
            <w:r>
              <w:rPr>
                <w:rFonts w:hint="cs"/>
                <w:sz w:val="30"/>
                <w:rtl/>
                <w:lang w:bidi="ar-EG"/>
              </w:rPr>
              <w:t>2002</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60.3</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53.2</w:t>
            </w:r>
          </w:p>
        </w:tc>
        <w:tc>
          <w:tcPr>
            <w:tcW w:w="1136"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56.9</w:t>
            </w:r>
          </w:p>
        </w:tc>
      </w:tr>
      <w:tr w:rsidR="00D8679F" w:rsidTr="00D8679F">
        <w:tblPrEx>
          <w:tblCellMar>
            <w:top w:w="0" w:type="dxa"/>
            <w:bottom w:w="0" w:type="dxa"/>
          </w:tblCellMar>
        </w:tblPrEx>
        <w:trPr>
          <w:cantSplit/>
        </w:trPr>
        <w:tc>
          <w:tcPr>
            <w:tcW w:w="1830" w:type="dxa"/>
            <w:vAlign w:val="bottom"/>
          </w:tcPr>
          <w:p w:rsidR="00D8679F" w:rsidRDefault="00D8679F">
            <w:pPr>
              <w:tabs>
                <w:tab w:val="left" w:pos="288"/>
                <w:tab w:val="left" w:pos="576"/>
                <w:tab w:val="left" w:pos="864"/>
                <w:tab w:val="left" w:pos="1152"/>
              </w:tabs>
              <w:spacing w:before="40" w:after="80" w:line="240" w:lineRule="exact"/>
              <w:ind w:right="40"/>
              <w:rPr>
                <w:rFonts w:hint="cs"/>
                <w:sz w:val="30"/>
                <w:rtl/>
                <w:lang w:bidi="ar-EG"/>
              </w:rPr>
            </w:pPr>
            <w:r>
              <w:rPr>
                <w:rFonts w:hint="cs"/>
                <w:sz w:val="30"/>
                <w:rtl/>
                <w:lang w:bidi="ar-EG"/>
              </w:rPr>
              <w:t>2003</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56.8</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57.7</w:t>
            </w:r>
          </w:p>
        </w:tc>
        <w:tc>
          <w:tcPr>
            <w:tcW w:w="1136"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57.2</w:t>
            </w:r>
          </w:p>
        </w:tc>
      </w:tr>
      <w:tr w:rsidR="00D8679F" w:rsidTr="00D8679F">
        <w:tblPrEx>
          <w:tblCellMar>
            <w:top w:w="0" w:type="dxa"/>
            <w:bottom w:w="0" w:type="dxa"/>
          </w:tblCellMar>
        </w:tblPrEx>
        <w:trPr>
          <w:cantSplit/>
        </w:trPr>
        <w:tc>
          <w:tcPr>
            <w:tcW w:w="1830"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40"/>
              <w:rPr>
                <w:rFonts w:hint="cs"/>
                <w:sz w:val="30"/>
                <w:rtl/>
                <w:lang w:bidi="ar-EG"/>
              </w:rPr>
            </w:pPr>
            <w:r>
              <w:rPr>
                <w:rFonts w:hint="cs"/>
                <w:sz w:val="30"/>
                <w:rtl/>
                <w:lang w:bidi="ar-EG"/>
              </w:rPr>
              <w:t>2004</w:t>
            </w:r>
          </w:p>
        </w:tc>
        <w:tc>
          <w:tcPr>
            <w:tcW w:w="1830"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67.0</w:t>
            </w:r>
          </w:p>
        </w:tc>
        <w:tc>
          <w:tcPr>
            <w:tcW w:w="1830"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65.9</w:t>
            </w:r>
          </w:p>
        </w:tc>
        <w:tc>
          <w:tcPr>
            <w:tcW w:w="1136"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66.5</w:t>
            </w:r>
          </w:p>
        </w:tc>
      </w:tr>
    </w:tbl>
    <w:p w:rsidR="00000000" w:rsidRDefault="00D8679F">
      <w:pPr>
        <w:pStyle w:val="SingleTxt"/>
        <w:spacing w:after="0" w:line="120" w:lineRule="exact"/>
        <w:ind w:left="1930" w:hanging="663"/>
        <w:jc w:val="both"/>
        <w:rPr>
          <w:rFonts w:hint="cs"/>
          <w:sz w:val="10"/>
          <w:rtl/>
          <w:lang w:bidi="ar-EG"/>
        </w:rPr>
      </w:pPr>
    </w:p>
    <w:p w:rsidR="00000000" w:rsidRDefault="00D8679F">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sz w:val="30"/>
          <w:szCs w:val="30"/>
          <w:rtl/>
          <w:lang w:bidi="ar-EG"/>
        </w:rPr>
      </w:pPr>
      <w:r>
        <w:rPr>
          <w:rFonts w:hint="cs"/>
          <w:i/>
          <w:iCs/>
          <w:sz w:val="30"/>
          <w:szCs w:val="30"/>
          <w:rtl/>
          <w:lang w:bidi="ar-EG"/>
        </w:rPr>
        <w:t>المصدر</w:t>
      </w:r>
      <w:r>
        <w:rPr>
          <w:rFonts w:hint="cs"/>
          <w:sz w:val="30"/>
          <w:szCs w:val="30"/>
          <w:rtl/>
          <w:lang w:bidi="ar-EG"/>
        </w:rPr>
        <w:t>: وزارة التعليم، والعلوم والتكنولوجيا.</w:t>
      </w:r>
    </w:p>
    <w:p w:rsidR="00000000" w:rsidRDefault="00D8679F">
      <w:pPr>
        <w:pStyle w:val="SingleTxt"/>
        <w:spacing w:after="0" w:line="120" w:lineRule="exact"/>
        <w:ind w:left="1930" w:hanging="663"/>
        <w:jc w:val="both"/>
        <w:rPr>
          <w:rFonts w:hint="cs"/>
          <w:sz w:val="10"/>
          <w:rtl/>
          <w:lang w:bidi="ar-EG"/>
        </w:rPr>
      </w:pPr>
      <w:r>
        <w:rPr>
          <w:rtl/>
          <w:lang w:bidi="ar-EG"/>
        </w:rPr>
        <w:br w:type="page"/>
      </w:r>
    </w:p>
    <w:p w:rsidR="00000000" w:rsidRDefault="00D8679F">
      <w:pPr>
        <w:pStyle w:val="SingleTxt"/>
        <w:jc w:val="both"/>
        <w:rPr>
          <w:rFonts w:hint="cs"/>
          <w:rtl/>
          <w:lang w:bidi="ar-EG"/>
        </w:rPr>
      </w:pPr>
      <w:r>
        <w:rPr>
          <w:rFonts w:hint="cs"/>
          <w:rtl/>
          <w:lang w:bidi="ar-EG"/>
        </w:rPr>
        <w:t>الجدول 5</w:t>
      </w:r>
    </w:p>
    <w:p w:rsidR="00000000" w:rsidRDefault="00D8679F">
      <w:pPr>
        <w:pStyle w:val="SingleTxt"/>
        <w:spacing w:after="0" w:line="120" w:lineRule="exact"/>
        <w:jc w:val="both"/>
        <w:rPr>
          <w:rFonts w:hint="cs"/>
          <w:b/>
          <w:bCs/>
          <w:sz w:val="12"/>
          <w:rtl/>
          <w:lang w:bidi="ar-EG"/>
        </w:rPr>
      </w:pPr>
    </w:p>
    <w:p w:rsidR="00000000" w:rsidRDefault="00D8679F">
      <w:pPr>
        <w:pStyle w:val="SingleTxt"/>
        <w:jc w:val="both"/>
        <w:rPr>
          <w:rFonts w:hint="cs"/>
          <w:b/>
          <w:bCs/>
          <w:rtl/>
          <w:lang w:bidi="ar-EG"/>
        </w:rPr>
      </w:pPr>
      <w:r>
        <w:rPr>
          <w:rFonts w:hint="cs"/>
          <w:b/>
          <w:bCs/>
          <w:rtl/>
          <w:lang w:bidi="ar-EG"/>
        </w:rPr>
        <w:t>نسبة إتمام التعليم الثانوي حسب الجنس، 1994-2004 (بالنسبة المئوية</w:t>
      </w:r>
      <w:r>
        <w:rPr>
          <w:rFonts w:hint="cs"/>
          <w:b/>
          <w:bCs/>
          <w:rtl/>
          <w:lang w:bidi="ar-EG"/>
        </w:rPr>
        <w:t>)</w:t>
      </w:r>
    </w:p>
    <w:p w:rsidR="00000000" w:rsidRDefault="00D8679F">
      <w:pPr>
        <w:pStyle w:val="SingleTxt"/>
        <w:spacing w:after="0" w:line="120" w:lineRule="exact"/>
        <w:jc w:val="both"/>
        <w:rPr>
          <w:rFonts w:hint="cs"/>
          <w:b/>
          <w:bCs/>
          <w:sz w:val="10"/>
          <w:rtl/>
          <w:lang w:bidi="ar-EG"/>
        </w:rPr>
      </w:pPr>
    </w:p>
    <w:p w:rsidR="00000000" w:rsidRDefault="00D8679F">
      <w:pPr>
        <w:pStyle w:val="SingleTxt"/>
        <w:spacing w:after="0" w:line="120" w:lineRule="exact"/>
        <w:jc w:val="both"/>
        <w:rPr>
          <w:rFonts w:hint="cs"/>
          <w:b/>
          <w:bCs/>
          <w:sz w:val="10"/>
          <w:rtl/>
          <w:lang w:bidi="ar-EG"/>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1830"/>
        <w:gridCol w:w="1830"/>
        <w:gridCol w:w="1342"/>
      </w:tblGrid>
      <w:tr w:rsidR="00D8679F" w:rsidTr="00D8679F">
        <w:tblPrEx>
          <w:tblCellMar>
            <w:top w:w="0" w:type="dxa"/>
            <w:bottom w:w="0" w:type="dxa"/>
          </w:tblCellMar>
        </w:tblPrEx>
        <w:trPr>
          <w:cantSplit/>
          <w:tblHeader/>
        </w:trPr>
        <w:tc>
          <w:tcPr>
            <w:tcW w:w="1830"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80" w:after="80" w:line="240" w:lineRule="exact"/>
              <w:ind w:right="40"/>
              <w:rPr>
                <w:rFonts w:hint="cs"/>
                <w:i/>
                <w:iCs/>
                <w:sz w:val="30"/>
                <w:rtl/>
                <w:lang w:bidi="ar-EG"/>
              </w:rPr>
            </w:pPr>
            <w:r>
              <w:rPr>
                <w:rFonts w:hint="cs"/>
                <w:i/>
                <w:iCs/>
                <w:sz w:val="30"/>
                <w:rtl/>
                <w:lang w:bidi="ar-EG"/>
              </w:rPr>
              <w:t>السنة</w:t>
            </w:r>
          </w:p>
        </w:tc>
        <w:tc>
          <w:tcPr>
            <w:tcW w:w="1830"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80" w:after="80" w:line="240" w:lineRule="exact"/>
              <w:ind w:right="144"/>
              <w:jc w:val="lowKashida"/>
              <w:rPr>
                <w:rFonts w:hint="cs"/>
                <w:i/>
                <w:iCs/>
                <w:sz w:val="30"/>
                <w:rtl/>
                <w:lang w:bidi="ar-EG"/>
              </w:rPr>
            </w:pPr>
            <w:r>
              <w:rPr>
                <w:rFonts w:hint="cs"/>
                <w:i/>
                <w:iCs/>
                <w:sz w:val="30"/>
                <w:rtl/>
                <w:lang w:bidi="ar-EG"/>
              </w:rPr>
              <w:t>البنون</w:t>
            </w:r>
          </w:p>
        </w:tc>
        <w:tc>
          <w:tcPr>
            <w:tcW w:w="1830"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80" w:after="80" w:line="240" w:lineRule="exact"/>
              <w:ind w:right="144"/>
              <w:jc w:val="lowKashida"/>
              <w:rPr>
                <w:rFonts w:hint="cs"/>
                <w:i/>
                <w:iCs/>
                <w:sz w:val="30"/>
                <w:rtl/>
                <w:lang w:bidi="ar-EG"/>
              </w:rPr>
            </w:pPr>
            <w:r>
              <w:rPr>
                <w:rFonts w:hint="cs"/>
                <w:i/>
                <w:iCs/>
                <w:sz w:val="30"/>
                <w:rtl/>
                <w:lang w:bidi="ar-EG"/>
              </w:rPr>
              <w:t>البنات</w:t>
            </w:r>
          </w:p>
        </w:tc>
        <w:tc>
          <w:tcPr>
            <w:tcW w:w="1342"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80" w:after="80" w:line="240" w:lineRule="exact"/>
              <w:ind w:right="144"/>
              <w:jc w:val="lowKashida"/>
              <w:rPr>
                <w:rFonts w:hint="cs"/>
                <w:i/>
                <w:iCs/>
                <w:sz w:val="30"/>
                <w:rtl/>
                <w:lang w:bidi="ar-EG"/>
              </w:rPr>
            </w:pPr>
            <w:r>
              <w:rPr>
                <w:rFonts w:hint="cs"/>
                <w:i/>
                <w:iCs/>
                <w:sz w:val="30"/>
                <w:rtl/>
                <w:lang w:bidi="ar-EG"/>
              </w:rPr>
              <w:t>المجموع</w:t>
            </w:r>
          </w:p>
        </w:tc>
      </w:tr>
      <w:tr w:rsidR="00D8679F" w:rsidTr="00D8679F">
        <w:tblPrEx>
          <w:tblCellMar>
            <w:top w:w="0" w:type="dxa"/>
            <w:bottom w:w="0" w:type="dxa"/>
          </w:tblCellMar>
        </w:tblPrEx>
        <w:trPr>
          <w:cantSplit/>
          <w:trHeight w:hRule="exact" w:val="115"/>
          <w:tblHeader/>
        </w:trPr>
        <w:tc>
          <w:tcPr>
            <w:tcW w:w="1830"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40"/>
              <w:rPr>
                <w:rFonts w:hint="cs"/>
                <w:sz w:val="30"/>
                <w:rtl/>
                <w:lang w:bidi="ar-EG"/>
              </w:rPr>
            </w:pPr>
          </w:p>
        </w:tc>
        <w:tc>
          <w:tcPr>
            <w:tcW w:w="1830"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p>
        </w:tc>
        <w:tc>
          <w:tcPr>
            <w:tcW w:w="1830"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p>
        </w:tc>
        <w:tc>
          <w:tcPr>
            <w:tcW w:w="1342"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p>
        </w:tc>
      </w:tr>
      <w:tr w:rsidR="00D8679F" w:rsidTr="00D8679F">
        <w:tblPrEx>
          <w:tblCellMar>
            <w:top w:w="0" w:type="dxa"/>
            <w:bottom w:w="0" w:type="dxa"/>
          </w:tblCellMar>
        </w:tblPrEx>
        <w:trPr>
          <w:cantSplit/>
        </w:trPr>
        <w:tc>
          <w:tcPr>
            <w:tcW w:w="1830" w:type="dxa"/>
            <w:vAlign w:val="bottom"/>
          </w:tcPr>
          <w:p w:rsidR="00D8679F" w:rsidRDefault="00D8679F">
            <w:pPr>
              <w:tabs>
                <w:tab w:val="left" w:pos="288"/>
                <w:tab w:val="left" w:pos="576"/>
                <w:tab w:val="left" w:pos="864"/>
                <w:tab w:val="left" w:pos="1152"/>
              </w:tabs>
              <w:spacing w:before="40" w:after="80" w:line="240" w:lineRule="exact"/>
              <w:ind w:right="40"/>
              <w:rPr>
                <w:rFonts w:hint="cs"/>
                <w:sz w:val="30"/>
                <w:rtl/>
                <w:lang w:bidi="ar-EG"/>
              </w:rPr>
            </w:pPr>
            <w:r>
              <w:rPr>
                <w:rFonts w:hint="cs"/>
                <w:sz w:val="30"/>
                <w:rtl/>
                <w:lang w:bidi="ar-EG"/>
              </w:rPr>
              <w:t>1994</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82.3</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81.9</w:t>
            </w:r>
          </w:p>
        </w:tc>
        <w:tc>
          <w:tcPr>
            <w:tcW w:w="1342"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82.2</w:t>
            </w:r>
          </w:p>
        </w:tc>
      </w:tr>
      <w:tr w:rsidR="00D8679F" w:rsidTr="00D8679F">
        <w:tblPrEx>
          <w:tblCellMar>
            <w:top w:w="0" w:type="dxa"/>
            <w:bottom w:w="0" w:type="dxa"/>
          </w:tblCellMar>
        </w:tblPrEx>
        <w:trPr>
          <w:cantSplit/>
        </w:trPr>
        <w:tc>
          <w:tcPr>
            <w:tcW w:w="1830" w:type="dxa"/>
            <w:vAlign w:val="bottom"/>
          </w:tcPr>
          <w:p w:rsidR="00D8679F" w:rsidRDefault="00D8679F">
            <w:pPr>
              <w:tabs>
                <w:tab w:val="left" w:pos="288"/>
                <w:tab w:val="left" w:pos="576"/>
                <w:tab w:val="left" w:pos="864"/>
                <w:tab w:val="left" w:pos="1152"/>
              </w:tabs>
              <w:spacing w:before="40" w:after="80" w:line="240" w:lineRule="exact"/>
              <w:ind w:right="40"/>
              <w:rPr>
                <w:rFonts w:hint="cs"/>
                <w:sz w:val="30"/>
                <w:rtl/>
                <w:lang w:bidi="ar-EG"/>
              </w:rPr>
            </w:pPr>
            <w:r>
              <w:rPr>
                <w:rFonts w:hint="cs"/>
                <w:sz w:val="30"/>
                <w:rtl/>
                <w:lang w:bidi="ar-EG"/>
              </w:rPr>
              <w:t>1995</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76.2</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78.2</w:t>
            </w:r>
          </w:p>
        </w:tc>
        <w:tc>
          <w:tcPr>
            <w:tcW w:w="1342"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77.1</w:t>
            </w:r>
          </w:p>
        </w:tc>
      </w:tr>
      <w:tr w:rsidR="00D8679F" w:rsidTr="00D8679F">
        <w:tblPrEx>
          <w:tblCellMar>
            <w:top w:w="0" w:type="dxa"/>
            <w:bottom w:w="0" w:type="dxa"/>
          </w:tblCellMar>
        </w:tblPrEx>
        <w:trPr>
          <w:cantSplit/>
        </w:trPr>
        <w:tc>
          <w:tcPr>
            <w:tcW w:w="1830" w:type="dxa"/>
            <w:vAlign w:val="bottom"/>
          </w:tcPr>
          <w:p w:rsidR="00D8679F" w:rsidRDefault="00D8679F">
            <w:pPr>
              <w:tabs>
                <w:tab w:val="left" w:pos="288"/>
                <w:tab w:val="left" w:pos="576"/>
                <w:tab w:val="left" w:pos="864"/>
                <w:tab w:val="left" w:pos="1152"/>
              </w:tabs>
              <w:spacing w:before="40" w:after="80" w:line="240" w:lineRule="exact"/>
              <w:ind w:right="40"/>
              <w:rPr>
                <w:rFonts w:hint="cs"/>
                <w:sz w:val="30"/>
                <w:rtl/>
                <w:lang w:bidi="ar-EG"/>
              </w:rPr>
            </w:pPr>
            <w:r>
              <w:rPr>
                <w:rFonts w:hint="cs"/>
                <w:sz w:val="30"/>
                <w:rtl/>
                <w:lang w:bidi="ar-EG"/>
              </w:rPr>
              <w:t>1996</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95.8</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94.9</w:t>
            </w:r>
          </w:p>
        </w:tc>
        <w:tc>
          <w:tcPr>
            <w:tcW w:w="1342"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95.4</w:t>
            </w:r>
          </w:p>
        </w:tc>
      </w:tr>
      <w:tr w:rsidR="00D8679F" w:rsidTr="00D8679F">
        <w:tblPrEx>
          <w:tblCellMar>
            <w:top w:w="0" w:type="dxa"/>
            <w:bottom w:w="0" w:type="dxa"/>
          </w:tblCellMar>
        </w:tblPrEx>
        <w:trPr>
          <w:cantSplit/>
        </w:trPr>
        <w:tc>
          <w:tcPr>
            <w:tcW w:w="1830" w:type="dxa"/>
            <w:vAlign w:val="bottom"/>
          </w:tcPr>
          <w:p w:rsidR="00D8679F" w:rsidRDefault="00D8679F">
            <w:pPr>
              <w:tabs>
                <w:tab w:val="left" w:pos="288"/>
                <w:tab w:val="left" w:pos="576"/>
                <w:tab w:val="left" w:pos="864"/>
                <w:tab w:val="left" w:pos="1152"/>
              </w:tabs>
              <w:spacing w:before="40" w:after="80" w:line="240" w:lineRule="exact"/>
              <w:ind w:right="40"/>
              <w:rPr>
                <w:rFonts w:hint="cs"/>
                <w:sz w:val="30"/>
                <w:rtl/>
                <w:lang w:bidi="ar-EG"/>
              </w:rPr>
            </w:pPr>
            <w:r>
              <w:rPr>
                <w:rFonts w:hint="cs"/>
                <w:sz w:val="30"/>
                <w:rtl/>
                <w:lang w:bidi="ar-EG"/>
              </w:rPr>
              <w:t>1997</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88.6</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87.9</w:t>
            </w:r>
          </w:p>
        </w:tc>
        <w:tc>
          <w:tcPr>
            <w:tcW w:w="1342"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88.3</w:t>
            </w:r>
          </w:p>
        </w:tc>
      </w:tr>
      <w:tr w:rsidR="00D8679F" w:rsidTr="00D8679F">
        <w:tblPrEx>
          <w:tblCellMar>
            <w:top w:w="0" w:type="dxa"/>
            <w:bottom w:w="0" w:type="dxa"/>
          </w:tblCellMar>
        </w:tblPrEx>
        <w:trPr>
          <w:cantSplit/>
        </w:trPr>
        <w:tc>
          <w:tcPr>
            <w:tcW w:w="1830" w:type="dxa"/>
            <w:vAlign w:val="bottom"/>
          </w:tcPr>
          <w:p w:rsidR="00D8679F" w:rsidRDefault="00D8679F">
            <w:pPr>
              <w:tabs>
                <w:tab w:val="left" w:pos="288"/>
                <w:tab w:val="left" w:pos="576"/>
                <w:tab w:val="left" w:pos="864"/>
                <w:tab w:val="left" w:pos="1152"/>
              </w:tabs>
              <w:spacing w:before="40" w:after="80" w:line="240" w:lineRule="exact"/>
              <w:ind w:right="40"/>
              <w:rPr>
                <w:rFonts w:hint="cs"/>
                <w:sz w:val="30"/>
                <w:rtl/>
                <w:lang w:bidi="ar-EG"/>
              </w:rPr>
            </w:pPr>
            <w:r>
              <w:rPr>
                <w:rFonts w:hint="cs"/>
                <w:sz w:val="30"/>
                <w:rtl/>
                <w:lang w:bidi="ar-EG"/>
              </w:rPr>
              <w:t>1998</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85.8</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83.1</w:t>
            </w:r>
          </w:p>
        </w:tc>
        <w:tc>
          <w:tcPr>
            <w:tcW w:w="1342"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84.5</w:t>
            </w:r>
          </w:p>
        </w:tc>
      </w:tr>
      <w:tr w:rsidR="00D8679F" w:rsidTr="00D8679F">
        <w:tblPrEx>
          <w:tblCellMar>
            <w:top w:w="0" w:type="dxa"/>
            <w:bottom w:w="0" w:type="dxa"/>
          </w:tblCellMar>
        </w:tblPrEx>
        <w:trPr>
          <w:cantSplit/>
        </w:trPr>
        <w:tc>
          <w:tcPr>
            <w:tcW w:w="1830" w:type="dxa"/>
            <w:vAlign w:val="bottom"/>
          </w:tcPr>
          <w:p w:rsidR="00D8679F" w:rsidRDefault="00D8679F">
            <w:pPr>
              <w:tabs>
                <w:tab w:val="left" w:pos="288"/>
                <w:tab w:val="left" w:pos="576"/>
                <w:tab w:val="left" w:pos="864"/>
                <w:tab w:val="left" w:pos="1152"/>
              </w:tabs>
              <w:spacing w:before="40" w:after="80" w:line="240" w:lineRule="exact"/>
              <w:ind w:right="40"/>
              <w:rPr>
                <w:rFonts w:hint="cs"/>
                <w:sz w:val="30"/>
                <w:rtl/>
                <w:lang w:bidi="ar-EG"/>
              </w:rPr>
            </w:pPr>
            <w:r>
              <w:rPr>
                <w:rFonts w:hint="cs"/>
                <w:sz w:val="30"/>
                <w:rtl/>
                <w:lang w:bidi="ar-EG"/>
              </w:rPr>
              <w:t>1999</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86.5</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84.1</w:t>
            </w:r>
          </w:p>
        </w:tc>
        <w:tc>
          <w:tcPr>
            <w:tcW w:w="1342"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85.4</w:t>
            </w:r>
          </w:p>
        </w:tc>
      </w:tr>
      <w:tr w:rsidR="00D8679F" w:rsidTr="00D8679F">
        <w:tblPrEx>
          <w:tblCellMar>
            <w:top w:w="0" w:type="dxa"/>
            <w:bottom w:w="0" w:type="dxa"/>
          </w:tblCellMar>
        </w:tblPrEx>
        <w:trPr>
          <w:cantSplit/>
        </w:trPr>
        <w:tc>
          <w:tcPr>
            <w:tcW w:w="1830" w:type="dxa"/>
            <w:vAlign w:val="bottom"/>
          </w:tcPr>
          <w:p w:rsidR="00D8679F" w:rsidRDefault="00D8679F">
            <w:pPr>
              <w:tabs>
                <w:tab w:val="left" w:pos="288"/>
                <w:tab w:val="left" w:pos="576"/>
                <w:tab w:val="left" w:pos="864"/>
                <w:tab w:val="left" w:pos="1152"/>
              </w:tabs>
              <w:spacing w:before="40" w:after="80" w:line="240" w:lineRule="exact"/>
              <w:ind w:right="40"/>
              <w:rPr>
                <w:rFonts w:hint="cs"/>
                <w:sz w:val="30"/>
                <w:rtl/>
                <w:lang w:bidi="ar-EG"/>
              </w:rPr>
            </w:pPr>
            <w:r>
              <w:rPr>
                <w:rFonts w:hint="cs"/>
                <w:sz w:val="30"/>
                <w:rtl/>
                <w:lang w:bidi="ar-EG"/>
              </w:rPr>
              <w:t>2000</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93.1</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88.4</w:t>
            </w:r>
          </w:p>
        </w:tc>
        <w:tc>
          <w:tcPr>
            <w:tcW w:w="1342"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90.9</w:t>
            </w:r>
          </w:p>
        </w:tc>
      </w:tr>
      <w:tr w:rsidR="00D8679F" w:rsidTr="00D8679F">
        <w:tblPrEx>
          <w:tblCellMar>
            <w:top w:w="0" w:type="dxa"/>
            <w:bottom w:w="0" w:type="dxa"/>
          </w:tblCellMar>
        </w:tblPrEx>
        <w:trPr>
          <w:cantSplit/>
        </w:trPr>
        <w:tc>
          <w:tcPr>
            <w:tcW w:w="1830" w:type="dxa"/>
            <w:vAlign w:val="bottom"/>
          </w:tcPr>
          <w:p w:rsidR="00D8679F" w:rsidRDefault="00D8679F">
            <w:pPr>
              <w:tabs>
                <w:tab w:val="left" w:pos="288"/>
                <w:tab w:val="left" w:pos="576"/>
                <w:tab w:val="left" w:pos="864"/>
                <w:tab w:val="left" w:pos="1152"/>
              </w:tabs>
              <w:spacing w:before="40" w:after="80" w:line="240" w:lineRule="exact"/>
              <w:ind w:right="40"/>
              <w:rPr>
                <w:rFonts w:hint="cs"/>
                <w:sz w:val="30"/>
                <w:rtl/>
                <w:lang w:bidi="ar-EG"/>
              </w:rPr>
            </w:pPr>
            <w:r>
              <w:rPr>
                <w:rFonts w:hint="cs"/>
                <w:sz w:val="30"/>
                <w:rtl/>
                <w:lang w:bidi="ar-EG"/>
              </w:rPr>
              <w:t>2001</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96.6</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93.7</w:t>
            </w:r>
          </w:p>
        </w:tc>
        <w:tc>
          <w:tcPr>
            <w:tcW w:w="1342"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95.2</w:t>
            </w:r>
          </w:p>
        </w:tc>
      </w:tr>
      <w:tr w:rsidR="00D8679F" w:rsidTr="00D8679F">
        <w:tblPrEx>
          <w:tblCellMar>
            <w:top w:w="0" w:type="dxa"/>
            <w:bottom w:w="0" w:type="dxa"/>
          </w:tblCellMar>
        </w:tblPrEx>
        <w:trPr>
          <w:cantSplit/>
        </w:trPr>
        <w:tc>
          <w:tcPr>
            <w:tcW w:w="1830" w:type="dxa"/>
            <w:vAlign w:val="bottom"/>
          </w:tcPr>
          <w:p w:rsidR="00D8679F" w:rsidRDefault="00D8679F">
            <w:pPr>
              <w:tabs>
                <w:tab w:val="left" w:pos="288"/>
                <w:tab w:val="left" w:pos="576"/>
                <w:tab w:val="left" w:pos="864"/>
                <w:tab w:val="left" w:pos="1152"/>
              </w:tabs>
              <w:spacing w:before="40" w:after="80" w:line="240" w:lineRule="exact"/>
              <w:ind w:right="40"/>
              <w:rPr>
                <w:rFonts w:hint="cs"/>
                <w:sz w:val="30"/>
                <w:rtl/>
                <w:lang w:bidi="ar-EG"/>
              </w:rPr>
            </w:pPr>
            <w:r>
              <w:rPr>
                <w:rFonts w:hint="cs"/>
                <w:sz w:val="30"/>
                <w:rtl/>
                <w:lang w:bidi="ar-EG"/>
              </w:rPr>
              <w:t>2002</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94.4</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89.7</w:t>
            </w:r>
          </w:p>
        </w:tc>
        <w:tc>
          <w:tcPr>
            <w:tcW w:w="1342"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92.1</w:t>
            </w:r>
          </w:p>
        </w:tc>
      </w:tr>
      <w:tr w:rsidR="00D8679F" w:rsidTr="00D8679F">
        <w:tblPrEx>
          <w:tblCellMar>
            <w:top w:w="0" w:type="dxa"/>
            <w:bottom w:w="0" w:type="dxa"/>
          </w:tblCellMar>
        </w:tblPrEx>
        <w:trPr>
          <w:cantSplit/>
        </w:trPr>
        <w:tc>
          <w:tcPr>
            <w:tcW w:w="1830" w:type="dxa"/>
            <w:vAlign w:val="bottom"/>
          </w:tcPr>
          <w:p w:rsidR="00D8679F" w:rsidRDefault="00D8679F">
            <w:pPr>
              <w:tabs>
                <w:tab w:val="left" w:pos="288"/>
                <w:tab w:val="left" w:pos="576"/>
                <w:tab w:val="left" w:pos="864"/>
                <w:tab w:val="left" w:pos="1152"/>
              </w:tabs>
              <w:spacing w:before="40" w:after="80" w:line="240" w:lineRule="exact"/>
              <w:ind w:right="40"/>
              <w:rPr>
                <w:rFonts w:hint="cs"/>
                <w:sz w:val="30"/>
                <w:rtl/>
                <w:lang w:bidi="ar-EG"/>
              </w:rPr>
            </w:pPr>
            <w:r>
              <w:rPr>
                <w:rFonts w:hint="cs"/>
                <w:sz w:val="30"/>
                <w:rtl/>
                <w:lang w:bidi="ar-EG"/>
              </w:rPr>
              <w:t>2003</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95.0</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86.6</w:t>
            </w:r>
          </w:p>
        </w:tc>
        <w:tc>
          <w:tcPr>
            <w:tcW w:w="1342"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91.1</w:t>
            </w:r>
          </w:p>
        </w:tc>
      </w:tr>
      <w:tr w:rsidR="00D8679F" w:rsidTr="00D8679F">
        <w:tblPrEx>
          <w:tblCellMar>
            <w:top w:w="0" w:type="dxa"/>
            <w:bottom w:w="0" w:type="dxa"/>
          </w:tblCellMar>
        </w:tblPrEx>
        <w:trPr>
          <w:cantSplit/>
        </w:trPr>
        <w:tc>
          <w:tcPr>
            <w:tcW w:w="1830"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40"/>
              <w:rPr>
                <w:rFonts w:hint="cs"/>
                <w:sz w:val="30"/>
                <w:rtl/>
                <w:lang w:bidi="ar-EG"/>
              </w:rPr>
            </w:pPr>
            <w:r>
              <w:rPr>
                <w:rFonts w:hint="cs"/>
                <w:sz w:val="30"/>
                <w:rtl/>
                <w:lang w:bidi="ar-EG"/>
              </w:rPr>
              <w:t>2004</w:t>
            </w:r>
          </w:p>
        </w:tc>
        <w:tc>
          <w:tcPr>
            <w:tcW w:w="1830"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88.3</w:t>
            </w:r>
          </w:p>
        </w:tc>
        <w:tc>
          <w:tcPr>
            <w:tcW w:w="1830"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87.5</w:t>
            </w:r>
          </w:p>
        </w:tc>
        <w:tc>
          <w:tcPr>
            <w:tcW w:w="1342"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87.9</w:t>
            </w:r>
          </w:p>
        </w:tc>
      </w:tr>
    </w:tbl>
    <w:p w:rsidR="00000000" w:rsidRDefault="00D8679F">
      <w:pPr>
        <w:pStyle w:val="SingleTxt"/>
        <w:spacing w:after="0" w:line="120" w:lineRule="exact"/>
        <w:ind w:left="1930" w:hanging="663"/>
        <w:jc w:val="both"/>
        <w:rPr>
          <w:rFonts w:hint="cs"/>
          <w:sz w:val="10"/>
          <w:rtl/>
          <w:lang w:bidi="ar-EG"/>
        </w:rPr>
      </w:pPr>
    </w:p>
    <w:p w:rsidR="00000000" w:rsidRDefault="00D8679F">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sz w:val="30"/>
          <w:szCs w:val="30"/>
          <w:rtl/>
          <w:lang w:bidi="ar-EG"/>
        </w:rPr>
      </w:pPr>
      <w:r>
        <w:rPr>
          <w:rFonts w:hint="cs"/>
          <w:i/>
          <w:iCs/>
          <w:sz w:val="30"/>
          <w:szCs w:val="30"/>
          <w:rtl/>
          <w:lang w:bidi="ar-EG"/>
        </w:rPr>
        <w:t>المصدر</w:t>
      </w:r>
      <w:r>
        <w:rPr>
          <w:rFonts w:hint="cs"/>
          <w:sz w:val="30"/>
          <w:szCs w:val="30"/>
          <w:rtl/>
          <w:lang w:bidi="ar-EG"/>
        </w:rPr>
        <w:t>: وزارة التعليم، والعلوم والتكنولوجيا.</w:t>
      </w:r>
    </w:p>
    <w:p w:rsidR="00000000" w:rsidRDefault="00D8679F">
      <w:pPr>
        <w:pStyle w:val="SingleTxt"/>
        <w:spacing w:after="0" w:line="120" w:lineRule="exact"/>
        <w:ind w:left="1930" w:hanging="663"/>
        <w:jc w:val="both"/>
        <w:rPr>
          <w:rFonts w:hint="cs"/>
          <w:sz w:val="10"/>
          <w:rtl/>
          <w:lang w:bidi="ar-EG"/>
        </w:rPr>
      </w:pPr>
    </w:p>
    <w:p w:rsidR="00000000" w:rsidRDefault="00D8679F">
      <w:pPr>
        <w:pStyle w:val="SingleTxt"/>
        <w:spacing w:after="0" w:line="120" w:lineRule="exact"/>
        <w:ind w:left="1930" w:hanging="663"/>
        <w:jc w:val="both"/>
        <w:rPr>
          <w:rFonts w:hint="cs"/>
          <w:sz w:val="10"/>
          <w:rtl/>
          <w:lang w:bidi="ar-EG"/>
        </w:rPr>
      </w:pPr>
    </w:p>
    <w:p w:rsidR="00000000" w:rsidRDefault="00D8679F">
      <w:pPr>
        <w:pStyle w:val="SingleTxt"/>
        <w:jc w:val="both"/>
        <w:rPr>
          <w:rFonts w:hint="cs"/>
          <w:rtl/>
          <w:lang w:bidi="ar-EG"/>
        </w:rPr>
      </w:pPr>
      <w:r>
        <w:rPr>
          <w:rFonts w:hint="cs"/>
          <w:rtl/>
          <w:lang w:bidi="ar-EG"/>
        </w:rPr>
        <w:t>104 -</w:t>
      </w:r>
      <w:r>
        <w:rPr>
          <w:rFonts w:hint="cs"/>
          <w:rtl/>
          <w:lang w:bidi="ar-EG"/>
        </w:rPr>
        <w:tab/>
        <w:t>وفي عام 2000، أظهرت دراسة استقصائية عنقودية متعددة المؤشرات أنه من بين النساء في الفئة العمرية 15-24 عاما، كانت نسبة 80.7 في المائة متعلمة وظيفيا مقابل 79.8 في المائة من الرجال. وفيما يتعلق</w:t>
      </w:r>
      <w:r>
        <w:rPr>
          <w:rFonts w:hint="cs"/>
          <w:rtl/>
          <w:lang w:bidi="ar-EG"/>
        </w:rPr>
        <w:t xml:space="preserve"> بالفئة العمرية التي تزيد على 35 عاما، كانت نسبة 50.8 في المائة فقط من النساء متعلمة مقابل نسبة 71 في المائة من الرجال. وفي عام 2003، كانت نسبة 90.2 في المائة من الرجال في الفئة العمرية 15-24 متعلمة مقابل نسبة 85.7 في المائة من النساء. وفيما يتعلق بمن تجاو</w:t>
      </w:r>
      <w:r>
        <w:rPr>
          <w:rFonts w:hint="cs"/>
          <w:rtl/>
          <w:lang w:bidi="ar-EG"/>
        </w:rPr>
        <w:t>زت أعمارهم 35 عاما، كانت نسبة 81.8 في المائة من الذكور متعلمة مقابل نسبة 61 في المائة من الإناث (الدراسة الاستقصائية الديمغرافية والصحية لكينيا، 2003). أما الذين لم</w:t>
      </w:r>
      <w:r>
        <w:rPr>
          <w:rFonts w:hint="eastAsia"/>
          <w:rtl/>
          <w:lang w:bidi="ar-EG"/>
        </w:rPr>
        <w:t> </w:t>
      </w:r>
      <w:r>
        <w:rPr>
          <w:rFonts w:hint="cs"/>
          <w:rtl/>
          <w:lang w:bidi="ar-EG"/>
        </w:rPr>
        <w:t>يحصلوا على تعليم في عام 2004 فقد بلغت نسبتهم 21.6 في المائة من الإناث و</w:t>
      </w:r>
      <w:r>
        <w:rPr>
          <w:rFonts w:hint="eastAsia"/>
          <w:rtl/>
          <w:lang w:bidi="ar-EG"/>
        </w:rPr>
        <w:t> </w:t>
      </w:r>
      <w:r>
        <w:rPr>
          <w:rFonts w:hint="cs"/>
          <w:rtl/>
          <w:lang w:bidi="ar-EG"/>
        </w:rPr>
        <w:t>13.8 في المائة من ا</w:t>
      </w:r>
      <w:r>
        <w:rPr>
          <w:rFonts w:hint="cs"/>
          <w:rtl/>
          <w:lang w:bidi="ar-EG"/>
        </w:rPr>
        <w:t>لرجال. ويورد الجدول 6 أدناه نسب إلمام البالغين بالقراءة والكتابة في المناطق الريفية والحضرية وعلى الصعيد الوطني.</w:t>
      </w:r>
    </w:p>
    <w:p w:rsidR="00000000" w:rsidRDefault="00D8679F">
      <w:pPr>
        <w:pStyle w:val="SingleTxt"/>
        <w:spacing w:after="0" w:line="120" w:lineRule="exact"/>
        <w:ind w:left="1930" w:hanging="663"/>
        <w:jc w:val="both"/>
        <w:rPr>
          <w:rFonts w:hint="cs"/>
          <w:sz w:val="10"/>
          <w:rtl/>
          <w:lang w:bidi="ar-EG"/>
        </w:rPr>
      </w:pPr>
    </w:p>
    <w:p w:rsidR="00000000" w:rsidRDefault="00D8679F">
      <w:pPr>
        <w:pStyle w:val="SingleTxt"/>
        <w:ind w:left="1930" w:hanging="663"/>
        <w:jc w:val="both"/>
        <w:rPr>
          <w:rFonts w:hint="cs"/>
          <w:rtl/>
          <w:lang w:bidi="ar-EG"/>
        </w:rPr>
      </w:pPr>
      <w:r>
        <w:rPr>
          <w:rtl/>
          <w:lang w:bidi="ar-EG"/>
        </w:rPr>
        <w:br w:type="page"/>
      </w:r>
      <w:r>
        <w:rPr>
          <w:rFonts w:hint="cs"/>
          <w:rtl/>
          <w:lang w:bidi="ar-EG"/>
        </w:rPr>
        <w:t>الجدول 6</w:t>
      </w:r>
    </w:p>
    <w:p w:rsidR="00000000" w:rsidRDefault="00D8679F">
      <w:pPr>
        <w:pStyle w:val="SingleTxt"/>
        <w:spacing w:after="0" w:line="120" w:lineRule="exact"/>
        <w:ind w:left="1930" w:hanging="663"/>
        <w:jc w:val="both"/>
        <w:rPr>
          <w:rFonts w:hint="cs"/>
          <w:sz w:val="12"/>
          <w:rtl/>
          <w:lang w:bidi="ar-EG"/>
        </w:rPr>
      </w:pPr>
    </w:p>
    <w:p w:rsidR="00000000" w:rsidRDefault="00D8679F">
      <w:pPr>
        <w:pStyle w:val="SingleTxt"/>
        <w:ind w:left="1930" w:hanging="663"/>
        <w:jc w:val="both"/>
        <w:rPr>
          <w:rFonts w:hint="cs"/>
          <w:rtl/>
          <w:lang w:bidi="ar-EG"/>
        </w:rPr>
      </w:pPr>
      <w:r>
        <w:rPr>
          <w:rFonts w:hint="cs"/>
          <w:b/>
          <w:bCs/>
          <w:rtl/>
          <w:lang w:bidi="ar-EG"/>
        </w:rPr>
        <w:t>نسب إلمام البالغين بالقراءة والكتابة (15 عام) وأكثر (بالنسبة المئوية)</w:t>
      </w:r>
    </w:p>
    <w:p w:rsidR="00000000" w:rsidRDefault="00D8679F">
      <w:pPr>
        <w:pStyle w:val="SingleTxt"/>
        <w:spacing w:after="0" w:line="120" w:lineRule="exact"/>
        <w:ind w:left="1930" w:hanging="663"/>
        <w:jc w:val="both"/>
        <w:rPr>
          <w:rFonts w:hint="cs"/>
          <w:sz w:val="10"/>
          <w:rtl/>
          <w:lang w:bidi="ar-EG"/>
        </w:rPr>
      </w:pPr>
    </w:p>
    <w:p w:rsidR="00000000" w:rsidRDefault="00D8679F">
      <w:pPr>
        <w:pStyle w:val="SingleTxt"/>
        <w:spacing w:after="0" w:line="120" w:lineRule="exact"/>
        <w:ind w:left="1930" w:hanging="663"/>
        <w:jc w:val="both"/>
        <w:rPr>
          <w:rFonts w:hint="cs"/>
          <w:sz w:val="10"/>
          <w:rtl/>
          <w:lang w:bidi="ar-EG"/>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2403"/>
        <w:gridCol w:w="824"/>
        <w:gridCol w:w="824"/>
        <w:gridCol w:w="824"/>
        <w:gridCol w:w="824"/>
        <w:gridCol w:w="824"/>
        <w:gridCol w:w="799"/>
      </w:tblGrid>
      <w:tr w:rsidR="00D8679F" w:rsidTr="00D8679F">
        <w:tblPrEx>
          <w:tblCellMar>
            <w:top w:w="0" w:type="dxa"/>
            <w:bottom w:w="0" w:type="dxa"/>
          </w:tblCellMar>
        </w:tblPrEx>
        <w:trPr>
          <w:cantSplit/>
          <w:tblHeader/>
        </w:trPr>
        <w:tc>
          <w:tcPr>
            <w:tcW w:w="2403" w:type="dxa"/>
            <w:tcBorders>
              <w:top w:val="single" w:sz="4" w:space="0" w:color="auto"/>
              <w:bottom w:val="single" w:sz="2" w:space="0" w:color="auto"/>
            </w:tcBorders>
            <w:vAlign w:val="bottom"/>
          </w:tcPr>
          <w:p w:rsidR="00D8679F" w:rsidRDefault="00D8679F">
            <w:pPr>
              <w:tabs>
                <w:tab w:val="left" w:pos="288"/>
                <w:tab w:val="left" w:pos="576"/>
                <w:tab w:val="left" w:pos="864"/>
                <w:tab w:val="left" w:pos="1152"/>
              </w:tabs>
              <w:spacing w:before="80" w:after="80" w:line="240" w:lineRule="exact"/>
              <w:ind w:right="40"/>
              <w:jc w:val="center"/>
              <w:rPr>
                <w:rFonts w:hint="cs"/>
                <w:i/>
                <w:iCs/>
                <w:sz w:val="30"/>
                <w:rtl/>
                <w:lang w:bidi="ar-EG"/>
              </w:rPr>
            </w:pPr>
            <w:r>
              <w:rPr>
                <w:rFonts w:hint="cs"/>
                <w:i/>
                <w:iCs/>
                <w:sz w:val="30"/>
                <w:rtl/>
                <w:lang w:bidi="ar-EG"/>
              </w:rPr>
              <w:t xml:space="preserve">   </w:t>
            </w:r>
          </w:p>
        </w:tc>
        <w:tc>
          <w:tcPr>
            <w:tcW w:w="1648" w:type="dxa"/>
            <w:gridSpan w:val="2"/>
            <w:tcBorders>
              <w:top w:val="single" w:sz="4" w:space="0" w:color="auto"/>
              <w:bottom w:val="single" w:sz="2" w:space="0" w:color="auto"/>
            </w:tcBorders>
            <w:vAlign w:val="bottom"/>
          </w:tcPr>
          <w:p w:rsidR="00D8679F" w:rsidRDefault="00D8679F">
            <w:pPr>
              <w:tabs>
                <w:tab w:val="left" w:pos="288"/>
                <w:tab w:val="left" w:pos="576"/>
                <w:tab w:val="left" w:pos="864"/>
                <w:tab w:val="left" w:pos="1152"/>
              </w:tabs>
              <w:spacing w:before="80" w:after="80" w:line="240" w:lineRule="exact"/>
              <w:ind w:right="144"/>
              <w:jc w:val="center"/>
              <w:rPr>
                <w:rFonts w:hint="cs"/>
                <w:i/>
                <w:iCs/>
                <w:sz w:val="30"/>
                <w:rtl/>
                <w:lang w:bidi="ar-EG"/>
              </w:rPr>
            </w:pPr>
            <w:r>
              <w:rPr>
                <w:rFonts w:hint="cs"/>
                <w:i/>
                <w:iCs/>
                <w:sz w:val="30"/>
                <w:rtl/>
                <w:lang w:bidi="ar-EG"/>
              </w:rPr>
              <w:t>1994</w:t>
            </w:r>
          </w:p>
        </w:tc>
        <w:tc>
          <w:tcPr>
            <w:tcW w:w="1648" w:type="dxa"/>
            <w:gridSpan w:val="2"/>
            <w:tcBorders>
              <w:top w:val="single" w:sz="4" w:space="0" w:color="auto"/>
              <w:bottom w:val="single" w:sz="2" w:space="0" w:color="auto"/>
            </w:tcBorders>
            <w:vAlign w:val="bottom"/>
          </w:tcPr>
          <w:p w:rsidR="00D8679F" w:rsidRDefault="00D8679F">
            <w:pPr>
              <w:tabs>
                <w:tab w:val="left" w:pos="288"/>
                <w:tab w:val="left" w:pos="576"/>
                <w:tab w:val="left" w:pos="864"/>
                <w:tab w:val="left" w:pos="1152"/>
              </w:tabs>
              <w:spacing w:before="80" w:after="80" w:line="240" w:lineRule="exact"/>
              <w:ind w:right="144"/>
              <w:jc w:val="center"/>
              <w:rPr>
                <w:rFonts w:hint="cs"/>
                <w:i/>
                <w:iCs/>
                <w:sz w:val="30"/>
                <w:rtl/>
                <w:lang w:bidi="ar-EG"/>
              </w:rPr>
            </w:pPr>
            <w:r>
              <w:rPr>
                <w:rFonts w:hint="cs"/>
                <w:i/>
                <w:iCs/>
                <w:sz w:val="30"/>
                <w:rtl/>
                <w:lang w:bidi="ar-EG"/>
              </w:rPr>
              <w:t>2000</w:t>
            </w:r>
          </w:p>
        </w:tc>
        <w:tc>
          <w:tcPr>
            <w:tcW w:w="1623" w:type="dxa"/>
            <w:gridSpan w:val="2"/>
            <w:tcBorders>
              <w:top w:val="single" w:sz="4" w:space="0" w:color="auto"/>
              <w:bottom w:val="single" w:sz="2" w:space="0" w:color="auto"/>
            </w:tcBorders>
            <w:vAlign w:val="bottom"/>
          </w:tcPr>
          <w:p w:rsidR="00D8679F" w:rsidRDefault="00D8679F">
            <w:pPr>
              <w:tabs>
                <w:tab w:val="left" w:pos="288"/>
                <w:tab w:val="left" w:pos="576"/>
                <w:tab w:val="left" w:pos="864"/>
                <w:tab w:val="left" w:pos="1152"/>
              </w:tabs>
              <w:spacing w:before="80" w:after="80" w:line="240" w:lineRule="exact"/>
              <w:ind w:right="144"/>
              <w:jc w:val="center"/>
              <w:rPr>
                <w:rFonts w:hint="cs"/>
                <w:i/>
                <w:iCs/>
                <w:sz w:val="30"/>
                <w:rtl/>
                <w:lang w:bidi="ar-EG"/>
              </w:rPr>
            </w:pPr>
            <w:r>
              <w:rPr>
                <w:rFonts w:hint="cs"/>
                <w:i/>
                <w:iCs/>
                <w:sz w:val="30"/>
                <w:rtl/>
                <w:lang w:bidi="ar-EG"/>
              </w:rPr>
              <w:t>2003</w:t>
            </w:r>
          </w:p>
        </w:tc>
      </w:tr>
      <w:tr w:rsidR="00D8679F" w:rsidTr="00D8679F">
        <w:tblPrEx>
          <w:tblCellMar>
            <w:top w:w="0" w:type="dxa"/>
            <w:bottom w:w="0" w:type="dxa"/>
          </w:tblCellMar>
        </w:tblPrEx>
        <w:trPr>
          <w:cantSplit/>
          <w:tblHeader/>
        </w:trPr>
        <w:tc>
          <w:tcPr>
            <w:tcW w:w="2403" w:type="dxa"/>
            <w:tcBorders>
              <w:top w:val="single" w:sz="2" w:space="0" w:color="auto"/>
              <w:bottom w:val="single" w:sz="12" w:space="0" w:color="auto"/>
            </w:tcBorders>
            <w:vAlign w:val="bottom"/>
          </w:tcPr>
          <w:p w:rsidR="00D8679F" w:rsidRDefault="00D8679F">
            <w:pPr>
              <w:tabs>
                <w:tab w:val="left" w:pos="288"/>
                <w:tab w:val="left" w:pos="576"/>
                <w:tab w:val="left" w:pos="864"/>
                <w:tab w:val="left" w:pos="1152"/>
              </w:tabs>
              <w:spacing w:before="80" w:after="80" w:line="240" w:lineRule="exact"/>
              <w:ind w:right="40"/>
              <w:rPr>
                <w:rFonts w:hint="cs"/>
                <w:i/>
                <w:iCs/>
                <w:sz w:val="30"/>
                <w:rtl/>
                <w:lang w:bidi="ar-EG"/>
              </w:rPr>
            </w:pPr>
            <w:r>
              <w:rPr>
                <w:rFonts w:hint="cs"/>
                <w:i/>
                <w:iCs/>
                <w:sz w:val="30"/>
                <w:rtl/>
                <w:lang w:bidi="ar-EG"/>
              </w:rPr>
              <w:t>المنطقة</w:t>
            </w:r>
          </w:p>
        </w:tc>
        <w:tc>
          <w:tcPr>
            <w:tcW w:w="824" w:type="dxa"/>
            <w:tcBorders>
              <w:top w:val="single" w:sz="2" w:space="0" w:color="auto"/>
              <w:bottom w:val="single" w:sz="12" w:space="0" w:color="auto"/>
            </w:tcBorders>
            <w:vAlign w:val="bottom"/>
          </w:tcPr>
          <w:p w:rsidR="00D8679F" w:rsidRDefault="00D8679F">
            <w:pPr>
              <w:tabs>
                <w:tab w:val="left" w:pos="288"/>
                <w:tab w:val="left" w:pos="576"/>
                <w:tab w:val="left" w:pos="864"/>
                <w:tab w:val="left" w:pos="1152"/>
              </w:tabs>
              <w:spacing w:after="80" w:line="240" w:lineRule="exact"/>
              <w:ind w:right="144"/>
              <w:jc w:val="lowKashida"/>
              <w:rPr>
                <w:rFonts w:hint="cs"/>
                <w:i/>
                <w:iCs/>
                <w:sz w:val="30"/>
                <w:rtl/>
                <w:lang w:bidi="ar-EG"/>
              </w:rPr>
            </w:pPr>
            <w:r>
              <w:rPr>
                <w:rFonts w:hint="cs"/>
                <w:i/>
                <w:iCs/>
                <w:sz w:val="30"/>
                <w:rtl/>
                <w:lang w:bidi="ar-EG"/>
              </w:rPr>
              <w:t>ذكور</w:t>
            </w:r>
          </w:p>
        </w:tc>
        <w:tc>
          <w:tcPr>
            <w:tcW w:w="824" w:type="dxa"/>
            <w:tcBorders>
              <w:top w:val="single" w:sz="2" w:space="0" w:color="auto"/>
              <w:bottom w:val="single" w:sz="12" w:space="0" w:color="auto"/>
            </w:tcBorders>
            <w:vAlign w:val="bottom"/>
          </w:tcPr>
          <w:p w:rsidR="00D8679F" w:rsidRDefault="00D8679F">
            <w:pPr>
              <w:tabs>
                <w:tab w:val="left" w:pos="288"/>
                <w:tab w:val="left" w:pos="576"/>
                <w:tab w:val="left" w:pos="864"/>
                <w:tab w:val="left" w:pos="1152"/>
              </w:tabs>
              <w:spacing w:after="80" w:line="240" w:lineRule="exact"/>
              <w:ind w:right="144"/>
              <w:jc w:val="lowKashida"/>
              <w:rPr>
                <w:rFonts w:hint="cs"/>
                <w:i/>
                <w:iCs/>
                <w:sz w:val="30"/>
                <w:rtl/>
                <w:lang w:bidi="ar-EG"/>
              </w:rPr>
            </w:pPr>
            <w:r>
              <w:rPr>
                <w:rFonts w:hint="cs"/>
                <w:i/>
                <w:iCs/>
                <w:sz w:val="30"/>
                <w:rtl/>
                <w:lang w:bidi="ar-EG"/>
              </w:rPr>
              <w:t>إناث</w:t>
            </w:r>
          </w:p>
        </w:tc>
        <w:tc>
          <w:tcPr>
            <w:tcW w:w="824" w:type="dxa"/>
            <w:tcBorders>
              <w:top w:val="single" w:sz="2" w:space="0" w:color="auto"/>
              <w:bottom w:val="single" w:sz="12" w:space="0" w:color="auto"/>
            </w:tcBorders>
            <w:vAlign w:val="bottom"/>
          </w:tcPr>
          <w:p w:rsidR="00D8679F" w:rsidRDefault="00D8679F">
            <w:pPr>
              <w:tabs>
                <w:tab w:val="left" w:pos="288"/>
                <w:tab w:val="left" w:pos="576"/>
                <w:tab w:val="left" w:pos="864"/>
                <w:tab w:val="left" w:pos="1152"/>
              </w:tabs>
              <w:spacing w:after="80" w:line="240" w:lineRule="exact"/>
              <w:ind w:right="144"/>
              <w:jc w:val="lowKashida"/>
              <w:rPr>
                <w:rFonts w:hint="cs"/>
                <w:i/>
                <w:iCs/>
                <w:sz w:val="30"/>
                <w:rtl/>
                <w:lang w:bidi="ar-EG"/>
              </w:rPr>
            </w:pPr>
            <w:r>
              <w:rPr>
                <w:rFonts w:hint="cs"/>
                <w:i/>
                <w:iCs/>
                <w:sz w:val="30"/>
                <w:rtl/>
                <w:lang w:bidi="ar-EG"/>
              </w:rPr>
              <w:t>ذكور</w:t>
            </w:r>
          </w:p>
        </w:tc>
        <w:tc>
          <w:tcPr>
            <w:tcW w:w="824" w:type="dxa"/>
            <w:tcBorders>
              <w:top w:val="single" w:sz="2" w:space="0" w:color="auto"/>
              <w:bottom w:val="single" w:sz="12" w:space="0" w:color="auto"/>
            </w:tcBorders>
            <w:vAlign w:val="bottom"/>
          </w:tcPr>
          <w:p w:rsidR="00D8679F" w:rsidRDefault="00D8679F">
            <w:pPr>
              <w:tabs>
                <w:tab w:val="left" w:pos="288"/>
                <w:tab w:val="left" w:pos="576"/>
                <w:tab w:val="left" w:pos="864"/>
                <w:tab w:val="left" w:pos="1152"/>
              </w:tabs>
              <w:spacing w:after="80" w:line="240" w:lineRule="exact"/>
              <w:ind w:right="144"/>
              <w:jc w:val="lowKashida"/>
              <w:rPr>
                <w:rFonts w:hint="cs"/>
                <w:i/>
                <w:iCs/>
                <w:sz w:val="30"/>
                <w:rtl/>
                <w:lang w:bidi="ar-EG"/>
              </w:rPr>
            </w:pPr>
            <w:r>
              <w:rPr>
                <w:rFonts w:hint="cs"/>
                <w:i/>
                <w:iCs/>
                <w:sz w:val="30"/>
                <w:rtl/>
                <w:lang w:bidi="ar-EG"/>
              </w:rPr>
              <w:t>إناث</w:t>
            </w:r>
          </w:p>
        </w:tc>
        <w:tc>
          <w:tcPr>
            <w:tcW w:w="824" w:type="dxa"/>
            <w:tcBorders>
              <w:top w:val="single" w:sz="2" w:space="0" w:color="auto"/>
              <w:bottom w:val="single" w:sz="12" w:space="0" w:color="auto"/>
            </w:tcBorders>
            <w:vAlign w:val="bottom"/>
          </w:tcPr>
          <w:p w:rsidR="00D8679F" w:rsidRDefault="00D8679F">
            <w:pPr>
              <w:tabs>
                <w:tab w:val="left" w:pos="288"/>
                <w:tab w:val="left" w:pos="576"/>
                <w:tab w:val="left" w:pos="864"/>
                <w:tab w:val="left" w:pos="1152"/>
              </w:tabs>
              <w:spacing w:after="80" w:line="240" w:lineRule="exact"/>
              <w:ind w:right="144"/>
              <w:jc w:val="lowKashida"/>
              <w:rPr>
                <w:rFonts w:hint="cs"/>
                <w:i/>
                <w:iCs/>
                <w:sz w:val="30"/>
                <w:rtl/>
                <w:lang w:bidi="ar-EG"/>
              </w:rPr>
            </w:pPr>
            <w:r>
              <w:rPr>
                <w:rFonts w:hint="cs"/>
                <w:i/>
                <w:iCs/>
                <w:sz w:val="30"/>
                <w:rtl/>
                <w:lang w:bidi="ar-EG"/>
              </w:rPr>
              <w:t>ذكور</w:t>
            </w:r>
          </w:p>
        </w:tc>
        <w:tc>
          <w:tcPr>
            <w:tcW w:w="799" w:type="dxa"/>
            <w:tcBorders>
              <w:top w:val="single" w:sz="2" w:space="0" w:color="auto"/>
              <w:bottom w:val="single" w:sz="12" w:space="0" w:color="auto"/>
            </w:tcBorders>
            <w:vAlign w:val="bottom"/>
          </w:tcPr>
          <w:p w:rsidR="00D8679F" w:rsidRDefault="00D8679F">
            <w:pPr>
              <w:tabs>
                <w:tab w:val="left" w:pos="288"/>
                <w:tab w:val="left" w:pos="576"/>
                <w:tab w:val="left" w:pos="864"/>
                <w:tab w:val="left" w:pos="1152"/>
              </w:tabs>
              <w:spacing w:after="80" w:line="240" w:lineRule="exact"/>
              <w:ind w:right="144"/>
              <w:jc w:val="lowKashida"/>
              <w:rPr>
                <w:rFonts w:hint="cs"/>
                <w:i/>
                <w:iCs/>
                <w:sz w:val="30"/>
                <w:rtl/>
                <w:lang w:bidi="ar-EG"/>
              </w:rPr>
            </w:pPr>
            <w:r>
              <w:rPr>
                <w:rFonts w:hint="cs"/>
                <w:i/>
                <w:iCs/>
                <w:sz w:val="30"/>
                <w:rtl/>
                <w:lang w:bidi="ar-EG"/>
              </w:rPr>
              <w:t>إناث</w:t>
            </w:r>
          </w:p>
        </w:tc>
      </w:tr>
      <w:tr w:rsidR="00D8679F" w:rsidTr="00D8679F">
        <w:tblPrEx>
          <w:tblCellMar>
            <w:top w:w="0" w:type="dxa"/>
            <w:bottom w:w="0" w:type="dxa"/>
          </w:tblCellMar>
        </w:tblPrEx>
        <w:trPr>
          <w:cantSplit/>
          <w:trHeight w:hRule="exact" w:val="115"/>
          <w:tblHeader/>
        </w:trPr>
        <w:tc>
          <w:tcPr>
            <w:tcW w:w="2403"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40"/>
              <w:rPr>
                <w:rFonts w:hint="cs"/>
                <w:sz w:val="30"/>
                <w:rtl/>
                <w:lang w:bidi="ar-EG"/>
              </w:rPr>
            </w:pPr>
          </w:p>
        </w:tc>
        <w:tc>
          <w:tcPr>
            <w:tcW w:w="824"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p>
        </w:tc>
        <w:tc>
          <w:tcPr>
            <w:tcW w:w="824"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p>
        </w:tc>
        <w:tc>
          <w:tcPr>
            <w:tcW w:w="824"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p>
        </w:tc>
        <w:tc>
          <w:tcPr>
            <w:tcW w:w="824"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p>
        </w:tc>
        <w:tc>
          <w:tcPr>
            <w:tcW w:w="824"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p>
        </w:tc>
        <w:tc>
          <w:tcPr>
            <w:tcW w:w="799"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p>
        </w:tc>
      </w:tr>
      <w:tr w:rsidR="00D8679F" w:rsidTr="00D8679F">
        <w:tblPrEx>
          <w:tblCellMar>
            <w:top w:w="0" w:type="dxa"/>
            <w:bottom w:w="0" w:type="dxa"/>
          </w:tblCellMar>
        </w:tblPrEx>
        <w:trPr>
          <w:cantSplit/>
        </w:trPr>
        <w:tc>
          <w:tcPr>
            <w:tcW w:w="2403" w:type="dxa"/>
            <w:vAlign w:val="bottom"/>
          </w:tcPr>
          <w:p w:rsidR="00D8679F" w:rsidRDefault="00D8679F">
            <w:pPr>
              <w:tabs>
                <w:tab w:val="left" w:pos="288"/>
                <w:tab w:val="left" w:pos="576"/>
                <w:tab w:val="left" w:pos="864"/>
                <w:tab w:val="left" w:pos="1152"/>
              </w:tabs>
              <w:spacing w:before="40" w:after="80" w:line="240" w:lineRule="exact"/>
              <w:ind w:right="40"/>
              <w:rPr>
                <w:rFonts w:hint="cs"/>
                <w:sz w:val="30"/>
                <w:rtl/>
                <w:lang w:bidi="ar-EG"/>
              </w:rPr>
            </w:pPr>
            <w:r>
              <w:rPr>
                <w:rFonts w:hint="cs"/>
                <w:sz w:val="30"/>
                <w:rtl/>
                <w:lang w:bidi="ar-EG"/>
              </w:rPr>
              <w:t>الريف</w:t>
            </w:r>
          </w:p>
        </w:tc>
        <w:tc>
          <w:tcPr>
            <w:tcW w:w="82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79.8</w:t>
            </w:r>
          </w:p>
        </w:tc>
        <w:tc>
          <w:tcPr>
            <w:tcW w:w="82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63.2</w:t>
            </w:r>
          </w:p>
        </w:tc>
        <w:tc>
          <w:tcPr>
            <w:tcW w:w="82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75.0</w:t>
            </w:r>
          </w:p>
        </w:tc>
        <w:tc>
          <w:tcPr>
            <w:tcW w:w="82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66.4</w:t>
            </w:r>
          </w:p>
        </w:tc>
        <w:tc>
          <w:tcPr>
            <w:tcW w:w="82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86.2</w:t>
            </w:r>
          </w:p>
        </w:tc>
        <w:tc>
          <w:tcPr>
            <w:tcW w:w="799"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75.2</w:t>
            </w:r>
          </w:p>
        </w:tc>
      </w:tr>
      <w:tr w:rsidR="00D8679F" w:rsidTr="00D8679F">
        <w:tblPrEx>
          <w:tblCellMar>
            <w:top w:w="0" w:type="dxa"/>
            <w:bottom w:w="0" w:type="dxa"/>
          </w:tblCellMar>
        </w:tblPrEx>
        <w:trPr>
          <w:cantSplit/>
        </w:trPr>
        <w:tc>
          <w:tcPr>
            <w:tcW w:w="2403" w:type="dxa"/>
            <w:vAlign w:val="bottom"/>
          </w:tcPr>
          <w:p w:rsidR="00D8679F" w:rsidRDefault="00D8679F">
            <w:pPr>
              <w:tabs>
                <w:tab w:val="left" w:pos="288"/>
                <w:tab w:val="left" w:pos="576"/>
                <w:tab w:val="left" w:pos="864"/>
                <w:tab w:val="left" w:pos="1152"/>
              </w:tabs>
              <w:spacing w:before="40" w:after="80" w:line="240" w:lineRule="exact"/>
              <w:ind w:right="40"/>
              <w:rPr>
                <w:rFonts w:hint="cs"/>
                <w:sz w:val="30"/>
                <w:rtl/>
                <w:lang w:bidi="ar-EG"/>
              </w:rPr>
            </w:pPr>
            <w:r>
              <w:rPr>
                <w:rFonts w:hint="cs"/>
                <w:sz w:val="30"/>
                <w:rtl/>
                <w:lang w:bidi="ar-EG"/>
              </w:rPr>
              <w:t>الحضر</w:t>
            </w:r>
          </w:p>
        </w:tc>
        <w:tc>
          <w:tcPr>
            <w:tcW w:w="82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95.1</w:t>
            </w:r>
          </w:p>
        </w:tc>
        <w:tc>
          <w:tcPr>
            <w:tcW w:w="82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87.4</w:t>
            </w:r>
          </w:p>
        </w:tc>
        <w:tc>
          <w:tcPr>
            <w:tcW w:w="82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86.3</w:t>
            </w:r>
          </w:p>
        </w:tc>
        <w:tc>
          <w:tcPr>
            <w:tcW w:w="82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81.6</w:t>
            </w:r>
          </w:p>
        </w:tc>
        <w:tc>
          <w:tcPr>
            <w:tcW w:w="82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93.7</w:t>
            </w:r>
          </w:p>
        </w:tc>
        <w:tc>
          <w:tcPr>
            <w:tcW w:w="799"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88.5</w:t>
            </w:r>
          </w:p>
        </w:tc>
      </w:tr>
      <w:tr w:rsidR="00D8679F" w:rsidTr="00D8679F">
        <w:tblPrEx>
          <w:tblCellMar>
            <w:top w:w="0" w:type="dxa"/>
            <w:bottom w:w="0" w:type="dxa"/>
          </w:tblCellMar>
        </w:tblPrEx>
        <w:trPr>
          <w:cantSplit/>
        </w:trPr>
        <w:tc>
          <w:tcPr>
            <w:tcW w:w="2403"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40"/>
              <w:rPr>
                <w:rFonts w:hint="cs"/>
                <w:sz w:val="30"/>
                <w:rtl/>
                <w:lang w:bidi="ar-EG"/>
              </w:rPr>
            </w:pPr>
            <w:r>
              <w:rPr>
                <w:rFonts w:hint="cs"/>
                <w:sz w:val="30"/>
                <w:rtl/>
                <w:lang w:bidi="ar-EG"/>
              </w:rPr>
              <w:t>على الصعيد الوطني</w:t>
            </w:r>
          </w:p>
        </w:tc>
        <w:tc>
          <w:tcPr>
            <w:tcW w:w="824"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82.8</w:t>
            </w:r>
          </w:p>
        </w:tc>
        <w:tc>
          <w:tcPr>
            <w:tcW w:w="824"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67.4</w:t>
            </w:r>
          </w:p>
        </w:tc>
        <w:tc>
          <w:tcPr>
            <w:tcW w:w="824"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77.6</w:t>
            </w:r>
          </w:p>
        </w:tc>
        <w:tc>
          <w:tcPr>
            <w:tcW w:w="824"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70.2</w:t>
            </w:r>
          </w:p>
        </w:tc>
        <w:tc>
          <w:tcPr>
            <w:tcW w:w="824"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88.1</w:t>
            </w:r>
          </w:p>
        </w:tc>
        <w:tc>
          <w:tcPr>
            <w:tcW w:w="799"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78.5</w:t>
            </w:r>
          </w:p>
        </w:tc>
      </w:tr>
    </w:tbl>
    <w:p w:rsidR="00000000" w:rsidRDefault="00D8679F">
      <w:pPr>
        <w:pStyle w:val="SingleTxt"/>
        <w:spacing w:after="0" w:line="120" w:lineRule="exact"/>
        <w:ind w:left="1930" w:hanging="663"/>
        <w:jc w:val="both"/>
        <w:rPr>
          <w:sz w:val="10"/>
          <w:lang w:bidi="ar-EG"/>
        </w:rPr>
      </w:pPr>
    </w:p>
    <w:p w:rsidR="00000000" w:rsidRDefault="00D8679F">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i/>
          <w:iCs/>
          <w:rtl/>
          <w:lang w:bidi="ar-EG"/>
        </w:rPr>
        <w:t>المصــــدر</w:t>
      </w:r>
      <w:r>
        <w:rPr>
          <w:rFonts w:hint="cs"/>
          <w:rtl/>
          <w:lang w:bidi="ar-EG"/>
        </w:rPr>
        <w:t>:</w:t>
      </w:r>
      <w:r>
        <w:rPr>
          <w:rtl/>
          <w:lang w:bidi="ar-EG"/>
        </w:rPr>
        <w:tab/>
      </w:r>
      <w:r>
        <w:rPr>
          <w:rFonts w:hint="cs"/>
          <w:rtl/>
          <w:lang w:bidi="ar-EG"/>
        </w:rPr>
        <w:tab/>
        <w:t>الدراسة الاستقصائية لرصد الرفاه لعام 1994 والدراسة الاستقصائية العنقودية المتعددة المؤشرات لعام 2000 والدراسة ا</w:t>
      </w:r>
      <w:r>
        <w:rPr>
          <w:rFonts w:hint="cs"/>
          <w:rtl/>
          <w:lang w:bidi="ar-EG"/>
        </w:rPr>
        <w:t>لاستقصائية الديمغرافية والصحية لكينيا لعام 2003.</w:t>
      </w:r>
    </w:p>
    <w:p w:rsidR="00000000" w:rsidRDefault="00D8679F">
      <w:pPr>
        <w:pStyle w:val="SingleTxt"/>
        <w:spacing w:after="0" w:line="120" w:lineRule="exact"/>
        <w:ind w:left="1930" w:hanging="663"/>
        <w:jc w:val="both"/>
        <w:rPr>
          <w:rFonts w:hint="cs"/>
          <w:sz w:val="10"/>
          <w:rtl/>
          <w:lang w:bidi="ar-EG"/>
        </w:rPr>
      </w:pPr>
    </w:p>
    <w:p w:rsidR="00000000" w:rsidRDefault="00D8679F">
      <w:pPr>
        <w:pStyle w:val="SingleTxt"/>
        <w:spacing w:after="0" w:line="120" w:lineRule="exact"/>
        <w:ind w:left="1930" w:hanging="663"/>
        <w:jc w:val="both"/>
        <w:rPr>
          <w:rFonts w:hint="cs"/>
          <w:sz w:val="10"/>
          <w:rtl/>
          <w:lang w:bidi="ar-EG"/>
        </w:rPr>
      </w:pPr>
    </w:p>
    <w:p w:rsidR="00000000" w:rsidRDefault="00D8679F">
      <w:pPr>
        <w:pStyle w:val="SingleTxt"/>
        <w:jc w:val="both"/>
        <w:rPr>
          <w:rFonts w:hint="cs"/>
          <w:rtl/>
          <w:lang w:bidi="ar-EG"/>
        </w:rPr>
      </w:pPr>
      <w:r>
        <w:rPr>
          <w:rFonts w:hint="cs"/>
          <w:rtl/>
          <w:lang w:bidi="ar-EG"/>
        </w:rPr>
        <w:t>105-</w:t>
      </w:r>
      <w:r>
        <w:rPr>
          <w:rFonts w:hint="cs"/>
          <w:rtl/>
          <w:lang w:bidi="ar-EG"/>
        </w:rPr>
        <w:tab/>
        <w:t xml:space="preserve">وفي عام 2003، نفذت حكومة كينيا التعليم الابتدائي المجاني والإلزامي في جميع أنحاء البلد. وتحققت على الفور نتائج ملموسة حيث بلغ الإلتحاق الإجمالي بالمدارس الابتدائية ذروته بنسبة 48.7 في المائة للبنات و </w:t>
      </w:r>
      <w:r>
        <w:rPr>
          <w:rFonts w:hint="cs"/>
          <w:rtl/>
          <w:lang w:bidi="ar-EG"/>
        </w:rPr>
        <w:t xml:space="preserve">51.3 في المائة للبنين، كما هو مبين في الجدولين 7 و 8 أدناه. بيد أن الحكومة تواجه التحدي المتمثل في نقص المدرسين في بعض المجالات. ومن المتوقع مواجهة تحديات أخرى تتعلق بالإحتفاظ بالأطفال في المدارس، والانتقال من المستوى الابتدائي إلى المستوى الثانوي والقدرة </w:t>
      </w:r>
      <w:r>
        <w:rPr>
          <w:rFonts w:hint="cs"/>
          <w:rtl/>
          <w:lang w:bidi="ar-EG"/>
        </w:rPr>
        <w:t>على تحميل التكاليف (بسبب ارتفاع مستويات الفقر). وكان هناك تحسن ملحوظ في نسبة   الالتحاق الإجمالي للبنات بالمدارس الابتدائية والثانوية منذ عام 1994 إلى عام 2004 كما هو مبين في الجداول أدناه.</w:t>
      </w:r>
    </w:p>
    <w:p w:rsidR="00000000" w:rsidRDefault="00D8679F">
      <w:pPr>
        <w:pStyle w:val="SingleTxt"/>
        <w:spacing w:after="0" w:line="120" w:lineRule="exact"/>
        <w:ind w:left="1930" w:hanging="663"/>
        <w:jc w:val="both"/>
        <w:rPr>
          <w:rFonts w:hint="cs"/>
          <w:sz w:val="10"/>
          <w:rtl/>
          <w:lang w:bidi="ar-EG"/>
        </w:rPr>
      </w:pPr>
    </w:p>
    <w:p w:rsidR="00000000" w:rsidRDefault="00D8679F">
      <w:pPr>
        <w:pStyle w:val="SingleTxt"/>
        <w:tabs>
          <w:tab w:val="clear" w:pos="2592"/>
          <w:tab w:val="left" w:pos="2228"/>
        </w:tabs>
        <w:ind w:left="2228" w:hanging="961"/>
        <w:jc w:val="both"/>
        <w:rPr>
          <w:rFonts w:hint="cs"/>
          <w:rtl/>
          <w:lang w:bidi="ar-EG"/>
        </w:rPr>
      </w:pPr>
      <w:r>
        <w:rPr>
          <w:rFonts w:hint="cs"/>
          <w:rtl/>
          <w:lang w:bidi="ar-EG"/>
        </w:rPr>
        <w:t>الجدول 7</w:t>
      </w:r>
    </w:p>
    <w:p w:rsidR="00000000" w:rsidRDefault="00D8679F">
      <w:pPr>
        <w:pStyle w:val="SingleTxt"/>
        <w:tabs>
          <w:tab w:val="clear" w:pos="2592"/>
          <w:tab w:val="left" w:pos="2228"/>
        </w:tabs>
        <w:spacing w:after="0" w:line="120" w:lineRule="exact"/>
        <w:ind w:left="2228" w:hanging="961"/>
        <w:jc w:val="both"/>
        <w:rPr>
          <w:rFonts w:hint="cs"/>
          <w:sz w:val="12"/>
          <w:rtl/>
          <w:lang w:bidi="ar-EG"/>
        </w:rPr>
      </w:pPr>
    </w:p>
    <w:p w:rsidR="00000000" w:rsidRDefault="00D8679F">
      <w:pPr>
        <w:pStyle w:val="SingleTxt"/>
        <w:tabs>
          <w:tab w:val="clear" w:pos="2592"/>
          <w:tab w:val="left" w:pos="2228"/>
        </w:tabs>
        <w:jc w:val="both"/>
        <w:rPr>
          <w:rFonts w:hint="cs"/>
          <w:rtl/>
          <w:lang w:bidi="ar-EG"/>
        </w:rPr>
      </w:pPr>
      <w:r>
        <w:rPr>
          <w:rFonts w:hint="cs"/>
          <w:b/>
          <w:bCs/>
          <w:rtl/>
          <w:lang w:bidi="ar-EG"/>
        </w:rPr>
        <w:t>نسبة الالتحاق الإجمالي بالمدارس الابتدائية حسب الجنس، 1</w:t>
      </w:r>
      <w:r>
        <w:rPr>
          <w:rFonts w:hint="cs"/>
          <w:b/>
          <w:bCs/>
          <w:rtl/>
          <w:lang w:bidi="ar-EG"/>
        </w:rPr>
        <w:t>994-2004 (بالنسبة</w:t>
      </w:r>
      <w:r>
        <w:rPr>
          <w:rFonts w:hint="eastAsia"/>
          <w:b/>
          <w:bCs/>
          <w:rtl/>
          <w:lang w:bidi="ar-EG"/>
        </w:rPr>
        <w:t> </w:t>
      </w:r>
      <w:r>
        <w:rPr>
          <w:rFonts w:hint="cs"/>
          <w:b/>
          <w:bCs/>
          <w:rtl/>
          <w:lang w:bidi="ar-EG"/>
        </w:rPr>
        <w:t>المئوية)</w:t>
      </w:r>
    </w:p>
    <w:p w:rsidR="00000000" w:rsidRDefault="00D8679F">
      <w:pPr>
        <w:pStyle w:val="SingleTxt"/>
        <w:spacing w:after="0" w:line="120" w:lineRule="exact"/>
        <w:ind w:left="1930" w:hanging="663"/>
        <w:jc w:val="both"/>
        <w:rPr>
          <w:rFonts w:hint="cs"/>
          <w:sz w:val="10"/>
          <w:rtl/>
          <w:lang w:bidi="ar-EG"/>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1830"/>
        <w:gridCol w:w="1830"/>
        <w:gridCol w:w="1445"/>
      </w:tblGrid>
      <w:tr w:rsidR="00D8679F" w:rsidTr="00D8679F">
        <w:tblPrEx>
          <w:tblCellMar>
            <w:top w:w="0" w:type="dxa"/>
            <w:bottom w:w="0" w:type="dxa"/>
          </w:tblCellMar>
        </w:tblPrEx>
        <w:trPr>
          <w:cantSplit/>
          <w:tblHeader/>
        </w:trPr>
        <w:tc>
          <w:tcPr>
            <w:tcW w:w="1830"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80" w:after="80" w:line="240" w:lineRule="exact"/>
              <w:ind w:right="40"/>
              <w:rPr>
                <w:rFonts w:hint="cs"/>
                <w:i/>
                <w:iCs/>
                <w:sz w:val="30"/>
                <w:rtl/>
                <w:lang w:bidi="ar-EG"/>
              </w:rPr>
            </w:pPr>
            <w:r>
              <w:rPr>
                <w:rFonts w:hint="cs"/>
                <w:i/>
                <w:iCs/>
                <w:sz w:val="30"/>
                <w:rtl/>
                <w:lang w:bidi="ar-EG"/>
              </w:rPr>
              <w:t>السنة</w:t>
            </w:r>
          </w:p>
        </w:tc>
        <w:tc>
          <w:tcPr>
            <w:tcW w:w="1830"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80" w:after="80" w:line="240" w:lineRule="exact"/>
              <w:ind w:right="144"/>
              <w:jc w:val="lowKashida"/>
              <w:rPr>
                <w:rFonts w:hint="cs"/>
                <w:i/>
                <w:iCs/>
                <w:sz w:val="30"/>
                <w:rtl/>
                <w:lang w:bidi="ar-EG"/>
              </w:rPr>
            </w:pPr>
            <w:r>
              <w:rPr>
                <w:rFonts w:hint="cs"/>
                <w:i/>
                <w:iCs/>
                <w:sz w:val="30"/>
                <w:rtl/>
                <w:lang w:bidi="ar-EG"/>
              </w:rPr>
              <w:t>البنون</w:t>
            </w:r>
          </w:p>
        </w:tc>
        <w:tc>
          <w:tcPr>
            <w:tcW w:w="1830"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80" w:after="80" w:line="240" w:lineRule="exact"/>
              <w:ind w:right="144"/>
              <w:jc w:val="lowKashida"/>
              <w:rPr>
                <w:rFonts w:hint="cs"/>
                <w:i/>
                <w:iCs/>
                <w:sz w:val="30"/>
                <w:rtl/>
                <w:lang w:bidi="ar-EG"/>
              </w:rPr>
            </w:pPr>
            <w:r>
              <w:rPr>
                <w:rFonts w:hint="cs"/>
                <w:i/>
                <w:iCs/>
                <w:sz w:val="30"/>
                <w:rtl/>
                <w:lang w:bidi="ar-EG"/>
              </w:rPr>
              <w:t>البنات</w:t>
            </w:r>
          </w:p>
        </w:tc>
        <w:tc>
          <w:tcPr>
            <w:tcW w:w="1445"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80" w:after="80" w:line="240" w:lineRule="exact"/>
              <w:ind w:right="144"/>
              <w:jc w:val="lowKashida"/>
              <w:rPr>
                <w:rFonts w:hint="cs"/>
                <w:i/>
                <w:iCs/>
                <w:sz w:val="30"/>
                <w:rtl/>
                <w:lang w:bidi="ar-EG"/>
              </w:rPr>
            </w:pPr>
            <w:r>
              <w:rPr>
                <w:rFonts w:hint="cs"/>
                <w:i/>
                <w:iCs/>
                <w:sz w:val="30"/>
                <w:rtl/>
                <w:lang w:bidi="ar-EG"/>
              </w:rPr>
              <w:t>المجموع</w:t>
            </w:r>
          </w:p>
        </w:tc>
      </w:tr>
      <w:tr w:rsidR="00D8679F" w:rsidTr="00D8679F">
        <w:tblPrEx>
          <w:tblCellMar>
            <w:top w:w="0" w:type="dxa"/>
            <w:bottom w:w="0" w:type="dxa"/>
          </w:tblCellMar>
        </w:tblPrEx>
        <w:trPr>
          <w:cantSplit/>
          <w:trHeight w:hRule="exact" w:val="115"/>
          <w:tblHeader/>
        </w:trPr>
        <w:tc>
          <w:tcPr>
            <w:tcW w:w="1830"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40"/>
              <w:rPr>
                <w:rFonts w:hint="cs"/>
                <w:sz w:val="30"/>
                <w:rtl/>
                <w:lang w:bidi="ar-EG"/>
              </w:rPr>
            </w:pPr>
          </w:p>
        </w:tc>
        <w:tc>
          <w:tcPr>
            <w:tcW w:w="1830"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p>
        </w:tc>
        <w:tc>
          <w:tcPr>
            <w:tcW w:w="1830"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p>
        </w:tc>
        <w:tc>
          <w:tcPr>
            <w:tcW w:w="1445"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p>
        </w:tc>
      </w:tr>
      <w:tr w:rsidR="00D8679F" w:rsidTr="00D8679F">
        <w:tblPrEx>
          <w:tblCellMar>
            <w:top w:w="0" w:type="dxa"/>
            <w:bottom w:w="0" w:type="dxa"/>
          </w:tblCellMar>
        </w:tblPrEx>
        <w:trPr>
          <w:cantSplit/>
        </w:trPr>
        <w:tc>
          <w:tcPr>
            <w:tcW w:w="1830" w:type="dxa"/>
            <w:vAlign w:val="bottom"/>
          </w:tcPr>
          <w:p w:rsidR="00D8679F" w:rsidRDefault="00D8679F">
            <w:pPr>
              <w:tabs>
                <w:tab w:val="left" w:pos="288"/>
                <w:tab w:val="left" w:pos="576"/>
                <w:tab w:val="left" w:pos="864"/>
                <w:tab w:val="left" w:pos="1152"/>
              </w:tabs>
              <w:spacing w:before="40" w:after="80" w:line="240" w:lineRule="exact"/>
              <w:ind w:right="40"/>
              <w:rPr>
                <w:rFonts w:hint="cs"/>
                <w:sz w:val="30"/>
                <w:rtl/>
                <w:lang w:bidi="ar-EG"/>
              </w:rPr>
            </w:pPr>
            <w:r>
              <w:rPr>
                <w:rFonts w:hint="cs"/>
                <w:sz w:val="30"/>
                <w:rtl/>
                <w:lang w:bidi="ar-EG"/>
              </w:rPr>
              <w:t>1994</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89.1</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87.8</w:t>
            </w:r>
          </w:p>
        </w:tc>
        <w:tc>
          <w:tcPr>
            <w:tcW w:w="1445"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88.5</w:t>
            </w:r>
          </w:p>
        </w:tc>
      </w:tr>
      <w:tr w:rsidR="00D8679F" w:rsidTr="00D8679F">
        <w:tblPrEx>
          <w:tblCellMar>
            <w:top w:w="0" w:type="dxa"/>
            <w:bottom w:w="0" w:type="dxa"/>
          </w:tblCellMar>
        </w:tblPrEx>
        <w:trPr>
          <w:cantSplit/>
        </w:trPr>
        <w:tc>
          <w:tcPr>
            <w:tcW w:w="1830" w:type="dxa"/>
            <w:vAlign w:val="bottom"/>
          </w:tcPr>
          <w:p w:rsidR="00D8679F" w:rsidRDefault="00D8679F">
            <w:pPr>
              <w:tabs>
                <w:tab w:val="left" w:pos="288"/>
                <w:tab w:val="left" w:pos="576"/>
                <w:tab w:val="left" w:pos="864"/>
                <w:tab w:val="left" w:pos="1152"/>
              </w:tabs>
              <w:spacing w:before="40" w:after="80" w:line="240" w:lineRule="exact"/>
              <w:ind w:right="40"/>
              <w:rPr>
                <w:rFonts w:hint="cs"/>
                <w:sz w:val="30"/>
                <w:rtl/>
                <w:lang w:bidi="ar-EG"/>
              </w:rPr>
            </w:pPr>
            <w:r>
              <w:rPr>
                <w:rFonts w:hint="cs"/>
                <w:sz w:val="30"/>
                <w:rtl/>
                <w:lang w:bidi="ar-EG"/>
              </w:rPr>
              <w:t>1995</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87.4</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86.3</w:t>
            </w:r>
          </w:p>
        </w:tc>
        <w:tc>
          <w:tcPr>
            <w:tcW w:w="1445"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86.8</w:t>
            </w:r>
          </w:p>
        </w:tc>
      </w:tr>
      <w:tr w:rsidR="00D8679F" w:rsidTr="00D8679F">
        <w:tblPrEx>
          <w:tblCellMar>
            <w:top w:w="0" w:type="dxa"/>
            <w:bottom w:w="0" w:type="dxa"/>
          </w:tblCellMar>
        </w:tblPrEx>
        <w:trPr>
          <w:cantSplit/>
        </w:trPr>
        <w:tc>
          <w:tcPr>
            <w:tcW w:w="1830" w:type="dxa"/>
            <w:vAlign w:val="bottom"/>
          </w:tcPr>
          <w:p w:rsidR="00D8679F" w:rsidRDefault="00D8679F">
            <w:pPr>
              <w:tabs>
                <w:tab w:val="left" w:pos="288"/>
                <w:tab w:val="left" w:pos="576"/>
                <w:tab w:val="left" w:pos="864"/>
                <w:tab w:val="left" w:pos="1152"/>
              </w:tabs>
              <w:spacing w:before="40" w:after="80" w:line="240" w:lineRule="exact"/>
              <w:ind w:right="40"/>
              <w:rPr>
                <w:rFonts w:hint="cs"/>
                <w:sz w:val="30"/>
                <w:rtl/>
                <w:lang w:bidi="ar-EG"/>
              </w:rPr>
            </w:pPr>
            <w:r>
              <w:rPr>
                <w:rFonts w:hint="cs"/>
                <w:sz w:val="30"/>
                <w:rtl/>
                <w:lang w:bidi="ar-EG"/>
              </w:rPr>
              <w:t>1996</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87.3</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85.5</w:t>
            </w:r>
          </w:p>
        </w:tc>
        <w:tc>
          <w:tcPr>
            <w:tcW w:w="1445"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86.4</w:t>
            </w:r>
          </w:p>
        </w:tc>
      </w:tr>
      <w:tr w:rsidR="00D8679F" w:rsidTr="00D8679F">
        <w:tblPrEx>
          <w:tblCellMar>
            <w:top w:w="0" w:type="dxa"/>
            <w:bottom w:w="0" w:type="dxa"/>
          </w:tblCellMar>
        </w:tblPrEx>
        <w:trPr>
          <w:cantSplit/>
        </w:trPr>
        <w:tc>
          <w:tcPr>
            <w:tcW w:w="1830" w:type="dxa"/>
            <w:vAlign w:val="bottom"/>
          </w:tcPr>
          <w:p w:rsidR="00D8679F" w:rsidRDefault="00D8679F">
            <w:pPr>
              <w:tabs>
                <w:tab w:val="left" w:pos="288"/>
                <w:tab w:val="left" w:pos="576"/>
                <w:tab w:val="left" w:pos="864"/>
                <w:tab w:val="left" w:pos="1152"/>
              </w:tabs>
              <w:spacing w:before="40" w:after="80" w:line="240" w:lineRule="exact"/>
              <w:ind w:right="40"/>
              <w:rPr>
                <w:rFonts w:hint="cs"/>
                <w:sz w:val="30"/>
                <w:rtl/>
                <w:lang w:bidi="ar-EG"/>
              </w:rPr>
            </w:pPr>
            <w:r>
              <w:rPr>
                <w:rFonts w:hint="cs"/>
                <w:sz w:val="30"/>
                <w:rtl/>
                <w:lang w:bidi="ar-EG"/>
              </w:rPr>
              <w:t>1997</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88.7</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86.5</w:t>
            </w:r>
          </w:p>
        </w:tc>
        <w:tc>
          <w:tcPr>
            <w:tcW w:w="1445"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87.7</w:t>
            </w:r>
          </w:p>
        </w:tc>
      </w:tr>
      <w:tr w:rsidR="00D8679F" w:rsidTr="00D8679F">
        <w:tblPrEx>
          <w:tblCellMar>
            <w:top w:w="0" w:type="dxa"/>
            <w:bottom w:w="0" w:type="dxa"/>
          </w:tblCellMar>
        </w:tblPrEx>
        <w:trPr>
          <w:cantSplit/>
        </w:trPr>
        <w:tc>
          <w:tcPr>
            <w:tcW w:w="1830" w:type="dxa"/>
            <w:vAlign w:val="bottom"/>
          </w:tcPr>
          <w:p w:rsidR="00D8679F" w:rsidRDefault="00D8679F">
            <w:pPr>
              <w:tabs>
                <w:tab w:val="left" w:pos="288"/>
                <w:tab w:val="left" w:pos="576"/>
                <w:tab w:val="left" w:pos="864"/>
                <w:tab w:val="left" w:pos="1152"/>
              </w:tabs>
              <w:spacing w:before="40" w:after="80" w:line="240" w:lineRule="exact"/>
              <w:ind w:right="40"/>
              <w:rPr>
                <w:rFonts w:hint="cs"/>
                <w:sz w:val="30"/>
                <w:rtl/>
                <w:lang w:bidi="ar-EG"/>
              </w:rPr>
            </w:pPr>
            <w:r>
              <w:rPr>
                <w:rFonts w:hint="cs"/>
                <w:sz w:val="30"/>
                <w:rtl/>
                <w:lang w:bidi="ar-EG"/>
              </w:rPr>
              <w:t>1998</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89.3</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88.2</w:t>
            </w:r>
          </w:p>
        </w:tc>
        <w:tc>
          <w:tcPr>
            <w:tcW w:w="1445"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88.8</w:t>
            </w:r>
          </w:p>
        </w:tc>
      </w:tr>
      <w:tr w:rsidR="00D8679F" w:rsidTr="00D8679F">
        <w:tblPrEx>
          <w:tblCellMar>
            <w:top w:w="0" w:type="dxa"/>
            <w:bottom w:w="0" w:type="dxa"/>
          </w:tblCellMar>
        </w:tblPrEx>
        <w:trPr>
          <w:cantSplit/>
        </w:trPr>
        <w:tc>
          <w:tcPr>
            <w:tcW w:w="1830" w:type="dxa"/>
            <w:vAlign w:val="bottom"/>
          </w:tcPr>
          <w:p w:rsidR="00D8679F" w:rsidRDefault="00D8679F">
            <w:pPr>
              <w:tabs>
                <w:tab w:val="left" w:pos="288"/>
                <w:tab w:val="left" w:pos="576"/>
                <w:tab w:val="left" w:pos="864"/>
                <w:tab w:val="left" w:pos="1152"/>
              </w:tabs>
              <w:spacing w:before="40" w:after="80" w:line="240" w:lineRule="exact"/>
              <w:ind w:right="40"/>
              <w:rPr>
                <w:rFonts w:hint="cs"/>
                <w:sz w:val="30"/>
                <w:rtl/>
                <w:lang w:bidi="ar-EG"/>
              </w:rPr>
            </w:pPr>
            <w:r>
              <w:rPr>
                <w:rFonts w:hint="cs"/>
                <w:sz w:val="30"/>
                <w:rtl/>
                <w:lang w:bidi="ar-EG"/>
              </w:rPr>
              <w:t>1999</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90.8</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88.8</w:t>
            </w:r>
          </w:p>
        </w:tc>
        <w:tc>
          <w:tcPr>
            <w:tcW w:w="1445"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89.8</w:t>
            </w:r>
          </w:p>
        </w:tc>
      </w:tr>
      <w:tr w:rsidR="00D8679F" w:rsidTr="00D8679F">
        <w:tblPrEx>
          <w:tblCellMar>
            <w:top w:w="0" w:type="dxa"/>
            <w:bottom w:w="0" w:type="dxa"/>
          </w:tblCellMar>
        </w:tblPrEx>
        <w:trPr>
          <w:cantSplit/>
        </w:trPr>
        <w:tc>
          <w:tcPr>
            <w:tcW w:w="1830" w:type="dxa"/>
            <w:vAlign w:val="bottom"/>
          </w:tcPr>
          <w:p w:rsidR="00D8679F" w:rsidRDefault="00D8679F">
            <w:pPr>
              <w:tabs>
                <w:tab w:val="left" w:pos="288"/>
                <w:tab w:val="left" w:pos="576"/>
                <w:tab w:val="left" w:pos="864"/>
                <w:tab w:val="left" w:pos="1152"/>
              </w:tabs>
              <w:spacing w:before="40" w:after="80" w:line="240" w:lineRule="exact"/>
              <w:ind w:right="40"/>
              <w:rPr>
                <w:rFonts w:hint="cs"/>
                <w:sz w:val="30"/>
                <w:rtl/>
                <w:lang w:bidi="ar-EG"/>
              </w:rPr>
            </w:pPr>
            <w:r>
              <w:rPr>
                <w:rFonts w:hint="cs"/>
                <w:sz w:val="30"/>
                <w:rtl/>
                <w:lang w:bidi="ar-EG"/>
              </w:rPr>
              <w:t>2000</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91.1</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90.8</w:t>
            </w:r>
          </w:p>
        </w:tc>
        <w:tc>
          <w:tcPr>
            <w:tcW w:w="1445"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91.0</w:t>
            </w:r>
          </w:p>
        </w:tc>
      </w:tr>
      <w:tr w:rsidR="00D8679F" w:rsidTr="00D8679F">
        <w:tblPrEx>
          <w:tblCellMar>
            <w:top w:w="0" w:type="dxa"/>
            <w:bottom w:w="0" w:type="dxa"/>
          </w:tblCellMar>
        </w:tblPrEx>
        <w:trPr>
          <w:cantSplit/>
        </w:trPr>
        <w:tc>
          <w:tcPr>
            <w:tcW w:w="1830" w:type="dxa"/>
            <w:vAlign w:val="bottom"/>
          </w:tcPr>
          <w:p w:rsidR="00D8679F" w:rsidRDefault="00D8679F">
            <w:pPr>
              <w:tabs>
                <w:tab w:val="left" w:pos="288"/>
                <w:tab w:val="left" w:pos="576"/>
                <w:tab w:val="left" w:pos="864"/>
                <w:tab w:val="left" w:pos="1152"/>
              </w:tabs>
              <w:spacing w:before="40" w:after="80" w:line="240" w:lineRule="exact"/>
              <w:ind w:right="40"/>
              <w:rPr>
                <w:rFonts w:hint="cs"/>
                <w:sz w:val="30"/>
                <w:rtl/>
                <w:lang w:bidi="ar-EG"/>
              </w:rPr>
            </w:pPr>
            <w:r>
              <w:rPr>
                <w:rFonts w:hint="cs"/>
                <w:sz w:val="30"/>
                <w:rtl/>
                <w:lang w:bidi="ar-EG"/>
              </w:rPr>
              <w:t>2001</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90.5</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89.2</w:t>
            </w:r>
          </w:p>
        </w:tc>
        <w:tc>
          <w:tcPr>
            <w:tcW w:w="1445"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89.8</w:t>
            </w:r>
          </w:p>
        </w:tc>
      </w:tr>
      <w:tr w:rsidR="00D8679F" w:rsidTr="00D8679F">
        <w:tblPrEx>
          <w:tblCellMar>
            <w:top w:w="0" w:type="dxa"/>
            <w:bottom w:w="0" w:type="dxa"/>
          </w:tblCellMar>
        </w:tblPrEx>
        <w:trPr>
          <w:cantSplit/>
        </w:trPr>
        <w:tc>
          <w:tcPr>
            <w:tcW w:w="1830" w:type="dxa"/>
            <w:vAlign w:val="bottom"/>
          </w:tcPr>
          <w:p w:rsidR="00D8679F" w:rsidRDefault="00D8679F">
            <w:pPr>
              <w:tabs>
                <w:tab w:val="left" w:pos="288"/>
                <w:tab w:val="left" w:pos="576"/>
                <w:tab w:val="left" w:pos="864"/>
                <w:tab w:val="left" w:pos="1152"/>
              </w:tabs>
              <w:spacing w:before="40" w:after="80" w:line="240" w:lineRule="exact"/>
              <w:ind w:right="40"/>
              <w:rPr>
                <w:rFonts w:hint="cs"/>
                <w:sz w:val="30"/>
                <w:rtl/>
                <w:lang w:bidi="ar-EG"/>
              </w:rPr>
            </w:pPr>
            <w:r>
              <w:rPr>
                <w:rFonts w:hint="cs"/>
                <w:sz w:val="30"/>
                <w:rtl/>
                <w:lang w:bidi="ar-EG"/>
              </w:rPr>
              <w:t>2002</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91.3</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87.5</w:t>
            </w:r>
          </w:p>
        </w:tc>
        <w:tc>
          <w:tcPr>
            <w:tcW w:w="1445"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89.4</w:t>
            </w:r>
          </w:p>
        </w:tc>
      </w:tr>
      <w:tr w:rsidR="00D8679F" w:rsidTr="00D8679F">
        <w:tblPrEx>
          <w:tblCellMar>
            <w:top w:w="0" w:type="dxa"/>
            <w:bottom w:w="0" w:type="dxa"/>
          </w:tblCellMar>
        </w:tblPrEx>
        <w:trPr>
          <w:cantSplit/>
        </w:trPr>
        <w:tc>
          <w:tcPr>
            <w:tcW w:w="1830" w:type="dxa"/>
            <w:vAlign w:val="bottom"/>
          </w:tcPr>
          <w:p w:rsidR="00D8679F" w:rsidRDefault="00D8679F">
            <w:pPr>
              <w:tabs>
                <w:tab w:val="left" w:pos="288"/>
                <w:tab w:val="left" w:pos="576"/>
                <w:tab w:val="left" w:pos="864"/>
                <w:tab w:val="left" w:pos="1152"/>
              </w:tabs>
              <w:spacing w:before="40" w:after="80" w:line="240" w:lineRule="exact"/>
              <w:ind w:right="40"/>
              <w:rPr>
                <w:rFonts w:hint="cs"/>
                <w:sz w:val="30"/>
                <w:rtl/>
                <w:lang w:bidi="ar-EG"/>
              </w:rPr>
            </w:pPr>
            <w:r>
              <w:rPr>
                <w:rFonts w:hint="cs"/>
                <w:sz w:val="30"/>
                <w:rtl/>
                <w:lang w:bidi="ar-EG"/>
              </w:rPr>
              <w:t>2003</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105.0</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100.2</w:t>
            </w:r>
          </w:p>
        </w:tc>
        <w:tc>
          <w:tcPr>
            <w:tcW w:w="1445"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102.6</w:t>
            </w:r>
          </w:p>
        </w:tc>
      </w:tr>
      <w:tr w:rsidR="00D8679F" w:rsidTr="00D8679F">
        <w:tblPrEx>
          <w:tblCellMar>
            <w:top w:w="0" w:type="dxa"/>
            <w:bottom w:w="0" w:type="dxa"/>
          </w:tblCellMar>
        </w:tblPrEx>
        <w:trPr>
          <w:cantSplit/>
        </w:trPr>
        <w:tc>
          <w:tcPr>
            <w:tcW w:w="1830"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40"/>
              <w:rPr>
                <w:rFonts w:hint="cs"/>
                <w:sz w:val="30"/>
                <w:rtl/>
                <w:lang w:bidi="ar-EG"/>
              </w:rPr>
            </w:pPr>
            <w:r>
              <w:rPr>
                <w:rFonts w:hint="cs"/>
                <w:sz w:val="30"/>
                <w:rtl/>
                <w:lang w:bidi="ar-EG"/>
              </w:rPr>
              <w:t>2004</w:t>
            </w:r>
          </w:p>
        </w:tc>
        <w:tc>
          <w:tcPr>
            <w:tcW w:w="1830"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108.3</w:t>
            </w:r>
          </w:p>
        </w:tc>
        <w:tc>
          <w:tcPr>
            <w:tcW w:w="1830"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102.1</w:t>
            </w:r>
          </w:p>
        </w:tc>
        <w:tc>
          <w:tcPr>
            <w:tcW w:w="1445"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104.5</w:t>
            </w:r>
          </w:p>
        </w:tc>
      </w:tr>
    </w:tbl>
    <w:p w:rsidR="00000000" w:rsidRDefault="00D8679F">
      <w:pPr>
        <w:pStyle w:val="SingleTxt"/>
        <w:spacing w:after="0" w:line="120" w:lineRule="exact"/>
        <w:ind w:left="1930" w:hanging="663"/>
        <w:jc w:val="both"/>
        <w:rPr>
          <w:rFonts w:hint="cs"/>
          <w:sz w:val="10"/>
          <w:rtl/>
          <w:lang w:bidi="ar-EG"/>
        </w:rPr>
      </w:pPr>
    </w:p>
    <w:p w:rsidR="00000000" w:rsidRDefault="00D8679F">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sz w:val="30"/>
          <w:szCs w:val="30"/>
          <w:rtl/>
          <w:lang w:bidi="ar-EG"/>
        </w:rPr>
      </w:pPr>
      <w:r>
        <w:rPr>
          <w:rFonts w:hint="cs"/>
          <w:i/>
          <w:iCs/>
          <w:sz w:val="30"/>
          <w:szCs w:val="30"/>
          <w:rtl/>
          <w:lang w:bidi="ar-EG"/>
        </w:rPr>
        <w:t>المصدر</w:t>
      </w:r>
      <w:r>
        <w:rPr>
          <w:rFonts w:hint="cs"/>
          <w:sz w:val="30"/>
          <w:szCs w:val="30"/>
          <w:rtl/>
          <w:lang w:bidi="ar-EG"/>
        </w:rPr>
        <w:t>: وزارة التعليم، والعلوم والتكنولوجيا.</w:t>
      </w:r>
    </w:p>
    <w:p w:rsidR="00000000" w:rsidRDefault="00D8679F">
      <w:pPr>
        <w:pStyle w:val="SingleTxt"/>
        <w:spacing w:after="0" w:line="120" w:lineRule="exact"/>
        <w:ind w:left="1930" w:hanging="663"/>
        <w:jc w:val="both"/>
        <w:rPr>
          <w:rFonts w:hint="cs"/>
          <w:sz w:val="10"/>
          <w:rtl/>
          <w:lang w:bidi="ar-EG"/>
        </w:rPr>
      </w:pPr>
    </w:p>
    <w:p w:rsidR="00000000" w:rsidRDefault="00D8679F">
      <w:pPr>
        <w:pStyle w:val="SingleTxt"/>
        <w:spacing w:after="0" w:line="120" w:lineRule="exact"/>
        <w:ind w:left="1930" w:hanging="663"/>
        <w:jc w:val="both"/>
        <w:rPr>
          <w:rFonts w:hint="cs"/>
          <w:sz w:val="10"/>
          <w:rtl/>
          <w:lang w:bidi="ar-EG"/>
        </w:rPr>
      </w:pPr>
    </w:p>
    <w:p w:rsidR="00000000" w:rsidRDefault="00D8679F">
      <w:pPr>
        <w:pStyle w:val="SingleTxt"/>
        <w:tabs>
          <w:tab w:val="clear" w:pos="2592"/>
          <w:tab w:val="left" w:pos="2228"/>
        </w:tabs>
        <w:ind w:left="2228" w:hanging="961"/>
        <w:jc w:val="both"/>
        <w:rPr>
          <w:rFonts w:hint="cs"/>
          <w:rtl/>
          <w:lang w:bidi="ar-EG"/>
        </w:rPr>
      </w:pPr>
      <w:r>
        <w:rPr>
          <w:rFonts w:hint="cs"/>
          <w:rtl/>
          <w:lang w:bidi="ar-EG"/>
        </w:rPr>
        <w:t>الجدول 8</w:t>
      </w:r>
    </w:p>
    <w:p w:rsidR="00000000" w:rsidRDefault="00D8679F">
      <w:pPr>
        <w:pStyle w:val="SingleTxt"/>
        <w:tabs>
          <w:tab w:val="clear" w:pos="2592"/>
          <w:tab w:val="left" w:pos="2228"/>
        </w:tabs>
        <w:spacing w:after="0" w:line="120" w:lineRule="exact"/>
        <w:ind w:left="2228" w:hanging="961"/>
        <w:jc w:val="both"/>
        <w:rPr>
          <w:rFonts w:hint="cs"/>
          <w:sz w:val="12"/>
          <w:rtl/>
          <w:lang w:bidi="ar-EG"/>
        </w:rPr>
      </w:pPr>
    </w:p>
    <w:p w:rsidR="00000000" w:rsidRDefault="00D8679F">
      <w:pPr>
        <w:pStyle w:val="SingleTxt"/>
        <w:tabs>
          <w:tab w:val="clear" w:pos="2592"/>
          <w:tab w:val="left" w:pos="2228"/>
        </w:tabs>
        <w:jc w:val="both"/>
        <w:rPr>
          <w:rFonts w:hint="cs"/>
          <w:rtl/>
          <w:lang w:bidi="ar-EG"/>
        </w:rPr>
      </w:pPr>
      <w:r>
        <w:rPr>
          <w:rFonts w:hint="cs"/>
          <w:b/>
          <w:bCs/>
          <w:rtl/>
          <w:lang w:bidi="ar-EG"/>
        </w:rPr>
        <w:t>نسب الالتحاق الإجمالي بالمدارس الثانوية حسب الجنس، 1994-2004 (بالنسبة</w:t>
      </w:r>
      <w:r>
        <w:rPr>
          <w:rFonts w:hint="eastAsia"/>
          <w:b/>
          <w:bCs/>
          <w:rtl/>
          <w:lang w:bidi="ar-EG"/>
        </w:rPr>
        <w:t> </w:t>
      </w:r>
      <w:r>
        <w:rPr>
          <w:rFonts w:hint="cs"/>
          <w:b/>
          <w:bCs/>
          <w:rtl/>
          <w:lang w:bidi="ar-EG"/>
        </w:rPr>
        <w:t>المئوية)</w:t>
      </w:r>
    </w:p>
    <w:p w:rsidR="00000000" w:rsidRDefault="00D8679F">
      <w:pPr>
        <w:pStyle w:val="SingleTxt"/>
        <w:spacing w:after="0" w:line="120" w:lineRule="exact"/>
        <w:ind w:left="1930" w:hanging="663"/>
        <w:jc w:val="both"/>
        <w:rPr>
          <w:rFonts w:hint="cs"/>
          <w:sz w:val="10"/>
          <w:rtl/>
          <w:lang w:bidi="ar-EG"/>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1830"/>
        <w:gridCol w:w="1830"/>
        <w:gridCol w:w="1342"/>
      </w:tblGrid>
      <w:tr w:rsidR="00D8679F" w:rsidTr="00D8679F">
        <w:tblPrEx>
          <w:tblCellMar>
            <w:top w:w="0" w:type="dxa"/>
            <w:bottom w:w="0" w:type="dxa"/>
          </w:tblCellMar>
        </w:tblPrEx>
        <w:trPr>
          <w:cantSplit/>
          <w:tblHeader/>
        </w:trPr>
        <w:tc>
          <w:tcPr>
            <w:tcW w:w="1830"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80" w:after="80" w:line="240" w:lineRule="exact"/>
              <w:ind w:right="40"/>
              <w:rPr>
                <w:rFonts w:hint="cs"/>
                <w:i/>
                <w:iCs/>
                <w:sz w:val="30"/>
                <w:rtl/>
                <w:lang w:bidi="ar-EG"/>
              </w:rPr>
            </w:pPr>
            <w:r>
              <w:rPr>
                <w:rFonts w:hint="cs"/>
                <w:i/>
                <w:iCs/>
                <w:sz w:val="30"/>
                <w:rtl/>
                <w:lang w:bidi="ar-EG"/>
              </w:rPr>
              <w:t>السنة</w:t>
            </w:r>
          </w:p>
        </w:tc>
        <w:tc>
          <w:tcPr>
            <w:tcW w:w="1830"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80" w:after="80" w:line="240" w:lineRule="exact"/>
              <w:ind w:right="144"/>
              <w:jc w:val="lowKashida"/>
              <w:rPr>
                <w:rFonts w:hint="cs"/>
                <w:i/>
                <w:iCs/>
                <w:sz w:val="30"/>
                <w:rtl/>
                <w:lang w:bidi="ar-EG"/>
              </w:rPr>
            </w:pPr>
            <w:r>
              <w:rPr>
                <w:rFonts w:hint="cs"/>
                <w:i/>
                <w:iCs/>
                <w:sz w:val="30"/>
                <w:rtl/>
                <w:lang w:bidi="ar-EG"/>
              </w:rPr>
              <w:t>البنون</w:t>
            </w:r>
          </w:p>
        </w:tc>
        <w:tc>
          <w:tcPr>
            <w:tcW w:w="1830"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80" w:after="80" w:line="240" w:lineRule="exact"/>
              <w:ind w:right="144"/>
              <w:jc w:val="lowKashida"/>
              <w:rPr>
                <w:rFonts w:hint="cs"/>
                <w:i/>
                <w:iCs/>
                <w:sz w:val="30"/>
                <w:rtl/>
                <w:lang w:bidi="ar-EG"/>
              </w:rPr>
            </w:pPr>
            <w:r>
              <w:rPr>
                <w:rFonts w:hint="cs"/>
                <w:i/>
                <w:iCs/>
                <w:sz w:val="30"/>
                <w:rtl/>
                <w:lang w:bidi="ar-EG"/>
              </w:rPr>
              <w:t>البنات</w:t>
            </w:r>
          </w:p>
        </w:tc>
        <w:tc>
          <w:tcPr>
            <w:tcW w:w="1342"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80" w:after="80" w:line="240" w:lineRule="exact"/>
              <w:ind w:right="144"/>
              <w:jc w:val="lowKashida"/>
              <w:rPr>
                <w:rFonts w:hint="cs"/>
                <w:i/>
                <w:iCs/>
                <w:sz w:val="30"/>
                <w:rtl/>
                <w:lang w:bidi="ar-EG"/>
              </w:rPr>
            </w:pPr>
            <w:r>
              <w:rPr>
                <w:rFonts w:hint="cs"/>
                <w:i/>
                <w:iCs/>
                <w:sz w:val="30"/>
                <w:rtl/>
                <w:lang w:bidi="ar-EG"/>
              </w:rPr>
              <w:t>المجموع</w:t>
            </w:r>
          </w:p>
        </w:tc>
      </w:tr>
      <w:tr w:rsidR="00D8679F" w:rsidTr="00D8679F">
        <w:tblPrEx>
          <w:tblCellMar>
            <w:top w:w="0" w:type="dxa"/>
            <w:bottom w:w="0" w:type="dxa"/>
          </w:tblCellMar>
        </w:tblPrEx>
        <w:trPr>
          <w:cantSplit/>
          <w:trHeight w:hRule="exact" w:val="115"/>
          <w:tblHeader/>
        </w:trPr>
        <w:tc>
          <w:tcPr>
            <w:tcW w:w="1830"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40"/>
              <w:rPr>
                <w:rFonts w:hint="cs"/>
                <w:sz w:val="30"/>
                <w:rtl/>
                <w:lang w:bidi="ar-EG"/>
              </w:rPr>
            </w:pPr>
          </w:p>
        </w:tc>
        <w:tc>
          <w:tcPr>
            <w:tcW w:w="1830"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p>
        </w:tc>
        <w:tc>
          <w:tcPr>
            <w:tcW w:w="1830"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p>
        </w:tc>
        <w:tc>
          <w:tcPr>
            <w:tcW w:w="1342"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p>
        </w:tc>
      </w:tr>
      <w:tr w:rsidR="00D8679F" w:rsidTr="00D8679F">
        <w:tblPrEx>
          <w:tblCellMar>
            <w:top w:w="0" w:type="dxa"/>
            <w:bottom w:w="0" w:type="dxa"/>
          </w:tblCellMar>
        </w:tblPrEx>
        <w:trPr>
          <w:cantSplit/>
        </w:trPr>
        <w:tc>
          <w:tcPr>
            <w:tcW w:w="1830" w:type="dxa"/>
            <w:vAlign w:val="bottom"/>
          </w:tcPr>
          <w:p w:rsidR="00D8679F" w:rsidRDefault="00D8679F">
            <w:pPr>
              <w:tabs>
                <w:tab w:val="left" w:pos="288"/>
                <w:tab w:val="left" w:pos="576"/>
                <w:tab w:val="left" w:pos="864"/>
                <w:tab w:val="left" w:pos="1152"/>
              </w:tabs>
              <w:spacing w:before="40" w:after="80" w:line="240" w:lineRule="exact"/>
              <w:ind w:right="40"/>
              <w:rPr>
                <w:rFonts w:hint="cs"/>
                <w:sz w:val="30"/>
                <w:rtl/>
                <w:lang w:bidi="ar-EG"/>
              </w:rPr>
            </w:pPr>
            <w:r>
              <w:rPr>
                <w:rFonts w:hint="cs"/>
                <w:sz w:val="30"/>
                <w:rtl/>
                <w:lang w:bidi="ar-EG"/>
              </w:rPr>
              <w:t>1994</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24.8</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21.0</w:t>
            </w:r>
          </w:p>
        </w:tc>
        <w:tc>
          <w:tcPr>
            <w:tcW w:w="1342"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22.9</w:t>
            </w:r>
          </w:p>
        </w:tc>
      </w:tr>
      <w:tr w:rsidR="00D8679F" w:rsidTr="00D8679F">
        <w:tblPrEx>
          <w:tblCellMar>
            <w:top w:w="0" w:type="dxa"/>
            <w:bottom w:w="0" w:type="dxa"/>
          </w:tblCellMar>
        </w:tblPrEx>
        <w:trPr>
          <w:cantSplit/>
        </w:trPr>
        <w:tc>
          <w:tcPr>
            <w:tcW w:w="1830" w:type="dxa"/>
            <w:vAlign w:val="bottom"/>
          </w:tcPr>
          <w:p w:rsidR="00D8679F" w:rsidRDefault="00D8679F">
            <w:pPr>
              <w:tabs>
                <w:tab w:val="left" w:pos="288"/>
                <w:tab w:val="left" w:pos="576"/>
                <w:tab w:val="left" w:pos="864"/>
                <w:tab w:val="left" w:pos="1152"/>
              </w:tabs>
              <w:spacing w:before="40" w:after="80" w:line="240" w:lineRule="exact"/>
              <w:ind w:right="40"/>
              <w:rPr>
                <w:rFonts w:hint="cs"/>
                <w:sz w:val="30"/>
                <w:rtl/>
                <w:lang w:bidi="ar-EG"/>
              </w:rPr>
            </w:pPr>
            <w:r>
              <w:rPr>
                <w:rFonts w:hint="cs"/>
                <w:sz w:val="30"/>
                <w:rtl/>
                <w:lang w:bidi="ar-EG"/>
              </w:rPr>
              <w:t>1995</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24.0</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20.5</w:t>
            </w:r>
          </w:p>
        </w:tc>
        <w:tc>
          <w:tcPr>
            <w:tcW w:w="1342"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22.2</w:t>
            </w:r>
          </w:p>
        </w:tc>
      </w:tr>
      <w:tr w:rsidR="00D8679F" w:rsidTr="00D8679F">
        <w:tblPrEx>
          <w:tblCellMar>
            <w:top w:w="0" w:type="dxa"/>
            <w:bottom w:w="0" w:type="dxa"/>
          </w:tblCellMar>
        </w:tblPrEx>
        <w:trPr>
          <w:cantSplit/>
        </w:trPr>
        <w:tc>
          <w:tcPr>
            <w:tcW w:w="1830" w:type="dxa"/>
            <w:vAlign w:val="bottom"/>
          </w:tcPr>
          <w:p w:rsidR="00D8679F" w:rsidRDefault="00D8679F">
            <w:pPr>
              <w:tabs>
                <w:tab w:val="left" w:pos="288"/>
                <w:tab w:val="left" w:pos="576"/>
                <w:tab w:val="left" w:pos="864"/>
                <w:tab w:val="left" w:pos="1152"/>
              </w:tabs>
              <w:spacing w:before="40" w:after="80" w:line="240" w:lineRule="exact"/>
              <w:ind w:right="40"/>
              <w:rPr>
                <w:rFonts w:hint="cs"/>
                <w:sz w:val="30"/>
                <w:rtl/>
                <w:lang w:bidi="ar-EG"/>
              </w:rPr>
            </w:pPr>
            <w:r>
              <w:rPr>
                <w:rFonts w:hint="cs"/>
                <w:sz w:val="30"/>
                <w:rtl/>
                <w:lang w:bidi="ar-EG"/>
              </w:rPr>
              <w:t>1996</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24.2</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21.1</w:t>
            </w:r>
          </w:p>
        </w:tc>
        <w:tc>
          <w:tcPr>
            <w:tcW w:w="1342"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22.7</w:t>
            </w:r>
          </w:p>
        </w:tc>
      </w:tr>
      <w:tr w:rsidR="00D8679F" w:rsidTr="00D8679F">
        <w:tblPrEx>
          <w:tblCellMar>
            <w:top w:w="0" w:type="dxa"/>
            <w:bottom w:w="0" w:type="dxa"/>
          </w:tblCellMar>
        </w:tblPrEx>
        <w:trPr>
          <w:cantSplit/>
        </w:trPr>
        <w:tc>
          <w:tcPr>
            <w:tcW w:w="1830" w:type="dxa"/>
            <w:vAlign w:val="bottom"/>
          </w:tcPr>
          <w:p w:rsidR="00D8679F" w:rsidRDefault="00D8679F">
            <w:pPr>
              <w:tabs>
                <w:tab w:val="left" w:pos="288"/>
                <w:tab w:val="left" w:pos="576"/>
                <w:tab w:val="left" w:pos="864"/>
                <w:tab w:val="left" w:pos="1152"/>
              </w:tabs>
              <w:spacing w:before="40" w:after="80" w:line="240" w:lineRule="exact"/>
              <w:ind w:right="40"/>
              <w:rPr>
                <w:rFonts w:hint="cs"/>
                <w:sz w:val="30"/>
                <w:rtl/>
                <w:lang w:bidi="ar-EG"/>
              </w:rPr>
            </w:pPr>
            <w:r>
              <w:rPr>
                <w:rFonts w:hint="cs"/>
                <w:sz w:val="30"/>
                <w:rtl/>
                <w:lang w:bidi="ar-EG"/>
              </w:rPr>
              <w:t>1997</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24.5</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21.9</w:t>
            </w:r>
          </w:p>
        </w:tc>
        <w:tc>
          <w:tcPr>
            <w:tcW w:w="1342"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23.2</w:t>
            </w:r>
          </w:p>
        </w:tc>
      </w:tr>
      <w:tr w:rsidR="00D8679F" w:rsidTr="00D8679F">
        <w:tblPrEx>
          <w:tblCellMar>
            <w:top w:w="0" w:type="dxa"/>
            <w:bottom w:w="0" w:type="dxa"/>
          </w:tblCellMar>
        </w:tblPrEx>
        <w:trPr>
          <w:cantSplit/>
        </w:trPr>
        <w:tc>
          <w:tcPr>
            <w:tcW w:w="1830" w:type="dxa"/>
            <w:vAlign w:val="bottom"/>
          </w:tcPr>
          <w:p w:rsidR="00D8679F" w:rsidRDefault="00D8679F">
            <w:pPr>
              <w:tabs>
                <w:tab w:val="left" w:pos="288"/>
                <w:tab w:val="left" w:pos="576"/>
                <w:tab w:val="left" w:pos="864"/>
                <w:tab w:val="left" w:pos="1152"/>
              </w:tabs>
              <w:spacing w:before="40" w:after="80" w:line="240" w:lineRule="exact"/>
              <w:ind w:right="40"/>
              <w:rPr>
                <w:rFonts w:hint="cs"/>
                <w:sz w:val="30"/>
                <w:rtl/>
                <w:lang w:bidi="ar-EG"/>
              </w:rPr>
            </w:pPr>
            <w:r>
              <w:rPr>
                <w:rFonts w:hint="cs"/>
                <w:sz w:val="30"/>
                <w:rtl/>
                <w:lang w:bidi="ar-EG"/>
              </w:rPr>
              <w:t>1998</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24.6</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21.7</w:t>
            </w:r>
          </w:p>
        </w:tc>
        <w:tc>
          <w:tcPr>
            <w:tcW w:w="1342"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23.2</w:t>
            </w:r>
          </w:p>
        </w:tc>
      </w:tr>
      <w:tr w:rsidR="00D8679F" w:rsidTr="00D8679F">
        <w:tblPrEx>
          <w:tblCellMar>
            <w:top w:w="0" w:type="dxa"/>
            <w:bottom w:w="0" w:type="dxa"/>
          </w:tblCellMar>
        </w:tblPrEx>
        <w:trPr>
          <w:cantSplit/>
        </w:trPr>
        <w:tc>
          <w:tcPr>
            <w:tcW w:w="1830" w:type="dxa"/>
            <w:vAlign w:val="bottom"/>
          </w:tcPr>
          <w:p w:rsidR="00D8679F" w:rsidRDefault="00D8679F">
            <w:pPr>
              <w:tabs>
                <w:tab w:val="left" w:pos="288"/>
                <w:tab w:val="left" w:pos="576"/>
                <w:tab w:val="left" w:pos="864"/>
                <w:tab w:val="left" w:pos="1152"/>
              </w:tabs>
              <w:spacing w:before="40" w:after="80" w:line="240" w:lineRule="exact"/>
              <w:ind w:right="40"/>
              <w:rPr>
                <w:rFonts w:hint="cs"/>
                <w:sz w:val="30"/>
                <w:rtl/>
                <w:lang w:bidi="ar-EG"/>
              </w:rPr>
            </w:pPr>
            <w:r>
              <w:rPr>
                <w:rFonts w:hint="cs"/>
                <w:sz w:val="30"/>
                <w:rtl/>
                <w:lang w:bidi="ar-EG"/>
              </w:rPr>
              <w:t>1999</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24.8</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22.3</w:t>
            </w:r>
          </w:p>
        </w:tc>
        <w:tc>
          <w:tcPr>
            <w:tcW w:w="1342"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23.5</w:t>
            </w:r>
          </w:p>
        </w:tc>
      </w:tr>
      <w:tr w:rsidR="00D8679F" w:rsidTr="00D8679F">
        <w:tblPrEx>
          <w:tblCellMar>
            <w:top w:w="0" w:type="dxa"/>
            <w:bottom w:w="0" w:type="dxa"/>
          </w:tblCellMar>
        </w:tblPrEx>
        <w:trPr>
          <w:cantSplit/>
        </w:trPr>
        <w:tc>
          <w:tcPr>
            <w:tcW w:w="1830" w:type="dxa"/>
            <w:vAlign w:val="bottom"/>
          </w:tcPr>
          <w:p w:rsidR="00D8679F" w:rsidRDefault="00D8679F">
            <w:pPr>
              <w:tabs>
                <w:tab w:val="left" w:pos="288"/>
                <w:tab w:val="left" w:pos="576"/>
                <w:tab w:val="left" w:pos="864"/>
                <w:tab w:val="left" w:pos="1152"/>
              </w:tabs>
              <w:spacing w:before="40" w:after="80" w:line="240" w:lineRule="exact"/>
              <w:ind w:right="40"/>
              <w:rPr>
                <w:rFonts w:hint="cs"/>
                <w:sz w:val="30"/>
                <w:rtl/>
                <w:lang w:bidi="ar-EG"/>
              </w:rPr>
            </w:pPr>
            <w:r>
              <w:rPr>
                <w:rFonts w:hint="cs"/>
                <w:sz w:val="30"/>
                <w:rtl/>
                <w:lang w:bidi="ar-EG"/>
              </w:rPr>
              <w:t>2000</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28.5</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23.8</w:t>
            </w:r>
          </w:p>
        </w:tc>
        <w:tc>
          <w:tcPr>
            <w:tcW w:w="1342"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26.1</w:t>
            </w:r>
          </w:p>
        </w:tc>
      </w:tr>
      <w:tr w:rsidR="00D8679F" w:rsidTr="00D8679F">
        <w:tblPrEx>
          <w:tblCellMar>
            <w:top w:w="0" w:type="dxa"/>
            <w:bottom w:w="0" w:type="dxa"/>
          </w:tblCellMar>
        </w:tblPrEx>
        <w:trPr>
          <w:cantSplit/>
        </w:trPr>
        <w:tc>
          <w:tcPr>
            <w:tcW w:w="1830" w:type="dxa"/>
            <w:vAlign w:val="bottom"/>
          </w:tcPr>
          <w:p w:rsidR="00D8679F" w:rsidRDefault="00D8679F">
            <w:pPr>
              <w:tabs>
                <w:tab w:val="left" w:pos="288"/>
                <w:tab w:val="left" w:pos="576"/>
                <w:tab w:val="left" w:pos="864"/>
                <w:tab w:val="left" w:pos="1152"/>
              </w:tabs>
              <w:spacing w:before="40" w:after="80" w:line="240" w:lineRule="exact"/>
              <w:ind w:right="40"/>
              <w:rPr>
                <w:rFonts w:hint="cs"/>
                <w:sz w:val="30"/>
                <w:rtl/>
                <w:lang w:bidi="ar-EG"/>
              </w:rPr>
            </w:pPr>
            <w:r>
              <w:rPr>
                <w:rFonts w:hint="cs"/>
                <w:sz w:val="30"/>
                <w:rtl/>
                <w:lang w:bidi="ar-EG"/>
              </w:rPr>
              <w:t>2001</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29.0</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24.8</w:t>
            </w:r>
          </w:p>
        </w:tc>
        <w:tc>
          <w:tcPr>
            <w:tcW w:w="1342"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26.9</w:t>
            </w:r>
          </w:p>
        </w:tc>
      </w:tr>
      <w:tr w:rsidR="00D8679F" w:rsidTr="00D8679F">
        <w:tblPrEx>
          <w:tblCellMar>
            <w:top w:w="0" w:type="dxa"/>
            <w:bottom w:w="0" w:type="dxa"/>
          </w:tblCellMar>
        </w:tblPrEx>
        <w:trPr>
          <w:cantSplit/>
        </w:trPr>
        <w:tc>
          <w:tcPr>
            <w:tcW w:w="1830" w:type="dxa"/>
            <w:vAlign w:val="bottom"/>
          </w:tcPr>
          <w:p w:rsidR="00D8679F" w:rsidRDefault="00D8679F">
            <w:pPr>
              <w:tabs>
                <w:tab w:val="left" w:pos="288"/>
                <w:tab w:val="left" w:pos="576"/>
                <w:tab w:val="left" w:pos="864"/>
                <w:tab w:val="left" w:pos="1152"/>
              </w:tabs>
              <w:spacing w:before="40" w:after="80" w:line="240" w:lineRule="exact"/>
              <w:ind w:right="40"/>
              <w:rPr>
                <w:rFonts w:hint="cs"/>
                <w:sz w:val="30"/>
                <w:rtl/>
                <w:lang w:bidi="ar-EG"/>
              </w:rPr>
            </w:pPr>
            <w:r>
              <w:rPr>
                <w:rFonts w:hint="cs"/>
                <w:sz w:val="30"/>
                <w:rtl/>
                <w:lang w:bidi="ar-EG"/>
              </w:rPr>
              <w:t>2002</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29.0</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25.2</w:t>
            </w:r>
          </w:p>
        </w:tc>
        <w:tc>
          <w:tcPr>
            <w:tcW w:w="1342"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27.1</w:t>
            </w:r>
          </w:p>
        </w:tc>
      </w:tr>
      <w:tr w:rsidR="00D8679F" w:rsidTr="00D8679F">
        <w:tblPrEx>
          <w:tblCellMar>
            <w:top w:w="0" w:type="dxa"/>
            <w:bottom w:w="0" w:type="dxa"/>
          </w:tblCellMar>
        </w:tblPrEx>
        <w:trPr>
          <w:cantSplit/>
        </w:trPr>
        <w:tc>
          <w:tcPr>
            <w:tcW w:w="1830" w:type="dxa"/>
            <w:vAlign w:val="bottom"/>
          </w:tcPr>
          <w:p w:rsidR="00D8679F" w:rsidRDefault="00D8679F">
            <w:pPr>
              <w:tabs>
                <w:tab w:val="left" w:pos="288"/>
                <w:tab w:val="left" w:pos="576"/>
                <w:tab w:val="left" w:pos="864"/>
                <w:tab w:val="left" w:pos="1152"/>
              </w:tabs>
              <w:spacing w:before="40" w:after="80" w:line="240" w:lineRule="exact"/>
              <w:ind w:right="40"/>
              <w:rPr>
                <w:rFonts w:hint="cs"/>
                <w:sz w:val="30"/>
                <w:rtl/>
                <w:lang w:bidi="ar-EG"/>
              </w:rPr>
            </w:pPr>
            <w:r>
              <w:rPr>
                <w:rFonts w:hint="cs"/>
                <w:sz w:val="30"/>
                <w:rtl/>
                <w:lang w:bidi="ar-EG"/>
              </w:rPr>
              <w:t>2003</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30.2</w:t>
            </w:r>
          </w:p>
        </w:tc>
        <w:tc>
          <w:tcPr>
            <w:tcW w:w="18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27.0</w:t>
            </w:r>
          </w:p>
        </w:tc>
        <w:tc>
          <w:tcPr>
            <w:tcW w:w="1342"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28.5</w:t>
            </w:r>
          </w:p>
        </w:tc>
      </w:tr>
      <w:tr w:rsidR="00D8679F" w:rsidTr="00D8679F">
        <w:tblPrEx>
          <w:tblCellMar>
            <w:top w:w="0" w:type="dxa"/>
            <w:bottom w:w="0" w:type="dxa"/>
          </w:tblCellMar>
        </w:tblPrEx>
        <w:trPr>
          <w:cantSplit/>
        </w:trPr>
        <w:tc>
          <w:tcPr>
            <w:tcW w:w="1830"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40"/>
              <w:rPr>
                <w:rFonts w:hint="cs"/>
                <w:sz w:val="30"/>
                <w:rtl/>
                <w:lang w:bidi="ar-EG"/>
              </w:rPr>
            </w:pPr>
            <w:r>
              <w:rPr>
                <w:rFonts w:hint="cs"/>
                <w:sz w:val="30"/>
                <w:rtl/>
                <w:lang w:bidi="ar-EG"/>
              </w:rPr>
              <w:t>2004</w:t>
            </w:r>
          </w:p>
        </w:tc>
        <w:tc>
          <w:tcPr>
            <w:tcW w:w="1830"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30.7</w:t>
            </w:r>
          </w:p>
        </w:tc>
        <w:tc>
          <w:tcPr>
            <w:tcW w:w="1830"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27.4</w:t>
            </w:r>
          </w:p>
        </w:tc>
        <w:tc>
          <w:tcPr>
            <w:tcW w:w="1342"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30"/>
                <w:rtl/>
                <w:lang w:bidi="ar-EG"/>
              </w:rPr>
            </w:pPr>
            <w:r>
              <w:rPr>
                <w:rFonts w:hint="cs"/>
                <w:sz w:val="30"/>
                <w:rtl/>
                <w:lang w:bidi="ar-EG"/>
              </w:rPr>
              <w:t>29.1</w:t>
            </w:r>
          </w:p>
        </w:tc>
      </w:tr>
    </w:tbl>
    <w:p w:rsidR="00000000" w:rsidRDefault="00D8679F">
      <w:pPr>
        <w:pStyle w:val="SingleTxt"/>
        <w:spacing w:after="0" w:line="120" w:lineRule="exact"/>
        <w:ind w:left="1930" w:hanging="663"/>
        <w:jc w:val="both"/>
        <w:rPr>
          <w:rFonts w:hint="cs"/>
          <w:sz w:val="10"/>
          <w:rtl/>
          <w:lang w:bidi="ar-EG"/>
        </w:rPr>
      </w:pPr>
    </w:p>
    <w:p w:rsidR="00000000" w:rsidRDefault="00D8679F">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sz w:val="30"/>
          <w:szCs w:val="30"/>
          <w:rtl/>
          <w:lang w:bidi="ar-EG"/>
        </w:rPr>
      </w:pPr>
      <w:r>
        <w:rPr>
          <w:rFonts w:hint="cs"/>
          <w:i/>
          <w:iCs/>
          <w:sz w:val="30"/>
          <w:szCs w:val="30"/>
          <w:rtl/>
          <w:lang w:bidi="ar-EG"/>
        </w:rPr>
        <w:t>المصدر</w:t>
      </w:r>
      <w:r>
        <w:rPr>
          <w:rFonts w:hint="cs"/>
          <w:sz w:val="30"/>
          <w:szCs w:val="30"/>
          <w:rtl/>
          <w:lang w:bidi="ar-EG"/>
        </w:rPr>
        <w:t>: وزارة التعليم، والعلوم والتكنولوجيا.</w:t>
      </w:r>
    </w:p>
    <w:p w:rsidR="00000000" w:rsidRDefault="00D8679F">
      <w:pPr>
        <w:pStyle w:val="SingleTxt"/>
        <w:tabs>
          <w:tab w:val="clear" w:pos="2592"/>
          <w:tab w:val="left" w:pos="2228"/>
        </w:tabs>
        <w:ind w:left="2228" w:hanging="961"/>
        <w:jc w:val="both"/>
        <w:rPr>
          <w:rFonts w:hint="cs"/>
          <w:rtl/>
          <w:lang w:bidi="ar-EG"/>
        </w:rPr>
      </w:pPr>
    </w:p>
    <w:p w:rsidR="00000000" w:rsidRDefault="00D8679F">
      <w:pPr>
        <w:pStyle w:val="SingleTxt"/>
        <w:tabs>
          <w:tab w:val="clear" w:pos="2592"/>
          <w:tab w:val="left" w:pos="2228"/>
        </w:tabs>
        <w:ind w:left="2228" w:hanging="961"/>
        <w:jc w:val="both"/>
        <w:rPr>
          <w:rFonts w:hint="cs"/>
          <w:rtl/>
          <w:lang w:bidi="ar-EG"/>
        </w:rPr>
      </w:pPr>
    </w:p>
    <w:p w:rsidR="00000000" w:rsidRDefault="00D8679F">
      <w:pPr>
        <w:pStyle w:val="SingleTxt"/>
        <w:tabs>
          <w:tab w:val="clear" w:pos="2592"/>
          <w:tab w:val="left" w:pos="2228"/>
        </w:tabs>
        <w:ind w:left="2228" w:hanging="961"/>
        <w:jc w:val="both"/>
        <w:rPr>
          <w:rFonts w:hint="cs"/>
          <w:rtl/>
          <w:lang w:bidi="ar-EG"/>
        </w:rPr>
      </w:pPr>
    </w:p>
    <w:p w:rsidR="00000000" w:rsidRDefault="00D8679F">
      <w:pPr>
        <w:pStyle w:val="SingleTxt"/>
        <w:tabs>
          <w:tab w:val="clear" w:pos="2592"/>
          <w:tab w:val="left" w:pos="2228"/>
        </w:tabs>
        <w:ind w:left="2228" w:hanging="961"/>
        <w:jc w:val="both"/>
        <w:rPr>
          <w:rFonts w:hint="cs"/>
          <w:rtl/>
          <w:lang w:bidi="ar-EG"/>
        </w:rPr>
      </w:pPr>
    </w:p>
    <w:p w:rsidR="00000000" w:rsidRDefault="00D8679F">
      <w:pPr>
        <w:pStyle w:val="SingleTxt"/>
        <w:tabs>
          <w:tab w:val="clear" w:pos="2592"/>
          <w:tab w:val="left" w:pos="2228"/>
        </w:tabs>
        <w:ind w:left="2228" w:hanging="961"/>
        <w:jc w:val="both"/>
        <w:rPr>
          <w:rFonts w:hint="cs"/>
          <w:rtl/>
          <w:lang w:bidi="ar-EG"/>
        </w:rPr>
      </w:pPr>
      <w:r>
        <w:rPr>
          <w:rFonts w:hint="cs"/>
          <w:rtl/>
          <w:lang w:bidi="ar-EG"/>
        </w:rPr>
        <w:t>الجدول 9</w:t>
      </w:r>
    </w:p>
    <w:p w:rsidR="00000000" w:rsidRDefault="00D8679F">
      <w:pPr>
        <w:pStyle w:val="SingleTxt"/>
        <w:tabs>
          <w:tab w:val="clear" w:pos="2592"/>
          <w:tab w:val="left" w:pos="2228"/>
        </w:tabs>
        <w:spacing w:after="0" w:line="120" w:lineRule="exact"/>
        <w:ind w:left="2228" w:hanging="961"/>
        <w:jc w:val="both"/>
        <w:rPr>
          <w:rFonts w:hint="cs"/>
          <w:sz w:val="12"/>
          <w:rtl/>
          <w:lang w:bidi="ar-EG"/>
        </w:rPr>
      </w:pPr>
    </w:p>
    <w:p w:rsidR="00000000" w:rsidRDefault="00D8679F">
      <w:pPr>
        <w:pStyle w:val="SingleTxt"/>
        <w:tabs>
          <w:tab w:val="clear" w:pos="2592"/>
          <w:tab w:val="left" w:pos="2228"/>
        </w:tabs>
        <w:jc w:val="both"/>
        <w:rPr>
          <w:rFonts w:hint="cs"/>
          <w:rtl/>
          <w:lang w:bidi="ar-EG"/>
        </w:rPr>
      </w:pPr>
      <w:r>
        <w:rPr>
          <w:rFonts w:hint="cs"/>
          <w:b/>
          <w:bCs/>
          <w:rtl/>
          <w:lang w:bidi="ar-EG"/>
        </w:rPr>
        <w:t>طلبة م</w:t>
      </w:r>
      <w:r>
        <w:rPr>
          <w:rFonts w:hint="cs"/>
          <w:b/>
          <w:bCs/>
          <w:rtl/>
          <w:lang w:bidi="ar-EG"/>
        </w:rPr>
        <w:t>عاهد الفنون التطبيقية ومعاهد التدريب التقني الأخرى الملتحقون حسب الجنس، 1997/1998-2004/2005</w:t>
      </w:r>
    </w:p>
    <w:p w:rsidR="00000000" w:rsidRDefault="00D8679F">
      <w:pPr>
        <w:pStyle w:val="SingleTxt"/>
        <w:spacing w:after="0" w:line="120" w:lineRule="exact"/>
        <w:ind w:left="1930" w:hanging="663"/>
        <w:jc w:val="both"/>
        <w:rPr>
          <w:rFonts w:hint="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D8679F" w:rsidTr="00D8679F">
        <w:tblPrEx>
          <w:tblCellMar>
            <w:top w:w="0" w:type="dxa"/>
            <w:bottom w:w="0" w:type="dxa"/>
          </w:tblCellMar>
        </w:tblPrEx>
        <w:trPr>
          <w:cantSplit/>
          <w:tblHeader/>
        </w:trPr>
        <w:tc>
          <w:tcPr>
            <w:tcW w:w="1464"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السنة</w:t>
            </w:r>
          </w:p>
        </w:tc>
        <w:tc>
          <w:tcPr>
            <w:tcW w:w="1464"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ذكور</w:t>
            </w:r>
          </w:p>
        </w:tc>
        <w:tc>
          <w:tcPr>
            <w:tcW w:w="1464"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إناث</w:t>
            </w:r>
          </w:p>
        </w:tc>
        <w:tc>
          <w:tcPr>
            <w:tcW w:w="1464"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المجموع</w:t>
            </w:r>
          </w:p>
        </w:tc>
        <w:tc>
          <w:tcPr>
            <w:tcW w:w="1464"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النسبة المئوية للإناث</w:t>
            </w:r>
          </w:p>
        </w:tc>
      </w:tr>
      <w:tr w:rsidR="00D8679F" w:rsidTr="00D8679F">
        <w:tblPrEx>
          <w:tblCellMar>
            <w:top w:w="0" w:type="dxa"/>
            <w:bottom w:w="0" w:type="dxa"/>
          </w:tblCellMar>
        </w:tblPrEx>
        <w:trPr>
          <w:cantSplit/>
          <w:trHeight w:hRule="exact" w:val="115"/>
          <w:tblHeader/>
        </w:trPr>
        <w:tc>
          <w:tcPr>
            <w:tcW w:w="1464"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p>
        </w:tc>
        <w:tc>
          <w:tcPr>
            <w:tcW w:w="1464"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464"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464"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464"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D8679F" w:rsidTr="00D8679F">
        <w:tblPrEx>
          <w:tblCellMar>
            <w:top w:w="0" w:type="dxa"/>
            <w:bottom w:w="0" w:type="dxa"/>
          </w:tblCellMar>
        </w:tblPrEx>
        <w:trPr>
          <w:cantSplit/>
        </w:trPr>
        <w:tc>
          <w:tcPr>
            <w:tcW w:w="1464"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1997/1998</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344 16</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147 7</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491 23</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30.4</w:t>
            </w:r>
          </w:p>
        </w:tc>
      </w:tr>
      <w:tr w:rsidR="00D8679F" w:rsidTr="00D8679F">
        <w:tblPrEx>
          <w:tblCellMar>
            <w:top w:w="0" w:type="dxa"/>
            <w:bottom w:w="0" w:type="dxa"/>
          </w:tblCellMar>
        </w:tblPrEx>
        <w:trPr>
          <w:cantSplit/>
        </w:trPr>
        <w:tc>
          <w:tcPr>
            <w:tcW w:w="1464"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1998/1999</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861 15</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348 8</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209 24</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34.4</w:t>
            </w:r>
          </w:p>
        </w:tc>
      </w:tr>
      <w:tr w:rsidR="00D8679F" w:rsidTr="00D8679F">
        <w:tblPrEx>
          <w:tblCellMar>
            <w:top w:w="0" w:type="dxa"/>
            <w:bottom w:w="0" w:type="dxa"/>
          </w:tblCellMar>
        </w:tblPrEx>
        <w:trPr>
          <w:cantSplit/>
        </w:trPr>
        <w:tc>
          <w:tcPr>
            <w:tcW w:w="1464"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1999/2000</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597 17</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662 8</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259 26</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33.0</w:t>
            </w:r>
          </w:p>
        </w:tc>
      </w:tr>
      <w:tr w:rsidR="00D8679F" w:rsidTr="00D8679F">
        <w:tblPrEx>
          <w:tblCellMar>
            <w:top w:w="0" w:type="dxa"/>
            <w:bottom w:w="0" w:type="dxa"/>
          </w:tblCellMar>
        </w:tblPrEx>
        <w:trPr>
          <w:cantSplit/>
        </w:trPr>
        <w:tc>
          <w:tcPr>
            <w:tcW w:w="1464"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2000/2001</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740 15</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814 8</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554 24</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35.9</w:t>
            </w:r>
          </w:p>
        </w:tc>
      </w:tr>
      <w:tr w:rsidR="00D8679F" w:rsidTr="00D8679F">
        <w:tblPrEx>
          <w:tblCellMar>
            <w:top w:w="0" w:type="dxa"/>
            <w:bottom w:w="0" w:type="dxa"/>
          </w:tblCellMar>
        </w:tblPrEx>
        <w:trPr>
          <w:cantSplit/>
        </w:trPr>
        <w:tc>
          <w:tcPr>
            <w:tcW w:w="1464"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2001/2002</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491 19</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064 11</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555 30</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36.2</w:t>
            </w:r>
          </w:p>
        </w:tc>
      </w:tr>
      <w:tr w:rsidR="00D8679F" w:rsidTr="00D8679F">
        <w:tblPrEx>
          <w:tblCellMar>
            <w:top w:w="0" w:type="dxa"/>
            <w:bottom w:w="0" w:type="dxa"/>
          </w:tblCellMar>
        </w:tblPrEx>
        <w:trPr>
          <w:cantSplit/>
        </w:trPr>
        <w:tc>
          <w:tcPr>
            <w:tcW w:w="1464"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2002/2003</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654 20</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001 13</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655 33</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38.8</w:t>
            </w:r>
          </w:p>
        </w:tc>
      </w:tr>
      <w:tr w:rsidR="00D8679F" w:rsidTr="00D8679F">
        <w:tblPrEx>
          <w:tblCellMar>
            <w:top w:w="0" w:type="dxa"/>
            <w:bottom w:w="0" w:type="dxa"/>
          </w:tblCellMar>
        </w:tblPrEx>
        <w:trPr>
          <w:cantSplit/>
        </w:trPr>
        <w:tc>
          <w:tcPr>
            <w:tcW w:w="1464"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2003/2004</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830 21</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086 14</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916 35</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39.2</w:t>
            </w:r>
          </w:p>
        </w:tc>
      </w:tr>
      <w:tr w:rsidR="00D8679F" w:rsidTr="00D8679F">
        <w:tblPrEx>
          <w:tblCellMar>
            <w:top w:w="0" w:type="dxa"/>
            <w:bottom w:w="0" w:type="dxa"/>
          </w:tblCellMar>
        </w:tblPrEx>
        <w:trPr>
          <w:cantSplit/>
        </w:trPr>
        <w:tc>
          <w:tcPr>
            <w:tcW w:w="1464"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2004/2005</w:t>
            </w:r>
          </w:p>
        </w:tc>
        <w:tc>
          <w:tcPr>
            <w:tcW w:w="1464"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882 24</w:t>
            </w:r>
          </w:p>
        </w:tc>
        <w:tc>
          <w:tcPr>
            <w:tcW w:w="1464"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987 17</w:t>
            </w:r>
          </w:p>
        </w:tc>
        <w:tc>
          <w:tcPr>
            <w:tcW w:w="1464"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869 42</w:t>
            </w:r>
          </w:p>
        </w:tc>
        <w:tc>
          <w:tcPr>
            <w:tcW w:w="1464"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42.00</w:t>
            </w:r>
          </w:p>
        </w:tc>
      </w:tr>
    </w:tbl>
    <w:p w:rsidR="00000000" w:rsidRDefault="00D8679F">
      <w:pPr>
        <w:pStyle w:val="SingleTxt"/>
        <w:spacing w:after="0" w:line="120" w:lineRule="exact"/>
        <w:ind w:left="1930" w:hanging="663"/>
        <w:jc w:val="both"/>
        <w:rPr>
          <w:rFonts w:hint="cs"/>
          <w:sz w:val="10"/>
          <w:rtl/>
          <w:lang w:bidi="ar-EG"/>
        </w:rPr>
      </w:pPr>
    </w:p>
    <w:p w:rsidR="00000000" w:rsidRDefault="00D8679F">
      <w:pPr>
        <w:pStyle w:val="SingleTxt"/>
        <w:ind w:left="1930" w:hanging="663"/>
        <w:jc w:val="both"/>
        <w:rPr>
          <w:rFonts w:hint="cs"/>
          <w:rtl/>
          <w:lang w:bidi="ar-EG"/>
        </w:rPr>
      </w:pPr>
      <w:r>
        <w:rPr>
          <w:rFonts w:hint="cs"/>
          <w:i/>
          <w:iCs/>
          <w:rtl/>
          <w:lang w:bidi="ar-EG"/>
        </w:rPr>
        <w:t>المصدر</w:t>
      </w:r>
      <w:r>
        <w:rPr>
          <w:rFonts w:hint="cs"/>
          <w:rtl/>
          <w:lang w:bidi="ar-EG"/>
        </w:rPr>
        <w:t>: لجنة خدمة المدرسين.</w:t>
      </w:r>
    </w:p>
    <w:p w:rsidR="00000000" w:rsidRDefault="00D8679F">
      <w:pPr>
        <w:pStyle w:val="SingleTxt"/>
        <w:spacing w:after="0" w:line="120" w:lineRule="exact"/>
        <w:ind w:left="1930" w:hanging="663"/>
        <w:jc w:val="both"/>
        <w:rPr>
          <w:rFonts w:hint="cs"/>
          <w:sz w:val="10"/>
          <w:rtl/>
          <w:lang w:bidi="ar-EG"/>
        </w:rPr>
      </w:pPr>
    </w:p>
    <w:p w:rsidR="00000000" w:rsidRDefault="00D8679F">
      <w:pPr>
        <w:pStyle w:val="SingleTxt"/>
        <w:tabs>
          <w:tab w:val="clear" w:pos="2592"/>
          <w:tab w:val="left" w:pos="2228"/>
        </w:tabs>
        <w:ind w:left="2228" w:hanging="961"/>
        <w:jc w:val="both"/>
        <w:rPr>
          <w:rFonts w:hint="cs"/>
          <w:rtl/>
          <w:lang w:bidi="ar-EG"/>
        </w:rPr>
      </w:pPr>
      <w:r>
        <w:rPr>
          <w:rFonts w:hint="cs"/>
          <w:rtl/>
          <w:lang w:bidi="ar-EG"/>
        </w:rPr>
        <w:t>الجدول 10</w:t>
      </w:r>
    </w:p>
    <w:p w:rsidR="00000000" w:rsidRDefault="00D8679F">
      <w:pPr>
        <w:pStyle w:val="SingleTxt"/>
        <w:tabs>
          <w:tab w:val="clear" w:pos="2592"/>
          <w:tab w:val="left" w:pos="2228"/>
        </w:tabs>
        <w:jc w:val="both"/>
        <w:rPr>
          <w:rFonts w:hint="cs"/>
          <w:rtl/>
          <w:lang w:bidi="ar-EG"/>
        </w:rPr>
      </w:pPr>
      <w:r>
        <w:rPr>
          <w:rFonts w:hint="cs"/>
          <w:b/>
          <w:bCs/>
          <w:rtl/>
          <w:lang w:bidi="ar-EG"/>
        </w:rPr>
        <w:t>مجموع التحـــــاق الطلبة بالجامعا</w:t>
      </w:r>
      <w:r>
        <w:rPr>
          <w:rFonts w:hint="cs"/>
          <w:b/>
          <w:bCs/>
          <w:rtl/>
          <w:lang w:bidi="ar-EG"/>
        </w:rPr>
        <w:t>ت العامة بما في ذلك عدم التفرغ، 1995/1996-2004/2005</w:t>
      </w:r>
    </w:p>
    <w:p w:rsidR="00000000" w:rsidRDefault="00D8679F">
      <w:pPr>
        <w:pStyle w:val="SingleTxt"/>
        <w:spacing w:after="0" w:line="120" w:lineRule="exact"/>
        <w:ind w:left="1930" w:hanging="663"/>
        <w:jc w:val="both"/>
        <w:rPr>
          <w:rFonts w:hint="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D8679F" w:rsidTr="00D8679F">
        <w:tblPrEx>
          <w:tblCellMar>
            <w:top w:w="0" w:type="dxa"/>
            <w:bottom w:w="0" w:type="dxa"/>
          </w:tblCellMar>
        </w:tblPrEx>
        <w:trPr>
          <w:cantSplit/>
          <w:tblHeader/>
        </w:trPr>
        <w:tc>
          <w:tcPr>
            <w:tcW w:w="1464"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السنة</w:t>
            </w:r>
          </w:p>
        </w:tc>
        <w:tc>
          <w:tcPr>
            <w:tcW w:w="1464"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ذكور</w:t>
            </w:r>
          </w:p>
        </w:tc>
        <w:tc>
          <w:tcPr>
            <w:tcW w:w="1464"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إناث</w:t>
            </w:r>
          </w:p>
        </w:tc>
        <w:tc>
          <w:tcPr>
            <w:tcW w:w="1464"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المجموع</w:t>
            </w:r>
          </w:p>
        </w:tc>
        <w:tc>
          <w:tcPr>
            <w:tcW w:w="1464"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النسبة المئوية للإناث</w:t>
            </w:r>
          </w:p>
        </w:tc>
      </w:tr>
      <w:tr w:rsidR="00D8679F" w:rsidTr="00D8679F">
        <w:tblPrEx>
          <w:tblCellMar>
            <w:top w:w="0" w:type="dxa"/>
            <w:bottom w:w="0" w:type="dxa"/>
          </w:tblCellMar>
        </w:tblPrEx>
        <w:trPr>
          <w:cantSplit/>
          <w:trHeight w:hRule="exact" w:val="115"/>
          <w:tblHeader/>
        </w:trPr>
        <w:tc>
          <w:tcPr>
            <w:tcW w:w="1464"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p>
        </w:tc>
        <w:tc>
          <w:tcPr>
            <w:tcW w:w="1464"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464"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464"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464"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D8679F" w:rsidTr="00D8679F">
        <w:tblPrEx>
          <w:tblCellMar>
            <w:top w:w="0" w:type="dxa"/>
            <w:bottom w:w="0" w:type="dxa"/>
          </w:tblCellMar>
        </w:tblPrEx>
        <w:trPr>
          <w:cantSplit/>
        </w:trPr>
        <w:tc>
          <w:tcPr>
            <w:tcW w:w="1464"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1995/1996</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938 28</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127 11</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065 40</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27.8</w:t>
            </w:r>
          </w:p>
        </w:tc>
      </w:tr>
      <w:tr w:rsidR="00D8679F" w:rsidTr="00D8679F">
        <w:tblPrEx>
          <w:tblCellMar>
            <w:top w:w="0" w:type="dxa"/>
            <w:bottom w:w="0" w:type="dxa"/>
          </w:tblCellMar>
        </w:tblPrEx>
        <w:trPr>
          <w:cantSplit/>
        </w:trPr>
        <w:tc>
          <w:tcPr>
            <w:tcW w:w="1464"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1996/1997</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059 27</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914 10</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973 37</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28.8</w:t>
            </w:r>
          </w:p>
        </w:tc>
      </w:tr>
      <w:tr w:rsidR="00D8679F" w:rsidTr="00D8679F">
        <w:tblPrEx>
          <w:tblCellMar>
            <w:top w:w="0" w:type="dxa"/>
            <w:bottom w:w="0" w:type="dxa"/>
          </w:tblCellMar>
        </w:tblPrEx>
        <w:trPr>
          <w:cantSplit/>
        </w:trPr>
        <w:tc>
          <w:tcPr>
            <w:tcW w:w="1464"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1997/1998</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862 30</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729 12</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591 43</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29.2</w:t>
            </w:r>
          </w:p>
        </w:tc>
      </w:tr>
      <w:tr w:rsidR="00D8679F" w:rsidTr="00D8679F">
        <w:tblPrEx>
          <w:tblCellMar>
            <w:top w:w="0" w:type="dxa"/>
            <w:bottom w:w="0" w:type="dxa"/>
          </w:tblCellMar>
        </w:tblPrEx>
        <w:trPr>
          <w:cantSplit/>
        </w:trPr>
        <w:tc>
          <w:tcPr>
            <w:tcW w:w="1464"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1998/1999</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163 28</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360 12</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523 40</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30.5</w:t>
            </w:r>
          </w:p>
        </w:tc>
      </w:tr>
      <w:tr w:rsidR="00D8679F" w:rsidTr="00D8679F">
        <w:tblPrEx>
          <w:tblCellMar>
            <w:top w:w="0" w:type="dxa"/>
            <w:bottom w:w="0" w:type="dxa"/>
          </w:tblCellMar>
        </w:tblPrEx>
        <w:trPr>
          <w:cantSplit/>
        </w:trPr>
        <w:tc>
          <w:tcPr>
            <w:tcW w:w="1464"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1999/2000</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498 28</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770 12</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268 41</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30.9</w:t>
            </w:r>
          </w:p>
        </w:tc>
      </w:tr>
      <w:tr w:rsidR="00D8679F" w:rsidTr="00D8679F">
        <w:tblPrEx>
          <w:tblCellMar>
            <w:top w:w="0" w:type="dxa"/>
            <w:bottom w:w="0" w:type="dxa"/>
          </w:tblCellMar>
        </w:tblPrEx>
        <w:trPr>
          <w:cantSplit/>
        </w:trPr>
        <w:tc>
          <w:tcPr>
            <w:tcW w:w="1464"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2000/2001</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444 33</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260 17</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704 50</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34.0</w:t>
            </w:r>
          </w:p>
        </w:tc>
      </w:tr>
      <w:tr w:rsidR="00D8679F" w:rsidTr="00D8679F">
        <w:tblPrEx>
          <w:tblCellMar>
            <w:top w:w="0" w:type="dxa"/>
            <w:bottom w:w="0" w:type="dxa"/>
          </w:tblCellMar>
        </w:tblPrEx>
        <w:trPr>
          <w:cantSplit/>
        </w:trPr>
        <w:tc>
          <w:tcPr>
            <w:tcW w:w="1464"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2001/2002</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637 39</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040 23</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677 62</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36.8</w:t>
            </w:r>
          </w:p>
        </w:tc>
      </w:tr>
      <w:tr w:rsidR="00D8679F" w:rsidTr="00D8679F">
        <w:tblPrEx>
          <w:tblCellMar>
            <w:top w:w="0" w:type="dxa"/>
            <w:bottom w:w="0" w:type="dxa"/>
          </w:tblCellMar>
        </w:tblPrEx>
        <w:trPr>
          <w:cantSplit/>
        </w:trPr>
        <w:tc>
          <w:tcPr>
            <w:tcW w:w="1464"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2002/2003</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875 46</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957 24</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832 71</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34.7</w:t>
            </w:r>
          </w:p>
        </w:tc>
      </w:tr>
      <w:tr w:rsidR="00D8679F" w:rsidTr="00D8679F">
        <w:tblPrEx>
          <w:tblCellMar>
            <w:top w:w="0" w:type="dxa"/>
            <w:bottom w:w="0" w:type="dxa"/>
          </w:tblCellMar>
        </w:tblPrEx>
        <w:trPr>
          <w:cantSplit/>
        </w:trPr>
        <w:tc>
          <w:tcPr>
            <w:tcW w:w="1464"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2003/2004</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088 47</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462 25</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550 72</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35.1</w:t>
            </w:r>
          </w:p>
        </w:tc>
      </w:tr>
      <w:tr w:rsidR="00D8679F" w:rsidTr="00D8679F">
        <w:tblPrEx>
          <w:tblCellMar>
            <w:top w:w="0" w:type="dxa"/>
            <w:bottom w:w="0" w:type="dxa"/>
          </w:tblCellMar>
        </w:tblPrEx>
        <w:trPr>
          <w:cantSplit/>
        </w:trPr>
        <w:tc>
          <w:tcPr>
            <w:tcW w:w="1464"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2004/2005</w:t>
            </w:r>
          </w:p>
        </w:tc>
        <w:tc>
          <w:tcPr>
            <w:tcW w:w="1464"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394 53</w:t>
            </w:r>
          </w:p>
        </w:tc>
        <w:tc>
          <w:tcPr>
            <w:tcW w:w="1464"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097 28</w:t>
            </w:r>
          </w:p>
        </w:tc>
        <w:tc>
          <w:tcPr>
            <w:tcW w:w="1464"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491 81</w:t>
            </w:r>
          </w:p>
        </w:tc>
        <w:tc>
          <w:tcPr>
            <w:tcW w:w="1464"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34.5</w:t>
            </w:r>
          </w:p>
        </w:tc>
      </w:tr>
    </w:tbl>
    <w:p w:rsidR="00000000" w:rsidRDefault="00D8679F">
      <w:pPr>
        <w:pStyle w:val="SingleTxt"/>
        <w:spacing w:after="0" w:line="120" w:lineRule="exact"/>
        <w:ind w:left="1930" w:hanging="663"/>
        <w:jc w:val="both"/>
        <w:rPr>
          <w:rFonts w:hint="cs"/>
          <w:sz w:val="10"/>
          <w:rtl/>
          <w:lang w:bidi="ar-EG"/>
        </w:rPr>
      </w:pPr>
    </w:p>
    <w:p w:rsidR="00000000" w:rsidRDefault="00D8679F">
      <w:pPr>
        <w:pStyle w:val="SingleTxt"/>
        <w:ind w:left="1930" w:hanging="663"/>
        <w:jc w:val="both"/>
        <w:rPr>
          <w:rFonts w:hint="cs"/>
          <w:rtl/>
          <w:lang w:bidi="ar-EG"/>
        </w:rPr>
      </w:pPr>
      <w:r>
        <w:rPr>
          <w:rFonts w:hint="cs"/>
          <w:i/>
          <w:iCs/>
          <w:rtl/>
          <w:lang w:bidi="ar-EG"/>
        </w:rPr>
        <w:t>المصدر</w:t>
      </w:r>
      <w:r>
        <w:rPr>
          <w:rFonts w:hint="cs"/>
          <w:rtl/>
          <w:lang w:bidi="ar-EG"/>
        </w:rPr>
        <w:t>:.المجلس المشترك للقبول.</w:t>
      </w:r>
    </w:p>
    <w:p w:rsidR="00000000" w:rsidRDefault="00D8679F">
      <w:pPr>
        <w:pStyle w:val="SingleTxt"/>
        <w:spacing w:after="0" w:line="120" w:lineRule="exact"/>
        <w:ind w:left="1930" w:hanging="663"/>
        <w:jc w:val="both"/>
        <w:rPr>
          <w:rFonts w:hint="cs"/>
          <w:sz w:val="10"/>
          <w:rtl/>
          <w:lang w:bidi="ar-EG"/>
        </w:rPr>
      </w:pPr>
    </w:p>
    <w:p w:rsidR="00000000" w:rsidRDefault="00D8679F">
      <w:pPr>
        <w:pStyle w:val="SingleTxt"/>
        <w:tabs>
          <w:tab w:val="clear" w:pos="2592"/>
          <w:tab w:val="left" w:pos="2228"/>
        </w:tabs>
        <w:ind w:left="2228" w:hanging="961"/>
        <w:jc w:val="both"/>
        <w:rPr>
          <w:rFonts w:hint="cs"/>
          <w:rtl/>
          <w:lang w:bidi="ar-EG"/>
        </w:rPr>
      </w:pPr>
      <w:r>
        <w:rPr>
          <w:rFonts w:hint="cs"/>
          <w:rtl/>
          <w:lang w:bidi="ar-EG"/>
        </w:rPr>
        <w:t>الج</w:t>
      </w:r>
      <w:r>
        <w:rPr>
          <w:rFonts w:hint="cs"/>
          <w:rtl/>
          <w:lang w:bidi="ar-EG"/>
        </w:rPr>
        <w:t>دول 11</w:t>
      </w:r>
    </w:p>
    <w:p w:rsidR="00000000" w:rsidRDefault="00D8679F">
      <w:pPr>
        <w:pStyle w:val="SingleTxt"/>
        <w:tabs>
          <w:tab w:val="clear" w:pos="2592"/>
          <w:tab w:val="left" w:pos="2228"/>
        </w:tabs>
        <w:spacing w:after="0" w:line="120" w:lineRule="exact"/>
        <w:ind w:left="2228" w:hanging="961"/>
        <w:jc w:val="both"/>
        <w:rPr>
          <w:rFonts w:hint="cs"/>
          <w:sz w:val="12"/>
          <w:rtl/>
          <w:lang w:bidi="ar-EG"/>
        </w:rPr>
      </w:pPr>
    </w:p>
    <w:p w:rsidR="00000000" w:rsidRDefault="00D8679F">
      <w:pPr>
        <w:pStyle w:val="SingleTxt"/>
        <w:tabs>
          <w:tab w:val="clear" w:pos="2592"/>
          <w:tab w:val="left" w:pos="2228"/>
        </w:tabs>
        <w:ind w:left="2228" w:hanging="961"/>
        <w:jc w:val="both"/>
        <w:rPr>
          <w:rFonts w:hint="cs"/>
          <w:rtl/>
          <w:lang w:bidi="ar-EG"/>
        </w:rPr>
      </w:pPr>
      <w:r>
        <w:rPr>
          <w:rFonts w:hint="cs"/>
          <w:b/>
          <w:bCs/>
          <w:rtl/>
          <w:lang w:bidi="ar-EG"/>
        </w:rPr>
        <w:t>الالتحاق بالجامعات الخاصة المعتمدة حسب الجنس، 1997/1998-2004/2005</w:t>
      </w:r>
    </w:p>
    <w:p w:rsidR="00000000" w:rsidRDefault="00D8679F">
      <w:pPr>
        <w:pStyle w:val="SingleTxt"/>
        <w:spacing w:after="0" w:line="120" w:lineRule="exact"/>
        <w:ind w:left="1930" w:hanging="663"/>
        <w:jc w:val="both"/>
        <w:rPr>
          <w:rFonts w:hint="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D8679F" w:rsidTr="00D8679F">
        <w:tblPrEx>
          <w:tblCellMar>
            <w:top w:w="0" w:type="dxa"/>
            <w:bottom w:w="0" w:type="dxa"/>
          </w:tblCellMar>
        </w:tblPrEx>
        <w:trPr>
          <w:cantSplit/>
          <w:tblHeader/>
        </w:trPr>
        <w:tc>
          <w:tcPr>
            <w:tcW w:w="1464"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السنة</w:t>
            </w:r>
          </w:p>
        </w:tc>
        <w:tc>
          <w:tcPr>
            <w:tcW w:w="1464"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ذكور</w:t>
            </w:r>
          </w:p>
        </w:tc>
        <w:tc>
          <w:tcPr>
            <w:tcW w:w="1464"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إناث</w:t>
            </w:r>
          </w:p>
        </w:tc>
        <w:tc>
          <w:tcPr>
            <w:tcW w:w="1464"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المجموع</w:t>
            </w:r>
          </w:p>
        </w:tc>
        <w:tc>
          <w:tcPr>
            <w:tcW w:w="1464"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النسبة المئوية للإناث</w:t>
            </w:r>
          </w:p>
        </w:tc>
      </w:tr>
      <w:tr w:rsidR="00D8679F" w:rsidTr="00D8679F">
        <w:tblPrEx>
          <w:tblCellMar>
            <w:top w:w="0" w:type="dxa"/>
            <w:bottom w:w="0" w:type="dxa"/>
          </w:tblCellMar>
        </w:tblPrEx>
        <w:trPr>
          <w:cantSplit/>
          <w:trHeight w:hRule="exact" w:val="115"/>
          <w:tblHeader/>
        </w:trPr>
        <w:tc>
          <w:tcPr>
            <w:tcW w:w="1464"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p>
        </w:tc>
        <w:tc>
          <w:tcPr>
            <w:tcW w:w="1464"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464"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464"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464"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D8679F" w:rsidTr="00D8679F">
        <w:tblPrEx>
          <w:tblCellMar>
            <w:top w:w="0" w:type="dxa"/>
            <w:bottom w:w="0" w:type="dxa"/>
          </w:tblCellMar>
        </w:tblPrEx>
        <w:trPr>
          <w:cantSplit/>
        </w:trPr>
        <w:tc>
          <w:tcPr>
            <w:tcW w:w="1464"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1997/1998</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072 2</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816 1</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888 3</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46.7</w:t>
            </w:r>
          </w:p>
        </w:tc>
      </w:tr>
      <w:tr w:rsidR="00D8679F" w:rsidTr="00D8679F">
        <w:tblPrEx>
          <w:tblCellMar>
            <w:top w:w="0" w:type="dxa"/>
            <w:bottom w:w="0" w:type="dxa"/>
          </w:tblCellMar>
        </w:tblPrEx>
        <w:trPr>
          <w:cantSplit/>
        </w:trPr>
        <w:tc>
          <w:tcPr>
            <w:tcW w:w="1464"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1998/1999</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609 3</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382 3</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901 6</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48.4</w:t>
            </w:r>
          </w:p>
        </w:tc>
      </w:tr>
      <w:tr w:rsidR="00D8679F" w:rsidTr="00D8679F">
        <w:tblPrEx>
          <w:tblCellMar>
            <w:top w:w="0" w:type="dxa"/>
            <w:bottom w:w="0" w:type="dxa"/>
          </w:tblCellMar>
        </w:tblPrEx>
        <w:trPr>
          <w:cantSplit/>
        </w:trPr>
        <w:tc>
          <w:tcPr>
            <w:tcW w:w="1464"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1999/2000</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963 3</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162 4</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125 8</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51.2</w:t>
            </w:r>
          </w:p>
        </w:tc>
      </w:tr>
      <w:tr w:rsidR="00D8679F" w:rsidTr="00D8679F">
        <w:tblPrEx>
          <w:tblCellMar>
            <w:top w:w="0" w:type="dxa"/>
            <w:bottom w:w="0" w:type="dxa"/>
          </w:tblCellMar>
        </w:tblPrEx>
        <w:trPr>
          <w:cantSplit/>
        </w:trPr>
        <w:tc>
          <w:tcPr>
            <w:tcW w:w="1464"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2000/2001</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093 3</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050 4</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143 7</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56.7</w:t>
            </w:r>
          </w:p>
        </w:tc>
      </w:tr>
      <w:tr w:rsidR="00D8679F" w:rsidTr="00D8679F">
        <w:tblPrEx>
          <w:tblCellMar>
            <w:top w:w="0" w:type="dxa"/>
            <w:bottom w:w="0" w:type="dxa"/>
          </w:tblCellMar>
        </w:tblPrEx>
        <w:trPr>
          <w:cantSplit/>
        </w:trPr>
        <w:tc>
          <w:tcPr>
            <w:tcW w:w="1464"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2001/2002</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122 3</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089 4</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211 7</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57.7</w:t>
            </w:r>
          </w:p>
        </w:tc>
      </w:tr>
      <w:tr w:rsidR="00D8679F" w:rsidTr="00D8679F">
        <w:tblPrEx>
          <w:tblCellMar>
            <w:top w:w="0" w:type="dxa"/>
            <w:bottom w:w="0" w:type="dxa"/>
          </w:tblCellMar>
        </w:tblPrEx>
        <w:trPr>
          <w:cantSplit/>
        </w:trPr>
        <w:tc>
          <w:tcPr>
            <w:tcW w:w="1464"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2002/2003</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476 3</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163 4</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639 7</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54.5</w:t>
            </w:r>
          </w:p>
        </w:tc>
      </w:tr>
      <w:tr w:rsidR="00D8679F" w:rsidTr="00D8679F">
        <w:tblPrEx>
          <w:tblCellMar>
            <w:top w:w="0" w:type="dxa"/>
            <w:bottom w:w="0" w:type="dxa"/>
          </w:tblCellMar>
        </w:tblPrEx>
        <w:trPr>
          <w:cantSplit/>
        </w:trPr>
        <w:tc>
          <w:tcPr>
            <w:tcW w:w="1464"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2003/2004</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650 3</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371 4</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021 8</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54.5</w:t>
            </w:r>
          </w:p>
        </w:tc>
      </w:tr>
      <w:tr w:rsidR="00D8679F" w:rsidTr="00D8679F">
        <w:tblPrEx>
          <w:tblCellMar>
            <w:top w:w="0" w:type="dxa"/>
            <w:bottom w:w="0" w:type="dxa"/>
          </w:tblCellMar>
        </w:tblPrEx>
        <w:trPr>
          <w:cantSplit/>
        </w:trPr>
        <w:tc>
          <w:tcPr>
            <w:tcW w:w="1464"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2004/2005</w:t>
            </w:r>
          </w:p>
        </w:tc>
        <w:tc>
          <w:tcPr>
            <w:tcW w:w="1464"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796 3</w:t>
            </w:r>
          </w:p>
        </w:tc>
        <w:tc>
          <w:tcPr>
            <w:tcW w:w="1464"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546 4</w:t>
            </w:r>
          </w:p>
        </w:tc>
        <w:tc>
          <w:tcPr>
            <w:tcW w:w="1464"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342 8</w:t>
            </w:r>
          </w:p>
        </w:tc>
        <w:tc>
          <w:tcPr>
            <w:tcW w:w="1464"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54.4</w:t>
            </w:r>
          </w:p>
        </w:tc>
      </w:tr>
    </w:tbl>
    <w:p w:rsidR="00000000" w:rsidRDefault="00D8679F">
      <w:pPr>
        <w:pStyle w:val="SingleTxt"/>
        <w:spacing w:after="0" w:line="120" w:lineRule="exact"/>
        <w:ind w:left="1930" w:hanging="663"/>
        <w:jc w:val="both"/>
        <w:rPr>
          <w:rFonts w:hint="cs"/>
          <w:sz w:val="10"/>
          <w:rtl/>
          <w:lang w:bidi="ar-EG"/>
        </w:rPr>
      </w:pPr>
    </w:p>
    <w:p w:rsidR="00000000" w:rsidRDefault="00D8679F">
      <w:pPr>
        <w:pStyle w:val="SingleTxt"/>
        <w:ind w:left="1930" w:hanging="663"/>
        <w:jc w:val="both"/>
        <w:rPr>
          <w:rFonts w:hint="cs"/>
          <w:rtl/>
          <w:lang w:bidi="ar-EG"/>
        </w:rPr>
      </w:pPr>
      <w:r>
        <w:rPr>
          <w:rFonts w:hint="cs"/>
          <w:i/>
          <w:iCs/>
          <w:rtl/>
          <w:lang w:bidi="ar-EG"/>
        </w:rPr>
        <w:t>المصدر</w:t>
      </w:r>
      <w:r>
        <w:rPr>
          <w:rFonts w:hint="cs"/>
          <w:rtl/>
          <w:lang w:bidi="ar-EG"/>
        </w:rPr>
        <w:t>:.المجلس المشترك للقبول.</w:t>
      </w:r>
    </w:p>
    <w:p w:rsidR="00000000" w:rsidRDefault="00D8679F">
      <w:pPr>
        <w:pStyle w:val="SingleTxt"/>
        <w:spacing w:after="0" w:line="120" w:lineRule="exact"/>
        <w:ind w:left="1930" w:hanging="663"/>
        <w:jc w:val="both"/>
        <w:rPr>
          <w:rFonts w:hint="cs"/>
          <w:sz w:val="10"/>
          <w:rtl/>
          <w:lang w:bidi="ar-EG"/>
        </w:rPr>
      </w:pPr>
    </w:p>
    <w:p w:rsidR="00000000" w:rsidRDefault="00D8679F">
      <w:pPr>
        <w:pStyle w:val="SingleTxt"/>
        <w:spacing w:after="0" w:line="120" w:lineRule="exact"/>
        <w:ind w:left="1930" w:hanging="663"/>
        <w:jc w:val="both"/>
        <w:rPr>
          <w:rFonts w:hint="cs"/>
          <w:sz w:val="10"/>
          <w:rtl/>
          <w:lang w:bidi="ar-EG"/>
        </w:rPr>
      </w:pPr>
    </w:p>
    <w:p w:rsidR="00000000" w:rsidRDefault="00D8679F">
      <w:pPr>
        <w:pStyle w:val="SingleTxt"/>
        <w:jc w:val="both"/>
        <w:rPr>
          <w:rFonts w:hint="cs"/>
          <w:rtl/>
          <w:lang w:bidi="ar-EG"/>
        </w:rPr>
      </w:pPr>
      <w:r>
        <w:rPr>
          <w:rFonts w:hint="cs"/>
          <w:rtl/>
          <w:lang w:bidi="ar-EG"/>
        </w:rPr>
        <w:t>106-</w:t>
      </w:r>
      <w:r>
        <w:rPr>
          <w:rFonts w:hint="cs"/>
          <w:rtl/>
          <w:lang w:bidi="ar-EG"/>
        </w:rPr>
        <w:tab/>
        <w:t xml:space="preserve">وعلى الصعيد الوطني، هناك على ما يبدو تعادل تقريبا بين الجنسين في التعليم </w:t>
      </w:r>
      <w:r>
        <w:rPr>
          <w:rFonts w:hint="cs"/>
          <w:rtl/>
          <w:lang w:bidi="ar-EG"/>
        </w:rPr>
        <w:t>على مستوى المدارس الابتدائية. وعلى سبيل المثال، في عام 2003، بلغت نسبة القبول الإجمالي بالمدارس الابتدائية 103.9 في المائة (101.4 في المائة للبنات و 106.4 للبنين). بيد أن الفجوات بين الجنسين ما زالت جلية على صعيدي الإقليم والمنطقة.</w:t>
      </w:r>
    </w:p>
    <w:p w:rsidR="00000000" w:rsidRDefault="00D8679F">
      <w:pPr>
        <w:pStyle w:val="SingleTxt"/>
        <w:jc w:val="both"/>
        <w:rPr>
          <w:rFonts w:hint="cs"/>
          <w:rtl/>
          <w:lang w:bidi="ar-EG"/>
        </w:rPr>
      </w:pPr>
      <w:r>
        <w:rPr>
          <w:rFonts w:hint="cs"/>
          <w:rtl/>
          <w:lang w:bidi="ar-EG"/>
        </w:rPr>
        <w:t>107-</w:t>
      </w:r>
      <w:r>
        <w:rPr>
          <w:rFonts w:hint="cs"/>
          <w:rtl/>
          <w:lang w:bidi="ar-EG"/>
        </w:rPr>
        <w:tab/>
        <w:t>ولكفالة الحصول تدري</w:t>
      </w:r>
      <w:r>
        <w:rPr>
          <w:rFonts w:hint="cs"/>
          <w:rtl/>
          <w:lang w:bidi="ar-EG"/>
        </w:rPr>
        <w:t>جيا على التعليم الثانوي والتعليم اللاحق للمرحلة الثانوية، أنشأت الحكومة مجلس قروض التعليم العالي لمنح القروض، والمنح المالية والمنح الدراسية للطلبة الكينيين المحتاجين الذين يواصلون التعليم العالي في معاهد معترف بها داخل كينيا وخارجها. وهو صندوق دائر من الم</w:t>
      </w:r>
      <w:r>
        <w:rPr>
          <w:rFonts w:hint="cs"/>
          <w:rtl/>
          <w:lang w:bidi="ar-EG"/>
        </w:rPr>
        <w:t>توقع أن ينمو وأن يكون قادرا على تقديم الأموال، على أساس قروض، لمعظم الاحتياجات التعليمية العالية للبلد في المستقبل.</w:t>
      </w:r>
    </w:p>
    <w:p w:rsidR="00000000" w:rsidRDefault="00D8679F">
      <w:pPr>
        <w:pStyle w:val="SingleTxt"/>
        <w:jc w:val="both"/>
        <w:rPr>
          <w:rFonts w:hint="cs"/>
          <w:rtl/>
          <w:lang w:bidi="ar-EG"/>
        </w:rPr>
      </w:pPr>
      <w:r>
        <w:rPr>
          <w:rFonts w:hint="cs"/>
          <w:rtl/>
          <w:lang w:bidi="ar-EG"/>
        </w:rPr>
        <w:t>108-</w:t>
      </w:r>
      <w:r>
        <w:rPr>
          <w:rFonts w:hint="cs"/>
          <w:rtl/>
          <w:lang w:bidi="ar-EG"/>
        </w:rPr>
        <w:tab/>
        <w:t>ووضعت الحكومة أيضا خطة للمنح المالية للطلاب، تدفع رسوم التعليم لطلبة المدارس الثانوية النابهين ولكن من ناحية أخرى تعوزهم الموارد. وقامت</w:t>
      </w:r>
      <w:r>
        <w:rPr>
          <w:rFonts w:hint="cs"/>
          <w:rtl/>
          <w:lang w:bidi="ar-EG"/>
        </w:rPr>
        <w:t xml:space="preserve"> المنظمات غير الحكومية والشركات الخاصة أيضا بتعزيز جهود الحكومة الرامية إلى تقديم المنح المالية والمنح الدراسية للطلاب، وعلى سبيل المثال مصرف بركليز، ومصانع جعَّة شرق أفريقيا، وسفاريكوم، والمؤسسات التعليمية المختلفة وما إلى ذلك. بيد أن هذه الجهود معرضة للخ</w:t>
      </w:r>
      <w:r>
        <w:rPr>
          <w:rFonts w:hint="cs"/>
          <w:rtl/>
          <w:lang w:bidi="ar-EG"/>
        </w:rPr>
        <w:t>طر بسبب ارتفاع مستويات الفقر وآثار فيروس نقص المناعة البشرية/الإيدز.</w:t>
      </w:r>
    </w:p>
    <w:p w:rsidR="00000000" w:rsidRDefault="00D8679F">
      <w:pPr>
        <w:pStyle w:val="SingleTxt"/>
        <w:jc w:val="both"/>
        <w:rPr>
          <w:rFonts w:hint="cs"/>
          <w:rtl/>
          <w:lang w:bidi="ar-EG"/>
        </w:rPr>
      </w:pPr>
      <w:r>
        <w:rPr>
          <w:rFonts w:hint="cs"/>
          <w:rtl/>
          <w:lang w:bidi="ar-EG"/>
        </w:rPr>
        <w:t>109-</w:t>
      </w:r>
      <w:r>
        <w:rPr>
          <w:rFonts w:hint="cs"/>
          <w:rtl/>
          <w:lang w:bidi="ar-EG"/>
        </w:rPr>
        <w:tab/>
        <w:t>وقد أنشأت الحكومة إدارة للتوجيه وإسداء المشورة في وزارة التعليم. وتضم هذه الإدارة ممثلين من غير المدرسين في جميع المدارس العامة لإسداء المشورة للفتيات وتوجيههن فيما يتعلق بالأداء، وا</w:t>
      </w:r>
      <w:r>
        <w:rPr>
          <w:rFonts w:hint="cs"/>
          <w:rtl/>
          <w:lang w:bidi="ar-EG"/>
        </w:rPr>
        <w:t>لقوالب الجامدة والممارسات الثقافية السلبية.</w:t>
      </w:r>
    </w:p>
    <w:p w:rsidR="00000000" w:rsidRDefault="00D8679F">
      <w:pPr>
        <w:pStyle w:val="SingleTxt"/>
        <w:jc w:val="both"/>
        <w:rPr>
          <w:rFonts w:hint="cs"/>
          <w:rtl/>
          <w:lang w:bidi="ar-EG"/>
        </w:rPr>
      </w:pPr>
      <w:r>
        <w:rPr>
          <w:rFonts w:hint="cs"/>
          <w:rtl/>
          <w:lang w:bidi="ar-EG"/>
        </w:rPr>
        <w:t>110-</w:t>
      </w:r>
      <w:r>
        <w:rPr>
          <w:rFonts w:hint="cs"/>
          <w:rtl/>
          <w:lang w:bidi="ar-EG"/>
        </w:rPr>
        <w:tab/>
        <w:t>والتعليم المستمر قائم على النحو الصحيح. ولم يعد الحصول على الدرجات العلمية مربوطا بنظام التعليم النظامي. ومن المتوقع أن يساعد هذا المرأة التي تعاني حتى الآن من الأوضاع غير المواتية. وهذا ينطبق حتى على التعلي</w:t>
      </w:r>
      <w:r>
        <w:rPr>
          <w:rFonts w:hint="cs"/>
          <w:rtl/>
          <w:lang w:bidi="ar-EG"/>
        </w:rPr>
        <w:t>م الثالثي المتوسط، أي الدبلومات. وتقوم وكالات غير حكومية مثل كنيسة جيش الخلاص بتعزيز هذه الجهود.</w:t>
      </w:r>
    </w:p>
    <w:p w:rsidR="00000000" w:rsidRDefault="00D8679F">
      <w:pPr>
        <w:pStyle w:val="SingleTxt"/>
        <w:jc w:val="both"/>
        <w:rPr>
          <w:rFonts w:hint="cs"/>
          <w:rtl/>
          <w:lang w:bidi="ar-EG"/>
        </w:rPr>
      </w:pPr>
      <w:r>
        <w:rPr>
          <w:rFonts w:hint="cs"/>
          <w:rtl/>
          <w:lang w:bidi="ar-EG"/>
        </w:rPr>
        <w:t>111-</w:t>
      </w:r>
      <w:r>
        <w:rPr>
          <w:rFonts w:hint="cs"/>
          <w:rtl/>
          <w:lang w:bidi="ar-EG"/>
        </w:rPr>
        <w:tab/>
        <w:t>وفي أيلول/سبتمبر عام 2001، وضعت كينيا سياستها الوطنية للألعاب الرياضية التي تسعى إلى وضع خطة وطنية ومبادئ توجيهية لتنسيق مختلف أنشطة الألعاب الرياضية للري</w:t>
      </w:r>
      <w:r>
        <w:rPr>
          <w:rFonts w:hint="cs"/>
          <w:rtl/>
          <w:lang w:bidi="ar-EG"/>
        </w:rPr>
        <w:t>اضيين من الرجال والنساء على حد سواء.</w:t>
      </w:r>
    </w:p>
    <w:p w:rsidR="00000000" w:rsidRDefault="00D8679F">
      <w:pPr>
        <w:pStyle w:val="SingleTxt"/>
        <w:spacing w:after="0" w:line="120" w:lineRule="exact"/>
        <w:ind w:left="1930" w:hanging="663"/>
        <w:jc w:val="both"/>
        <w:rPr>
          <w:rFonts w:hint="cs"/>
          <w:sz w:val="10"/>
          <w:rtl/>
          <w:lang w:bidi="ar-EG"/>
        </w:rPr>
      </w:pPr>
    </w:p>
    <w:p w:rsidR="00000000" w:rsidRDefault="00D867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11 - العمالة</w:t>
      </w:r>
    </w:p>
    <w:p w:rsidR="00000000" w:rsidRDefault="00D8679F">
      <w:pPr>
        <w:pStyle w:val="SingleTxt"/>
        <w:jc w:val="both"/>
        <w:rPr>
          <w:rFonts w:hint="cs"/>
          <w:rtl/>
          <w:lang w:bidi="ar-EG"/>
        </w:rPr>
      </w:pPr>
      <w:r>
        <w:rPr>
          <w:rFonts w:hint="cs"/>
          <w:rtl/>
          <w:lang w:bidi="ar-EG"/>
        </w:rPr>
        <w:t>112-</w:t>
      </w:r>
      <w:r>
        <w:rPr>
          <w:rFonts w:hint="cs"/>
          <w:rtl/>
          <w:lang w:bidi="ar-EG"/>
        </w:rPr>
        <w:tab/>
        <w:t>تحققت زيادة تدريجية في اشتراك المرأة في المؤسسات الاستراتيجية لصنع القرار مثل البرلمان، والحكومة المركزية، والسلطات المحلية، ونقابات العمال، والجمعيات التعاونية والهيئات المهنية ومجالس الأراض</w:t>
      </w:r>
      <w:r>
        <w:rPr>
          <w:rFonts w:hint="cs"/>
          <w:rtl/>
          <w:lang w:bidi="ar-EG"/>
        </w:rPr>
        <w:t>ي. وزاد عدد السفيرات والأمينات الدائمات من بين أمور أخرى منذ عام 2003 كما هو مبين في الفقرة 85 أعلاه وأُبلغ عنه في إطار المادة 7 من الاتفاقية.</w:t>
      </w:r>
    </w:p>
    <w:p w:rsidR="00000000" w:rsidRDefault="00D8679F">
      <w:pPr>
        <w:pStyle w:val="SingleTxt"/>
        <w:jc w:val="both"/>
        <w:rPr>
          <w:rtl/>
          <w:lang w:bidi="ar-EG"/>
        </w:rPr>
      </w:pPr>
      <w:r>
        <w:rPr>
          <w:rFonts w:hint="cs"/>
          <w:rtl/>
          <w:lang w:bidi="ar-EG"/>
        </w:rPr>
        <w:t>113-</w:t>
      </w:r>
      <w:r>
        <w:rPr>
          <w:rFonts w:hint="cs"/>
          <w:rtl/>
          <w:lang w:bidi="ar-EG"/>
        </w:rPr>
        <w:tab/>
        <w:t>وخلال الانتخابات العامة التي جرت في عام 2002، كانت هناك 84 متنافسة (9</w:t>
      </w:r>
      <w:r>
        <w:rPr>
          <w:rFonts w:cs="Times New Roman"/>
          <w:rtl/>
          <w:lang w:bidi="ar-EG"/>
        </w:rPr>
        <w:t>‚</w:t>
      </w:r>
      <w:r>
        <w:rPr>
          <w:rFonts w:hint="cs"/>
          <w:rtl/>
          <w:lang w:bidi="ar-EG"/>
        </w:rPr>
        <w:t>7 في المائة) من بين 057 1 مرشحا للبرلم</w:t>
      </w:r>
      <w:r>
        <w:rPr>
          <w:rFonts w:hint="cs"/>
          <w:rtl/>
          <w:lang w:bidi="ar-EG"/>
        </w:rPr>
        <w:t>ان. بيد أنه لم يُنتخب إلا 10 نساء (4.8 في المائة) من بين 210 من أعضاء البرلمان. وجرى ترشيح ثماني نساء أخريات مقابل أربعة رجال للمجلس التشريعي وبذلك بلغ مجموع المشرِّعات ثماني عشرة. وفي أعقاب الانتخابات، عُينت ثلاث سيدات في مجلس الوزراء كوزيرات ولو أن العدد</w:t>
      </w:r>
      <w:r>
        <w:rPr>
          <w:rFonts w:hint="cs"/>
          <w:rtl/>
          <w:lang w:bidi="ar-EG"/>
        </w:rPr>
        <w:t xml:space="preserve"> انخفض إلى اثنتين بعد التعديل الوزاري في كانون الأول/ديسمبر عام 2005. ومن بين مساعدي الوزراء البالغ عددهم 46، كانت هناك ست سيدات. ويبين الجدول أدناه أعضاء الجمعية الوطنية حسب الجنس من عام 1969 إلى عام 2002.</w:t>
      </w:r>
    </w:p>
    <w:p w:rsidR="00000000" w:rsidRDefault="00D8679F">
      <w:pPr>
        <w:pStyle w:val="SingleTxt"/>
        <w:jc w:val="both"/>
        <w:rPr>
          <w:rFonts w:hint="cs"/>
          <w:rtl/>
          <w:lang w:bidi="ar-EG"/>
        </w:rPr>
      </w:pPr>
      <w:r>
        <w:rPr>
          <w:rtl/>
          <w:lang w:bidi="ar-EG"/>
        </w:rPr>
        <w:br w:type="page"/>
      </w:r>
      <w:r>
        <w:rPr>
          <w:rFonts w:hint="cs"/>
          <w:rtl/>
          <w:lang w:bidi="ar-EG"/>
        </w:rPr>
        <w:t>الجدول 12</w:t>
      </w:r>
    </w:p>
    <w:p w:rsidR="00000000" w:rsidRDefault="00D8679F">
      <w:pPr>
        <w:pStyle w:val="SingleTxt"/>
        <w:tabs>
          <w:tab w:val="clear" w:pos="2592"/>
          <w:tab w:val="left" w:pos="2228"/>
        </w:tabs>
        <w:ind w:left="2228" w:hanging="961"/>
        <w:jc w:val="both"/>
        <w:rPr>
          <w:rFonts w:hint="cs"/>
          <w:sz w:val="10"/>
          <w:rtl/>
          <w:lang w:bidi="ar-EG"/>
        </w:rPr>
      </w:pPr>
      <w:r>
        <w:rPr>
          <w:rFonts w:hint="cs"/>
          <w:b/>
          <w:bCs/>
          <w:rtl/>
          <w:lang w:bidi="ar-EG"/>
        </w:rPr>
        <w:t>أعضاء الجمعية الوطنية حسب الجنس، 1969-</w:t>
      </w:r>
      <w:r>
        <w:rPr>
          <w:rFonts w:hint="cs"/>
          <w:b/>
          <w:bCs/>
          <w:rtl/>
          <w:lang w:bidi="ar-EG"/>
        </w:rPr>
        <w:t>2002</w:t>
      </w:r>
    </w:p>
    <w:p w:rsidR="00000000" w:rsidRDefault="00D8679F">
      <w:pPr>
        <w:pStyle w:val="SingleTxt"/>
        <w:tabs>
          <w:tab w:val="clear" w:pos="2592"/>
          <w:tab w:val="left" w:pos="2228"/>
        </w:tabs>
        <w:spacing w:after="0" w:line="120" w:lineRule="exact"/>
        <w:ind w:left="2228" w:hanging="961"/>
        <w:jc w:val="both"/>
        <w:rPr>
          <w:rFonts w:hint="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D8679F" w:rsidTr="00D8679F">
        <w:tblPrEx>
          <w:tblCellMar>
            <w:top w:w="0" w:type="dxa"/>
            <w:bottom w:w="0" w:type="dxa"/>
          </w:tblCellMar>
        </w:tblPrEx>
        <w:trPr>
          <w:cantSplit/>
          <w:tblHeader/>
        </w:trPr>
        <w:tc>
          <w:tcPr>
            <w:tcW w:w="1464"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السنة</w:t>
            </w:r>
          </w:p>
        </w:tc>
        <w:tc>
          <w:tcPr>
            <w:tcW w:w="1464"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 xml:space="preserve">النساء </w:t>
            </w:r>
          </w:p>
        </w:tc>
        <w:tc>
          <w:tcPr>
            <w:tcW w:w="1464"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الرجال</w:t>
            </w:r>
          </w:p>
        </w:tc>
        <w:tc>
          <w:tcPr>
            <w:tcW w:w="1464"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المجموع</w:t>
            </w:r>
          </w:p>
        </w:tc>
        <w:tc>
          <w:tcPr>
            <w:tcW w:w="1464"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النسبة المئوية للنساء</w:t>
            </w:r>
          </w:p>
        </w:tc>
      </w:tr>
      <w:tr w:rsidR="00D8679F" w:rsidTr="00D8679F">
        <w:tblPrEx>
          <w:tblCellMar>
            <w:top w:w="0" w:type="dxa"/>
            <w:bottom w:w="0" w:type="dxa"/>
          </w:tblCellMar>
        </w:tblPrEx>
        <w:trPr>
          <w:cantSplit/>
          <w:trHeight w:hRule="exact" w:val="115"/>
          <w:tblHeader/>
        </w:trPr>
        <w:tc>
          <w:tcPr>
            <w:tcW w:w="1464"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p>
        </w:tc>
        <w:tc>
          <w:tcPr>
            <w:tcW w:w="1464"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464"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464"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464"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D8679F" w:rsidTr="00D8679F">
        <w:tblPrEx>
          <w:tblCellMar>
            <w:top w:w="0" w:type="dxa"/>
            <w:bottom w:w="0" w:type="dxa"/>
          </w:tblCellMar>
        </w:tblPrEx>
        <w:trPr>
          <w:cantSplit/>
        </w:trPr>
        <w:tc>
          <w:tcPr>
            <w:tcW w:w="1464"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1969</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165</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167</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1.2</w:t>
            </w:r>
          </w:p>
        </w:tc>
      </w:tr>
      <w:tr w:rsidR="00D8679F" w:rsidTr="00D8679F">
        <w:tblPrEx>
          <w:tblCellMar>
            <w:top w:w="0" w:type="dxa"/>
            <w:bottom w:w="0" w:type="dxa"/>
          </w:tblCellMar>
        </w:tblPrEx>
        <w:trPr>
          <w:cantSplit/>
        </w:trPr>
        <w:tc>
          <w:tcPr>
            <w:tcW w:w="1464"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1974</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7</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162</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169</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4.1</w:t>
            </w:r>
          </w:p>
        </w:tc>
      </w:tr>
      <w:tr w:rsidR="00D8679F" w:rsidTr="00D8679F">
        <w:tblPrEx>
          <w:tblCellMar>
            <w:top w:w="0" w:type="dxa"/>
            <w:bottom w:w="0" w:type="dxa"/>
          </w:tblCellMar>
        </w:tblPrEx>
        <w:trPr>
          <w:cantSplit/>
        </w:trPr>
        <w:tc>
          <w:tcPr>
            <w:tcW w:w="1464"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1979</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166</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170</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2.4</w:t>
            </w:r>
          </w:p>
        </w:tc>
      </w:tr>
      <w:tr w:rsidR="00D8679F" w:rsidTr="00D8679F">
        <w:tblPrEx>
          <w:tblCellMar>
            <w:top w:w="0" w:type="dxa"/>
            <w:bottom w:w="0" w:type="dxa"/>
          </w:tblCellMar>
        </w:tblPrEx>
        <w:trPr>
          <w:cantSplit/>
        </w:trPr>
        <w:tc>
          <w:tcPr>
            <w:tcW w:w="1464"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1983</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167</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170</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1.8</w:t>
            </w:r>
          </w:p>
        </w:tc>
      </w:tr>
      <w:tr w:rsidR="00D8679F" w:rsidTr="00D8679F">
        <w:tblPrEx>
          <w:tblCellMar>
            <w:top w:w="0" w:type="dxa"/>
            <w:bottom w:w="0" w:type="dxa"/>
          </w:tblCellMar>
        </w:tblPrEx>
        <w:trPr>
          <w:cantSplit/>
        </w:trPr>
        <w:tc>
          <w:tcPr>
            <w:tcW w:w="1464"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1988</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197</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200</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1.5</w:t>
            </w:r>
          </w:p>
        </w:tc>
      </w:tr>
      <w:tr w:rsidR="00D8679F" w:rsidTr="00D8679F">
        <w:tblPrEx>
          <w:tblCellMar>
            <w:top w:w="0" w:type="dxa"/>
            <w:bottom w:w="0" w:type="dxa"/>
          </w:tblCellMar>
        </w:tblPrEx>
        <w:trPr>
          <w:cantSplit/>
        </w:trPr>
        <w:tc>
          <w:tcPr>
            <w:tcW w:w="1464"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1992</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7</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193</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200</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3.5</w:t>
            </w:r>
          </w:p>
        </w:tc>
      </w:tr>
      <w:tr w:rsidR="00D8679F" w:rsidTr="00D8679F">
        <w:tblPrEx>
          <w:tblCellMar>
            <w:top w:w="0" w:type="dxa"/>
            <w:bottom w:w="0" w:type="dxa"/>
          </w:tblCellMar>
        </w:tblPrEx>
        <w:trPr>
          <w:cantSplit/>
        </w:trPr>
        <w:tc>
          <w:tcPr>
            <w:tcW w:w="1464"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1997</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8</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214</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222</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6</w:t>
            </w:r>
            <w:r>
              <w:rPr>
                <w:rFonts w:cs="Times New Roman"/>
                <w:sz w:val="16"/>
                <w:szCs w:val="24"/>
                <w:rtl/>
              </w:rPr>
              <w:t>‚</w:t>
            </w:r>
            <w:r>
              <w:rPr>
                <w:rFonts w:hint="cs"/>
                <w:sz w:val="16"/>
                <w:szCs w:val="24"/>
                <w:rtl/>
              </w:rPr>
              <w:t>3</w:t>
            </w:r>
          </w:p>
        </w:tc>
      </w:tr>
      <w:tr w:rsidR="00D8679F" w:rsidTr="00D8679F">
        <w:tblPrEx>
          <w:tblCellMar>
            <w:top w:w="0" w:type="dxa"/>
            <w:bottom w:w="0" w:type="dxa"/>
          </w:tblCellMar>
        </w:tblPrEx>
        <w:trPr>
          <w:cantSplit/>
        </w:trPr>
        <w:tc>
          <w:tcPr>
            <w:tcW w:w="1464"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1998</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9</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213</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222</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4.1</w:t>
            </w:r>
          </w:p>
        </w:tc>
      </w:tr>
      <w:tr w:rsidR="00D8679F" w:rsidTr="00D8679F">
        <w:tblPrEx>
          <w:tblCellMar>
            <w:top w:w="0" w:type="dxa"/>
            <w:bottom w:w="0" w:type="dxa"/>
          </w:tblCellMar>
        </w:tblPrEx>
        <w:trPr>
          <w:cantSplit/>
        </w:trPr>
        <w:tc>
          <w:tcPr>
            <w:tcW w:w="1464"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2002</w:t>
            </w:r>
          </w:p>
        </w:tc>
        <w:tc>
          <w:tcPr>
            <w:tcW w:w="1464"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18</w:t>
            </w:r>
          </w:p>
        </w:tc>
        <w:tc>
          <w:tcPr>
            <w:tcW w:w="1464"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204</w:t>
            </w:r>
          </w:p>
        </w:tc>
        <w:tc>
          <w:tcPr>
            <w:tcW w:w="1464"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222</w:t>
            </w:r>
          </w:p>
        </w:tc>
        <w:tc>
          <w:tcPr>
            <w:tcW w:w="1464"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8.1</w:t>
            </w:r>
          </w:p>
        </w:tc>
      </w:tr>
    </w:tbl>
    <w:p w:rsidR="00000000" w:rsidRDefault="00D8679F">
      <w:pPr>
        <w:pStyle w:val="SingleTxt"/>
        <w:spacing w:after="0" w:line="120" w:lineRule="exact"/>
        <w:ind w:left="1930" w:hanging="663"/>
        <w:jc w:val="both"/>
        <w:rPr>
          <w:rFonts w:hint="cs"/>
          <w:sz w:val="10"/>
          <w:rtl/>
          <w:lang w:bidi="ar-EG"/>
        </w:rPr>
      </w:pPr>
    </w:p>
    <w:p w:rsidR="00000000" w:rsidRDefault="00D8679F">
      <w:pPr>
        <w:pStyle w:val="SingleTxt"/>
        <w:ind w:left="1930" w:hanging="663"/>
        <w:jc w:val="both"/>
        <w:rPr>
          <w:rFonts w:hint="cs"/>
          <w:rtl/>
          <w:lang w:bidi="ar-EG"/>
        </w:rPr>
      </w:pPr>
      <w:r>
        <w:rPr>
          <w:rFonts w:hint="cs"/>
          <w:i/>
          <w:iCs/>
          <w:rtl/>
          <w:lang w:bidi="ar-EG"/>
        </w:rPr>
        <w:t>المصدر</w:t>
      </w:r>
      <w:r>
        <w:rPr>
          <w:rFonts w:hint="cs"/>
          <w:rtl/>
          <w:lang w:bidi="ar-EG"/>
        </w:rPr>
        <w:t>: ال</w:t>
      </w:r>
      <w:r>
        <w:rPr>
          <w:rFonts w:hint="cs"/>
          <w:rtl/>
          <w:lang w:bidi="ar-EG"/>
        </w:rPr>
        <w:t>لجنة الانتخابية، 2002.</w:t>
      </w:r>
    </w:p>
    <w:p w:rsidR="00000000" w:rsidRDefault="00D8679F">
      <w:pPr>
        <w:pStyle w:val="SingleTxt"/>
        <w:spacing w:after="0" w:line="120" w:lineRule="exact"/>
        <w:ind w:left="1930" w:hanging="663"/>
        <w:jc w:val="both"/>
        <w:rPr>
          <w:rFonts w:hint="cs"/>
          <w:sz w:val="10"/>
          <w:rtl/>
          <w:lang w:bidi="ar-EG"/>
        </w:rPr>
      </w:pPr>
    </w:p>
    <w:p w:rsidR="00000000" w:rsidRDefault="00D8679F">
      <w:pPr>
        <w:pStyle w:val="SingleTxt"/>
        <w:spacing w:after="0" w:line="120" w:lineRule="exact"/>
        <w:ind w:left="1930" w:hanging="663"/>
        <w:jc w:val="both"/>
        <w:rPr>
          <w:rFonts w:hint="cs"/>
          <w:sz w:val="10"/>
          <w:rtl/>
          <w:lang w:bidi="ar-EG"/>
        </w:rPr>
      </w:pPr>
    </w:p>
    <w:p w:rsidR="00000000" w:rsidRDefault="00D8679F">
      <w:pPr>
        <w:pStyle w:val="SingleTxt"/>
        <w:jc w:val="both"/>
        <w:rPr>
          <w:rFonts w:hint="cs"/>
          <w:rtl/>
          <w:lang w:bidi="ar-EG"/>
        </w:rPr>
      </w:pPr>
      <w:r>
        <w:rPr>
          <w:rFonts w:hint="cs"/>
          <w:rtl/>
          <w:lang w:bidi="ar-EG"/>
        </w:rPr>
        <w:t>114-</w:t>
      </w:r>
      <w:r>
        <w:rPr>
          <w:rFonts w:hint="cs"/>
          <w:rtl/>
          <w:lang w:bidi="ar-EG"/>
        </w:rPr>
        <w:tab/>
        <w:t>وفي الخدمة المدنية كان عدد النساء في المناصب الرئيسية صغيرا بالمقارنة بعدد الرجال. وبوجه عام، ارتفع تمثيل المرأة في الخدمة المدنية بصورة هامشية من نسبة 24 في المائة في عام 1998 إلى نسبة 29.6 في المائة في عام 2003. وفي مهنة الت</w:t>
      </w:r>
      <w:r>
        <w:rPr>
          <w:rFonts w:hint="cs"/>
          <w:rtl/>
          <w:lang w:bidi="ar-EG"/>
        </w:rPr>
        <w:t>دريس، هناك تحسن ملحوظ في عدد المدرسات في المدارس الابتدائية والثانوية على حد سواء منذ عام 1997. وفي عام 2004، كانت نسبة 44.4 في المائة من مدرسي المدارس الابتدائية البالغ عددهم 184 178 من الإناث مقابل نسبة 41.4 في المائة من مدرسي المدارس الابتدائية البالغ ع</w:t>
      </w:r>
      <w:r>
        <w:rPr>
          <w:rFonts w:hint="cs"/>
          <w:rtl/>
          <w:lang w:bidi="ar-EG"/>
        </w:rPr>
        <w:t>ددهم 590 186 في عام 1997. وبالمثل في عام 2004، كانت نسبة 34.4 في المائة من مدرسي المدارس الثانوية من الإناث مقابل نسبة 33.5 في المائة في عام 1997 كما</w:t>
      </w:r>
      <w:r>
        <w:rPr>
          <w:rFonts w:hint="eastAsia"/>
          <w:rtl/>
          <w:lang w:bidi="ar-EG"/>
        </w:rPr>
        <w:t> </w:t>
      </w:r>
      <w:r>
        <w:rPr>
          <w:rFonts w:hint="cs"/>
          <w:rtl/>
          <w:lang w:bidi="ar-EG"/>
        </w:rPr>
        <w:t>هو مبين في الجدولين 13 و</w:t>
      </w:r>
      <w:r>
        <w:rPr>
          <w:rFonts w:hint="eastAsia"/>
          <w:rtl/>
          <w:lang w:bidi="ar-EG"/>
        </w:rPr>
        <w:t> </w:t>
      </w:r>
      <w:r>
        <w:rPr>
          <w:rFonts w:hint="cs"/>
          <w:rtl/>
          <w:lang w:bidi="ar-EG"/>
        </w:rPr>
        <w:t>14 أدناه.</w:t>
      </w:r>
    </w:p>
    <w:p w:rsidR="00000000" w:rsidRDefault="00D8679F">
      <w:pPr>
        <w:pStyle w:val="SingleTxt"/>
        <w:spacing w:after="0" w:line="120" w:lineRule="exact"/>
        <w:ind w:left="1930" w:hanging="663"/>
        <w:jc w:val="both"/>
        <w:rPr>
          <w:rFonts w:hint="cs"/>
          <w:sz w:val="10"/>
          <w:rtl/>
          <w:lang w:bidi="ar-EG"/>
        </w:rPr>
      </w:pPr>
    </w:p>
    <w:p w:rsidR="00000000" w:rsidRDefault="00D8679F">
      <w:pPr>
        <w:pStyle w:val="SingleTxt"/>
        <w:spacing w:after="0" w:line="120" w:lineRule="exact"/>
        <w:ind w:left="1930" w:hanging="663"/>
        <w:jc w:val="both"/>
        <w:rPr>
          <w:rFonts w:hint="cs"/>
          <w:sz w:val="10"/>
          <w:rtl/>
          <w:lang w:bidi="ar-EG"/>
        </w:rPr>
      </w:pPr>
    </w:p>
    <w:p w:rsidR="00000000" w:rsidRDefault="00D8679F">
      <w:pPr>
        <w:pStyle w:val="SingleTxt"/>
        <w:tabs>
          <w:tab w:val="clear" w:pos="2592"/>
          <w:tab w:val="left" w:pos="2228"/>
        </w:tabs>
        <w:ind w:left="2228" w:hanging="961"/>
        <w:jc w:val="both"/>
        <w:rPr>
          <w:rFonts w:hint="cs"/>
          <w:rtl/>
          <w:lang w:bidi="ar-EG"/>
        </w:rPr>
      </w:pPr>
      <w:r>
        <w:rPr>
          <w:rFonts w:hint="cs"/>
          <w:rtl/>
          <w:lang w:bidi="ar-EG"/>
        </w:rPr>
        <w:t>الجدول 13</w:t>
      </w:r>
    </w:p>
    <w:p w:rsidR="00000000" w:rsidRDefault="00D8679F">
      <w:pPr>
        <w:pStyle w:val="SingleTxt"/>
        <w:tabs>
          <w:tab w:val="clear" w:pos="2592"/>
          <w:tab w:val="left" w:pos="2228"/>
        </w:tabs>
        <w:ind w:left="2228" w:hanging="961"/>
        <w:jc w:val="both"/>
        <w:rPr>
          <w:rFonts w:hint="cs"/>
          <w:sz w:val="10"/>
          <w:rtl/>
          <w:lang w:bidi="ar-EG"/>
        </w:rPr>
      </w:pPr>
      <w:r>
        <w:rPr>
          <w:rFonts w:hint="cs"/>
          <w:b/>
          <w:bCs/>
          <w:rtl/>
          <w:lang w:bidi="ar-EG"/>
        </w:rPr>
        <w:t>عدد مدرسي المدارس الابتدائية حسب الجنس، 1997-2004</w:t>
      </w:r>
    </w:p>
    <w:p w:rsidR="00000000" w:rsidRDefault="00D8679F">
      <w:pPr>
        <w:pStyle w:val="SingleTxt"/>
        <w:tabs>
          <w:tab w:val="clear" w:pos="2592"/>
          <w:tab w:val="left" w:pos="2228"/>
        </w:tabs>
        <w:spacing w:after="0" w:line="120" w:lineRule="exact"/>
        <w:ind w:left="2228" w:hanging="961"/>
        <w:jc w:val="both"/>
        <w:rPr>
          <w:rFonts w:hint="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D8679F" w:rsidTr="00D8679F">
        <w:tblPrEx>
          <w:tblCellMar>
            <w:top w:w="0" w:type="dxa"/>
            <w:bottom w:w="0" w:type="dxa"/>
          </w:tblCellMar>
        </w:tblPrEx>
        <w:trPr>
          <w:cantSplit/>
          <w:tblHeader/>
        </w:trPr>
        <w:tc>
          <w:tcPr>
            <w:tcW w:w="1464"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السنة</w:t>
            </w:r>
          </w:p>
        </w:tc>
        <w:tc>
          <w:tcPr>
            <w:tcW w:w="1464"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ذكور</w:t>
            </w:r>
          </w:p>
        </w:tc>
        <w:tc>
          <w:tcPr>
            <w:tcW w:w="1464"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إناث</w:t>
            </w:r>
          </w:p>
        </w:tc>
        <w:tc>
          <w:tcPr>
            <w:tcW w:w="1464"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المجموع</w:t>
            </w:r>
          </w:p>
        </w:tc>
        <w:tc>
          <w:tcPr>
            <w:tcW w:w="1464"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النسبة المئوية للإناث</w:t>
            </w:r>
          </w:p>
        </w:tc>
      </w:tr>
      <w:tr w:rsidR="00D8679F" w:rsidTr="00D8679F">
        <w:tblPrEx>
          <w:tblCellMar>
            <w:top w:w="0" w:type="dxa"/>
            <w:bottom w:w="0" w:type="dxa"/>
          </w:tblCellMar>
        </w:tblPrEx>
        <w:trPr>
          <w:cantSplit/>
          <w:trHeight w:hRule="exact" w:val="115"/>
          <w:tblHeader/>
        </w:trPr>
        <w:tc>
          <w:tcPr>
            <w:tcW w:w="1464"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p>
        </w:tc>
        <w:tc>
          <w:tcPr>
            <w:tcW w:w="1464"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464"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464"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464"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D8679F" w:rsidTr="00D8679F">
        <w:tblPrEx>
          <w:tblCellMar>
            <w:top w:w="0" w:type="dxa"/>
            <w:bottom w:w="0" w:type="dxa"/>
          </w:tblCellMar>
        </w:tblPrEx>
        <w:trPr>
          <w:cantSplit/>
        </w:trPr>
        <w:tc>
          <w:tcPr>
            <w:tcW w:w="1464"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1997</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345 109</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245 77</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590 186</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41.4</w:t>
            </w:r>
          </w:p>
        </w:tc>
      </w:tr>
      <w:tr w:rsidR="00D8679F" w:rsidTr="00D8679F">
        <w:tblPrEx>
          <w:tblCellMar>
            <w:top w:w="0" w:type="dxa"/>
            <w:bottom w:w="0" w:type="dxa"/>
          </w:tblCellMar>
        </w:tblPrEx>
        <w:trPr>
          <w:cantSplit/>
        </w:trPr>
        <w:tc>
          <w:tcPr>
            <w:tcW w:w="1464"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1998</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407 111</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899 80</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306 192</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42.1</w:t>
            </w:r>
          </w:p>
        </w:tc>
      </w:tr>
      <w:tr w:rsidR="00D8679F" w:rsidTr="00D8679F">
        <w:tblPrEx>
          <w:tblCellMar>
            <w:top w:w="0" w:type="dxa"/>
            <w:bottom w:w="0" w:type="dxa"/>
          </w:tblCellMar>
        </w:tblPrEx>
        <w:trPr>
          <w:cantSplit/>
        </w:trPr>
        <w:tc>
          <w:tcPr>
            <w:tcW w:w="1464"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1999</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792 106</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820 79</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612 186</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42.8</w:t>
            </w:r>
          </w:p>
        </w:tc>
      </w:tr>
      <w:tr w:rsidR="00D8679F" w:rsidTr="00D8679F">
        <w:tblPrEx>
          <w:tblCellMar>
            <w:top w:w="0" w:type="dxa"/>
            <w:bottom w:w="0" w:type="dxa"/>
          </w:tblCellMar>
        </w:tblPrEx>
        <w:trPr>
          <w:cantSplit/>
        </w:trPr>
        <w:tc>
          <w:tcPr>
            <w:tcW w:w="1464"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2000</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439 103</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461 75</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900 178</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42.2</w:t>
            </w:r>
          </w:p>
        </w:tc>
      </w:tr>
      <w:tr w:rsidR="00D8679F" w:rsidTr="00D8679F">
        <w:tblPrEx>
          <w:tblCellMar>
            <w:top w:w="0" w:type="dxa"/>
            <w:bottom w:w="0" w:type="dxa"/>
          </w:tblCellMar>
        </w:tblPrEx>
        <w:trPr>
          <w:cantSplit/>
        </w:trPr>
        <w:tc>
          <w:tcPr>
            <w:tcW w:w="1464"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2001</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369 106</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491 74</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860 180</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41.3</w:t>
            </w:r>
          </w:p>
        </w:tc>
      </w:tr>
      <w:tr w:rsidR="00D8679F" w:rsidTr="00D8679F">
        <w:tblPrEx>
          <w:tblCellMar>
            <w:top w:w="0" w:type="dxa"/>
            <w:bottom w:w="0" w:type="dxa"/>
          </w:tblCellMar>
        </w:tblPrEx>
        <w:trPr>
          <w:cantSplit/>
        </w:trPr>
        <w:tc>
          <w:tcPr>
            <w:tcW w:w="1464"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2002</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658 104</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380 73</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038 178</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41.2</w:t>
            </w:r>
          </w:p>
        </w:tc>
      </w:tr>
      <w:tr w:rsidR="00D8679F" w:rsidTr="00D8679F">
        <w:tblPrEx>
          <w:tblCellMar>
            <w:top w:w="0" w:type="dxa"/>
            <w:bottom w:w="0" w:type="dxa"/>
          </w:tblCellMar>
        </w:tblPrEx>
        <w:trPr>
          <w:cantSplit/>
        </w:trPr>
        <w:tc>
          <w:tcPr>
            <w:tcW w:w="1464"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2003</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650 104</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972 73</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622 178</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41.4</w:t>
            </w:r>
          </w:p>
        </w:tc>
      </w:tr>
      <w:tr w:rsidR="00D8679F" w:rsidTr="00D8679F">
        <w:tblPrEx>
          <w:tblCellMar>
            <w:top w:w="0" w:type="dxa"/>
            <w:bottom w:w="0" w:type="dxa"/>
          </w:tblCellMar>
        </w:tblPrEx>
        <w:trPr>
          <w:cantSplit/>
        </w:trPr>
        <w:tc>
          <w:tcPr>
            <w:tcW w:w="1464"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2004</w:t>
            </w:r>
          </w:p>
        </w:tc>
        <w:tc>
          <w:tcPr>
            <w:tcW w:w="1464"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142 99</w:t>
            </w:r>
          </w:p>
        </w:tc>
        <w:tc>
          <w:tcPr>
            <w:tcW w:w="1464"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042 79</w:t>
            </w:r>
          </w:p>
        </w:tc>
        <w:tc>
          <w:tcPr>
            <w:tcW w:w="1464"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184 178</w:t>
            </w:r>
          </w:p>
        </w:tc>
        <w:tc>
          <w:tcPr>
            <w:tcW w:w="1464"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44.4</w:t>
            </w:r>
          </w:p>
        </w:tc>
      </w:tr>
    </w:tbl>
    <w:p w:rsidR="00000000" w:rsidRDefault="00D8679F">
      <w:pPr>
        <w:pStyle w:val="SingleTxt"/>
        <w:spacing w:after="0" w:line="120" w:lineRule="exact"/>
        <w:ind w:left="1930" w:hanging="663"/>
        <w:jc w:val="both"/>
        <w:rPr>
          <w:rFonts w:hint="cs"/>
          <w:sz w:val="10"/>
          <w:rtl/>
          <w:lang w:bidi="ar-EG"/>
        </w:rPr>
      </w:pPr>
    </w:p>
    <w:p w:rsidR="00000000" w:rsidRDefault="00D8679F">
      <w:pPr>
        <w:pStyle w:val="SingleTxt"/>
        <w:ind w:left="1930" w:hanging="663"/>
        <w:jc w:val="both"/>
        <w:rPr>
          <w:rFonts w:hint="cs"/>
          <w:rtl/>
          <w:lang w:bidi="ar-EG"/>
        </w:rPr>
      </w:pPr>
      <w:r>
        <w:rPr>
          <w:rFonts w:hint="cs"/>
          <w:i/>
          <w:iCs/>
          <w:rtl/>
          <w:lang w:bidi="ar-EG"/>
        </w:rPr>
        <w:t>المصدر</w:t>
      </w:r>
      <w:r>
        <w:rPr>
          <w:rFonts w:hint="cs"/>
          <w:rtl/>
          <w:lang w:bidi="ar-EG"/>
        </w:rPr>
        <w:t>: لجنة خدمة المدرسين.</w:t>
      </w:r>
    </w:p>
    <w:p w:rsidR="00000000" w:rsidRDefault="00D8679F">
      <w:pPr>
        <w:pStyle w:val="SingleTxt"/>
        <w:spacing w:after="0" w:line="120" w:lineRule="exact"/>
        <w:ind w:left="1930" w:hanging="663"/>
        <w:jc w:val="both"/>
        <w:rPr>
          <w:rFonts w:hint="cs"/>
          <w:sz w:val="10"/>
          <w:rtl/>
          <w:lang w:bidi="ar-EG"/>
        </w:rPr>
      </w:pPr>
    </w:p>
    <w:p w:rsidR="00000000" w:rsidRDefault="00D8679F">
      <w:pPr>
        <w:pStyle w:val="SingleTxt"/>
        <w:spacing w:after="0" w:line="120" w:lineRule="exact"/>
        <w:ind w:left="1930" w:hanging="663"/>
        <w:jc w:val="both"/>
        <w:rPr>
          <w:rFonts w:hint="cs"/>
          <w:sz w:val="10"/>
          <w:rtl/>
          <w:lang w:bidi="ar-EG"/>
        </w:rPr>
      </w:pPr>
    </w:p>
    <w:p w:rsidR="00000000" w:rsidRDefault="00D8679F">
      <w:pPr>
        <w:pStyle w:val="SingleTxt"/>
        <w:tabs>
          <w:tab w:val="clear" w:pos="2592"/>
          <w:tab w:val="left" w:pos="2228"/>
        </w:tabs>
        <w:ind w:left="2228" w:hanging="961"/>
        <w:jc w:val="both"/>
        <w:rPr>
          <w:rFonts w:hint="cs"/>
          <w:rtl/>
          <w:lang w:bidi="ar-EG"/>
        </w:rPr>
      </w:pPr>
      <w:r>
        <w:rPr>
          <w:rFonts w:hint="cs"/>
          <w:rtl/>
          <w:lang w:bidi="ar-EG"/>
        </w:rPr>
        <w:t>الجدول 14</w:t>
      </w:r>
    </w:p>
    <w:p w:rsidR="00000000" w:rsidRDefault="00D8679F">
      <w:pPr>
        <w:pStyle w:val="SingleTxt"/>
        <w:tabs>
          <w:tab w:val="clear" w:pos="2592"/>
          <w:tab w:val="left" w:pos="2228"/>
        </w:tabs>
        <w:ind w:left="2228" w:hanging="961"/>
        <w:jc w:val="both"/>
        <w:rPr>
          <w:rFonts w:hint="cs"/>
          <w:sz w:val="10"/>
          <w:rtl/>
          <w:lang w:bidi="ar-EG"/>
        </w:rPr>
      </w:pPr>
      <w:r>
        <w:rPr>
          <w:rFonts w:hint="cs"/>
          <w:b/>
          <w:bCs/>
          <w:rtl/>
          <w:lang w:bidi="ar-EG"/>
        </w:rPr>
        <w:t>عدد مدرسي المدارس الثانوية حسب الجنس، 1997-2004</w:t>
      </w:r>
    </w:p>
    <w:p w:rsidR="00000000" w:rsidRDefault="00D8679F">
      <w:pPr>
        <w:pStyle w:val="SingleTxt"/>
        <w:tabs>
          <w:tab w:val="clear" w:pos="2592"/>
          <w:tab w:val="left" w:pos="2228"/>
        </w:tabs>
        <w:spacing w:after="0" w:line="120" w:lineRule="exact"/>
        <w:ind w:left="2228" w:hanging="961"/>
        <w:jc w:val="both"/>
        <w:rPr>
          <w:rFonts w:hint="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D8679F" w:rsidTr="00D8679F">
        <w:tblPrEx>
          <w:tblCellMar>
            <w:top w:w="0" w:type="dxa"/>
            <w:bottom w:w="0" w:type="dxa"/>
          </w:tblCellMar>
        </w:tblPrEx>
        <w:trPr>
          <w:cantSplit/>
          <w:tblHeader/>
        </w:trPr>
        <w:tc>
          <w:tcPr>
            <w:tcW w:w="1464"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السنة</w:t>
            </w:r>
          </w:p>
        </w:tc>
        <w:tc>
          <w:tcPr>
            <w:tcW w:w="1464"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ذكور</w:t>
            </w:r>
          </w:p>
        </w:tc>
        <w:tc>
          <w:tcPr>
            <w:tcW w:w="1464"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إناث</w:t>
            </w:r>
          </w:p>
        </w:tc>
        <w:tc>
          <w:tcPr>
            <w:tcW w:w="1464"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المجموع</w:t>
            </w:r>
          </w:p>
        </w:tc>
        <w:tc>
          <w:tcPr>
            <w:tcW w:w="1464"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النسبة المئوية للإناث</w:t>
            </w:r>
          </w:p>
        </w:tc>
      </w:tr>
      <w:tr w:rsidR="00D8679F" w:rsidTr="00D8679F">
        <w:tblPrEx>
          <w:tblCellMar>
            <w:top w:w="0" w:type="dxa"/>
            <w:bottom w:w="0" w:type="dxa"/>
          </w:tblCellMar>
        </w:tblPrEx>
        <w:trPr>
          <w:cantSplit/>
          <w:trHeight w:hRule="exact" w:val="115"/>
          <w:tblHeader/>
        </w:trPr>
        <w:tc>
          <w:tcPr>
            <w:tcW w:w="1464"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p>
        </w:tc>
        <w:tc>
          <w:tcPr>
            <w:tcW w:w="1464"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464"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464"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464"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D8679F" w:rsidTr="00D8679F">
        <w:tblPrEx>
          <w:tblCellMar>
            <w:top w:w="0" w:type="dxa"/>
            <w:bottom w:w="0" w:type="dxa"/>
          </w:tblCellMar>
        </w:tblPrEx>
        <w:trPr>
          <w:cantSplit/>
        </w:trPr>
        <w:tc>
          <w:tcPr>
            <w:tcW w:w="1464"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1997</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501 29</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877 14</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378 44</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33.5</w:t>
            </w:r>
          </w:p>
        </w:tc>
      </w:tr>
      <w:tr w:rsidR="00D8679F" w:rsidTr="00D8679F">
        <w:tblPrEx>
          <w:tblCellMar>
            <w:top w:w="0" w:type="dxa"/>
            <w:bottom w:w="0" w:type="dxa"/>
          </w:tblCellMar>
        </w:tblPrEx>
        <w:trPr>
          <w:cantSplit/>
        </w:trPr>
        <w:tc>
          <w:tcPr>
            <w:tcW w:w="1464"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1998</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231 28</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463 15</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694 43</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35.4</w:t>
            </w:r>
          </w:p>
        </w:tc>
      </w:tr>
      <w:tr w:rsidR="00D8679F" w:rsidTr="00D8679F">
        <w:tblPrEx>
          <w:tblCellMar>
            <w:top w:w="0" w:type="dxa"/>
            <w:bottom w:w="0" w:type="dxa"/>
          </w:tblCellMar>
        </w:tblPrEx>
        <w:trPr>
          <w:cantSplit/>
        </w:trPr>
        <w:tc>
          <w:tcPr>
            <w:tcW w:w="1464"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1999</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487 26</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393 14</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782 40</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35.3</w:t>
            </w:r>
          </w:p>
        </w:tc>
      </w:tr>
      <w:tr w:rsidR="00D8679F" w:rsidTr="00D8679F">
        <w:tblPrEx>
          <w:tblCellMar>
            <w:top w:w="0" w:type="dxa"/>
            <w:bottom w:w="0" w:type="dxa"/>
          </w:tblCellMar>
        </w:tblPrEx>
        <w:trPr>
          <w:cantSplit/>
        </w:trPr>
        <w:tc>
          <w:tcPr>
            <w:tcW w:w="1464"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2000</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073 26</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017 14</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090 40</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35.0</w:t>
            </w:r>
          </w:p>
        </w:tc>
      </w:tr>
      <w:tr w:rsidR="00D8679F" w:rsidTr="00D8679F">
        <w:tblPrEx>
          <w:tblCellMar>
            <w:top w:w="0" w:type="dxa"/>
            <w:bottom w:w="0" w:type="dxa"/>
          </w:tblCellMar>
        </w:tblPrEx>
        <w:trPr>
          <w:cantSplit/>
        </w:trPr>
        <w:tc>
          <w:tcPr>
            <w:tcW w:w="1464"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2001</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144 29</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711 15</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855 44</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35.0</w:t>
            </w:r>
          </w:p>
        </w:tc>
      </w:tr>
      <w:tr w:rsidR="00D8679F" w:rsidTr="00D8679F">
        <w:tblPrEx>
          <w:tblCellMar>
            <w:top w:w="0" w:type="dxa"/>
            <w:bottom w:w="0" w:type="dxa"/>
          </w:tblCellMar>
        </w:tblPrEx>
        <w:trPr>
          <w:cantSplit/>
        </w:trPr>
        <w:tc>
          <w:tcPr>
            <w:tcW w:w="1464"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2002</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824 29</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077 16</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901 45</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35.1</w:t>
            </w:r>
          </w:p>
        </w:tc>
      </w:tr>
      <w:tr w:rsidR="00D8679F" w:rsidTr="00D8679F">
        <w:tblPrEx>
          <w:tblCellMar>
            <w:top w:w="0" w:type="dxa"/>
            <w:bottom w:w="0" w:type="dxa"/>
          </w:tblCellMar>
        </w:tblPrEx>
        <w:trPr>
          <w:cantSplit/>
        </w:trPr>
        <w:tc>
          <w:tcPr>
            <w:tcW w:w="1464"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2003</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674 29</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361 17</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035 47</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36.9</w:t>
            </w:r>
          </w:p>
        </w:tc>
      </w:tr>
      <w:tr w:rsidR="00D8679F" w:rsidTr="00D8679F">
        <w:tblPrEx>
          <w:tblCellMar>
            <w:top w:w="0" w:type="dxa"/>
            <w:bottom w:w="0" w:type="dxa"/>
          </w:tblCellMar>
        </w:tblPrEx>
        <w:trPr>
          <w:cantSplit/>
        </w:trPr>
        <w:tc>
          <w:tcPr>
            <w:tcW w:w="1464"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2004</w:t>
            </w:r>
          </w:p>
        </w:tc>
        <w:tc>
          <w:tcPr>
            <w:tcW w:w="1464"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194 31</w:t>
            </w:r>
          </w:p>
        </w:tc>
        <w:tc>
          <w:tcPr>
            <w:tcW w:w="1464"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390 16</w:t>
            </w:r>
          </w:p>
        </w:tc>
        <w:tc>
          <w:tcPr>
            <w:tcW w:w="1464"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584 47</w:t>
            </w:r>
          </w:p>
        </w:tc>
        <w:tc>
          <w:tcPr>
            <w:tcW w:w="1464"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34.4</w:t>
            </w:r>
          </w:p>
        </w:tc>
      </w:tr>
    </w:tbl>
    <w:p w:rsidR="00000000" w:rsidRDefault="00D8679F">
      <w:pPr>
        <w:pStyle w:val="SingleTxt"/>
        <w:spacing w:after="0" w:line="120" w:lineRule="exact"/>
        <w:ind w:left="1930" w:hanging="663"/>
        <w:jc w:val="both"/>
        <w:rPr>
          <w:rFonts w:hint="cs"/>
          <w:sz w:val="10"/>
          <w:rtl/>
          <w:lang w:bidi="ar-EG"/>
        </w:rPr>
      </w:pPr>
    </w:p>
    <w:p w:rsidR="00000000" w:rsidRDefault="00D8679F">
      <w:pPr>
        <w:pStyle w:val="SingleTxt"/>
        <w:ind w:left="1930" w:hanging="663"/>
        <w:jc w:val="both"/>
        <w:rPr>
          <w:rFonts w:hint="cs"/>
          <w:rtl/>
          <w:lang w:bidi="ar-EG"/>
        </w:rPr>
      </w:pPr>
      <w:r>
        <w:rPr>
          <w:rFonts w:hint="cs"/>
          <w:i/>
          <w:iCs/>
          <w:rtl/>
          <w:lang w:bidi="ar-EG"/>
        </w:rPr>
        <w:t>المصدر</w:t>
      </w:r>
      <w:r>
        <w:rPr>
          <w:rFonts w:hint="cs"/>
          <w:rtl/>
          <w:lang w:bidi="ar-EG"/>
        </w:rPr>
        <w:t>: لجنة خدمة المدرسين.</w:t>
      </w:r>
    </w:p>
    <w:p w:rsidR="00000000" w:rsidRDefault="00D8679F">
      <w:pPr>
        <w:pStyle w:val="SingleTxt"/>
        <w:spacing w:after="0" w:line="120" w:lineRule="exact"/>
        <w:ind w:left="1930" w:hanging="663"/>
        <w:jc w:val="both"/>
        <w:rPr>
          <w:rFonts w:hint="cs"/>
          <w:sz w:val="10"/>
          <w:rtl/>
          <w:lang w:bidi="ar-EG"/>
        </w:rPr>
      </w:pPr>
    </w:p>
    <w:p w:rsidR="00000000" w:rsidRDefault="00D8679F">
      <w:pPr>
        <w:pStyle w:val="SingleTxt"/>
        <w:spacing w:after="0" w:line="120" w:lineRule="exact"/>
        <w:ind w:left="1930" w:hanging="663"/>
        <w:jc w:val="both"/>
        <w:rPr>
          <w:rFonts w:hint="cs"/>
          <w:sz w:val="10"/>
          <w:rtl/>
          <w:lang w:bidi="ar-EG"/>
        </w:rPr>
      </w:pPr>
    </w:p>
    <w:p w:rsidR="00000000" w:rsidRDefault="00D8679F">
      <w:pPr>
        <w:pStyle w:val="SingleTxt"/>
        <w:jc w:val="both"/>
        <w:rPr>
          <w:rFonts w:hint="cs"/>
          <w:rtl/>
          <w:lang w:bidi="ar-EG"/>
        </w:rPr>
      </w:pPr>
      <w:r>
        <w:rPr>
          <w:rFonts w:hint="cs"/>
          <w:rtl/>
          <w:lang w:bidi="ar-EG"/>
        </w:rPr>
        <w:t>115-</w:t>
      </w:r>
      <w:r>
        <w:rPr>
          <w:rFonts w:hint="cs"/>
          <w:rtl/>
          <w:lang w:bidi="ar-EG"/>
        </w:rPr>
        <w:tab/>
        <w:t>وقد ارتفع بصورة ت</w:t>
      </w:r>
      <w:r>
        <w:rPr>
          <w:rFonts w:hint="cs"/>
          <w:rtl/>
          <w:lang w:bidi="ar-EG"/>
        </w:rPr>
        <w:t>دريجية اشتراك المرأة في العمل في القطاع الحديث إلى نسبة 29.6 في المائة في عام 2004 كما هو مبين في الجدول أدناه.</w:t>
      </w:r>
    </w:p>
    <w:p w:rsidR="00000000" w:rsidRDefault="00D8679F">
      <w:pPr>
        <w:pStyle w:val="SingleTxt"/>
        <w:tabs>
          <w:tab w:val="clear" w:pos="2592"/>
          <w:tab w:val="left" w:pos="2228"/>
        </w:tabs>
        <w:ind w:left="2228" w:hanging="961"/>
        <w:jc w:val="both"/>
        <w:rPr>
          <w:rFonts w:hint="cs"/>
          <w:rtl/>
          <w:lang w:bidi="ar-EG"/>
        </w:rPr>
      </w:pPr>
      <w:r>
        <w:rPr>
          <w:rtl/>
          <w:lang w:bidi="ar-EG"/>
        </w:rPr>
        <w:br w:type="page"/>
      </w:r>
      <w:r>
        <w:rPr>
          <w:rFonts w:hint="cs"/>
          <w:rtl/>
          <w:lang w:bidi="ar-EG"/>
        </w:rPr>
        <w:t>الجدول 15</w:t>
      </w:r>
    </w:p>
    <w:p w:rsidR="00000000" w:rsidRDefault="00D8679F">
      <w:pPr>
        <w:pStyle w:val="SingleTxt"/>
        <w:tabs>
          <w:tab w:val="clear" w:pos="2592"/>
          <w:tab w:val="left" w:pos="2228"/>
        </w:tabs>
        <w:ind w:left="2228" w:hanging="961"/>
        <w:jc w:val="both"/>
        <w:rPr>
          <w:rFonts w:hint="cs"/>
          <w:sz w:val="10"/>
          <w:rtl/>
          <w:lang w:bidi="ar-EG"/>
        </w:rPr>
      </w:pPr>
      <w:r>
        <w:rPr>
          <w:rFonts w:hint="cs"/>
          <w:b/>
          <w:bCs/>
          <w:rtl/>
          <w:lang w:bidi="ar-EG"/>
        </w:rPr>
        <w:t>العمل بأجر في القطاع الحديث حسب الجنس، 1995-2004 (</w:t>
      </w:r>
      <w:r>
        <w:rPr>
          <w:rFonts w:hint="eastAsia"/>
          <w:b/>
          <w:bCs/>
          <w:rtl/>
          <w:lang w:bidi="ar-EG"/>
        </w:rPr>
        <w:t>”بالآلاف</w:t>
      </w:r>
      <w:r>
        <w:rPr>
          <w:rFonts w:hint="cs"/>
          <w:b/>
          <w:bCs/>
          <w:rtl/>
          <w:lang w:bidi="ar-EG"/>
        </w:rPr>
        <w:t>“)</w:t>
      </w:r>
    </w:p>
    <w:p w:rsidR="00000000" w:rsidRDefault="00D8679F">
      <w:pPr>
        <w:pStyle w:val="SingleTxt"/>
        <w:tabs>
          <w:tab w:val="clear" w:pos="2592"/>
          <w:tab w:val="left" w:pos="2228"/>
        </w:tabs>
        <w:spacing w:after="0" w:line="120" w:lineRule="exact"/>
        <w:ind w:left="2228" w:hanging="961"/>
        <w:jc w:val="both"/>
        <w:rPr>
          <w:rFonts w:hint="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D8679F" w:rsidTr="00D8679F">
        <w:tblPrEx>
          <w:tblCellMar>
            <w:top w:w="0" w:type="dxa"/>
            <w:bottom w:w="0" w:type="dxa"/>
          </w:tblCellMar>
        </w:tblPrEx>
        <w:trPr>
          <w:cantSplit/>
          <w:tblHeader/>
        </w:trPr>
        <w:tc>
          <w:tcPr>
            <w:tcW w:w="1464"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السنة</w:t>
            </w:r>
          </w:p>
        </w:tc>
        <w:tc>
          <w:tcPr>
            <w:tcW w:w="1464"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النساء</w:t>
            </w:r>
          </w:p>
        </w:tc>
        <w:tc>
          <w:tcPr>
            <w:tcW w:w="1464"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الرجال</w:t>
            </w:r>
          </w:p>
        </w:tc>
        <w:tc>
          <w:tcPr>
            <w:tcW w:w="1464"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االمجموع</w:t>
            </w:r>
          </w:p>
        </w:tc>
        <w:tc>
          <w:tcPr>
            <w:tcW w:w="1464"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النسبة المئوية للنساء</w:t>
            </w:r>
          </w:p>
        </w:tc>
      </w:tr>
      <w:tr w:rsidR="00D8679F" w:rsidTr="00D8679F">
        <w:tblPrEx>
          <w:tblCellMar>
            <w:top w:w="0" w:type="dxa"/>
            <w:bottom w:w="0" w:type="dxa"/>
          </w:tblCellMar>
        </w:tblPrEx>
        <w:trPr>
          <w:cantSplit/>
          <w:trHeight w:hRule="exact" w:val="115"/>
          <w:tblHeader/>
        </w:trPr>
        <w:tc>
          <w:tcPr>
            <w:tcW w:w="1464"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p>
        </w:tc>
        <w:tc>
          <w:tcPr>
            <w:tcW w:w="1464"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464"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464"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464"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D8679F" w:rsidTr="00D8679F">
        <w:tblPrEx>
          <w:tblCellMar>
            <w:top w:w="0" w:type="dxa"/>
            <w:bottom w:w="0" w:type="dxa"/>
          </w:tblCellMar>
        </w:tblPrEx>
        <w:trPr>
          <w:cantSplit/>
        </w:trPr>
        <w:tc>
          <w:tcPr>
            <w:tcW w:w="1464"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1995</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407.8</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149.2 1</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157.0 1</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26.2</w:t>
            </w:r>
          </w:p>
        </w:tc>
      </w:tr>
      <w:tr w:rsidR="00D8679F" w:rsidTr="00D8679F">
        <w:tblPrEx>
          <w:tblCellMar>
            <w:top w:w="0" w:type="dxa"/>
            <w:bottom w:w="0" w:type="dxa"/>
          </w:tblCellMar>
        </w:tblPrEx>
        <w:trPr>
          <w:cantSplit/>
        </w:trPr>
        <w:tc>
          <w:tcPr>
            <w:tcW w:w="1464"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1996</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461.3</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157.5 1</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618.8 1</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28.5</w:t>
            </w:r>
          </w:p>
        </w:tc>
      </w:tr>
      <w:tr w:rsidR="00D8679F" w:rsidTr="00D8679F">
        <w:tblPrEx>
          <w:tblCellMar>
            <w:top w:w="0" w:type="dxa"/>
            <w:bottom w:w="0" w:type="dxa"/>
          </w:tblCellMar>
        </w:tblPrEx>
        <w:trPr>
          <w:cantSplit/>
        </w:trPr>
        <w:tc>
          <w:tcPr>
            <w:tcW w:w="1464"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1997</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473.4</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174.0 1</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647.4 1</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28.7</w:t>
            </w:r>
          </w:p>
        </w:tc>
      </w:tr>
      <w:tr w:rsidR="00D8679F" w:rsidTr="00D8679F">
        <w:tblPrEx>
          <w:tblCellMar>
            <w:top w:w="0" w:type="dxa"/>
            <w:bottom w:w="0" w:type="dxa"/>
          </w:tblCellMar>
        </w:tblPrEx>
        <w:trPr>
          <w:cantSplit/>
        </w:trPr>
        <w:tc>
          <w:tcPr>
            <w:tcW w:w="1464"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1998</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487.1</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177.8 1</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664.9 1</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29.3</w:t>
            </w:r>
          </w:p>
        </w:tc>
      </w:tr>
      <w:tr w:rsidR="00D8679F" w:rsidTr="00D8679F">
        <w:tblPrEx>
          <w:tblCellMar>
            <w:top w:w="0" w:type="dxa"/>
            <w:bottom w:w="0" w:type="dxa"/>
          </w:tblCellMar>
        </w:tblPrEx>
        <w:trPr>
          <w:cantSplit/>
        </w:trPr>
        <w:tc>
          <w:tcPr>
            <w:tcW w:w="1464"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1999</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490.5</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183.1 1</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673.6 1</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29.3</w:t>
            </w:r>
          </w:p>
        </w:tc>
      </w:tr>
      <w:tr w:rsidR="00D8679F" w:rsidTr="00D8679F">
        <w:tblPrEx>
          <w:tblCellMar>
            <w:top w:w="0" w:type="dxa"/>
            <w:bottom w:w="0" w:type="dxa"/>
          </w:tblCellMar>
        </w:tblPrEx>
        <w:trPr>
          <w:cantSplit/>
        </w:trPr>
        <w:tc>
          <w:tcPr>
            <w:tcW w:w="1464"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2000</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500.6</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194.8 1</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695.4 1</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29.5</w:t>
            </w:r>
          </w:p>
        </w:tc>
      </w:tr>
      <w:tr w:rsidR="00D8679F" w:rsidTr="00D8679F">
        <w:tblPrEx>
          <w:tblCellMar>
            <w:top w:w="0" w:type="dxa"/>
            <w:bottom w:w="0" w:type="dxa"/>
          </w:tblCellMar>
        </w:tblPrEx>
        <w:trPr>
          <w:cantSplit/>
        </w:trPr>
        <w:tc>
          <w:tcPr>
            <w:tcW w:w="1464"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2001</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496.7</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180.4 1</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677.1 1</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29.6</w:t>
            </w:r>
          </w:p>
        </w:tc>
      </w:tr>
      <w:tr w:rsidR="00D8679F" w:rsidTr="00D8679F">
        <w:tblPrEx>
          <w:tblCellMar>
            <w:top w:w="0" w:type="dxa"/>
            <w:bottom w:w="0" w:type="dxa"/>
          </w:tblCellMar>
        </w:tblPrEx>
        <w:trPr>
          <w:cantSplit/>
        </w:trPr>
        <w:tc>
          <w:tcPr>
            <w:tcW w:w="1464"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2002</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503.4</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196.3 1</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699.7 1</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29.6</w:t>
            </w:r>
          </w:p>
        </w:tc>
      </w:tr>
      <w:tr w:rsidR="00D8679F" w:rsidTr="00D8679F">
        <w:tblPrEx>
          <w:tblCellMar>
            <w:top w:w="0" w:type="dxa"/>
            <w:bottom w:w="0" w:type="dxa"/>
          </w:tblCellMar>
        </w:tblPrEx>
        <w:trPr>
          <w:cantSplit/>
        </w:trPr>
        <w:tc>
          <w:tcPr>
            <w:tcW w:w="1464"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2003</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511.2</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216.1 1</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727.3 1</w:t>
            </w:r>
          </w:p>
        </w:tc>
        <w:tc>
          <w:tcPr>
            <w:tcW w:w="146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29.6</w:t>
            </w:r>
          </w:p>
        </w:tc>
      </w:tr>
      <w:tr w:rsidR="00D8679F" w:rsidTr="00D8679F">
        <w:tblPrEx>
          <w:tblCellMar>
            <w:top w:w="0" w:type="dxa"/>
            <w:bottom w:w="0" w:type="dxa"/>
          </w:tblCellMar>
        </w:tblPrEx>
        <w:trPr>
          <w:cantSplit/>
        </w:trPr>
        <w:tc>
          <w:tcPr>
            <w:tcW w:w="1464"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2004</w:t>
            </w:r>
          </w:p>
        </w:tc>
        <w:tc>
          <w:tcPr>
            <w:tcW w:w="1464"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521.3</w:t>
            </w:r>
          </w:p>
        </w:tc>
        <w:tc>
          <w:tcPr>
            <w:tcW w:w="1464"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242.4 1</w:t>
            </w:r>
          </w:p>
        </w:tc>
        <w:tc>
          <w:tcPr>
            <w:tcW w:w="1464"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763.7 1</w:t>
            </w:r>
          </w:p>
        </w:tc>
        <w:tc>
          <w:tcPr>
            <w:tcW w:w="1464"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29.6</w:t>
            </w:r>
          </w:p>
        </w:tc>
      </w:tr>
    </w:tbl>
    <w:p w:rsidR="00000000" w:rsidRDefault="00D8679F">
      <w:pPr>
        <w:pStyle w:val="SingleTxt"/>
        <w:spacing w:after="0" w:line="120" w:lineRule="exact"/>
        <w:ind w:left="1930" w:hanging="663"/>
        <w:jc w:val="both"/>
        <w:rPr>
          <w:rFonts w:hint="cs"/>
          <w:sz w:val="10"/>
          <w:rtl/>
          <w:lang w:bidi="ar-EG"/>
        </w:rPr>
      </w:pPr>
    </w:p>
    <w:p w:rsidR="00000000" w:rsidRDefault="00D8679F">
      <w:pPr>
        <w:pStyle w:val="SingleTxt"/>
        <w:ind w:left="1930" w:hanging="663"/>
        <w:jc w:val="both"/>
        <w:rPr>
          <w:rFonts w:hint="cs"/>
          <w:rtl/>
          <w:lang w:bidi="ar-EG"/>
        </w:rPr>
      </w:pPr>
      <w:r>
        <w:rPr>
          <w:rFonts w:hint="cs"/>
          <w:i/>
          <w:iCs/>
          <w:rtl/>
          <w:lang w:bidi="ar-EG"/>
        </w:rPr>
        <w:t>المصدر</w:t>
      </w:r>
      <w:r>
        <w:rPr>
          <w:rFonts w:hint="cs"/>
          <w:rtl/>
          <w:lang w:bidi="ar-EG"/>
        </w:rPr>
        <w:t>: الدراسة الاستقصائية الاقتصادية، قضايا مختلفة.</w:t>
      </w:r>
    </w:p>
    <w:p w:rsidR="00000000" w:rsidRDefault="00D8679F">
      <w:pPr>
        <w:pStyle w:val="SingleTxt"/>
        <w:spacing w:after="0" w:line="120" w:lineRule="exact"/>
        <w:jc w:val="both"/>
        <w:rPr>
          <w:rFonts w:hint="cs"/>
          <w:sz w:val="12"/>
          <w:rtl/>
          <w:lang w:bidi="ar-EG"/>
        </w:rPr>
      </w:pPr>
    </w:p>
    <w:p w:rsidR="00000000" w:rsidRDefault="00D8679F">
      <w:pPr>
        <w:pStyle w:val="SingleTxt"/>
        <w:spacing w:after="0" w:line="120" w:lineRule="exact"/>
        <w:jc w:val="both"/>
        <w:rPr>
          <w:rFonts w:hint="cs"/>
          <w:sz w:val="12"/>
          <w:rtl/>
          <w:lang w:bidi="ar-EG"/>
        </w:rPr>
      </w:pPr>
    </w:p>
    <w:p w:rsidR="00000000" w:rsidRDefault="00D8679F">
      <w:pPr>
        <w:pStyle w:val="SingleTxt"/>
        <w:jc w:val="both"/>
        <w:rPr>
          <w:rFonts w:hint="cs"/>
          <w:rtl/>
          <w:lang w:bidi="ar-EG"/>
        </w:rPr>
      </w:pPr>
      <w:r>
        <w:rPr>
          <w:rFonts w:hint="cs"/>
          <w:rtl/>
          <w:lang w:bidi="ar-EG"/>
        </w:rPr>
        <w:t>116-</w:t>
      </w:r>
      <w:r>
        <w:rPr>
          <w:rFonts w:hint="cs"/>
          <w:rtl/>
          <w:lang w:bidi="ar-EG"/>
        </w:rPr>
        <w:tab/>
        <w:t>ووضعت الحكومة أيضا استراتيجية الإنتعاش الاقتصادي من أجل تكوين الثروة وخلق الوظائف، 2003-2007 التي تهدف إلى التعجيل بالنمو الاقتصادي وخلق الوظائف وتخفيف حدة الفقر. وتهدف السياسة إلى خلق 000 500 وظ</w:t>
      </w:r>
      <w:r>
        <w:rPr>
          <w:rFonts w:hint="cs"/>
          <w:rtl/>
          <w:lang w:bidi="ar-EG"/>
        </w:rPr>
        <w:t>يفة في السنة في القطاعين النظامي وغير النظامي على حد سواء. وتعهدت الحكومة أيضا بتهيئة بيئة مواتية للأنشطة التجارية والتنمية الصناعية. وعلى هذا الأساس، جرى سن قانون الاستثمارات وقانون المشتريات بوصفهما دعامتين لتحقيق أهداف الحكومة في ورقة استراتيجية الإنتعا</w:t>
      </w:r>
      <w:r>
        <w:rPr>
          <w:rFonts w:hint="cs"/>
          <w:rtl/>
          <w:lang w:bidi="ar-EG"/>
        </w:rPr>
        <w:t>ش الاقتصادي.</w:t>
      </w:r>
    </w:p>
    <w:p w:rsidR="00000000" w:rsidRDefault="00D8679F">
      <w:pPr>
        <w:pStyle w:val="SingleTxt"/>
        <w:jc w:val="both"/>
        <w:rPr>
          <w:rFonts w:hint="cs"/>
          <w:rtl/>
          <w:lang w:bidi="ar-EG"/>
        </w:rPr>
      </w:pPr>
      <w:r>
        <w:rPr>
          <w:rFonts w:hint="cs"/>
          <w:rtl/>
          <w:lang w:bidi="ar-EG"/>
        </w:rPr>
        <w:t>117-</w:t>
      </w:r>
      <w:r>
        <w:rPr>
          <w:rFonts w:hint="cs"/>
          <w:rtl/>
          <w:lang w:bidi="ar-EG"/>
        </w:rPr>
        <w:tab/>
        <w:t>وسنَّت كينيا قانون آداب مهنة الموظفين العموميين رقم 4 لعام 2003 الذي يحظر في جملة أمور المضايقات الجنسية في مكان العمل.</w:t>
      </w:r>
    </w:p>
    <w:p w:rsidR="00000000" w:rsidRDefault="00D8679F">
      <w:pPr>
        <w:pStyle w:val="SingleTxt"/>
        <w:jc w:val="both"/>
        <w:rPr>
          <w:rFonts w:hint="cs"/>
          <w:rtl/>
          <w:lang w:bidi="ar-EG"/>
        </w:rPr>
      </w:pPr>
      <w:r>
        <w:rPr>
          <w:rFonts w:hint="cs"/>
          <w:rtl/>
          <w:lang w:bidi="ar-EG"/>
        </w:rPr>
        <w:t>118-</w:t>
      </w:r>
      <w:r>
        <w:rPr>
          <w:rFonts w:hint="cs"/>
          <w:rtl/>
          <w:lang w:bidi="ar-EG"/>
        </w:rPr>
        <w:tab/>
        <w:t>وأنشأت الحكومة محكمة كينيا الصناعية التي تتخصص في حل النزاع بين أرباب الأعمال والموظفين. وفي الماضي، بتَّت المحكم</w:t>
      </w:r>
      <w:r>
        <w:rPr>
          <w:rFonts w:hint="cs"/>
          <w:rtl/>
          <w:lang w:bidi="ar-EG"/>
        </w:rPr>
        <w:t>ة المنازعات ذات الصلة بنقابات العمال، وفرادى العمال مع كبار وصغار أرباب الأعمال بما في ذلك الحكومة، ومناطق تجهيز الصادرات والأفراد.</w:t>
      </w:r>
    </w:p>
    <w:p w:rsidR="00000000" w:rsidRDefault="00D8679F">
      <w:pPr>
        <w:pStyle w:val="SingleTxt"/>
        <w:jc w:val="both"/>
        <w:rPr>
          <w:rFonts w:hint="cs"/>
          <w:rtl/>
          <w:lang w:bidi="ar-EG"/>
        </w:rPr>
      </w:pPr>
      <w:r>
        <w:rPr>
          <w:rFonts w:hint="cs"/>
          <w:rtl/>
          <w:lang w:bidi="ar-EG"/>
        </w:rPr>
        <w:t xml:space="preserve">119- وتسهم المرأة في الخدمات المنزلية مثل رعاية الأطفال، والعمل المنزلي، وجمع الحطب وإحضار المياه وإعداد الطعام ولاتحصل على </w:t>
      </w:r>
      <w:r>
        <w:rPr>
          <w:rFonts w:hint="cs"/>
          <w:rtl/>
          <w:lang w:bidi="ar-EG"/>
        </w:rPr>
        <w:t>مكاسب نقدية مقابل ذلك. ومن شأن إضافة ذلك زيادة الناتج المحلي الإجمالي للبلد والسماح بالقيام بعمليات فعالة لرسم السياسات المستجيبة لاحتياجات الجنسين.</w:t>
      </w:r>
    </w:p>
    <w:p w:rsidR="00000000" w:rsidRDefault="00D8679F">
      <w:pPr>
        <w:pStyle w:val="SingleTxt"/>
        <w:jc w:val="both"/>
        <w:rPr>
          <w:rFonts w:hint="cs"/>
          <w:rtl/>
          <w:lang w:bidi="ar-EG"/>
        </w:rPr>
      </w:pPr>
      <w:r>
        <w:rPr>
          <w:rFonts w:hint="cs"/>
          <w:rtl/>
          <w:lang w:bidi="ar-EG"/>
        </w:rPr>
        <w:t>120-</w:t>
      </w:r>
      <w:r>
        <w:rPr>
          <w:rFonts w:hint="cs"/>
          <w:rtl/>
          <w:lang w:bidi="ar-EG"/>
        </w:rPr>
        <w:tab/>
        <w:t>ولتمكين المرأة والرجل من الوصول إلى الفرص الاقتصادية وفرص العمل على قدم المساواة، بدأت الحكومة ودعمت ا</w:t>
      </w:r>
      <w:r>
        <w:rPr>
          <w:rFonts w:hint="cs"/>
          <w:rtl/>
          <w:lang w:bidi="ar-EG"/>
        </w:rPr>
        <w:t>لجهود المختلفة الرامية إلى: استعراض القوانين التي تخلق عقبات أمام وصول المرأة إلى الموارد الاقتصادية والسيطرة عليها، والتوعية بالفوارق بين الجنسين والتمكين، وضمان الإنصاف والعدالة في فرص العمل، وتسهيل دخول النساء والفتيات في القطاعات غير التقليدية والناشئة</w:t>
      </w:r>
      <w:r>
        <w:rPr>
          <w:rFonts w:hint="cs"/>
          <w:rtl/>
          <w:lang w:bidi="ar-EG"/>
        </w:rPr>
        <w:t xml:space="preserve"> للأنشطة الاقتصادية والتجارة.</w:t>
      </w:r>
    </w:p>
    <w:p w:rsidR="00000000" w:rsidRDefault="00D8679F">
      <w:pPr>
        <w:pStyle w:val="SingleTxt"/>
        <w:spacing w:after="0" w:line="120" w:lineRule="exact"/>
        <w:ind w:left="1930" w:hanging="663"/>
        <w:jc w:val="both"/>
        <w:rPr>
          <w:rFonts w:hint="cs"/>
          <w:sz w:val="10"/>
          <w:rtl/>
          <w:lang w:bidi="ar-EG"/>
        </w:rPr>
      </w:pPr>
    </w:p>
    <w:p w:rsidR="00000000" w:rsidRDefault="00D867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12: المساواة في الحصول على الرعاية الصحية</w:t>
      </w:r>
    </w:p>
    <w:p w:rsidR="00000000" w:rsidRDefault="00D8679F">
      <w:pPr>
        <w:pStyle w:val="SingleTxt"/>
        <w:jc w:val="both"/>
        <w:rPr>
          <w:rFonts w:hint="cs"/>
          <w:rtl/>
          <w:lang w:bidi="ar-EG"/>
        </w:rPr>
      </w:pPr>
      <w:r>
        <w:rPr>
          <w:rFonts w:hint="cs"/>
          <w:rtl/>
          <w:lang w:bidi="ar-EG"/>
        </w:rPr>
        <w:t>121-</w:t>
      </w:r>
      <w:r>
        <w:rPr>
          <w:rFonts w:hint="cs"/>
          <w:rtl/>
          <w:lang w:bidi="ar-EG"/>
        </w:rPr>
        <w:tab/>
        <w:t>تحسنت الحالة الصحية للسكان الكينيين طوال السنوات القليلة الماضية. ونتائج الدراسة الاستقصائية الديمغرافية والصحية لكينيا لعام 2004 تبين التقدم المحرز في بعض المؤشرات الصح</w:t>
      </w:r>
      <w:r>
        <w:rPr>
          <w:rFonts w:hint="cs"/>
          <w:rtl/>
          <w:lang w:bidi="ar-EG"/>
        </w:rPr>
        <w:t>ية الأساسية. ولكن هناك تحديات تواجه الحكومة في عدد من المجالات، وعلى سبيل المثال، واصل متوسط العمر المتوقع عند الولادة الانخفاض من عام 1993. ويمكن أن يُعزى ذلك إلى كثرة الوفيات بسبب بلاء فيروس نقص المناعة البشرية/الإيدز.</w:t>
      </w:r>
    </w:p>
    <w:p w:rsidR="00000000" w:rsidRDefault="00D8679F">
      <w:pPr>
        <w:pStyle w:val="SingleTxt"/>
        <w:jc w:val="both"/>
        <w:rPr>
          <w:rFonts w:hint="cs"/>
          <w:rtl/>
          <w:lang w:bidi="ar-EG"/>
        </w:rPr>
      </w:pPr>
      <w:r>
        <w:rPr>
          <w:rFonts w:hint="cs"/>
          <w:rtl/>
          <w:lang w:bidi="ar-EG"/>
        </w:rPr>
        <w:t>122-</w:t>
      </w:r>
      <w:r>
        <w:rPr>
          <w:rFonts w:hint="cs"/>
          <w:rtl/>
          <w:lang w:bidi="ar-EG"/>
        </w:rPr>
        <w:tab/>
        <w:t>بيد أن كينيا وضعت إطار عمل للس</w:t>
      </w:r>
      <w:r>
        <w:rPr>
          <w:rFonts w:hint="cs"/>
          <w:rtl/>
          <w:lang w:bidi="ar-EG"/>
        </w:rPr>
        <w:t>ياسة الصحية. وتعالج السياسة توصيل خدمات الرعاية الصحية بما في ذلك الخدمات العلاجية، والوقائية والتشجيعية، وموظفي الصحة والعقاقير واللوازم الصيدلانية من بين مسائل أخرى. وفيما يتعلق بالرعاية الصحية الأولية، تعهدت الحكومة بتحسين خدمات صحة الأم والطفل بما في ذ</w:t>
      </w:r>
      <w:r>
        <w:rPr>
          <w:rFonts w:hint="cs"/>
          <w:rtl/>
          <w:lang w:bidi="ar-EG"/>
        </w:rPr>
        <w:t>لك الخدمات السايقة للولادة، وأثناء الحمل وخدمات رعاية الطفل؛ والتحصين ضد الأمراض التي يمكن الوقاية منها باللقاحات؛ والاحتياجات التغذوية للضعفاء بمن فيهم الأطفال، والأمهات الحوامل، والفقراء، والمسنون، والأشخاص ذوو الإعاقات؛ وعلاج الاعتلالات البسيطة ولا سيما</w:t>
      </w:r>
      <w:r>
        <w:rPr>
          <w:rFonts w:hint="cs"/>
          <w:rtl/>
          <w:lang w:bidi="ar-EG"/>
        </w:rPr>
        <w:t xml:space="preserve"> تلك الشائعة على المستويات الأولية و/أو المجتمعية لنظام الصحة؛ والإمداد بالمياه المأمونة والتصحاح بهدف الوقاية من الأمراض المعدية والسيطرة عليها ولا سيما تلك المرتبطة بسوء النظافة الصحية وسوء التخلص من إفرازات الجسم. وتعتزم الحكومة تحسين خدمات صحة الأم عن </w:t>
      </w:r>
      <w:r>
        <w:rPr>
          <w:rFonts w:hint="cs"/>
          <w:rtl/>
          <w:lang w:bidi="ar-EG"/>
        </w:rPr>
        <w:t>طريق تعزيز الأمومة المأمونة وتهدف إلى تخفيض وفيات الأمهات تدريجيا التي بلغت 414 حالة وفاة لكل 000 100 من الولادات، في عام 2003.</w:t>
      </w:r>
    </w:p>
    <w:p w:rsidR="00000000" w:rsidRDefault="00D8679F">
      <w:pPr>
        <w:pStyle w:val="SingleTxt"/>
        <w:jc w:val="both"/>
        <w:rPr>
          <w:rFonts w:hint="cs"/>
          <w:rtl/>
          <w:lang w:bidi="ar-EG"/>
        </w:rPr>
      </w:pPr>
      <w:r>
        <w:rPr>
          <w:rFonts w:hint="cs"/>
          <w:rtl/>
          <w:lang w:bidi="ar-EG"/>
        </w:rPr>
        <w:t>123-</w:t>
      </w:r>
      <w:r>
        <w:rPr>
          <w:rFonts w:hint="cs"/>
          <w:rtl/>
          <w:lang w:bidi="ar-EG"/>
        </w:rPr>
        <w:tab/>
        <w:t>وقد وضعت برامج خاصة تهدف إلى تلبية الاحتياجات الخاصة للنساء في المناطق الريفية. وهذه البرامج تشمل إنشاء وزارة الشؤون الجنسا</w:t>
      </w:r>
      <w:r>
        <w:rPr>
          <w:rFonts w:hint="cs"/>
          <w:rtl/>
          <w:lang w:bidi="ar-EG"/>
        </w:rPr>
        <w:t>نية، ولجنة الشؤون الجنسانية، والصندوق الإنمائي للدوائر الانتخابية، الذي يهدف إلى تمويل المشاريع على صعيد الدوائر الانتخابية، ولجنة المعونات على صعيد الدوائر الانتخابية، وصندوق المنح المالية للطلاب على صعيد الدوائر الانتخابية، وصندوق نقل السلطة المحلية وصند</w:t>
      </w:r>
      <w:r>
        <w:rPr>
          <w:rFonts w:hint="cs"/>
          <w:rtl/>
          <w:lang w:bidi="ar-EG"/>
        </w:rPr>
        <w:t>وق رسوم الطرق.</w:t>
      </w:r>
    </w:p>
    <w:p w:rsidR="00000000" w:rsidRDefault="00D8679F">
      <w:pPr>
        <w:pStyle w:val="SingleTxt"/>
        <w:jc w:val="both"/>
        <w:rPr>
          <w:rFonts w:hint="cs"/>
          <w:rtl/>
          <w:lang w:bidi="ar-EG"/>
        </w:rPr>
      </w:pPr>
      <w:r>
        <w:rPr>
          <w:rFonts w:hint="cs"/>
          <w:rtl/>
          <w:lang w:bidi="ar-EG"/>
        </w:rPr>
        <w:t>124-</w:t>
      </w:r>
      <w:r>
        <w:rPr>
          <w:rFonts w:hint="cs"/>
          <w:rtl/>
          <w:lang w:bidi="ar-EG"/>
        </w:rPr>
        <w:tab/>
        <w:t>وهناك مبادرات حكومية مختلفة ترمي إلى تحسين صحة المرأة  وقد حققت تحسينات متواضعة وإن كانت هامة وهي: الصندوق الوطني لتأمين المستشفيات، ولجان المعونات على صعيد الدوائر الانتخابية، والمجلس الطبي، ومبادرات الأهداف الإنمائية للألفية التي تسته</w:t>
      </w:r>
      <w:r>
        <w:rPr>
          <w:rFonts w:hint="cs"/>
          <w:rtl/>
          <w:lang w:bidi="ar-EG"/>
        </w:rPr>
        <w:t>دف الملاريا، وفيروس نقص المناعة البشرية/الإيدز والسل.</w:t>
      </w:r>
    </w:p>
    <w:p w:rsidR="00000000" w:rsidRDefault="00D8679F">
      <w:pPr>
        <w:pStyle w:val="SingleTxt"/>
        <w:jc w:val="both"/>
        <w:rPr>
          <w:rFonts w:hint="cs"/>
          <w:rtl/>
          <w:lang w:bidi="ar-EG"/>
        </w:rPr>
      </w:pPr>
      <w:r>
        <w:rPr>
          <w:rFonts w:hint="cs"/>
          <w:rtl/>
          <w:lang w:bidi="ar-EG"/>
        </w:rPr>
        <w:t>125-</w:t>
      </w:r>
      <w:r>
        <w:rPr>
          <w:rFonts w:hint="cs"/>
          <w:rtl/>
          <w:lang w:bidi="ar-EG"/>
        </w:rPr>
        <w:tab/>
        <w:t>بيد أن التقرير الثاني المتعلق بالفقر في كينيا يكشف عن أن حوالي 43.8 في المائة من فقراء الريف لا يلتمسون الرعاية الطبية عند مرضهم بسبب عدم القدرة على تغطية تكاليف الرعاية الطبية مقابل نسبة 2.5 في ال</w:t>
      </w:r>
      <w:r>
        <w:rPr>
          <w:rFonts w:hint="cs"/>
          <w:rtl/>
          <w:lang w:bidi="ar-EG"/>
        </w:rPr>
        <w:t>مائة فقط تمثل الذين يعوقهم بعد المسافة عن المرفق</w:t>
      </w:r>
      <w:r>
        <w:rPr>
          <w:rFonts w:hint="eastAsia"/>
          <w:rtl/>
          <w:lang w:bidi="ar-EG"/>
        </w:rPr>
        <w:t> </w:t>
      </w:r>
      <w:r>
        <w:rPr>
          <w:rFonts w:hint="cs"/>
          <w:rtl/>
          <w:lang w:bidi="ar-EG"/>
        </w:rPr>
        <w:t>الصحي.</w:t>
      </w:r>
    </w:p>
    <w:p w:rsidR="00000000" w:rsidRDefault="00D8679F">
      <w:pPr>
        <w:pStyle w:val="SingleTxt"/>
        <w:jc w:val="both"/>
        <w:rPr>
          <w:rFonts w:hint="cs"/>
          <w:rtl/>
          <w:lang w:bidi="ar-EG"/>
        </w:rPr>
      </w:pPr>
      <w:r>
        <w:rPr>
          <w:rFonts w:hint="cs"/>
          <w:rtl/>
          <w:lang w:bidi="ar-EG"/>
        </w:rPr>
        <w:t>126-</w:t>
      </w:r>
      <w:r>
        <w:rPr>
          <w:rFonts w:hint="cs"/>
          <w:rtl/>
          <w:lang w:bidi="ar-EG"/>
        </w:rPr>
        <w:tab/>
        <w:t>وفي عام 2003، حصلت نسبة 88 في المائة من النساء على رعاية سابقة للولادة من مهني طبي، سواء من أطباء (18 في المائة) أو ممرضات أو قابلات (70 في المائة). وحصل جزء صغير (2 في المائة) على رعاية سابقة لل</w:t>
      </w:r>
      <w:r>
        <w:rPr>
          <w:rFonts w:hint="cs"/>
          <w:rtl/>
          <w:lang w:bidi="ar-EG"/>
        </w:rPr>
        <w:t>ولادة من الدايات التقليديات، في حين لم تحصل نسبة 10 في المائة على أي رعاية سابقة للولادة. وتشير بيانات عام 2003 إلى حدوث انخفاض طفيف منذ عام 1998 في تغطية الرعاية الطبية السابقة للولادة.</w:t>
      </w:r>
    </w:p>
    <w:p w:rsidR="00000000" w:rsidRDefault="00D8679F">
      <w:pPr>
        <w:pStyle w:val="SingleTxt"/>
        <w:jc w:val="both"/>
        <w:rPr>
          <w:rFonts w:hint="cs"/>
          <w:rtl/>
          <w:lang w:bidi="ar-EG"/>
        </w:rPr>
      </w:pPr>
      <w:r>
        <w:rPr>
          <w:rFonts w:hint="cs"/>
          <w:rtl/>
          <w:lang w:bidi="ar-EG"/>
        </w:rPr>
        <w:t>127-</w:t>
      </w:r>
      <w:r>
        <w:rPr>
          <w:rFonts w:hint="cs"/>
          <w:rtl/>
          <w:lang w:bidi="ar-EG"/>
        </w:rPr>
        <w:tab/>
        <w:t>وساءت معدلات وفيات الأطفال الرضع من 74.5 لكل 000 1 في عام 1998 إ</w:t>
      </w:r>
      <w:r>
        <w:rPr>
          <w:rFonts w:hint="cs"/>
          <w:rtl/>
          <w:lang w:bidi="ar-EG"/>
        </w:rPr>
        <w:t>لى 77 لكل 000 1 (الدراسة الاستقصائية الديمغرافية والصحية لكينيا، 2003). وهبط متوسط العمر المتوقع عند الولادة من 57.6 في عام 1998 إلى 49 في عام 2002. وهذا مبين أدناه. ولمعالجة هذا التحدي، زادت الحكومة في تقديراتها السنوية للفترة 2005/2006 مخصصاتها لوزارة ال</w:t>
      </w:r>
      <w:r>
        <w:rPr>
          <w:rFonts w:hint="cs"/>
          <w:rtl/>
          <w:lang w:bidi="ar-EG"/>
        </w:rPr>
        <w:t>صحة من 2.4 بليون شلن كيني إلى 9.9 بليون شلن كيني.</w:t>
      </w:r>
    </w:p>
    <w:p w:rsidR="00000000" w:rsidRDefault="00D8679F">
      <w:pPr>
        <w:pStyle w:val="SingleTxt"/>
        <w:jc w:val="both"/>
        <w:rPr>
          <w:rFonts w:hint="cs"/>
          <w:rtl/>
          <w:lang w:bidi="ar-EG"/>
        </w:rPr>
      </w:pPr>
      <w:r>
        <w:rPr>
          <w:rtl/>
          <w:lang w:bidi="ar-EG"/>
        </w:rPr>
        <w:br w:type="page"/>
      </w:r>
      <w:r>
        <w:rPr>
          <w:rFonts w:hint="cs"/>
          <w:rtl/>
          <w:lang w:bidi="ar-EG"/>
        </w:rPr>
        <w:t>الجدول 16</w:t>
      </w:r>
    </w:p>
    <w:p w:rsidR="00000000" w:rsidRDefault="00D8679F">
      <w:pPr>
        <w:pStyle w:val="SingleTxt"/>
        <w:ind w:left="1930" w:hanging="663"/>
        <w:jc w:val="both"/>
        <w:rPr>
          <w:rFonts w:hint="cs"/>
          <w:rtl/>
          <w:lang w:bidi="ar-EG"/>
        </w:rPr>
      </w:pPr>
      <w:r>
        <w:rPr>
          <w:rFonts w:hint="cs"/>
          <w:b/>
          <w:bCs/>
          <w:rtl/>
          <w:lang w:bidi="ar-EG"/>
        </w:rPr>
        <w:t>معدلات الوفيات حسب الجنس في كينيا</w:t>
      </w:r>
    </w:p>
    <w:p w:rsidR="00000000" w:rsidRDefault="00D8679F">
      <w:pPr>
        <w:pStyle w:val="SingleTxt"/>
        <w:spacing w:after="0" w:line="120" w:lineRule="exact"/>
        <w:ind w:left="1930" w:hanging="663"/>
        <w:jc w:val="both"/>
        <w:rPr>
          <w:rFonts w:hint="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915"/>
        <w:gridCol w:w="915"/>
        <w:gridCol w:w="915"/>
        <w:gridCol w:w="915"/>
        <w:gridCol w:w="915"/>
        <w:gridCol w:w="915"/>
        <w:gridCol w:w="915"/>
        <w:gridCol w:w="915"/>
      </w:tblGrid>
      <w:tr w:rsidR="00D8679F" w:rsidTr="00D8679F">
        <w:tblPrEx>
          <w:tblCellMar>
            <w:top w:w="0" w:type="dxa"/>
            <w:bottom w:w="0" w:type="dxa"/>
          </w:tblCellMar>
        </w:tblPrEx>
        <w:trPr>
          <w:cantSplit/>
          <w:tblHeader/>
        </w:trPr>
        <w:tc>
          <w:tcPr>
            <w:tcW w:w="915" w:type="dxa"/>
            <w:tcBorders>
              <w:top w:val="single" w:sz="4" w:space="0" w:color="auto"/>
            </w:tcBorders>
            <w:vAlign w:val="bottom"/>
          </w:tcPr>
          <w:p w:rsidR="00D8679F" w:rsidRDefault="00D8679F">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السنة</w:t>
            </w:r>
          </w:p>
        </w:tc>
        <w:tc>
          <w:tcPr>
            <w:tcW w:w="915" w:type="dxa"/>
            <w:tcBorders>
              <w:top w:val="single" w:sz="4" w:space="0" w:color="auto"/>
            </w:tcBorders>
            <w:vAlign w:val="bottom"/>
          </w:tcPr>
          <w:p w:rsidR="00D8679F" w:rsidRDefault="00D8679F">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متوسط العمر المتوقع عند الولادة</w:t>
            </w:r>
          </w:p>
        </w:tc>
        <w:tc>
          <w:tcPr>
            <w:tcW w:w="915" w:type="dxa"/>
            <w:tcBorders>
              <w:top w:val="single" w:sz="4" w:space="0" w:color="auto"/>
            </w:tcBorders>
            <w:vAlign w:val="bottom"/>
          </w:tcPr>
          <w:p w:rsidR="00D8679F" w:rsidRDefault="00D8679F">
            <w:pPr>
              <w:tabs>
                <w:tab w:val="left" w:pos="288"/>
                <w:tab w:val="left" w:pos="576"/>
                <w:tab w:val="left" w:pos="864"/>
                <w:tab w:val="left" w:pos="1152"/>
              </w:tabs>
              <w:spacing w:before="80" w:after="80" w:line="240" w:lineRule="exact"/>
              <w:ind w:right="144"/>
              <w:jc w:val="lowKashida"/>
              <w:rPr>
                <w:rFonts w:hint="cs"/>
                <w:i/>
                <w:iCs/>
                <w:sz w:val="16"/>
                <w:szCs w:val="24"/>
                <w:rtl/>
                <w:lang w:bidi="ar-EG"/>
              </w:rPr>
            </w:pPr>
          </w:p>
        </w:tc>
        <w:tc>
          <w:tcPr>
            <w:tcW w:w="915" w:type="dxa"/>
            <w:tcBorders>
              <w:top w:val="single" w:sz="4" w:space="0" w:color="auto"/>
            </w:tcBorders>
            <w:vAlign w:val="bottom"/>
          </w:tcPr>
          <w:p w:rsidR="00D8679F" w:rsidRDefault="00D8679F">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معدل الوفيات دون سن الخامسة</w:t>
            </w:r>
          </w:p>
        </w:tc>
        <w:tc>
          <w:tcPr>
            <w:tcW w:w="915" w:type="dxa"/>
            <w:tcBorders>
              <w:top w:val="single" w:sz="4" w:space="0" w:color="auto"/>
            </w:tcBorders>
            <w:vAlign w:val="bottom"/>
          </w:tcPr>
          <w:p w:rsidR="00D8679F" w:rsidRDefault="00D8679F">
            <w:pPr>
              <w:tabs>
                <w:tab w:val="left" w:pos="288"/>
                <w:tab w:val="left" w:pos="576"/>
                <w:tab w:val="left" w:pos="864"/>
                <w:tab w:val="left" w:pos="1152"/>
              </w:tabs>
              <w:spacing w:before="80" w:after="80" w:line="240" w:lineRule="exact"/>
              <w:ind w:right="144"/>
              <w:jc w:val="lowKashida"/>
              <w:rPr>
                <w:rFonts w:hint="cs"/>
                <w:i/>
                <w:iCs/>
                <w:sz w:val="16"/>
                <w:szCs w:val="24"/>
                <w:rtl/>
                <w:lang w:bidi="ar-EG"/>
              </w:rPr>
            </w:pPr>
          </w:p>
        </w:tc>
        <w:tc>
          <w:tcPr>
            <w:tcW w:w="915" w:type="dxa"/>
            <w:tcBorders>
              <w:top w:val="single" w:sz="4" w:space="0" w:color="auto"/>
            </w:tcBorders>
            <w:vAlign w:val="bottom"/>
          </w:tcPr>
          <w:p w:rsidR="00D8679F" w:rsidRDefault="00D8679F">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معدل وفيات الأطفال الرضع</w:t>
            </w:r>
          </w:p>
        </w:tc>
        <w:tc>
          <w:tcPr>
            <w:tcW w:w="915" w:type="dxa"/>
            <w:tcBorders>
              <w:top w:val="single" w:sz="4" w:space="0" w:color="auto"/>
            </w:tcBorders>
            <w:vAlign w:val="bottom"/>
          </w:tcPr>
          <w:p w:rsidR="00D8679F" w:rsidRDefault="00D8679F">
            <w:pPr>
              <w:tabs>
                <w:tab w:val="left" w:pos="288"/>
                <w:tab w:val="left" w:pos="576"/>
                <w:tab w:val="left" w:pos="864"/>
                <w:tab w:val="left" w:pos="1152"/>
              </w:tabs>
              <w:spacing w:before="80" w:after="80" w:line="240" w:lineRule="exact"/>
              <w:ind w:right="144"/>
              <w:jc w:val="lowKashida"/>
              <w:rPr>
                <w:rFonts w:hint="cs"/>
                <w:i/>
                <w:iCs/>
                <w:sz w:val="16"/>
                <w:szCs w:val="24"/>
                <w:rtl/>
                <w:lang w:bidi="ar-EG"/>
              </w:rPr>
            </w:pPr>
          </w:p>
        </w:tc>
        <w:tc>
          <w:tcPr>
            <w:tcW w:w="915" w:type="dxa"/>
            <w:tcBorders>
              <w:top w:val="single" w:sz="4" w:space="0" w:color="auto"/>
            </w:tcBorders>
            <w:vAlign w:val="bottom"/>
          </w:tcPr>
          <w:p w:rsidR="00D8679F" w:rsidRDefault="00D8679F">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معدل الوفيات الكلي</w:t>
            </w:r>
          </w:p>
        </w:tc>
      </w:tr>
      <w:tr w:rsidR="00D8679F" w:rsidTr="00D8679F">
        <w:tblPrEx>
          <w:tblCellMar>
            <w:top w:w="0" w:type="dxa"/>
            <w:bottom w:w="0" w:type="dxa"/>
          </w:tblCellMar>
        </w:tblPrEx>
        <w:trPr>
          <w:cantSplit/>
          <w:tblHeader/>
        </w:trPr>
        <w:tc>
          <w:tcPr>
            <w:tcW w:w="915" w:type="dxa"/>
            <w:tcBorders>
              <w:bottom w:val="single" w:sz="12" w:space="0" w:color="auto"/>
            </w:tcBorders>
            <w:vAlign w:val="bottom"/>
          </w:tcPr>
          <w:p w:rsidR="00D8679F" w:rsidRDefault="00D8679F">
            <w:pPr>
              <w:tabs>
                <w:tab w:val="left" w:pos="288"/>
                <w:tab w:val="left" w:pos="576"/>
                <w:tab w:val="left" w:pos="864"/>
                <w:tab w:val="left" w:pos="1152"/>
              </w:tabs>
              <w:spacing w:after="80" w:line="240" w:lineRule="exact"/>
              <w:ind w:right="40"/>
              <w:rPr>
                <w:rFonts w:hint="cs"/>
                <w:i/>
                <w:iCs/>
                <w:sz w:val="16"/>
                <w:szCs w:val="24"/>
                <w:rtl/>
                <w:lang w:bidi="ar-EG"/>
              </w:rPr>
            </w:pPr>
          </w:p>
        </w:tc>
        <w:tc>
          <w:tcPr>
            <w:tcW w:w="915" w:type="dxa"/>
            <w:tcBorders>
              <w:bottom w:val="single" w:sz="12" w:space="0" w:color="auto"/>
            </w:tcBorders>
            <w:vAlign w:val="bottom"/>
          </w:tcPr>
          <w:p w:rsidR="00D8679F" w:rsidRDefault="00D8679F">
            <w:pPr>
              <w:tabs>
                <w:tab w:val="left" w:pos="288"/>
                <w:tab w:val="left" w:pos="576"/>
                <w:tab w:val="left" w:pos="864"/>
                <w:tab w:val="left" w:pos="1152"/>
              </w:tabs>
              <w:spacing w:after="80" w:line="240" w:lineRule="exact"/>
              <w:ind w:right="144"/>
              <w:jc w:val="lowKashida"/>
              <w:rPr>
                <w:rFonts w:hint="cs"/>
                <w:i/>
                <w:iCs/>
                <w:sz w:val="16"/>
                <w:szCs w:val="24"/>
                <w:rtl/>
                <w:lang w:bidi="ar-EG"/>
              </w:rPr>
            </w:pPr>
            <w:r>
              <w:rPr>
                <w:rFonts w:hint="cs"/>
                <w:i/>
                <w:iCs/>
                <w:sz w:val="16"/>
                <w:szCs w:val="24"/>
                <w:rtl/>
                <w:lang w:bidi="ar-EG"/>
              </w:rPr>
              <w:t>ذكور</w:t>
            </w:r>
          </w:p>
        </w:tc>
        <w:tc>
          <w:tcPr>
            <w:tcW w:w="915" w:type="dxa"/>
            <w:tcBorders>
              <w:bottom w:val="single" w:sz="12" w:space="0" w:color="auto"/>
            </w:tcBorders>
            <w:vAlign w:val="bottom"/>
          </w:tcPr>
          <w:p w:rsidR="00D8679F" w:rsidRDefault="00D8679F">
            <w:pPr>
              <w:tabs>
                <w:tab w:val="left" w:pos="288"/>
                <w:tab w:val="left" w:pos="576"/>
                <w:tab w:val="left" w:pos="864"/>
                <w:tab w:val="left" w:pos="1152"/>
              </w:tabs>
              <w:spacing w:after="80" w:line="240" w:lineRule="exact"/>
              <w:ind w:right="144"/>
              <w:jc w:val="lowKashida"/>
              <w:rPr>
                <w:rFonts w:hint="cs"/>
                <w:i/>
                <w:iCs/>
                <w:sz w:val="16"/>
                <w:szCs w:val="24"/>
                <w:rtl/>
                <w:lang w:bidi="ar-EG"/>
              </w:rPr>
            </w:pPr>
            <w:r>
              <w:rPr>
                <w:rFonts w:hint="cs"/>
                <w:i/>
                <w:iCs/>
                <w:sz w:val="16"/>
                <w:szCs w:val="24"/>
                <w:rtl/>
                <w:lang w:bidi="ar-EG"/>
              </w:rPr>
              <w:t>إناث</w:t>
            </w:r>
          </w:p>
        </w:tc>
        <w:tc>
          <w:tcPr>
            <w:tcW w:w="915" w:type="dxa"/>
            <w:tcBorders>
              <w:bottom w:val="single" w:sz="12" w:space="0" w:color="auto"/>
            </w:tcBorders>
            <w:vAlign w:val="bottom"/>
          </w:tcPr>
          <w:p w:rsidR="00D8679F" w:rsidRDefault="00D8679F">
            <w:pPr>
              <w:tabs>
                <w:tab w:val="left" w:pos="288"/>
                <w:tab w:val="left" w:pos="576"/>
                <w:tab w:val="left" w:pos="864"/>
                <w:tab w:val="left" w:pos="1152"/>
              </w:tabs>
              <w:spacing w:after="80" w:line="240" w:lineRule="exact"/>
              <w:ind w:right="144"/>
              <w:jc w:val="lowKashida"/>
              <w:rPr>
                <w:rFonts w:hint="cs"/>
                <w:i/>
                <w:iCs/>
                <w:sz w:val="16"/>
                <w:szCs w:val="24"/>
                <w:rtl/>
                <w:lang w:bidi="ar-EG"/>
              </w:rPr>
            </w:pPr>
            <w:r>
              <w:rPr>
                <w:rFonts w:hint="cs"/>
                <w:i/>
                <w:iCs/>
                <w:sz w:val="16"/>
                <w:szCs w:val="24"/>
                <w:rtl/>
                <w:lang w:bidi="ar-EG"/>
              </w:rPr>
              <w:t>ذكور</w:t>
            </w:r>
          </w:p>
        </w:tc>
        <w:tc>
          <w:tcPr>
            <w:tcW w:w="915" w:type="dxa"/>
            <w:tcBorders>
              <w:bottom w:val="single" w:sz="12" w:space="0" w:color="auto"/>
            </w:tcBorders>
            <w:vAlign w:val="bottom"/>
          </w:tcPr>
          <w:p w:rsidR="00D8679F" w:rsidRDefault="00D8679F">
            <w:pPr>
              <w:tabs>
                <w:tab w:val="left" w:pos="288"/>
                <w:tab w:val="left" w:pos="576"/>
                <w:tab w:val="left" w:pos="864"/>
                <w:tab w:val="left" w:pos="1152"/>
              </w:tabs>
              <w:spacing w:after="80" w:line="240" w:lineRule="exact"/>
              <w:ind w:right="144"/>
              <w:jc w:val="lowKashida"/>
              <w:rPr>
                <w:rFonts w:hint="cs"/>
                <w:i/>
                <w:iCs/>
                <w:sz w:val="16"/>
                <w:szCs w:val="24"/>
                <w:rtl/>
                <w:lang w:bidi="ar-EG"/>
              </w:rPr>
            </w:pPr>
            <w:r>
              <w:rPr>
                <w:rFonts w:hint="cs"/>
                <w:i/>
                <w:iCs/>
                <w:sz w:val="16"/>
                <w:szCs w:val="24"/>
                <w:rtl/>
                <w:lang w:bidi="ar-EG"/>
              </w:rPr>
              <w:t>إناث</w:t>
            </w:r>
          </w:p>
        </w:tc>
        <w:tc>
          <w:tcPr>
            <w:tcW w:w="915" w:type="dxa"/>
            <w:tcBorders>
              <w:bottom w:val="single" w:sz="12" w:space="0" w:color="auto"/>
            </w:tcBorders>
            <w:vAlign w:val="bottom"/>
          </w:tcPr>
          <w:p w:rsidR="00D8679F" w:rsidRDefault="00D8679F">
            <w:pPr>
              <w:tabs>
                <w:tab w:val="left" w:pos="288"/>
                <w:tab w:val="left" w:pos="576"/>
                <w:tab w:val="left" w:pos="864"/>
                <w:tab w:val="left" w:pos="1152"/>
              </w:tabs>
              <w:spacing w:after="80" w:line="240" w:lineRule="exact"/>
              <w:ind w:right="144"/>
              <w:jc w:val="lowKashida"/>
              <w:rPr>
                <w:rFonts w:hint="cs"/>
                <w:i/>
                <w:iCs/>
                <w:sz w:val="16"/>
                <w:szCs w:val="24"/>
                <w:rtl/>
                <w:lang w:bidi="ar-EG"/>
              </w:rPr>
            </w:pPr>
            <w:r>
              <w:rPr>
                <w:rFonts w:hint="cs"/>
                <w:i/>
                <w:iCs/>
                <w:sz w:val="16"/>
                <w:szCs w:val="24"/>
                <w:rtl/>
                <w:lang w:bidi="ar-EG"/>
              </w:rPr>
              <w:t>ذكور</w:t>
            </w:r>
          </w:p>
        </w:tc>
        <w:tc>
          <w:tcPr>
            <w:tcW w:w="915" w:type="dxa"/>
            <w:tcBorders>
              <w:bottom w:val="single" w:sz="12" w:space="0" w:color="auto"/>
            </w:tcBorders>
            <w:vAlign w:val="bottom"/>
          </w:tcPr>
          <w:p w:rsidR="00D8679F" w:rsidRDefault="00D8679F">
            <w:pPr>
              <w:tabs>
                <w:tab w:val="left" w:pos="288"/>
                <w:tab w:val="left" w:pos="576"/>
                <w:tab w:val="left" w:pos="864"/>
                <w:tab w:val="left" w:pos="1152"/>
              </w:tabs>
              <w:spacing w:after="80" w:line="240" w:lineRule="exact"/>
              <w:ind w:right="144"/>
              <w:jc w:val="lowKashida"/>
              <w:rPr>
                <w:rFonts w:hint="cs"/>
                <w:i/>
                <w:iCs/>
                <w:sz w:val="16"/>
                <w:szCs w:val="24"/>
                <w:rtl/>
                <w:lang w:bidi="ar-EG"/>
              </w:rPr>
            </w:pPr>
            <w:r>
              <w:rPr>
                <w:rFonts w:hint="cs"/>
                <w:i/>
                <w:iCs/>
                <w:sz w:val="16"/>
                <w:szCs w:val="24"/>
                <w:rtl/>
                <w:lang w:bidi="ar-EG"/>
              </w:rPr>
              <w:t>إناث</w:t>
            </w:r>
          </w:p>
        </w:tc>
        <w:tc>
          <w:tcPr>
            <w:tcW w:w="915" w:type="dxa"/>
            <w:tcBorders>
              <w:bottom w:val="single" w:sz="12" w:space="0" w:color="auto"/>
            </w:tcBorders>
            <w:vAlign w:val="bottom"/>
          </w:tcPr>
          <w:p w:rsidR="00D8679F" w:rsidRDefault="00D8679F">
            <w:pPr>
              <w:tabs>
                <w:tab w:val="left" w:pos="288"/>
                <w:tab w:val="left" w:pos="576"/>
                <w:tab w:val="left" w:pos="864"/>
                <w:tab w:val="left" w:pos="1152"/>
              </w:tabs>
              <w:spacing w:after="80" w:line="240" w:lineRule="exact"/>
              <w:ind w:right="144"/>
              <w:jc w:val="lowKashida"/>
              <w:rPr>
                <w:rFonts w:hint="cs"/>
                <w:i/>
                <w:iCs/>
                <w:sz w:val="16"/>
                <w:szCs w:val="24"/>
                <w:rtl/>
                <w:lang w:bidi="ar-EG"/>
              </w:rPr>
            </w:pPr>
            <w:r>
              <w:rPr>
                <w:rFonts w:hint="cs"/>
                <w:i/>
                <w:iCs/>
                <w:sz w:val="16"/>
                <w:szCs w:val="24"/>
                <w:rtl/>
                <w:lang w:bidi="ar-EG"/>
              </w:rPr>
              <w:t>إناث</w:t>
            </w:r>
          </w:p>
        </w:tc>
      </w:tr>
      <w:tr w:rsidR="00D8679F" w:rsidTr="00D8679F">
        <w:tblPrEx>
          <w:tblCellMar>
            <w:top w:w="0" w:type="dxa"/>
            <w:bottom w:w="0" w:type="dxa"/>
          </w:tblCellMar>
        </w:tblPrEx>
        <w:trPr>
          <w:cantSplit/>
          <w:trHeight w:hRule="exact" w:val="115"/>
          <w:tblHeader/>
        </w:trPr>
        <w:tc>
          <w:tcPr>
            <w:tcW w:w="915"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p>
        </w:tc>
        <w:tc>
          <w:tcPr>
            <w:tcW w:w="915"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915"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915"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915"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915"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915"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915"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D8679F" w:rsidTr="00D8679F">
        <w:tblPrEx>
          <w:tblCellMar>
            <w:top w:w="0" w:type="dxa"/>
            <w:bottom w:w="0" w:type="dxa"/>
          </w:tblCellMar>
        </w:tblPrEx>
        <w:trPr>
          <w:cantSplit/>
        </w:trPr>
        <w:tc>
          <w:tcPr>
            <w:tcW w:w="915"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1962</w:t>
            </w:r>
          </w:p>
        </w:tc>
        <w:tc>
          <w:tcPr>
            <w:tcW w:w="915"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42.7</w:t>
            </w:r>
          </w:p>
        </w:tc>
        <w:tc>
          <w:tcPr>
            <w:tcW w:w="915"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49.8</w:t>
            </w:r>
          </w:p>
        </w:tc>
        <w:tc>
          <w:tcPr>
            <w:tcW w:w="915"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221</w:t>
            </w:r>
          </w:p>
        </w:tc>
        <w:tc>
          <w:tcPr>
            <w:tcW w:w="915"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201</w:t>
            </w:r>
          </w:p>
        </w:tc>
        <w:tc>
          <w:tcPr>
            <w:tcW w:w="915"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136</w:t>
            </w:r>
          </w:p>
        </w:tc>
        <w:tc>
          <w:tcPr>
            <w:tcW w:w="915"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116</w:t>
            </w:r>
          </w:p>
        </w:tc>
        <w:tc>
          <w:tcPr>
            <w:tcW w:w="915"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5.3</w:t>
            </w:r>
          </w:p>
        </w:tc>
      </w:tr>
      <w:tr w:rsidR="00D8679F" w:rsidTr="00D8679F">
        <w:tblPrEx>
          <w:tblCellMar>
            <w:top w:w="0" w:type="dxa"/>
            <w:bottom w:w="0" w:type="dxa"/>
          </w:tblCellMar>
        </w:tblPrEx>
        <w:trPr>
          <w:cantSplit/>
        </w:trPr>
        <w:tc>
          <w:tcPr>
            <w:tcW w:w="915"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1969</w:t>
            </w:r>
          </w:p>
        </w:tc>
        <w:tc>
          <w:tcPr>
            <w:tcW w:w="915"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46.9</w:t>
            </w:r>
          </w:p>
        </w:tc>
        <w:tc>
          <w:tcPr>
            <w:tcW w:w="915"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51.2</w:t>
            </w:r>
          </w:p>
        </w:tc>
        <w:tc>
          <w:tcPr>
            <w:tcW w:w="915"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177</w:t>
            </w:r>
          </w:p>
        </w:tc>
        <w:tc>
          <w:tcPr>
            <w:tcW w:w="915"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157</w:t>
            </w:r>
          </w:p>
        </w:tc>
        <w:tc>
          <w:tcPr>
            <w:tcW w:w="915"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129</w:t>
            </w:r>
          </w:p>
        </w:tc>
        <w:tc>
          <w:tcPr>
            <w:tcW w:w="915"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109</w:t>
            </w:r>
          </w:p>
        </w:tc>
        <w:tc>
          <w:tcPr>
            <w:tcW w:w="915"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6.6</w:t>
            </w:r>
          </w:p>
        </w:tc>
      </w:tr>
      <w:tr w:rsidR="00D8679F" w:rsidTr="00D8679F">
        <w:tblPrEx>
          <w:tblCellMar>
            <w:top w:w="0" w:type="dxa"/>
            <w:bottom w:w="0" w:type="dxa"/>
          </w:tblCellMar>
        </w:tblPrEx>
        <w:trPr>
          <w:cantSplit/>
        </w:trPr>
        <w:tc>
          <w:tcPr>
            <w:tcW w:w="915"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1979</w:t>
            </w:r>
          </w:p>
        </w:tc>
        <w:tc>
          <w:tcPr>
            <w:tcW w:w="915"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54.1</w:t>
            </w:r>
          </w:p>
        </w:tc>
        <w:tc>
          <w:tcPr>
            <w:tcW w:w="915"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56.9</w:t>
            </w:r>
          </w:p>
        </w:tc>
        <w:tc>
          <w:tcPr>
            <w:tcW w:w="915"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160</w:t>
            </w:r>
          </w:p>
        </w:tc>
        <w:tc>
          <w:tcPr>
            <w:tcW w:w="915"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140</w:t>
            </w:r>
          </w:p>
        </w:tc>
        <w:tc>
          <w:tcPr>
            <w:tcW w:w="915"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114</w:t>
            </w:r>
          </w:p>
        </w:tc>
        <w:tc>
          <w:tcPr>
            <w:tcW w:w="915"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94</w:t>
            </w:r>
          </w:p>
        </w:tc>
        <w:tc>
          <w:tcPr>
            <w:tcW w:w="915"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7.9</w:t>
            </w:r>
          </w:p>
        </w:tc>
      </w:tr>
      <w:tr w:rsidR="00D8679F" w:rsidTr="00D8679F">
        <w:tblPrEx>
          <w:tblCellMar>
            <w:top w:w="0" w:type="dxa"/>
            <w:bottom w:w="0" w:type="dxa"/>
          </w:tblCellMar>
        </w:tblPrEx>
        <w:trPr>
          <w:cantSplit/>
        </w:trPr>
        <w:tc>
          <w:tcPr>
            <w:tcW w:w="915"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1989</w:t>
            </w:r>
          </w:p>
        </w:tc>
        <w:tc>
          <w:tcPr>
            <w:tcW w:w="915"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57.5</w:t>
            </w:r>
          </w:p>
        </w:tc>
        <w:tc>
          <w:tcPr>
            <w:tcW w:w="915"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61.4</w:t>
            </w:r>
          </w:p>
        </w:tc>
        <w:tc>
          <w:tcPr>
            <w:tcW w:w="915"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115</w:t>
            </w:r>
          </w:p>
        </w:tc>
        <w:tc>
          <w:tcPr>
            <w:tcW w:w="915"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95</w:t>
            </w:r>
          </w:p>
        </w:tc>
        <w:tc>
          <w:tcPr>
            <w:tcW w:w="915"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84</w:t>
            </w:r>
          </w:p>
        </w:tc>
        <w:tc>
          <w:tcPr>
            <w:tcW w:w="915"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64</w:t>
            </w:r>
          </w:p>
        </w:tc>
        <w:tc>
          <w:tcPr>
            <w:tcW w:w="915"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6.7</w:t>
            </w:r>
          </w:p>
        </w:tc>
      </w:tr>
      <w:tr w:rsidR="00D8679F" w:rsidTr="00D8679F">
        <w:tblPrEx>
          <w:tblCellMar>
            <w:top w:w="0" w:type="dxa"/>
            <w:bottom w:w="0" w:type="dxa"/>
          </w:tblCellMar>
        </w:tblPrEx>
        <w:trPr>
          <w:cantSplit/>
        </w:trPr>
        <w:tc>
          <w:tcPr>
            <w:tcW w:w="915"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1993</w:t>
            </w:r>
          </w:p>
        </w:tc>
        <w:tc>
          <w:tcPr>
            <w:tcW w:w="915"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59.0</w:t>
            </w:r>
          </w:p>
        </w:tc>
        <w:tc>
          <w:tcPr>
            <w:tcW w:w="915"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63.2</w:t>
            </w:r>
          </w:p>
        </w:tc>
        <w:tc>
          <w:tcPr>
            <w:tcW w:w="915"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97</w:t>
            </w:r>
          </w:p>
        </w:tc>
        <w:tc>
          <w:tcPr>
            <w:tcW w:w="915"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89</w:t>
            </w:r>
          </w:p>
        </w:tc>
        <w:tc>
          <w:tcPr>
            <w:tcW w:w="915"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67</w:t>
            </w:r>
          </w:p>
        </w:tc>
        <w:tc>
          <w:tcPr>
            <w:tcW w:w="915"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58</w:t>
            </w:r>
          </w:p>
        </w:tc>
        <w:tc>
          <w:tcPr>
            <w:tcW w:w="915"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5.4</w:t>
            </w:r>
          </w:p>
        </w:tc>
      </w:tr>
      <w:tr w:rsidR="00D8679F" w:rsidTr="00D8679F">
        <w:tblPrEx>
          <w:tblCellMar>
            <w:top w:w="0" w:type="dxa"/>
            <w:bottom w:w="0" w:type="dxa"/>
          </w:tblCellMar>
        </w:tblPrEx>
        <w:trPr>
          <w:cantSplit/>
        </w:trPr>
        <w:tc>
          <w:tcPr>
            <w:tcW w:w="915"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1998</w:t>
            </w:r>
          </w:p>
        </w:tc>
        <w:tc>
          <w:tcPr>
            <w:tcW w:w="915"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57.6</w:t>
            </w:r>
          </w:p>
        </w:tc>
        <w:tc>
          <w:tcPr>
            <w:tcW w:w="915"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60.9</w:t>
            </w:r>
          </w:p>
        </w:tc>
        <w:tc>
          <w:tcPr>
            <w:tcW w:w="915"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108</w:t>
            </w:r>
          </w:p>
        </w:tc>
        <w:tc>
          <w:tcPr>
            <w:tcW w:w="915"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103</w:t>
            </w:r>
          </w:p>
        </w:tc>
        <w:tc>
          <w:tcPr>
            <w:tcW w:w="915"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74</w:t>
            </w:r>
          </w:p>
        </w:tc>
        <w:tc>
          <w:tcPr>
            <w:tcW w:w="915"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67</w:t>
            </w:r>
          </w:p>
        </w:tc>
        <w:tc>
          <w:tcPr>
            <w:tcW w:w="915"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4.7</w:t>
            </w:r>
          </w:p>
        </w:tc>
      </w:tr>
      <w:tr w:rsidR="00D8679F" w:rsidTr="00D8679F">
        <w:tblPrEx>
          <w:tblCellMar>
            <w:top w:w="0" w:type="dxa"/>
            <w:bottom w:w="0" w:type="dxa"/>
          </w:tblCellMar>
        </w:tblPrEx>
        <w:trPr>
          <w:cantSplit/>
        </w:trPr>
        <w:tc>
          <w:tcPr>
            <w:tcW w:w="915"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2000</w:t>
            </w:r>
          </w:p>
        </w:tc>
        <w:tc>
          <w:tcPr>
            <w:tcW w:w="915"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52.8</w:t>
            </w:r>
          </w:p>
        </w:tc>
        <w:tc>
          <w:tcPr>
            <w:tcW w:w="915"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60.4</w:t>
            </w:r>
          </w:p>
        </w:tc>
        <w:tc>
          <w:tcPr>
            <w:tcW w:w="915"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114.3</w:t>
            </w:r>
          </w:p>
        </w:tc>
        <w:tc>
          <w:tcPr>
            <w:tcW w:w="915"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104.7</w:t>
            </w:r>
          </w:p>
        </w:tc>
        <w:tc>
          <w:tcPr>
            <w:tcW w:w="915"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74.5</w:t>
            </w:r>
          </w:p>
        </w:tc>
        <w:tc>
          <w:tcPr>
            <w:tcW w:w="915"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65.3</w:t>
            </w:r>
          </w:p>
        </w:tc>
        <w:tc>
          <w:tcPr>
            <w:tcW w:w="915"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4.8</w:t>
            </w:r>
          </w:p>
        </w:tc>
      </w:tr>
      <w:tr w:rsidR="00D8679F" w:rsidTr="00D8679F">
        <w:tblPrEx>
          <w:tblCellMar>
            <w:top w:w="0" w:type="dxa"/>
            <w:bottom w:w="0" w:type="dxa"/>
          </w:tblCellMar>
        </w:tblPrEx>
        <w:trPr>
          <w:cantSplit/>
        </w:trPr>
        <w:tc>
          <w:tcPr>
            <w:tcW w:w="915"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2003</w:t>
            </w:r>
          </w:p>
        </w:tc>
        <w:tc>
          <w:tcPr>
            <w:tcW w:w="915"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52.4</w:t>
            </w:r>
          </w:p>
        </w:tc>
        <w:tc>
          <w:tcPr>
            <w:tcW w:w="915"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60.2</w:t>
            </w:r>
          </w:p>
        </w:tc>
        <w:tc>
          <w:tcPr>
            <w:tcW w:w="915"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122.0</w:t>
            </w:r>
          </w:p>
        </w:tc>
        <w:tc>
          <w:tcPr>
            <w:tcW w:w="915"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103.01</w:t>
            </w:r>
          </w:p>
        </w:tc>
        <w:tc>
          <w:tcPr>
            <w:tcW w:w="915"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84.0</w:t>
            </w:r>
          </w:p>
        </w:tc>
        <w:tc>
          <w:tcPr>
            <w:tcW w:w="915"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67.0</w:t>
            </w:r>
          </w:p>
        </w:tc>
        <w:tc>
          <w:tcPr>
            <w:tcW w:w="915"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4.9</w:t>
            </w:r>
          </w:p>
        </w:tc>
      </w:tr>
    </w:tbl>
    <w:p w:rsidR="00000000" w:rsidRDefault="00D8679F">
      <w:pPr>
        <w:pStyle w:val="SingleTxt"/>
        <w:spacing w:after="0" w:line="120" w:lineRule="exact"/>
        <w:ind w:left="1930" w:hanging="663"/>
        <w:jc w:val="both"/>
        <w:rPr>
          <w:rFonts w:hint="cs"/>
          <w:sz w:val="10"/>
          <w:rtl/>
          <w:lang w:bidi="ar-EG"/>
        </w:rPr>
      </w:pPr>
    </w:p>
    <w:p w:rsidR="00000000" w:rsidRDefault="00D8679F">
      <w:pPr>
        <w:pStyle w:val="SingleTxt"/>
        <w:ind w:left="1930" w:hanging="663"/>
        <w:jc w:val="both"/>
        <w:rPr>
          <w:rFonts w:hint="cs"/>
          <w:sz w:val="16"/>
          <w:szCs w:val="26"/>
          <w:rtl/>
          <w:lang w:bidi="ar-EG"/>
        </w:rPr>
      </w:pPr>
      <w:r>
        <w:rPr>
          <w:rFonts w:hint="cs"/>
          <w:i/>
          <w:iCs/>
          <w:sz w:val="16"/>
          <w:szCs w:val="26"/>
          <w:rtl/>
          <w:lang w:bidi="ar-EG"/>
        </w:rPr>
        <w:t>المصدر</w:t>
      </w:r>
      <w:r>
        <w:rPr>
          <w:rFonts w:hint="cs"/>
          <w:sz w:val="16"/>
          <w:szCs w:val="26"/>
          <w:rtl/>
          <w:lang w:bidi="ar-EG"/>
        </w:rPr>
        <w:t>: تقارير التعداد والدراسة الاستقصائية الديمغرافية والصحية لكينيا.</w:t>
      </w:r>
    </w:p>
    <w:p w:rsidR="00000000" w:rsidRDefault="00D8679F">
      <w:pPr>
        <w:pStyle w:val="SingleTxt"/>
        <w:spacing w:after="0" w:line="120" w:lineRule="exact"/>
        <w:ind w:left="1930" w:hanging="663"/>
        <w:jc w:val="both"/>
        <w:rPr>
          <w:rFonts w:hint="cs"/>
          <w:sz w:val="12"/>
          <w:rtl/>
          <w:lang w:bidi="ar-EG"/>
        </w:rPr>
      </w:pPr>
    </w:p>
    <w:p w:rsidR="00000000" w:rsidRDefault="00D8679F">
      <w:pPr>
        <w:pStyle w:val="SingleTxt"/>
        <w:spacing w:after="0" w:line="120" w:lineRule="exact"/>
        <w:ind w:left="1930" w:hanging="663"/>
        <w:jc w:val="both"/>
        <w:rPr>
          <w:rFonts w:hint="cs"/>
          <w:sz w:val="12"/>
          <w:rtl/>
          <w:lang w:bidi="ar-EG"/>
        </w:rPr>
      </w:pPr>
    </w:p>
    <w:p w:rsidR="00000000" w:rsidRDefault="00D8679F">
      <w:pPr>
        <w:pStyle w:val="SingleTxt"/>
        <w:jc w:val="both"/>
        <w:rPr>
          <w:rFonts w:hint="cs"/>
          <w:rtl/>
          <w:lang w:bidi="ar-EG"/>
        </w:rPr>
      </w:pPr>
      <w:r>
        <w:rPr>
          <w:rFonts w:hint="cs"/>
          <w:rtl/>
          <w:lang w:bidi="ar-EG"/>
        </w:rPr>
        <w:t>128-</w:t>
      </w:r>
      <w:r>
        <w:rPr>
          <w:rFonts w:hint="cs"/>
          <w:rtl/>
          <w:lang w:bidi="ar-EG"/>
        </w:rPr>
        <w:tab/>
        <w:t xml:space="preserve">في عام 2003، بلغ معدل وفيات الأمهات 414 حالة وفاة لكل 000 100 من الولادات مقابل 590 في عام 1998. ويورد الجدول 17 معدل وفيات الأطفال الرضع لكل 000 1 من المواليد الأحياء، ومعدلات </w:t>
      </w:r>
      <w:r>
        <w:rPr>
          <w:rFonts w:hint="cs"/>
          <w:rtl/>
          <w:lang w:bidi="ar-EG"/>
        </w:rPr>
        <w:t>الوفيات دون سن الخامسة، ومعدلات الوفيات الأولية ومعدلات وفيات الأمهات لكل 000 100 من الولادات. وارتفاع معدلات وفيات الأمهات ناجم عن حالات الإجهاض غير المأمونة والنزيف والأنيميا الناتجة عن ذلك والحمل والاضطرابات ذات الصلة بالولادة.</w:t>
      </w:r>
    </w:p>
    <w:p w:rsidR="00000000" w:rsidRDefault="00D8679F">
      <w:pPr>
        <w:pStyle w:val="SingleTxt"/>
        <w:jc w:val="both"/>
        <w:rPr>
          <w:rFonts w:hint="cs"/>
          <w:rtl/>
          <w:lang w:bidi="ar-EG"/>
        </w:rPr>
      </w:pPr>
      <w:r>
        <w:rPr>
          <w:rFonts w:hint="cs"/>
          <w:rtl/>
          <w:lang w:bidi="ar-EG"/>
        </w:rPr>
        <w:t>129-</w:t>
      </w:r>
      <w:r>
        <w:rPr>
          <w:rFonts w:hint="cs"/>
          <w:rtl/>
          <w:lang w:bidi="ar-EG"/>
        </w:rPr>
        <w:tab/>
        <w:t>وأحد التحديات التي ت</w:t>
      </w:r>
      <w:r>
        <w:rPr>
          <w:rFonts w:hint="cs"/>
          <w:rtl/>
          <w:lang w:bidi="ar-EG"/>
        </w:rPr>
        <w:t>واجه الآن في مناقشة ما إذا كان ينبغي أن تتمتع المرأة بالحق في الإختيار والإجهاض من عدمه يتمثل في أنه يُعامل الآن بوصفه قضية دستورية. ونجح النشطاء المناهضون للإجهاض في إدراج بنود في الدستور الجديد المقترح تحظر الإجهاض. وهو يمثل الفعل الجرمي الوحيد الذي يعام</w:t>
      </w:r>
      <w:r>
        <w:rPr>
          <w:rFonts w:hint="cs"/>
          <w:rtl/>
          <w:lang w:bidi="ar-EG"/>
        </w:rPr>
        <w:t>ل على هذا النحو.</w:t>
      </w:r>
    </w:p>
    <w:p w:rsidR="00000000" w:rsidRDefault="00D8679F">
      <w:pPr>
        <w:pStyle w:val="SingleTxt"/>
        <w:ind w:left="1930" w:hanging="663"/>
        <w:jc w:val="both"/>
        <w:rPr>
          <w:rFonts w:hint="cs"/>
          <w:rtl/>
          <w:lang w:bidi="ar-EG"/>
        </w:rPr>
      </w:pPr>
      <w:r>
        <w:rPr>
          <w:rtl/>
          <w:lang w:bidi="ar-EG"/>
        </w:rPr>
        <w:br w:type="page"/>
      </w:r>
      <w:r>
        <w:rPr>
          <w:rFonts w:hint="cs"/>
          <w:rtl/>
          <w:lang w:bidi="ar-EG"/>
        </w:rPr>
        <w:t>الجدول 17</w:t>
      </w:r>
    </w:p>
    <w:p w:rsidR="00000000" w:rsidRDefault="00D8679F">
      <w:pPr>
        <w:pStyle w:val="SingleTxt"/>
        <w:ind w:left="1930" w:hanging="663"/>
        <w:jc w:val="both"/>
        <w:rPr>
          <w:rFonts w:hint="cs"/>
          <w:rtl/>
          <w:lang w:bidi="ar-EG"/>
        </w:rPr>
      </w:pPr>
      <w:r>
        <w:rPr>
          <w:rFonts w:hint="cs"/>
          <w:b/>
          <w:bCs/>
          <w:rtl/>
          <w:lang w:bidi="ar-EG"/>
        </w:rPr>
        <w:t>معدلات الوفيات في كينيا، 1960-2003</w:t>
      </w:r>
    </w:p>
    <w:p w:rsidR="00000000" w:rsidRDefault="00D8679F">
      <w:pPr>
        <w:pStyle w:val="SingleTxt"/>
        <w:spacing w:after="0" w:line="120" w:lineRule="exact"/>
        <w:ind w:left="1930" w:hanging="663"/>
        <w:jc w:val="both"/>
        <w:rPr>
          <w:rFonts w:hint="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1785"/>
        <w:gridCol w:w="721"/>
        <w:gridCol w:w="721"/>
        <w:gridCol w:w="721"/>
        <w:gridCol w:w="1030"/>
        <w:gridCol w:w="927"/>
        <w:gridCol w:w="721"/>
        <w:gridCol w:w="694"/>
      </w:tblGrid>
      <w:tr w:rsidR="00D8679F" w:rsidTr="00D8679F">
        <w:tblPrEx>
          <w:tblCellMar>
            <w:top w:w="0" w:type="dxa"/>
            <w:bottom w:w="0" w:type="dxa"/>
          </w:tblCellMar>
        </w:tblPrEx>
        <w:trPr>
          <w:cantSplit/>
          <w:tblHeader/>
        </w:trPr>
        <w:tc>
          <w:tcPr>
            <w:tcW w:w="1785" w:type="dxa"/>
            <w:tcBorders>
              <w:top w:val="single" w:sz="4" w:space="0" w:color="auto"/>
            </w:tcBorders>
            <w:vAlign w:val="bottom"/>
          </w:tcPr>
          <w:p w:rsidR="00D8679F" w:rsidRDefault="00D8679F">
            <w:pPr>
              <w:tabs>
                <w:tab w:val="left" w:pos="288"/>
                <w:tab w:val="left" w:pos="576"/>
                <w:tab w:val="left" w:pos="864"/>
                <w:tab w:val="left" w:pos="1152"/>
              </w:tabs>
              <w:spacing w:before="80" w:after="80" w:line="240" w:lineRule="exact"/>
              <w:ind w:right="40"/>
              <w:jc w:val="lowKashida"/>
              <w:rPr>
                <w:rFonts w:hint="cs"/>
                <w:i/>
                <w:iCs/>
                <w:sz w:val="16"/>
                <w:szCs w:val="24"/>
                <w:rtl/>
                <w:lang w:bidi="ar-EG"/>
              </w:rPr>
            </w:pPr>
            <w:r>
              <w:rPr>
                <w:rFonts w:hint="cs"/>
                <w:i/>
                <w:iCs/>
                <w:sz w:val="16"/>
                <w:szCs w:val="24"/>
                <w:rtl/>
                <w:lang w:bidi="ar-EG"/>
              </w:rPr>
              <w:t>المؤشرات</w:t>
            </w:r>
          </w:p>
        </w:tc>
        <w:tc>
          <w:tcPr>
            <w:tcW w:w="5535" w:type="dxa"/>
            <w:gridSpan w:val="7"/>
            <w:tcBorders>
              <w:top w:val="single" w:sz="4" w:space="0" w:color="auto"/>
            </w:tcBorders>
            <w:vAlign w:val="bottom"/>
          </w:tcPr>
          <w:p w:rsidR="00D8679F" w:rsidRDefault="00D8679F">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السنة</w:t>
            </w:r>
          </w:p>
        </w:tc>
      </w:tr>
      <w:tr w:rsidR="00D8679F" w:rsidTr="00D8679F">
        <w:tblPrEx>
          <w:tblCellMar>
            <w:top w:w="0" w:type="dxa"/>
            <w:bottom w:w="0" w:type="dxa"/>
          </w:tblCellMar>
        </w:tblPrEx>
        <w:trPr>
          <w:cantSplit/>
          <w:tblHeader/>
        </w:trPr>
        <w:tc>
          <w:tcPr>
            <w:tcW w:w="1785" w:type="dxa"/>
            <w:tcBorders>
              <w:bottom w:val="single" w:sz="12" w:space="0" w:color="auto"/>
            </w:tcBorders>
            <w:vAlign w:val="bottom"/>
          </w:tcPr>
          <w:p w:rsidR="00D8679F" w:rsidRDefault="00D8679F">
            <w:pPr>
              <w:tabs>
                <w:tab w:val="left" w:pos="288"/>
                <w:tab w:val="left" w:pos="576"/>
                <w:tab w:val="left" w:pos="864"/>
                <w:tab w:val="left" w:pos="1152"/>
              </w:tabs>
              <w:spacing w:after="80" w:line="240" w:lineRule="exact"/>
              <w:ind w:right="40"/>
              <w:jc w:val="lowKashida"/>
              <w:rPr>
                <w:rFonts w:hint="cs"/>
                <w:i/>
                <w:iCs/>
                <w:sz w:val="16"/>
                <w:szCs w:val="24"/>
                <w:rtl/>
                <w:lang w:bidi="ar-EG"/>
              </w:rPr>
            </w:pPr>
          </w:p>
        </w:tc>
        <w:tc>
          <w:tcPr>
            <w:tcW w:w="721" w:type="dxa"/>
            <w:tcBorders>
              <w:bottom w:val="single" w:sz="12" w:space="0" w:color="auto"/>
            </w:tcBorders>
            <w:vAlign w:val="bottom"/>
          </w:tcPr>
          <w:p w:rsidR="00D8679F" w:rsidRDefault="00D8679F">
            <w:pPr>
              <w:tabs>
                <w:tab w:val="left" w:pos="288"/>
                <w:tab w:val="left" w:pos="576"/>
                <w:tab w:val="left" w:pos="864"/>
                <w:tab w:val="left" w:pos="1152"/>
              </w:tabs>
              <w:spacing w:after="80" w:line="240" w:lineRule="exact"/>
              <w:ind w:right="144"/>
              <w:jc w:val="lowKashida"/>
              <w:rPr>
                <w:rFonts w:hint="cs"/>
                <w:i/>
                <w:iCs/>
                <w:sz w:val="16"/>
                <w:szCs w:val="24"/>
                <w:rtl/>
                <w:lang w:bidi="ar-EG"/>
              </w:rPr>
            </w:pPr>
            <w:r>
              <w:rPr>
                <w:rFonts w:hint="cs"/>
                <w:i/>
                <w:iCs/>
                <w:sz w:val="16"/>
                <w:szCs w:val="24"/>
                <w:rtl/>
                <w:lang w:bidi="ar-EG"/>
              </w:rPr>
              <w:t>1960</w:t>
            </w:r>
          </w:p>
        </w:tc>
        <w:tc>
          <w:tcPr>
            <w:tcW w:w="721" w:type="dxa"/>
            <w:tcBorders>
              <w:bottom w:val="single" w:sz="12" w:space="0" w:color="auto"/>
            </w:tcBorders>
            <w:vAlign w:val="bottom"/>
          </w:tcPr>
          <w:p w:rsidR="00D8679F" w:rsidRDefault="00D8679F">
            <w:pPr>
              <w:tabs>
                <w:tab w:val="left" w:pos="288"/>
                <w:tab w:val="left" w:pos="576"/>
                <w:tab w:val="left" w:pos="864"/>
                <w:tab w:val="left" w:pos="1152"/>
              </w:tabs>
              <w:spacing w:after="80" w:line="240" w:lineRule="exact"/>
              <w:ind w:right="144"/>
              <w:jc w:val="lowKashida"/>
              <w:rPr>
                <w:rFonts w:hint="cs"/>
                <w:i/>
                <w:iCs/>
                <w:sz w:val="16"/>
                <w:szCs w:val="24"/>
                <w:rtl/>
                <w:lang w:bidi="ar-EG"/>
              </w:rPr>
            </w:pPr>
            <w:r>
              <w:rPr>
                <w:rFonts w:hint="cs"/>
                <w:i/>
                <w:iCs/>
                <w:sz w:val="16"/>
                <w:szCs w:val="24"/>
                <w:rtl/>
                <w:lang w:bidi="ar-EG"/>
              </w:rPr>
              <w:t>1979</w:t>
            </w:r>
          </w:p>
        </w:tc>
        <w:tc>
          <w:tcPr>
            <w:tcW w:w="721" w:type="dxa"/>
            <w:tcBorders>
              <w:bottom w:val="single" w:sz="12" w:space="0" w:color="auto"/>
            </w:tcBorders>
            <w:vAlign w:val="bottom"/>
          </w:tcPr>
          <w:p w:rsidR="00D8679F" w:rsidRDefault="00D8679F">
            <w:pPr>
              <w:tabs>
                <w:tab w:val="left" w:pos="288"/>
                <w:tab w:val="left" w:pos="576"/>
                <w:tab w:val="left" w:pos="864"/>
                <w:tab w:val="left" w:pos="1152"/>
              </w:tabs>
              <w:spacing w:after="80" w:line="240" w:lineRule="exact"/>
              <w:ind w:right="144"/>
              <w:jc w:val="lowKashida"/>
              <w:rPr>
                <w:rFonts w:hint="cs"/>
                <w:i/>
                <w:iCs/>
                <w:sz w:val="16"/>
                <w:szCs w:val="24"/>
                <w:rtl/>
                <w:lang w:bidi="ar-EG"/>
              </w:rPr>
            </w:pPr>
            <w:r>
              <w:rPr>
                <w:rFonts w:hint="cs"/>
                <w:i/>
                <w:iCs/>
                <w:sz w:val="16"/>
                <w:szCs w:val="24"/>
                <w:rtl/>
                <w:lang w:bidi="ar-EG"/>
              </w:rPr>
              <w:t>1991</w:t>
            </w:r>
          </w:p>
        </w:tc>
        <w:tc>
          <w:tcPr>
            <w:tcW w:w="1030" w:type="dxa"/>
            <w:tcBorders>
              <w:bottom w:val="single" w:sz="12" w:space="0" w:color="auto"/>
            </w:tcBorders>
            <w:vAlign w:val="bottom"/>
          </w:tcPr>
          <w:p w:rsidR="00D8679F" w:rsidRDefault="00D8679F">
            <w:pPr>
              <w:tabs>
                <w:tab w:val="left" w:pos="288"/>
                <w:tab w:val="left" w:pos="576"/>
                <w:tab w:val="left" w:pos="864"/>
                <w:tab w:val="left" w:pos="1152"/>
              </w:tabs>
              <w:spacing w:after="80" w:line="240" w:lineRule="exact"/>
              <w:ind w:right="144"/>
              <w:jc w:val="lowKashida"/>
              <w:rPr>
                <w:rFonts w:hint="cs"/>
                <w:i/>
                <w:iCs/>
                <w:sz w:val="16"/>
                <w:szCs w:val="24"/>
                <w:rtl/>
                <w:lang w:bidi="ar-EG"/>
              </w:rPr>
            </w:pPr>
            <w:r>
              <w:rPr>
                <w:rFonts w:hint="cs"/>
                <w:i/>
                <w:iCs/>
                <w:sz w:val="16"/>
                <w:szCs w:val="24"/>
                <w:rtl/>
                <w:lang w:bidi="ar-EG"/>
              </w:rPr>
              <w:t>1992</w:t>
            </w:r>
          </w:p>
        </w:tc>
        <w:tc>
          <w:tcPr>
            <w:tcW w:w="927" w:type="dxa"/>
            <w:tcBorders>
              <w:bottom w:val="single" w:sz="12" w:space="0" w:color="auto"/>
            </w:tcBorders>
            <w:vAlign w:val="bottom"/>
          </w:tcPr>
          <w:p w:rsidR="00D8679F" w:rsidRDefault="00D8679F">
            <w:pPr>
              <w:tabs>
                <w:tab w:val="left" w:pos="288"/>
                <w:tab w:val="left" w:pos="576"/>
                <w:tab w:val="left" w:pos="864"/>
                <w:tab w:val="left" w:pos="1152"/>
              </w:tabs>
              <w:spacing w:after="80" w:line="240" w:lineRule="exact"/>
              <w:ind w:right="144"/>
              <w:jc w:val="lowKashida"/>
              <w:rPr>
                <w:rFonts w:hint="cs"/>
                <w:i/>
                <w:iCs/>
                <w:sz w:val="16"/>
                <w:szCs w:val="24"/>
                <w:rtl/>
                <w:lang w:bidi="ar-EG"/>
              </w:rPr>
            </w:pPr>
            <w:r>
              <w:rPr>
                <w:rFonts w:hint="cs"/>
                <w:i/>
                <w:iCs/>
                <w:sz w:val="16"/>
                <w:szCs w:val="24"/>
                <w:rtl/>
                <w:lang w:bidi="ar-EG"/>
              </w:rPr>
              <w:t>1993</w:t>
            </w:r>
          </w:p>
        </w:tc>
        <w:tc>
          <w:tcPr>
            <w:tcW w:w="721" w:type="dxa"/>
            <w:tcBorders>
              <w:bottom w:val="single" w:sz="12" w:space="0" w:color="auto"/>
            </w:tcBorders>
            <w:vAlign w:val="bottom"/>
          </w:tcPr>
          <w:p w:rsidR="00D8679F" w:rsidRDefault="00D8679F">
            <w:pPr>
              <w:tabs>
                <w:tab w:val="left" w:pos="288"/>
                <w:tab w:val="left" w:pos="576"/>
                <w:tab w:val="left" w:pos="864"/>
                <w:tab w:val="left" w:pos="1152"/>
              </w:tabs>
              <w:spacing w:after="80" w:line="240" w:lineRule="exact"/>
              <w:ind w:right="144"/>
              <w:jc w:val="lowKashida"/>
              <w:rPr>
                <w:rFonts w:hint="cs"/>
                <w:i/>
                <w:iCs/>
                <w:sz w:val="16"/>
                <w:szCs w:val="24"/>
                <w:rtl/>
                <w:lang w:bidi="ar-EG"/>
              </w:rPr>
            </w:pPr>
            <w:r>
              <w:rPr>
                <w:rFonts w:hint="cs"/>
                <w:i/>
                <w:iCs/>
                <w:sz w:val="16"/>
                <w:szCs w:val="24"/>
                <w:rtl/>
                <w:lang w:bidi="ar-EG"/>
              </w:rPr>
              <w:t>1998</w:t>
            </w:r>
          </w:p>
        </w:tc>
        <w:tc>
          <w:tcPr>
            <w:tcW w:w="694" w:type="dxa"/>
            <w:tcBorders>
              <w:bottom w:val="single" w:sz="12" w:space="0" w:color="auto"/>
            </w:tcBorders>
            <w:vAlign w:val="bottom"/>
          </w:tcPr>
          <w:p w:rsidR="00D8679F" w:rsidRDefault="00D8679F">
            <w:pPr>
              <w:tabs>
                <w:tab w:val="left" w:pos="288"/>
                <w:tab w:val="left" w:pos="576"/>
                <w:tab w:val="left" w:pos="864"/>
                <w:tab w:val="left" w:pos="1152"/>
              </w:tabs>
              <w:spacing w:after="80" w:line="240" w:lineRule="exact"/>
              <w:ind w:right="144"/>
              <w:jc w:val="lowKashida"/>
              <w:rPr>
                <w:rFonts w:hint="cs"/>
                <w:i/>
                <w:iCs/>
                <w:sz w:val="16"/>
                <w:szCs w:val="24"/>
                <w:rtl/>
                <w:lang w:bidi="ar-EG"/>
              </w:rPr>
            </w:pPr>
            <w:r>
              <w:rPr>
                <w:rFonts w:hint="cs"/>
                <w:i/>
                <w:iCs/>
                <w:sz w:val="16"/>
                <w:szCs w:val="24"/>
                <w:rtl/>
                <w:lang w:bidi="ar-EG"/>
              </w:rPr>
              <w:t>2003</w:t>
            </w:r>
          </w:p>
        </w:tc>
      </w:tr>
      <w:tr w:rsidR="00D8679F" w:rsidTr="00D8679F">
        <w:tblPrEx>
          <w:tblCellMar>
            <w:top w:w="0" w:type="dxa"/>
            <w:bottom w:w="0" w:type="dxa"/>
          </w:tblCellMar>
        </w:tblPrEx>
        <w:trPr>
          <w:cantSplit/>
          <w:trHeight w:hRule="exact" w:val="115"/>
          <w:tblHeader/>
        </w:trPr>
        <w:tc>
          <w:tcPr>
            <w:tcW w:w="1785"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40"/>
              <w:jc w:val="lowKashida"/>
              <w:rPr>
                <w:rFonts w:hint="cs"/>
                <w:sz w:val="16"/>
                <w:szCs w:val="24"/>
                <w:rtl/>
                <w:lang w:bidi="ar-EG"/>
              </w:rPr>
            </w:pPr>
          </w:p>
        </w:tc>
        <w:tc>
          <w:tcPr>
            <w:tcW w:w="721"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721"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721"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030"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927"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721"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694"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D8679F" w:rsidTr="00D8679F">
        <w:tblPrEx>
          <w:tblCellMar>
            <w:top w:w="0" w:type="dxa"/>
            <w:bottom w:w="0" w:type="dxa"/>
          </w:tblCellMar>
        </w:tblPrEx>
        <w:trPr>
          <w:cantSplit/>
        </w:trPr>
        <w:tc>
          <w:tcPr>
            <w:tcW w:w="1785" w:type="dxa"/>
            <w:vAlign w:val="bottom"/>
          </w:tcPr>
          <w:p w:rsidR="00D8679F" w:rsidRDefault="00D8679F">
            <w:pPr>
              <w:tabs>
                <w:tab w:val="left" w:pos="288"/>
                <w:tab w:val="left" w:pos="576"/>
                <w:tab w:val="left" w:pos="864"/>
                <w:tab w:val="left" w:pos="1152"/>
              </w:tabs>
              <w:spacing w:before="40" w:after="80" w:line="240" w:lineRule="exact"/>
              <w:ind w:right="40"/>
              <w:jc w:val="lowKashida"/>
              <w:rPr>
                <w:rFonts w:hint="cs"/>
                <w:sz w:val="16"/>
                <w:szCs w:val="24"/>
                <w:rtl/>
                <w:lang w:bidi="ar-EG"/>
              </w:rPr>
            </w:pPr>
            <w:r>
              <w:rPr>
                <w:rFonts w:hint="cs"/>
                <w:sz w:val="16"/>
                <w:szCs w:val="24"/>
                <w:rtl/>
                <w:lang w:bidi="ar-EG"/>
              </w:rPr>
              <w:t>معدل وفيات  الرضع لكل 000 1 من المواليد الأحياء</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119</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104</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52</w:t>
            </w:r>
          </w:p>
        </w:tc>
        <w:tc>
          <w:tcPr>
            <w:tcW w:w="10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51</w:t>
            </w:r>
          </w:p>
        </w:tc>
        <w:tc>
          <w:tcPr>
            <w:tcW w:w="927"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60</w:t>
            </w:r>
          </w:p>
        </w:tc>
        <w:tc>
          <w:tcPr>
            <w:tcW w:w="721"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74</w:t>
            </w:r>
          </w:p>
        </w:tc>
        <w:tc>
          <w:tcPr>
            <w:tcW w:w="694"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77</w:t>
            </w:r>
          </w:p>
        </w:tc>
      </w:tr>
      <w:tr w:rsidR="00D8679F" w:rsidTr="00D8679F">
        <w:tblPrEx>
          <w:tblCellMar>
            <w:top w:w="0" w:type="dxa"/>
            <w:bottom w:w="0" w:type="dxa"/>
          </w:tblCellMar>
        </w:tblPrEx>
        <w:trPr>
          <w:cantSplit/>
        </w:trPr>
        <w:tc>
          <w:tcPr>
            <w:tcW w:w="1785" w:type="dxa"/>
            <w:vAlign w:val="bottom"/>
          </w:tcPr>
          <w:p w:rsidR="00D8679F" w:rsidRDefault="00D8679F">
            <w:pPr>
              <w:tabs>
                <w:tab w:val="left" w:pos="288"/>
                <w:tab w:val="left" w:pos="576"/>
                <w:tab w:val="left" w:pos="864"/>
                <w:tab w:val="left" w:pos="1152"/>
              </w:tabs>
              <w:spacing w:before="40" w:after="80" w:line="240" w:lineRule="exact"/>
              <w:ind w:right="40"/>
              <w:jc w:val="lowKashida"/>
              <w:rPr>
                <w:rFonts w:hint="cs"/>
                <w:sz w:val="16"/>
                <w:szCs w:val="24"/>
                <w:rtl/>
                <w:lang w:bidi="ar-EG"/>
              </w:rPr>
            </w:pPr>
            <w:r>
              <w:rPr>
                <w:rFonts w:hint="cs"/>
                <w:sz w:val="16"/>
                <w:szCs w:val="24"/>
                <w:rtl/>
                <w:lang w:bidi="ar-EG"/>
              </w:rPr>
              <w:t>معدل الوفيات دون سن الخامسة</w:t>
            </w:r>
          </w:p>
        </w:tc>
        <w:tc>
          <w:tcPr>
            <w:tcW w:w="721"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202</w:t>
            </w:r>
          </w:p>
        </w:tc>
        <w:tc>
          <w:tcPr>
            <w:tcW w:w="721"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112</w:t>
            </w:r>
          </w:p>
        </w:tc>
        <w:tc>
          <w:tcPr>
            <w:tcW w:w="721"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75</w:t>
            </w:r>
          </w:p>
        </w:tc>
        <w:tc>
          <w:tcPr>
            <w:tcW w:w="1030"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74</w:t>
            </w:r>
          </w:p>
        </w:tc>
        <w:tc>
          <w:tcPr>
            <w:tcW w:w="927"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90</w:t>
            </w:r>
          </w:p>
        </w:tc>
        <w:tc>
          <w:tcPr>
            <w:tcW w:w="721"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112</w:t>
            </w:r>
          </w:p>
        </w:tc>
        <w:tc>
          <w:tcPr>
            <w:tcW w:w="694"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115</w:t>
            </w:r>
          </w:p>
        </w:tc>
      </w:tr>
      <w:tr w:rsidR="00D8679F" w:rsidTr="00D8679F">
        <w:tblPrEx>
          <w:tblCellMar>
            <w:top w:w="0" w:type="dxa"/>
            <w:bottom w:w="0" w:type="dxa"/>
          </w:tblCellMar>
        </w:tblPrEx>
        <w:trPr>
          <w:cantSplit/>
        </w:trPr>
        <w:tc>
          <w:tcPr>
            <w:tcW w:w="1785" w:type="dxa"/>
            <w:vAlign w:val="bottom"/>
          </w:tcPr>
          <w:p w:rsidR="00D8679F" w:rsidRDefault="00D8679F">
            <w:pPr>
              <w:tabs>
                <w:tab w:val="left" w:pos="288"/>
                <w:tab w:val="left" w:pos="576"/>
                <w:tab w:val="left" w:pos="864"/>
                <w:tab w:val="left" w:pos="1152"/>
              </w:tabs>
              <w:spacing w:before="40" w:after="80" w:line="240" w:lineRule="exact"/>
              <w:ind w:right="40"/>
              <w:jc w:val="lowKashida"/>
              <w:rPr>
                <w:rFonts w:hint="cs"/>
                <w:sz w:val="16"/>
                <w:szCs w:val="24"/>
                <w:rtl/>
                <w:lang w:bidi="ar-EG"/>
              </w:rPr>
            </w:pPr>
            <w:r>
              <w:rPr>
                <w:rFonts w:hint="cs"/>
                <w:sz w:val="16"/>
                <w:szCs w:val="24"/>
                <w:rtl/>
                <w:lang w:bidi="ar-EG"/>
              </w:rPr>
              <w:t>معدل الوفيات الأولي</w:t>
            </w:r>
          </w:p>
        </w:tc>
        <w:tc>
          <w:tcPr>
            <w:tcW w:w="721"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17</w:t>
            </w:r>
          </w:p>
        </w:tc>
        <w:tc>
          <w:tcPr>
            <w:tcW w:w="721"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14</w:t>
            </w:r>
          </w:p>
        </w:tc>
        <w:tc>
          <w:tcPr>
            <w:tcW w:w="721"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11</w:t>
            </w:r>
          </w:p>
        </w:tc>
        <w:tc>
          <w:tcPr>
            <w:tcW w:w="1030"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10</w:t>
            </w:r>
          </w:p>
        </w:tc>
        <w:tc>
          <w:tcPr>
            <w:tcW w:w="927"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10</w:t>
            </w:r>
          </w:p>
        </w:tc>
        <w:tc>
          <w:tcPr>
            <w:tcW w:w="721"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12</w:t>
            </w:r>
          </w:p>
        </w:tc>
        <w:tc>
          <w:tcPr>
            <w:tcW w:w="694"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11</w:t>
            </w:r>
          </w:p>
        </w:tc>
      </w:tr>
      <w:tr w:rsidR="00D8679F" w:rsidTr="00D8679F">
        <w:tblPrEx>
          <w:tblCellMar>
            <w:top w:w="0" w:type="dxa"/>
            <w:bottom w:w="0" w:type="dxa"/>
          </w:tblCellMar>
        </w:tblPrEx>
        <w:trPr>
          <w:cantSplit/>
        </w:trPr>
        <w:tc>
          <w:tcPr>
            <w:tcW w:w="1785"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40"/>
              <w:jc w:val="lowKashida"/>
              <w:rPr>
                <w:rFonts w:hint="cs"/>
                <w:sz w:val="16"/>
                <w:szCs w:val="24"/>
                <w:rtl/>
                <w:lang w:bidi="ar-EG"/>
              </w:rPr>
            </w:pPr>
            <w:r>
              <w:rPr>
                <w:rFonts w:hint="cs"/>
                <w:sz w:val="16"/>
                <w:szCs w:val="24"/>
                <w:rtl/>
                <w:lang w:bidi="ar-EG"/>
              </w:rPr>
              <w:t>معدل وفيات الأمهات لكل 000 100 من الولادات</w:t>
            </w:r>
          </w:p>
        </w:tc>
        <w:tc>
          <w:tcPr>
            <w:tcW w:w="721"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206</w:t>
            </w:r>
          </w:p>
        </w:tc>
        <w:tc>
          <w:tcPr>
            <w:tcW w:w="721"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204</w:t>
            </w:r>
          </w:p>
        </w:tc>
        <w:tc>
          <w:tcPr>
            <w:tcW w:w="721"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225</w:t>
            </w:r>
          </w:p>
        </w:tc>
        <w:tc>
          <w:tcPr>
            <w:tcW w:w="1030"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150-300</w:t>
            </w:r>
          </w:p>
        </w:tc>
        <w:tc>
          <w:tcPr>
            <w:tcW w:w="927"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365-498</w:t>
            </w:r>
          </w:p>
        </w:tc>
        <w:tc>
          <w:tcPr>
            <w:tcW w:w="721"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590</w:t>
            </w:r>
          </w:p>
        </w:tc>
        <w:tc>
          <w:tcPr>
            <w:tcW w:w="694"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414</w:t>
            </w:r>
          </w:p>
        </w:tc>
      </w:tr>
    </w:tbl>
    <w:p w:rsidR="00000000" w:rsidRDefault="00D8679F">
      <w:pPr>
        <w:pStyle w:val="SingleTxt"/>
        <w:spacing w:after="0" w:line="120" w:lineRule="exact"/>
        <w:ind w:left="1930" w:hanging="663"/>
        <w:jc w:val="both"/>
        <w:rPr>
          <w:rFonts w:hint="cs"/>
          <w:sz w:val="10"/>
          <w:rtl/>
          <w:lang w:bidi="ar-EG"/>
        </w:rPr>
      </w:pPr>
    </w:p>
    <w:p w:rsidR="00000000" w:rsidRDefault="00D8679F">
      <w:pPr>
        <w:pStyle w:val="SingleTxt"/>
        <w:ind w:left="1930" w:hanging="663"/>
        <w:jc w:val="both"/>
        <w:rPr>
          <w:rFonts w:hint="cs"/>
          <w:sz w:val="16"/>
          <w:szCs w:val="26"/>
          <w:rtl/>
          <w:lang w:bidi="ar-EG"/>
        </w:rPr>
      </w:pPr>
      <w:r>
        <w:rPr>
          <w:rFonts w:hint="cs"/>
          <w:i/>
          <w:iCs/>
          <w:sz w:val="16"/>
          <w:szCs w:val="26"/>
          <w:rtl/>
          <w:lang w:bidi="ar-EG"/>
        </w:rPr>
        <w:t>المصدر</w:t>
      </w:r>
      <w:r>
        <w:rPr>
          <w:rFonts w:hint="cs"/>
          <w:sz w:val="16"/>
          <w:szCs w:val="26"/>
          <w:rtl/>
          <w:lang w:bidi="ar-EG"/>
        </w:rPr>
        <w:t>:</w:t>
      </w:r>
      <w:r>
        <w:rPr>
          <w:sz w:val="16"/>
          <w:szCs w:val="26"/>
          <w:rtl/>
          <w:lang w:bidi="ar-EG"/>
        </w:rPr>
        <w:tab/>
      </w:r>
      <w:r>
        <w:rPr>
          <w:rFonts w:hint="cs"/>
          <w:sz w:val="16"/>
          <w:szCs w:val="26"/>
          <w:rtl/>
          <w:lang w:bidi="ar-EG"/>
        </w:rPr>
        <w:t>التقرير الوطني للتنمية البشرية في كينيا، 1999 والدراسة الاستقصائية الديمغرافية الصحية لكينيا عام 2003.</w:t>
      </w:r>
    </w:p>
    <w:p w:rsidR="00000000" w:rsidRDefault="00D8679F">
      <w:pPr>
        <w:pStyle w:val="SingleTxt"/>
        <w:spacing w:after="0" w:line="120" w:lineRule="exact"/>
        <w:jc w:val="both"/>
        <w:rPr>
          <w:rFonts w:hint="cs"/>
          <w:sz w:val="10"/>
          <w:rtl/>
          <w:lang w:bidi="ar-EG"/>
        </w:rPr>
      </w:pPr>
    </w:p>
    <w:p w:rsidR="00000000" w:rsidRDefault="00D8679F">
      <w:pPr>
        <w:pStyle w:val="SingleTxt"/>
        <w:spacing w:after="0" w:line="120" w:lineRule="exact"/>
        <w:jc w:val="both"/>
        <w:rPr>
          <w:rFonts w:hint="cs"/>
          <w:sz w:val="10"/>
          <w:rtl/>
          <w:lang w:bidi="ar-EG"/>
        </w:rPr>
      </w:pPr>
    </w:p>
    <w:p w:rsidR="00000000" w:rsidRDefault="00D8679F">
      <w:pPr>
        <w:pStyle w:val="SingleTxt"/>
        <w:jc w:val="both"/>
        <w:rPr>
          <w:rFonts w:hint="cs"/>
          <w:rtl/>
          <w:lang w:bidi="ar-EG"/>
        </w:rPr>
      </w:pPr>
      <w:r>
        <w:rPr>
          <w:rFonts w:hint="cs"/>
          <w:rtl/>
          <w:lang w:bidi="ar-EG"/>
        </w:rPr>
        <w:t>130-</w:t>
      </w:r>
      <w:r>
        <w:rPr>
          <w:rFonts w:hint="cs"/>
          <w:rtl/>
          <w:lang w:bidi="ar-EG"/>
        </w:rPr>
        <w:tab/>
        <w:t xml:space="preserve">وما زال وباء فيروس </w:t>
      </w:r>
      <w:r>
        <w:rPr>
          <w:rFonts w:hint="cs"/>
          <w:rtl/>
          <w:lang w:bidi="ar-EG"/>
        </w:rPr>
        <w:t>نقص المناعة البشرية/الإيدز يشكل أكبر تحد للصحة في عصرنا. ونسبة انتشار فيروس نقص المناعة البشرية/الإيدز أعلى عند النساء منها عند الرجال (نسبة 1.9: 1 وفقا للدراسة الاستقصائية الديمغرافية والصحية لكينيا، لعام 2003). وأدى فيروس نقص المناعة البشرية/الإيدز إلى ز</w:t>
      </w:r>
      <w:r>
        <w:rPr>
          <w:rFonts w:hint="cs"/>
          <w:rtl/>
          <w:lang w:bidi="ar-EG"/>
        </w:rPr>
        <w:t xml:space="preserve">يادة عدد الأراملة واليتامى مما أدى كذلك إلى زيادة المسؤوليات المالية للمرأة. ولمعالجة هذا التحدي في الأجل الطويل، رصدت الحكومة في ميزانيتها للفترة 2005/2006 حوالي 0.5 بليون شلن كيني لتعزيز البحوث التي تستهدف معهد كينيا للبحوث الطبية. ويجري أيضا بذل الجهود </w:t>
      </w:r>
      <w:r>
        <w:rPr>
          <w:rFonts w:hint="cs"/>
          <w:rtl/>
          <w:lang w:bidi="ar-EG"/>
        </w:rPr>
        <w:t>لتوفير العقاقير بتكلفة معقولة للمصابين. وقد أخذت نسبة انتشار فيروس نقص المناعة البشرية/الإيدز في الانخفاض حيث بلغ 6.7 في المائة على الصعيد الوطني في عام 2003 مقابل 12.8 في المائة في عام 1997 كما هو مبين أدناه. كما وضعت الحكومة موضع التنفيذ مبادرات لمنع انت</w:t>
      </w:r>
      <w:r>
        <w:rPr>
          <w:rFonts w:hint="cs"/>
          <w:rtl/>
          <w:lang w:bidi="ar-EG"/>
        </w:rPr>
        <w:t>قال المرض من الأم إلى الطفل واعتمدت حملات وقاية وتوعية عامة مكثفة.</w:t>
      </w:r>
    </w:p>
    <w:p w:rsidR="00000000" w:rsidRDefault="00D8679F">
      <w:pPr>
        <w:pStyle w:val="SingleTxt"/>
        <w:jc w:val="both"/>
        <w:rPr>
          <w:rFonts w:hint="cs"/>
          <w:rtl/>
          <w:lang w:bidi="ar-EG"/>
        </w:rPr>
      </w:pPr>
      <w:r>
        <w:rPr>
          <w:rFonts w:hint="cs"/>
          <w:rtl/>
          <w:lang w:bidi="ar-EG"/>
        </w:rPr>
        <w:t>131-</w:t>
      </w:r>
      <w:r>
        <w:rPr>
          <w:rFonts w:hint="cs"/>
          <w:rtl/>
          <w:lang w:bidi="ar-EG"/>
        </w:rPr>
        <w:tab/>
        <w:t>وتتمثل نتيجتان لانتشار فيروس نقص المناعة البشرية/الإيدز في زيادة عدد الأسر المعيشية التي يرأسها أطفال وأيضا زيادة العبء الواقع على النساء والفتيات اللائي يقدمن الرعاية الأولية.</w:t>
      </w:r>
    </w:p>
    <w:p w:rsidR="00000000" w:rsidRDefault="00D8679F">
      <w:pPr>
        <w:pStyle w:val="SingleTxt"/>
        <w:tabs>
          <w:tab w:val="clear" w:pos="2592"/>
          <w:tab w:val="left" w:pos="2331"/>
        </w:tabs>
        <w:ind w:left="2331" w:hanging="1064"/>
        <w:jc w:val="both"/>
        <w:rPr>
          <w:rFonts w:hint="cs"/>
          <w:rtl/>
          <w:lang w:bidi="ar-EG"/>
        </w:rPr>
      </w:pPr>
    </w:p>
    <w:p w:rsidR="00000000" w:rsidRDefault="00D8679F">
      <w:pPr>
        <w:pStyle w:val="SingleTxt"/>
        <w:tabs>
          <w:tab w:val="clear" w:pos="2592"/>
          <w:tab w:val="left" w:pos="2331"/>
        </w:tabs>
        <w:ind w:left="2331" w:hanging="1064"/>
        <w:jc w:val="both"/>
        <w:rPr>
          <w:rFonts w:hint="cs"/>
          <w:rtl/>
          <w:lang w:bidi="ar-EG"/>
        </w:rPr>
      </w:pPr>
    </w:p>
    <w:p w:rsidR="00000000" w:rsidRDefault="00D8679F">
      <w:pPr>
        <w:pStyle w:val="SingleTxt"/>
        <w:tabs>
          <w:tab w:val="clear" w:pos="2592"/>
          <w:tab w:val="left" w:pos="2331"/>
        </w:tabs>
        <w:ind w:left="2331" w:hanging="1064"/>
        <w:jc w:val="both"/>
        <w:rPr>
          <w:rFonts w:hint="cs"/>
          <w:rtl/>
          <w:lang w:bidi="ar-EG"/>
        </w:rPr>
      </w:pPr>
      <w:r>
        <w:rPr>
          <w:rFonts w:hint="cs"/>
          <w:rtl/>
          <w:lang w:bidi="ar-EG"/>
        </w:rPr>
        <w:t>الجدو</w:t>
      </w:r>
      <w:r>
        <w:rPr>
          <w:rFonts w:hint="cs"/>
          <w:rtl/>
          <w:lang w:bidi="ar-EG"/>
        </w:rPr>
        <w:t>ل 18</w:t>
      </w:r>
    </w:p>
    <w:p w:rsidR="00000000" w:rsidRDefault="00D8679F">
      <w:pPr>
        <w:pStyle w:val="SingleTxt"/>
        <w:tabs>
          <w:tab w:val="clear" w:pos="2592"/>
          <w:tab w:val="left" w:pos="2331"/>
        </w:tabs>
        <w:ind w:left="2331" w:hanging="1064"/>
        <w:jc w:val="both"/>
        <w:rPr>
          <w:rFonts w:hint="cs"/>
          <w:rtl/>
          <w:lang w:bidi="ar-EG"/>
        </w:rPr>
      </w:pPr>
      <w:r>
        <w:rPr>
          <w:rFonts w:hint="cs"/>
          <w:b/>
          <w:bCs/>
          <w:rtl/>
          <w:lang w:bidi="ar-EG"/>
        </w:rPr>
        <w:t>النسبة التقديرية لانتشار فيروس نقص المناعة البشرية، 1997-2003 (بالنسبة المئوية)</w:t>
      </w:r>
    </w:p>
    <w:p w:rsidR="00000000" w:rsidRDefault="00D8679F">
      <w:pPr>
        <w:pStyle w:val="SingleTxt"/>
        <w:spacing w:after="0" w:line="120" w:lineRule="exact"/>
        <w:ind w:left="1930" w:hanging="663"/>
        <w:jc w:val="both"/>
        <w:rPr>
          <w:rFonts w:hint="cs"/>
          <w:sz w:val="10"/>
          <w:rtl/>
          <w:lang w:bidi="ar-EG"/>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785"/>
        <w:gridCol w:w="927"/>
        <w:gridCol w:w="927"/>
        <w:gridCol w:w="927"/>
        <w:gridCol w:w="927"/>
        <w:gridCol w:w="927"/>
        <w:gridCol w:w="902"/>
      </w:tblGrid>
      <w:tr w:rsidR="00D8679F" w:rsidTr="00D8679F">
        <w:tblPrEx>
          <w:tblCellMar>
            <w:top w:w="0" w:type="dxa"/>
            <w:bottom w:w="0" w:type="dxa"/>
          </w:tblCellMar>
        </w:tblPrEx>
        <w:trPr>
          <w:cantSplit/>
          <w:tblHeader/>
        </w:trPr>
        <w:tc>
          <w:tcPr>
            <w:tcW w:w="1785"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الانتشار</w:t>
            </w:r>
          </w:p>
        </w:tc>
        <w:tc>
          <w:tcPr>
            <w:tcW w:w="927"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1997</w:t>
            </w:r>
          </w:p>
        </w:tc>
        <w:tc>
          <w:tcPr>
            <w:tcW w:w="927"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1998</w:t>
            </w:r>
          </w:p>
        </w:tc>
        <w:tc>
          <w:tcPr>
            <w:tcW w:w="927"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1999</w:t>
            </w:r>
          </w:p>
        </w:tc>
        <w:tc>
          <w:tcPr>
            <w:tcW w:w="927"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2000</w:t>
            </w:r>
          </w:p>
        </w:tc>
        <w:tc>
          <w:tcPr>
            <w:tcW w:w="927"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2001</w:t>
            </w:r>
          </w:p>
        </w:tc>
        <w:tc>
          <w:tcPr>
            <w:tcW w:w="902"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2003</w:t>
            </w:r>
          </w:p>
        </w:tc>
      </w:tr>
      <w:tr w:rsidR="00D8679F" w:rsidTr="00D8679F">
        <w:tblPrEx>
          <w:tblCellMar>
            <w:top w:w="0" w:type="dxa"/>
            <w:bottom w:w="0" w:type="dxa"/>
          </w:tblCellMar>
        </w:tblPrEx>
        <w:trPr>
          <w:cantSplit/>
          <w:trHeight w:hRule="exact" w:val="115"/>
          <w:tblHeader/>
        </w:trPr>
        <w:tc>
          <w:tcPr>
            <w:tcW w:w="1785"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p>
        </w:tc>
        <w:tc>
          <w:tcPr>
            <w:tcW w:w="927"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927"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927"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927"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927"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902"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D8679F" w:rsidTr="00D8679F">
        <w:tblPrEx>
          <w:tblCellMar>
            <w:top w:w="0" w:type="dxa"/>
            <w:bottom w:w="0" w:type="dxa"/>
          </w:tblCellMar>
        </w:tblPrEx>
        <w:trPr>
          <w:cantSplit/>
        </w:trPr>
        <w:tc>
          <w:tcPr>
            <w:tcW w:w="1785"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الحضر</w:t>
            </w:r>
          </w:p>
        </w:tc>
        <w:tc>
          <w:tcPr>
            <w:tcW w:w="927"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16.9</w:t>
            </w:r>
          </w:p>
        </w:tc>
        <w:tc>
          <w:tcPr>
            <w:tcW w:w="927"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18.1</w:t>
            </w:r>
          </w:p>
        </w:tc>
        <w:tc>
          <w:tcPr>
            <w:tcW w:w="927"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17.8</w:t>
            </w:r>
          </w:p>
        </w:tc>
        <w:tc>
          <w:tcPr>
            <w:tcW w:w="927"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17.5</w:t>
            </w:r>
          </w:p>
        </w:tc>
        <w:tc>
          <w:tcPr>
            <w:tcW w:w="927"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17.0</w:t>
            </w:r>
          </w:p>
        </w:tc>
        <w:tc>
          <w:tcPr>
            <w:tcW w:w="902"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4.6</w:t>
            </w:r>
          </w:p>
        </w:tc>
      </w:tr>
      <w:tr w:rsidR="00D8679F" w:rsidTr="00D8679F">
        <w:tblPrEx>
          <w:tblCellMar>
            <w:top w:w="0" w:type="dxa"/>
            <w:bottom w:w="0" w:type="dxa"/>
          </w:tblCellMar>
        </w:tblPrEx>
        <w:trPr>
          <w:cantSplit/>
        </w:trPr>
        <w:tc>
          <w:tcPr>
            <w:tcW w:w="1785" w:type="dxa"/>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الريف</w:t>
            </w:r>
          </w:p>
        </w:tc>
        <w:tc>
          <w:tcPr>
            <w:tcW w:w="927"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11.9</w:t>
            </w:r>
          </w:p>
        </w:tc>
        <w:tc>
          <w:tcPr>
            <w:tcW w:w="927"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13.0</w:t>
            </w:r>
          </w:p>
        </w:tc>
        <w:tc>
          <w:tcPr>
            <w:tcW w:w="927"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13.0</w:t>
            </w:r>
          </w:p>
        </w:tc>
        <w:tc>
          <w:tcPr>
            <w:tcW w:w="927"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13.0</w:t>
            </w:r>
          </w:p>
        </w:tc>
        <w:tc>
          <w:tcPr>
            <w:tcW w:w="927"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13.0</w:t>
            </w:r>
          </w:p>
        </w:tc>
        <w:tc>
          <w:tcPr>
            <w:tcW w:w="902"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8.7</w:t>
            </w:r>
          </w:p>
        </w:tc>
      </w:tr>
      <w:tr w:rsidR="00D8679F" w:rsidTr="00D8679F">
        <w:tblPrEx>
          <w:tblCellMar>
            <w:top w:w="0" w:type="dxa"/>
            <w:bottom w:w="0" w:type="dxa"/>
          </w:tblCellMar>
        </w:tblPrEx>
        <w:trPr>
          <w:cantSplit/>
        </w:trPr>
        <w:tc>
          <w:tcPr>
            <w:tcW w:w="1785"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على الصعيد الوطني</w:t>
            </w:r>
          </w:p>
        </w:tc>
        <w:tc>
          <w:tcPr>
            <w:tcW w:w="927"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12.8</w:t>
            </w:r>
          </w:p>
        </w:tc>
        <w:tc>
          <w:tcPr>
            <w:tcW w:w="927"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13.9</w:t>
            </w:r>
          </w:p>
        </w:tc>
        <w:tc>
          <w:tcPr>
            <w:tcW w:w="927"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13.5</w:t>
            </w:r>
          </w:p>
        </w:tc>
        <w:tc>
          <w:tcPr>
            <w:tcW w:w="927"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13.5</w:t>
            </w:r>
          </w:p>
        </w:tc>
        <w:tc>
          <w:tcPr>
            <w:tcW w:w="927"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13.0</w:t>
            </w:r>
          </w:p>
        </w:tc>
        <w:tc>
          <w:tcPr>
            <w:tcW w:w="902" w:type="dxa"/>
            <w:tcBorders>
              <w:bottom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6.7</w:t>
            </w:r>
          </w:p>
        </w:tc>
      </w:tr>
    </w:tbl>
    <w:p w:rsidR="00000000" w:rsidRDefault="00D8679F">
      <w:pPr>
        <w:pStyle w:val="SingleTxt"/>
        <w:spacing w:after="0" w:line="120" w:lineRule="exact"/>
        <w:ind w:left="1930" w:hanging="663"/>
        <w:jc w:val="both"/>
        <w:rPr>
          <w:rFonts w:hint="cs"/>
          <w:sz w:val="10"/>
          <w:rtl/>
          <w:lang w:bidi="ar-EG"/>
        </w:rPr>
      </w:pPr>
    </w:p>
    <w:p w:rsidR="00000000" w:rsidRDefault="00D8679F">
      <w:pPr>
        <w:pStyle w:val="SingleTxt"/>
        <w:ind w:left="1930" w:hanging="663"/>
        <w:jc w:val="both"/>
        <w:rPr>
          <w:rFonts w:hint="cs"/>
          <w:sz w:val="16"/>
          <w:szCs w:val="26"/>
          <w:rtl/>
          <w:lang w:bidi="ar-EG"/>
        </w:rPr>
      </w:pPr>
      <w:r>
        <w:rPr>
          <w:rFonts w:hint="cs"/>
          <w:i/>
          <w:iCs/>
          <w:sz w:val="16"/>
          <w:szCs w:val="26"/>
          <w:rtl/>
          <w:lang w:bidi="ar-EG"/>
        </w:rPr>
        <w:t>ا</w:t>
      </w:r>
      <w:r>
        <w:rPr>
          <w:rFonts w:hint="cs"/>
          <w:i/>
          <w:iCs/>
          <w:sz w:val="16"/>
          <w:szCs w:val="26"/>
          <w:rtl/>
          <w:lang w:bidi="ar-EG"/>
        </w:rPr>
        <w:t>لمصدر</w:t>
      </w:r>
      <w:r>
        <w:rPr>
          <w:rFonts w:hint="cs"/>
          <w:sz w:val="16"/>
          <w:szCs w:val="26"/>
          <w:rtl/>
          <w:lang w:bidi="ar-EG"/>
        </w:rPr>
        <w:t>: المجلس الوطني لمكافحة الإيدز، ووزارة الصحة، والدراسة الاستقصائية الديمغرافية والصحية لكينيا لعام 2003.</w:t>
      </w:r>
    </w:p>
    <w:p w:rsidR="00000000" w:rsidRDefault="00D8679F">
      <w:pPr>
        <w:pStyle w:val="SingleTxt"/>
        <w:spacing w:after="0" w:line="120" w:lineRule="exact"/>
        <w:jc w:val="both"/>
        <w:rPr>
          <w:rFonts w:hint="cs"/>
          <w:sz w:val="10"/>
          <w:rtl/>
          <w:lang w:bidi="ar-EG"/>
        </w:rPr>
      </w:pPr>
    </w:p>
    <w:p w:rsidR="00000000" w:rsidRDefault="00D8679F">
      <w:pPr>
        <w:pStyle w:val="SingleTxt"/>
        <w:spacing w:after="0" w:line="120" w:lineRule="exact"/>
        <w:jc w:val="both"/>
        <w:rPr>
          <w:rFonts w:hint="cs"/>
          <w:sz w:val="10"/>
          <w:rtl/>
          <w:lang w:bidi="ar-EG"/>
        </w:rPr>
      </w:pPr>
    </w:p>
    <w:p w:rsidR="00000000" w:rsidRDefault="00D8679F">
      <w:pPr>
        <w:pStyle w:val="SingleTxt"/>
        <w:jc w:val="both"/>
        <w:rPr>
          <w:rFonts w:hint="cs"/>
          <w:rtl/>
          <w:lang w:bidi="ar-EG"/>
        </w:rPr>
      </w:pPr>
      <w:r>
        <w:rPr>
          <w:rFonts w:hint="cs"/>
          <w:rtl/>
          <w:lang w:bidi="ar-EG"/>
        </w:rPr>
        <w:t>132 -</w:t>
      </w:r>
      <w:r>
        <w:rPr>
          <w:rFonts w:hint="cs"/>
          <w:rtl/>
          <w:lang w:bidi="ar-EG"/>
        </w:rPr>
        <w:tab/>
        <w:t>والأشكال التالية للعنف القائم على نوع الجنس جرى الإبلاغ عنها في كينيا بنسب متفاوتة: العنف المنزلي (الإيذاء الذي يرتكبه أحد الزوجين)، والاغ</w:t>
      </w:r>
      <w:r>
        <w:rPr>
          <w:rFonts w:hint="cs"/>
          <w:rtl/>
          <w:lang w:bidi="ar-EG"/>
        </w:rPr>
        <w:t>تصاب، وسفاح المحارم، وانتهاك العرض (اغتصاب فتاة دون سن 16 عاما)، ووراثة الزوجة (استيلاء أقارب الزوج على المرأة بعد وفاة الزوج)، وقطع الأعضاء التناسلية للإناث (الختان)، والزواج القسري، والحبس، والجمع بين زوجتين وإنكار الحقوق في وراثة الممتلكات. واعترافا بأن</w:t>
      </w:r>
      <w:r>
        <w:rPr>
          <w:rFonts w:hint="cs"/>
          <w:rtl/>
          <w:lang w:bidi="ar-EG"/>
        </w:rPr>
        <w:t xml:space="preserve"> الممارسات السالفة الذكر تحول دون تمتع المرأة بحقوق الإنسان الخاصة بها. اتخذت الحكومة التدابير</w:t>
      </w:r>
      <w:r>
        <w:rPr>
          <w:rFonts w:hint="eastAsia"/>
          <w:rtl/>
          <w:lang w:bidi="ar-EG"/>
        </w:rPr>
        <w:t> </w:t>
      </w:r>
      <w:r>
        <w:rPr>
          <w:rFonts w:hint="cs"/>
          <w:rtl/>
          <w:lang w:bidi="ar-EG"/>
        </w:rPr>
        <w:t>التالية:</w:t>
      </w:r>
    </w:p>
    <w:p w:rsidR="00000000" w:rsidRDefault="00D8679F">
      <w:pPr>
        <w:pStyle w:val="SingleTxt"/>
        <w:tabs>
          <w:tab w:val="clear" w:pos="2592"/>
          <w:tab w:val="left" w:pos="2228"/>
        </w:tabs>
        <w:ind w:left="2228" w:hanging="961"/>
        <w:jc w:val="both"/>
        <w:rPr>
          <w:rFonts w:hint="cs"/>
          <w:rtl/>
          <w:lang w:bidi="ar-EG"/>
        </w:rPr>
      </w:pPr>
      <w:r>
        <w:rPr>
          <w:rFonts w:hint="cs"/>
          <w:rtl/>
          <w:lang w:bidi="ar-EG"/>
        </w:rPr>
        <w:tab/>
        <w:t>•</w:t>
      </w:r>
      <w:r>
        <w:rPr>
          <w:rFonts w:hint="cs"/>
          <w:rtl/>
          <w:lang w:bidi="ar-EG"/>
        </w:rPr>
        <w:tab/>
        <w:t>عدلت قوانين العقوبات وجعلت الاغتصاب وانتهاك العرض يعاقب عليهما بالسجن مدى الحياة. وكما هو مبين أدناه، فإن حالات الاغتصاب، ومحاولة الاغتصاب، والاعتداء</w:t>
      </w:r>
      <w:r>
        <w:rPr>
          <w:rFonts w:hint="cs"/>
          <w:rtl/>
          <w:lang w:bidi="ar-EG"/>
        </w:rPr>
        <w:t xml:space="preserve"> وضرب الزوجات أخذت في التزايد.</w:t>
      </w:r>
    </w:p>
    <w:p w:rsidR="00000000" w:rsidRDefault="00D8679F">
      <w:pPr>
        <w:pStyle w:val="SingleTxt"/>
        <w:tabs>
          <w:tab w:val="clear" w:pos="2592"/>
          <w:tab w:val="left" w:pos="2228"/>
        </w:tabs>
        <w:spacing w:after="0" w:line="120" w:lineRule="exact"/>
        <w:jc w:val="both"/>
        <w:rPr>
          <w:rFonts w:hint="cs"/>
          <w:sz w:val="12"/>
          <w:rtl/>
          <w:lang w:bidi="ar-EG"/>
        </w:rPr>
      </w:pPr>
    </w:p>
    <w:p w:rsidR="00000000" w:rsidRDefault="00D8679F">
      <w:pPr>
        <w:pStyle w:val="SingleTxt"/>
        <w:tabs>
          <w:tab w:val="clear" w:pos="2592"/>
          <w:tab w:val="left" w:pos="2228"/>
        </w:tabs>
        <w:jc w:val="both"/>
        <w:rPr>
          <w:rFonts w:hint="cs"/>
          <w:b/>
          <w:bCs/>
          <w:rtl/>
          <w:lang w:bidi="ar-EG"/>
        </w:rPr>
      </w:pPr>
      <w:r>
        <w:rPr>
          <w:rFonts w:hint="cs"/>
          <w:rtl/>
          <w:lang w:bidi="ar-EG"/>
        </w:rPr>
        <w:t>الجدول 19</w:t>
      </w:r>
    </w:p>
    <w:p w:rsidR="00000000" w:rsidRDefault="00D8679F">
      <w:pPr>
        <w:pStyle w:val="SingleTxt"/>
        <w:tabs>
          <w:tab w:val="clear" w:pos="2592"/>
          <w:tab w:val="left" w:pos="2228"/>
        </w:tabs>
        <w:jc w:val="both"/>
        <w:rPr>
          <w:rFonts w:hint="cs"/>
          <w:b/>
          <w:bCs/>
          <w:rtl/>
          <w:lang w:bidi="ar-EG"/>
        </w:rPr>
      </w:pPr>
      <w:r>
        <w:rPr>
          <w:rFonts w:hint="cs"/>
          <w:b/>
          <w:bCs/>
          <w:rtl/>
          <w:lang w:bidi="ar-EG"/>
        </w:rPr>
        <w:t>حـــالات الاغتصـــــاب، ومحاولــــــة الاغتصاب، والاعتداء والضرب المُبلغ عنها، 2000-2004</w:t>
      </w:r>
    </w:p>
    <w:p w:rsidR="00000000" w:rsidRDefault="00D8679F">
      <w:pPr>
        <w:pStyle w:val="SingleTxt"/>
        <w:tabs>
          <w:tab w:val="clear" w:pos="2592"/>
          <w:tab w:val="left" w:pos="2228"/>
        </w:tabs>
        <w:spacing w:after="0" w:line="120" w:lineRule="exact"/>
        <w:ind w:left="2228" w:hanging="961"/>
        <w:jc w:val="both"/>
        <w:rPr>
          <w:rFonts w:hint="cs"/>
          <w:sz w:val="10"/>
          <w:rtl/>
          <w:lang w:bidi="ar-EG"/>
        </w:rPr>
      </w:pPr>
    </w:p>
    <w:tbl>
      <w:tblPr>
        <w:bidiVisual/>
        <w:tblW w:w="7347" w:type="dxa"/>
        <w:tblInd w:w="1267" w:type="dxa"/>
        <w:tblLayout w:type="fixed"/>
        <w:tblCellMar>
          <w:left w:w="0" w:type="dxa"/>
          <w:right w:w="0" w:type="dxa"/>
        </w:tblCellMar>
        <w:tblLook w:val="0000" w:firstRow="0" w:lastRow="0" w:firstColumn="0" w:lastColumn="0" w:noHBand="0" w:noVBand="0"/>
      </w:tblPr>
      <w:tblGrid>
        <w:gridCol w:w="2403"/>
        <w:gridCol w:w="1030"/>
        <w:gridCol w:w="927"/>
        <w:gridCol w:w="927"/>
        <w:gridCol w:w="1030"/>
        <w:gridCol w:w="1030"/>
      </w:tblGrid>
      <w:tr w:rsidR="00D8679F" w:rsidTr="00D8679F">
        <w:tblPrEx>
          <w:tblCellMar>
            <w:top w:w="0" w:type="dxa"/>
            <w:bottom w:w="0" w:type="dxa"/>
          </w:tblCellMar>
        </w:tblPrEx>
        <w:trPr>
          <w:cantSplit/>
          <w:tblHeader/>
        </w:trPr>
        <w:tc>
          <w:tcPr>
            <w:tcW w:w="2403"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80" w:after="80" w:line="240" w:lineRule="exact"/>
              <w:ind w:right="40"/>
              <w:rPr>
                <w:rFonts w:hint="cs"/>
                <w:i/>
                <w:iCs/>
                <w:sz w:val="22"/>
                <w:rtl/>
                <w:lang w:bidi="ar-EG"/>
              </w:rPr>
            </w:pPr>
            <w:r>
              <w:rPr>
                <w:rFonts w:hint="cs"/>
                <w:i/>
                <w:iCs/>
                <w:sz w:val="22"/>
                <w:rtl/>
                <w:lang w:bidi="ar-EG"/>
              </w:rPr>
              <w:t>النوع</w:t>
            </w:r>
          </w:p>
        </w:tc>
        <w:tc>
          <w:tcPr>
            <w:tcW w:w="1030"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80" w:after="80" w:line="240" w:lineRule="exact"/>
              <w:ind w:right="144"/>
              <w:jc w:val="lowKashida"/>
              <w:rPr>
                <w:rFonts w:hint="cs"/>
                <w:i/>
                <w:iCs/>
                <w:sz w:val="22"/>
                <w:rtl/>
                <w:lang w:bidi="ar-EG"/>
              </w:rPr>
            </w:pPr>
            <w:r>
              <w:rPr>
                <w:rFonts w:hint="cs"/>
                <w:i/>
                <w:iCs/>
                <w:sz w:val="22"/>
                <w:rtl/>
                <w:lang w:bidi="ar-EG"/>
              </w:rPr>
              <w:t>2000</w:t>
            </w:r>
          </w:p>
        </w:tc>
        <w:tc>
          <w:tcPr>
            <w:tcW w:w="927"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80" w:after="80" w:line="240" w:lineRule="exact"/>
              <w:ind w:right="144"/>
              <w:jc w:val="lowKashida"/>
              <w:rPr>
                <w:rFonts w:hint="cs"/>
                <w:i/>
                <w:iCs/>
                <w:sz w:val="22"/>
                <w:rtl/>
                <w:lang w:bidi="ar-EG"/>
              </w:rPr>
            </w:pPr>
            <w:r>
              <w:rPr>
                <w:rFonts w:hint="cs"/>
                <w:i/>
                <w:iCs/>
                <w:sz w:val="22"/>
                <w:rtl/>
                <w:lang w:bidi="ar-EG"/>
              </w:rPr>
              <w:t>2001</w:t>
            </w:r>
          </w:p>
        </w:tc>
        <w:tc>
          <w:tcPr>
            <w:tcW w:w="927"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80" w:after="80" w:line="240" w:lineRule="exact"/>
              <w:ind w:right="144"/>
              <w:jc w:val="lowKashida"/>
              <w:rPr>
                <w:rFonts w:hint="cs"/>
                <w:i/>
                <w:iCs/>
                <w:sz w:val="22"/>
                <w:rtl/>
                <w:lang w:bidi="ar-EG"/>
              </w:rPr>
            </w:pPr>
            <w:r>
              <w:rPr>
                <w:rFonts w:hint="cs"/>
                <w:i/>
                <w:iCs/>
                <w:sz w:val="22"/>
                <w:rtl/>
                <w:lang w:bidi="ar-EG"/>
              </w:rPr>
              <w:t>2002</w:t>
            </w:r>
          </w:p>
        </w:tc>
        <w:tc>
          <w:tcPr>
            <w:tcW w:w="1030"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80" w:after="80" w:line="240" w:lineRule="exact"/>
              <w:ind w:right="144"/>
              <w:jc w:val="lowKashida"/>
              <w:rPr>
                <w:rFonts w:hint="cs"/>
                <w:i/>
                <w:iCs/>
                <w:sz w:val="22"/>
                <w:rtl/>
                <w:lang w:bidi="ar-EG"/>
              </w:rPr>
            </w:pPr>
            <w:r>
              <w:rPr>
                <w:rFonts w:hint="cs"/>
                <w:i/>
                <w:iCs/>
                <w:sz w:val="22"/>
                <w:rtl/>
                <w:lang w:bidi="ar-EG"/>
              </w:rPr>
              <w:t>2003</w:t>
            </w:r>
          </w:p>
        </w:tc>
        <w:tc>
          <w:tcPr>
            <w:tcW w:w="1030"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80" w:after="80" w:line="240" w:lineRule="exact"/>
              <w:ind w:right="144"/>
              <w:jc w:val="lowKashida"/>
              <w:rPr>
                <w:rFonts w:hint="cs"/>
                <w:i/>
                <w:iCs/>
                <w:sz w:val="22"/>
                <w:rtl/>
                <w:lang w:bidi="ar-EG"/>
              </w:rPr>
            </w:pPr>
            <w:r>
              <w:rPr>
                <w:rFonts w:hint="cs"/>
                <w:i/>
                <w:iCs/>
                <w:sz w:val="22"/>
                <w:rtl/>
                <w:lang w:bidi="ar-EG"/>
              </w:rPr>
              <w:t>2004</w:t>
            </w:r>
          </w:p>
        </w:tc>
      </w:tr>
      <w:tr w:rsidR="00D8679F" w:rsidTr="00D8679F">
        <w:tblPrEx>
          <w:tblCellMar>
            <w:top w:w="0" w:type="dxa"/>
            <w:bottom w:w="0" w:type="dxa"/>
          </w:tblCellMar>
        </w:tblPrEx>
        <w:trPr>
          <w:cantSplit/>
          <w:trHeight w:hRule="exact" w:val="115"/>
          <w:tblHeader/>
        </w:trPr>
        <w:tc>
          <w:tcPr>
            <w:tcW w:w="2403"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40"/>
              <w:rPr>
                <w:rFonts w:hint="cs"/>
                <w:sz w:val="22"/>
                <w:rtl/>
                <w:lang w:bidi="ar-EG"/>
              </w:rPr>
            </w:pPr>
          </w:p>
        </w:tc>
        <w:tc>
          <w:tcPr>
            <w:tcW w:w="1030"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22"/>
                <w:rtl/>
                <w:lang w:bidi="ar-EG"/>
              </w:rPr>
            </w:pPr>
          </w:p>
        </w:tc>
        <w:tc>
          <w:tcPr>
            <w:tcW w:w="927"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22"/>
                <w:rtl/>
                <w:lang w:bidi="ar-EG"/>
              </w:rPr>
            </w:pPr>
          </w:p>
        </w:tc>
        <w:tc>
          <w:tcPr>
            <w:tcW w:w="927"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22"/>
                <w:rtl/>
                <w:lang w:bidi="ar-EG"/>
              </w:rPr>
            </w:pPr>
          </w:p>
        </w:tc>
        <w:tc>
          <w:tcPr>
            <w:tcW w:w="1030"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22"/>
                <w:rtl/>
                <w:lang w:bidi="ar-EG"/>
              </w:rPr>
            </w:pPr>
          </w:p>
        </w:tc>
        <w:tc>
          <w:tcPr>
            <w:tcW w:w="1030" w:type="dxa"/>
            <w:tcBorders>
              <w:top w:val="single" w:sz="12"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22"/>
                <w:rtl/>
                <w:lang w:bidi="ar-EG"/>
              </w:rPr>
            </w:pPr>
          </w:p>
        </w:tc>
      </w:tr>
      <w:tr w:rsidR="00D8679F" w:rsidTr="00D8679F">
        <w:tblPrEx>
          <w:tblCellMar>
            <w:top w:w="0" w:type="dxa"/>
            <w:bottom w:w="0" w:type="dxa"/>
          </w:tblCellMar>
        </w:tblPrEx>
        <w:trPr>
          <w:cantSplit/>
        </w:trPr>
        <w:tc>
          <w:tcPr>
            <w:tcW w:w="2403" w:type="dxa"/>
            <w:vAlign w:val="bottom"/>
          </w:tcPr>
          <w:p w:rsidR="00D8679F" w:rsidRDefault="00D8679F">
            <w:pPr>
              <w:tabs>
                <w:tab w:val="left" w:pos="288"/>
                <w:tab w:val="left" w:pos="576"/>
                <w:tab w:val="left" w:pos="864"/>
                <w:tab w:val="left" w:pos="1152"/>
              </w:tabs>
              <w:spacing w:before="40" w:after="80" w:line="240" w:lineRule="exact"/>
              <w:ind w:right="40"/>
              <w:rPr>
                <w:rFonts w:hint="cs"/>
                <w:sz w:val="22"/>
                <w:rtl/>
                <w:lang w:bidi="ar-EG"/>
              </w:rPr>
            </w:pPr>
            <w:r>
              <w:rPr>
                <w:rFonts w:hint="cs"/>
                <w:sz w:val="22"/>
                <w:rtl/>
                <w:lang w:bidi="ar-EG"/>
              </w:rPr>
              <w:t>الاغتصاب ومحاولة الاغتصاب</w:t>
            </w:r>
          </w:p>
        </w:tc>
        <w:tc>
          <w:tcPr>
            <w:tcW w:w="10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22"/>
                <w:rtl/>
                <w:lang w:bidi="ar-EG"/>
              </w:rPr>
            </w:pPr>
            <w:r>
              <w:rPr>
                <w:rFonts w:hint="cs"/>
                <w:sz w:val="22"/>
                <w:rtl/>
                <w:lang w:bidi="ar-EG"/>
              </w:rPr>
              <w:t>675 1</w:t>
            </w:r>
          </w:p>
        </w:tc>
        <w:tc>
          <w:tcPr>
            <w:tcW w:w="927"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22"/>
                <w:rtl/>
                <w:lang w:bidi="ar-EG"/>
              </w:rPr>
            </w:pPr>
            <w:r>
              <w:rPr>
                <w:rFonts w:hint="cs"/>
                <w:sz w:val="22"/>
                <w:rtl/>
                <w:lang w:bidi="ar-EG"/>
              </w:rPr>
              <w:t>987 1</w:t>
            </w:r>
          </w:p>
        </w:tc>
        <w:tc>
          <w:tcPr>
            <w:tcW w:w="927"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22"/>
                <w:rtl/>
                <w:lang w:bidi="ar-EG"/>
              </w:rPr>
            </w:pPr>
            <w:r>
              <w:rPr>
                <w:rFonts w:hint="cs"/>
                <w:sz w:val="22"/>
                <w:rtl/>
                <w:lang w:bidi="ar-EG"/>
              </w:rPr>
              <w:t>005 2</w:t>
            </w:r>
          </w:p>
        </w:tc>
        <w:tc>
          <w:tcPr>
            <w:tcW w:w="10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22"/>
                <w:rtl/>
                <w:lang w:bidi="ar-EG"/>
              </w:rPr>
            </w:pPr>
            <w:r>
              <w:rPr>
                <w:rFonts w:hint="cs"/>
                <w:sz w:val="22"/>
                <w:rtl/>
                <w:lang w:bidi="ar-EG"/>
              </w:rPr>
              <w:t>308 2</w:t>
            </w:r>
          </w:p>
        </w:tc>
        <w:tc>
          <w:tcPr>
            <w:tcW w:w="1030" w:type="dxa"/>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22"/>
                <w:rtl/>
                <w:lang w:bidi="ar-EG"/>
              </w:rPr>
            </w:pPr>
            <w:r>
              <w:rPr>
                <w:rFonts w:hint="cs"/>
                <w:sz w:val="22"/>
                <w:rtl/>
                <w:lang w:bidi="ar-EG"/>
              </w:rPr>
              <w:t>908 2</w:t>
            </w:r>
          </w:p>
        </w:tc>
      </w:tr>
      <w:tr w:rsidR="00D8679F" w:rsidTr="00D8679F">
        <w:tblPrEx>
          <w:tblCellMar>
            <w:top w:w="0" w:type="dxa"/>
            <w:bottom w:w="0" w:type="dxa"/>
          </w:tblCellMar>
        </w:tblPrEx>
        <w:trPr>
          <w:cantSplit/>
        </w:trPr>
        <w:tc>
          <w:tcPr>
            <w:tcW w:w="2403" w:type="dxa"/>
            <w:tcBorders>
              <w:bottom w:val="single" w:sz="4" w:space="0" w:color="auto"/>
            </w:tcBorders>
            <w:vAlign w:val="bottom"/>
          </w:tcPr>
          <w:p w:rsidR="00D8679F" w:rsidRDefault="00D8679F">
            <w:pPr>
              <w:tabs>
                <w:tab w:val="left" w:pos="288"/>
                <w:tab w:val="left" w:pos="576"/>
                <w:tab w:val="left" w:pos="864"/>
                <w:tab w:val="left" w:pos="1152"/>
              </w:tabs>
              <w:spacing w:before="40" w:after="80" w:line="240" w:lineRule="exact"/>
              <w:ind w:right="40"/>
              <w:rPr>
                <w:rFonts w:hint="cs"/>
                <w:sz w:val="22"/>
                <w:rtl/>
                <w:lang w:bidi="ar-EG"/>
              </w:rPr>
            </w:pPr>
            <w:r>
              <w:rPr>
                <w:rFonts w:hint="cs"/>
                <w:sz w:val="22"/>
                <w:rtl/>
                <w:lang w:bidi="ar-EG"/>
              </w:rPr>
              <w:t>الاعتداء والضرب</w:t>
            </w:r>
          </w:p>
        </w:tc>
        <w:tc>
          <w:tcPr>
            <w:tcW w:w="1030" w:type="dxa"/>
            <w:tcBorders>
              <w:bottom w:val="single" w:sz="4"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22"/>
                <w:rtl/>
                <w:lang w:bidi="ar-EG"/>
              </w:rPr>
            </w:pPr>
            <w:r>
              <w:rPr>
                <w:rFonts w:hint="cs"/>
                <w:sz w:val="22"/>
                <w:rtl/>
                <w:lang w:bidi="ar-EG"/>
              </w:rPr>
              <w:t>255 6</w:t>
            </w:r>
          </w:p>
        </w:tc>
        <w:tc>
          <w:tcPr>
            <w:tcW w:w="927" w:type="dxa"/>
            <w:tcBorders>
              <w:bottom w:val="single" w:sz="4"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22"/>
                <w:rtl/>
                <w:lang w:bidi="ar-EG"/>
              </w:rPr>
            </w:pPr>
            <w:r>
              <w:rPr>
                <w:rFonts w:hint="cs"/>
                <w:sz w:val="22"/>
                <w:rtl/>
                <w:lang w:bidi="ar-EG"/>
              </w:rPr>
              <w:t>648 6</w:t>
            </w:r>
          </w:p>
        </w:tc>
        <w:tc>
          <w:tcPr>
            <w:tcW w:w="927" w:type="dxa"/>
            <w:tcBorders>
              <w:bottom w:val="single" w:sz="4"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22"/>
                <w:rtl/>
                <w:lang w:bidi="ar-EG"/>
              </w:rPr>
            </w:pPr>
            <w:r>
              <w:rPr>
                <w:rFonts w:hint="cs"/>
                <w:sz w:val="22"/>
                <w:rtl/>
                <w:lang w:bidi="ar-EG"/>
              </w:rPr>
              <w:t>896 7</w:t>
            </w:r>
          </w:p>
        </w:tc>
        <w:tc>
          <w:tcPr>
            <w:tcW w:w="1030" w:type="dxa"/>
            <w:tcBorders>
              <w:bottom w:val="single" w:sz="4"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22"/>
                <w:rtl/>
                <w:lang w:bidi="ar-EG"/>
              </w:rPr>
            </w:pPr>
            <w:r>
              <w:rPr>
                <w:rFonts w:hint="cs"/>
                <w:sz w:val="22"/>
                <w:rtl/>
                <w:lang w:bidi="ar-EG"/>
              </w:rPr>
              <w:t>544 8</w:t>
            </w:r>
          </w:p>
        </w:tc>
        <w:tc>
          <w:tcPr>
            <w:tcW w:w="1030" w:type="dxa"/>
            <w:tcBorders>
              <w:bottom w:val="single" w:sz="4" w:space="0" w:color="auto"/>
            </w:tcBorders>
            <w:vAlign w:val="bottom"/>
          </w:tcPr>
          <w:p w:rsidR="00D8679F" w:rsidRDefault="00D8679F">
            <w:pPr>
              <w:tabs>
                <w:tab w:val="left" w:pos="288"/>
                <w:tab w:val="left" w:pos="576"/>
                <w:tab w:val="left" w:pos="864"/>
                <w:tab w:val="left" w:pos="1152"/>
              </w:tabs>
              <w:spacing w:before="40" w:after="80" w:line="240" w:lineRule="exact"/>
              <w:ind w:right="144"/>
              <w:jc w:val="lowKashida"/>
              <w:rPr>
                <w:rFonts w:hint="cs"/>
                <w:sz w:val="22"/>
                <w:rtl/>
                <w:lang w:bidi="ar-EG"/>
              </w:rPr>
            </w:pPr>
            <w:r>
              <w:rPr>
                <w:rFonts w:hint="cs"/>
                <w:sz w:val="22"/>
                <w:rtl/>
                <w:lang w:bidi="ar-EG"/>
              </w:rPr>
              <w:t>959 8</w:t>
            </w:r>
          </w:p>
        </w:tc>
      </w:tr>
      <w:tr w:rsidR="00D8679F" w:rsidTr="00D8679F">
        <w:tblPrEx>
          <w:tblCellMar>
            <w:top w:w="0" w:type="dxa"/>
            <w:bottom w:w="0" w:type="dxa"/>
          </w:tblCellMar>
        </w:tblPrEx>
        <w:trPr>
          <w:cantSplit/>
        </w:trPr>
        <w:tc>
          <w:tcPr>
            <w:tcW w:w="2403"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60" w:after="60" w:line="240" w:lineRule="exact"/>
              <w:ind w:right="40"/>
              <w:rPr>
                <w:rFonts w:hint="cs"/>
                <w:bCs/>
                <w:sz w:val="22"/>
                <w:rtl/>
                <w:lang w:bidi="ar-EG"/>
              </w:rPr>
            </w:pPr>
            <w:r>
              <w:rPr>
                <w:bCs/>
                <w:sz w:val="22"/>
                <w:rtl/>
                <w:lang w:bidi="ar-EG"/>
              </w:rPr>
              <w:tab/>
            </w:r>
            <w:r>
              <w:rPr>
                <w:rFonts w:hint="cs"/>
                <w:bCs/>
                <w:sz w:val="22"/>
                <w:rtl/>
                <w:lang w:bidi="ar-EG"/>
              </w:rPr>
              <w:t>المجموع</w:t>
            </w:r>
          </w:p>
        </w:tc>
        <w:tc>
          <w:tcPr>
            <w:tcW w:w="1030"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60" w:after="60" w:line="240" w:lineRule="exact"/>
              <w:ind w:right="144"/>
              <w:jc w:val="lowKashida"/>
              <w:rPr>
                <w:rFonts w:hint="cs"/>
                <w:bCs/>
                <w:sz w:val="22"/>
                <w:rtl/>
                <w:lang w:bidi="ar-EG"/>
              </w:rPr>
            </w:pPr>
            <w:r>
              <w:rPr>
                <w:rFonts w:hint="cs"/>
                <w:bCs/>
                <w:sz w:val="22"/>
                <w:rtl/>
                <w:lang w:bidi="ar-EG"/>
              </w:rPr>
              <w:t>930 7</w:t>
            </w:r>
          </w:p>
        </w:tc>
        <w:tc>
          <w:tcPr>
            <w:tcW w:w="927"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60" w:after="60" w:line="240" w:lineRule="exact"/>
              <w:ind w:right="144"/>
              <w:jc w:val="lowKashida"/>
              <w:rPr>
                <w:rFonts w:hint="cs"/>
                <w:bCs/>
                <w:sz w:val="22"/>
                <w:rtl/>
                <w:lang w:bidi="ar-EG"/>
              </w:rPr>
            </w:pPr>
            <w:r>
              <w:rPr>
                <w:rFonts w:hint="cs"/>
                <w:bCs/>
                <w:sz w:val="22"/>
                <w:rtl/>
                <w:lang w:bidi="ar-EG"/>
              </w:rPr>
              <w:t>635 8</w:t>
            </w:r>
          </w:p>
        </w:tc>
        <w:tc>
          <w:tcPr>
            <w:tcW w:w="927"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60" w:after="60" w:line="240" w:lineRule="exact"/>
              <w:ind w:right="144"/>
              <w:jc w:val="lowKashida"/>
              <w:rPr>
                <w:rFonts w:hint="cs"/>
                <w:bCs/>
                <w:sz w:val="22"/>
                <w:rtl/>
                <w:lang w:bidi="ar-EG"/>
              </w:rPr>
            </w:pPr>
            <w:r>
              <w:rPr>
                <w:rFonts w:hint="cs"/>
                <w:bCs/>
                <w:sz w:val="22"/>
                <w:rtl/>
                <w:lang w:bidi="ar-EG"/>
              </w:rPr>
              <w:t>901 9</w:t>
            </w:r>
          </w:p>
        </w:tc>
        <w:tc>
          <w:tcPr>
            <w:tcW w:w="1030"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60" w:after="60" w:line="240" w:lineRule="exact"/>
              <w:ind w:right="144"/>
              <w:jc w:val="lowKashida"/>
              <w:rPr>
                <w:rFonts w:hint="cs"/>
                <w:bCs/>
                <w:sz w:val="22"/>
                <w:rtl/>
                <w:lang w:bidi="ar-EG"/>
              </w:rPr>
            </w:pPr>
            <w:r>
              <w:rPr>
                <w:rFonts w:hint="cs"/>
                <w:bCs/>
                <w:sz w:val="22"/>
                <w:rtl/>
                <w:lang w:bidi="ar-EG"/>
              </w:rPr>
              <w:t>852 10</w:t>
            </w:r>
          </w:p>
        </w:tc>
        <w:tc>
          <w:tcPr>
            <w:tcW w:w="1030" w:type="dxa"/>
            <w:tcBorders>
              <w:top w:val="single" w:sz="4" w:space="0" w:color="auto"/>
              <w:bottom w:val="single" w:sz="12" w:space="0" w:color="auto"/>
            </w:tcBorders>
            <w:vAlign w:val="bottom"/>
          </w:tcPr>
          <w:p w:rsidR="00D8679F" w:rsidRDefault="00D8679F">
            <w:pPr>
              <w:tabs>
                <w:tab w:val="left" w:pos="288"/>
                <w:tab w:val="left" w:pos="576"/>
                <w:tab w:val="left" w:pos="864"/>
                <w:tab w:val="left" w:pos="1152"/>
              </w:tabs>
              <w:spacing w:before="60" w:after="60" w:line="240" w:lineRule="exact"/>
              <w:ind w:right="144"/>
              <w:jc w:val="lowKashida"/>
              <w:rPr>
                <w:rFonts w:hint="cs"/>
                <w:bCs/>
                <w:sz w:val="22"/>
                <w:rtl/>
                <w:lang w:bidi="ar-EG"/>
              </w:rPr>
            </w:pPr>
            <w:r>
              <w:rPr>
                <w:rFonts w:hint="cs"/>
                <w:bCs/>
                <w:sz w:val="22"/>
                <w:rtl/>
                <w:lang w:bidi="ar-EG"/>
              </w:rPr>
              <w:t>867 11</w:t>
            </w:r>
          </w:p>
        </w:tc>
      </w:tr>
    </w:tbl>
    <w:p w:rsidR="00000000" w:rsidRDefault="00D8679F">
      <w:pPr>
        <w:pStyle w:val="SingleTxt"/>
        <w:tabs>
          <w:tab w:val="clear" w:pos="2592"/>
          <w:tab w:val="left" w:pos="2228"/>
        </w:tabs>
        <w:spacing w:after="0" w:line="120" w:lineRule="exact"/>
        <w:ind w:left="2228" w:hanging="961"/>
        <w:jc w:val="both"/>
        <w:rPr>
          <w:rFonts w:hint="cs"/>
          <w:sz w:val="10"/>
          <w:rtl/>
          <w:lang w:bidi="ar-EG"/>
        </w:rPr>
      </w:pPr>
    </w:p>
    <w:p w:rsidR="00000000" w:rsidRDefault="00D8679F">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b/>
          <w:bCs/>
          <w:rtl/>
          <w:lang w:bidi="ar-EG"/>
        </w:rPr>
      </w:pPr>
      <w:r>
        <w:rPr>
          <w:rFonts w:hint="cs"/>
          <w:b/>
          <w:bCs/>
          <w:rtl/>
          <w:lang w:bidi="ar-EG"/>
        </w:rPr>
        <w:tab/>
      </w:r>
      <w:r>
        <w:rPr>
          <w:rFonts w:hint="cs"/>
          <w:i/>
          <w:iCs/>
          <w:rtl/>
          <w:lang w:bidi="ar-EG"/>
        </w:rPr>
        <w:t>المصدر</w:t>
      </w:r>
      <w:r>
        <w:rPr>
          <w:rFonts w:hint="cs"/>
          <w:b/>
          <w:bCs/>
          <w:rtl/>
          <w:lang w:bidi="ar-EG"/>
        </w:rPr>
        <w:t>:</w:t>
      </w:r>
      <w:r>
        <w:rPr>
          <w:rFonts w:hint="cs"/>
          <w:rtl/>
          <w:lang w:bidi="ar-EG"/>
        </w:rPr>
        <w:t xml:space="preserve"> إدارة الشرطة.</w:t>
      </w:r>
    </w:p>
    <w:p w:rsidR="00000000" w:rsidRDefault="00D8679F">
      <w:pPr>
        <w:pStyle w:val="SingleTxt"/>
        <w:tabs>
          <w:tab w:val="clear" w:pos="2592"/>
          <w:tab w:val="left" w:pos="2228"/>
        </w:tabs>
        <w:spacing w:after="0" w:line="120" w:lineRule="exact"/>
        <w:ind w:left="2228" w:hanging="961"/>
        <w:jc w:val="both"/>
        <w:rPr>
          <w:rFonts w:hint="cs"/>
          <w:sz w:val="10"/>
          <w:rtl/>
          <w:lang w:bidi="ar-EG"/>
        </w:rPr>
      </w:pPr>
    </w:p>
    <w:p w:rsidR="00000000" w:rsidRDefault="00D8679F">
      <w:pPr>
        <w:pStyle w:val="SingleTxt"/>
        <w:tabs>
          <w:tab w:val="clear" w:pos="2592"/>
          <w:tab w:val="left" w:pos="2228"/>
        </w:tabs>
        <w:ind w:left="2228" w:hanging="961"/>
        <w:jc w:val="both"/>
        <w:rPr>
          <w:rFonts w:hint="cs"/>
          <w:rtl/>
          <w:lang w:bidi="ar-EG"/>
        </w:rPr>
      </w:pPr>
      <w:r>
        <w:rPr>
          <w:rFonts w:hint="cs"/>
          <w:rtl/>
          <w:lang w:bidi="ar-EG"/>
        </w:rPr>
        <w:tab/>
        <w:t>•</w:t>
      </w:r>
      <w:r>
        <w:rPr>
          <w:rFonts w:hint="cs"/>
          <w:rtl/>
          <w:lang w:bidi="ar-EG"/>
        </w:rPr>
        <w:tab/>
        <w:t>مشروع قانون العنف المنزلي (حماية الأسرة) بانتظار عرضه على البرلمان.</w:t>
      </w:r>
    </w:p>
    <w:p w:rsidR="00000000" w:rsidRDefault="00D8679F">
      <w:pPr>
        <w:pStyle w:val="SingleTxt"/>
        <w:tabs>
          <w:tab w:val="clear" w:pos="2592"/>
          <w:tab w:val="left" w:pos="2228"/>
        </w:tabs>
        <w:ind w:left="2228" w:hanging="961"/>
        <w:jc w:val="both"/>
        <w:rPr>
          <w:rFonts w:hint="cs"/>
          <w:rtl/>
          <w:lang w:bidi="ar-EG"/>
        </w:rPr>
      </w:pPr>
      <w:r>
        <w:rPr>
          <w:rFonts w:hint="cs"/>
          <w:rtl/>
          <w:lang w:bidi="ar-EG"/>
        </w:rPr>
        <w:tab/>
        <w:t>•</w:t>
      </w:r>
      <w:r>
        <w:rPr>
          <w:rFonts w:hint="cs"/>
          <w:rtl/>
          <w:lang w:bidi="ar-EG"/>
        </w:rPr>
        <w:tab/>
        <w:t>إنشاء شعبة الأسرة في المحكمة العليا ومحكمة الأطفال.</w:t>
      </w:r>
    </w:p>
    <w:p w:rsidR="00000000" w:rsidRDefault="00D8679F">
      <w:pPr>
        <w:pStyle w:val="SingleTxt"/>
        <w:tabs>
          <w:tab w:val="clear" w:pos="2592"/>
          <w:tab w:val="left" w:pos="2228"/>
        </w:tabs>
        <w:ind w:left="2228" w:hanging="961"/>
        <w:jc w:val="both"/>
        <w:rPr>
          <w:rFonts w:hint="cs"/>
          <w:rtl/>
          <w:lang w:bidi="ar-EG"/>
        </w:rPr>
      </w:pPr>
      <w:r>
        <w:rPr>
          <w:rFonts w:hint="cs"/>
          <w:rtl/>
          <w:lang w:bidi="ar-EG"/>
        </w:rPr>
        <w:tab/>
        <w:t>•</w:t>
      </w:r>
      <w:r>
        <w:rPr>
          <w:rFonts w:hint="cs"/>
          <w:rtl/>
          <w:lang w:bidi="ar-EG"/>
        </w:rPr>
        <w:tab/>
        <w:t>تجري حاليا مناقشة مشروع قانون الجرائم الج</w:t>
      </w:r>
      <w:r>
        <w:rPr>
          <w:rFonts w:hint="cs"/>
          <w:rtl/>
          <w:lang w:bidi="ar-EG"/>
        </w:rPr>
        <w:t>نسية في البرلمان.</w:t>
      </w:r>
    </w:p>
    <w:p w:rsidR="00000000" w:rsidRDefault="00D8679F">
      <w:pPr>
        <w:pStyle w:val="SingleTxt"/>
        <w:tabs>
          <w:tab w:val="clear" w:pos="2592"/>
          <w:tab w:val="left" w:pos="2228"/>
        </w:tabs>
        <w:ind w:left="2228" w:hanging="961"/>
        <w:jc w:val="both"/>
        <w:rPr>
          <w:rFonts w:hint="cs"/>
          <w:rtl/>
          <w:lang w:bidi="ar-EG"/>
        </w:rPr>
      </w:pPr>
      <w:r>
        <w:rPr>
          <w:rFonts w:hint="cs"/>
          <w:rtl/>
          <w:lang w:bidi="ar-EG"/>
        </w:rPr>
        <w:tab/>
        <w:t>•</w:t>
      </w:r>
      <w:r>
        <w:rPr>
          <w:rFonts w:hint="cs"/>
          <w:rtl/>
          <w:lang w:bidi="ar-EG"/>
        </w:rPr>
        <w:tab/>
        <w:t>حظر الختان والزواج القسري للفتيات دون سن 18 عاما بموجب قانون الأطفال الجديد.</w:t>
      </w:r>
    </w:p>
    <w:p w:rsidR="00000000" w:rsidRDefault="00D8679F">
      <w:pPr>
        <w:pStyle w:val="SingleTxt"/>
        <w:tabs>
          <w:tab w:val="clear" w:pos="2592"/>
          <w:tab w:val="left" w:pos="2228"/>
        </w:tabs>
        <w:ind w:left="2228" w:hanging="961"/>
        <w:jc w:val="both"/>
        <w:rPr>
          <w:rFonts w:hint="cs"/>
          <w:rtl/>
          <w:lang w:bidi="ar-EG"/>
        </w:rPr>
      </w:pPr>
      <w:r>
        <w:rPr>
          <w:rFonts w:hint="cs"/>
          <w:rtl/>
          <w:lang w:bidi="ar-EG"/>
        </w:rPr>
        <w:tab/>
        <w:t>•</w:t>
      </w:r>
      <w:r>
        <w:rPr>
          <w:rFonts w:hint="cs"/>
          <w:rtl/>
          <w:lang w:bidi="ar-EG"/>
        </w:rPr>
        <w:tab/>
        <w:t>المعاقبة على جريمة الجمع بين زوجتين بالسجن 5 سنوات.</w:t>
      </w:r>
    </w:p>
    <w:p w:rsidR="00000000" w:rsidRDefault="00D8679F">
      <w:pPr>
        <w:pStyle w:val="SingleTxt"/>
        <w:tabs>
          <w:tab w:val="clear" w:pos="2592"/>
          <w:tab w:val="left" w:pos="2228"/>
        </w:tabs>
        <w:ind w:left="2228" w:hanging="961"/>
        <w:jc w:val="both"/>
        <w:rPr>
          <w:rFonts w:hint="cs"/>
          <w:rtl/>
          <w:lang w:bidi="ar-EG"/>
        </w:rPr>
      </w:pPr>
      <w:r>
        <w:rPr>
          <w:rFonts w:hint="cs"/>
          <w:rtl/>
          <w:lang w:bidi="ar-EG"/>
        </w:rPr>
        <w:tab/>
        <w:t>•</w:t>
      </w:r>
      <w:r>
        <w:rPr>
          <w:rFonts w:hint="cs"/>
          <w:rtl/>
          <w:lang w:bidi="ar-EG"/>
        </w:rPr>
        <w:tab/>
        <w:t>اعترفت القرارات الصادرة عن المحاكم في الآونة الأخيرة بالمبدأ العادل القائل بأن للمرأة المتزوجة حصة م</w:t>
      </w:r>
      <w:r>
        <w:rPr>
          <w:rFonts w:hint="cs"/>
          <w:rtl/>
          <w:lang w:bidi="ar-EG"/>
        </w:rPr>
        <w:t>تساوية في ممتلكات الزوجية عند حل الزواج، ووضعته موضع التنفيذ.</w:t>
      </w:r>
    </w:p>
    <w:p w:rsidR="00000000" w:rsidRDefault="00D8679F">
      <w:pPr>
        <w:pStyle w:val="SingleTxt"/>
        <w:tabs>
          <w:tab w:val="clear" w:pos="2592"/>
          <w:tab w:val="left" w:pos="2228"/>
        </w:tabs>
        <w:ind w:left="2228" w:hanging="961"/>
        <w:jc w:val="both"/>
        <w:rPr>
          <w:rFonts w:hint="cs"/>
          <w:rtl/>
          <w:lang w:bidi="ar-EG"/>
        </w:rPr>
      </w:pPr>
      <w:r>
        <w:rPr>
          <w:rFonts w:hint="cs"/>
          <w:rtl/>
          <w:lang w:bidi="ar-EG"/>
        </w:rPr>
        <w:tab/>
        <w:t>•</w:t>
      </w:r>
      <w:r>
        <w:rPr>
          <w:rFonts w:hint="cs"/>
          <w:rtl/>
          <w:lang w:bidi="ar-EG"/>
        </w:rPr>
        <w:tab/>
        <w:t>تقوم باستعراض قانون الوراثة.</w:t>
      </w:r>
    </w:p>
    <w:p w:rsidR="00000000" w:rsidRDefault="00D8679F">
      <w:pPr>
        <w:pStyle w:val="SingleTxt"/>
        <w:tabs>
          <w:tab w:val="clear" w:pos="2592"/>
          <w:tab w:val="left" w:pos="2228"/>
        </w:tabs>
        <w:jc w:val="both"/>
        <w:rPr>
          <w:rFonts w:hint="cs"/>
          <w:rtl/>
          <w:lang w:bidi="ar-EG"/>
        </w:rPr>
      </w:pPr>
      <w:r>
        <w:rPr>
          <w:rFonts w:hint="cs"/>
          <w:rtl/>
          <w:lang w:bidi="ar-EG"/>
        </w:rPr>
        <w:t>133 -</w:t>
      </w:r>
      <w:r>
        <w:rPr>
          <w:rFonts w:hint="cs"/>
          <w:rtl/>
          <w:lang w:bidi="ar-EG"/>
        </w:rPr>
        <w:tab/>
        <w:t xml:space="preserve">وتستخدم أربع تقريبا من كل عشر نساء متزوجات وسيلة لتنظيم الأسرة. ويستخدم معظمهن (32 في المائة) وسائل حديثة في حين تستخدم نسبة 8 في المائة وسائل تقليدية. وقد </w:t>
      </w:r>
      <w:r>
        <w:rPr>
          <w:rFonts w:hint="cs"/>
          <w:rtl/>
          <w:lang w:bidi="ar-EG"/>
        </w:rPr>
        <w:t>زاد استخدام وسائل منع الحمل من 39 في المائة في عام 1998 إلى 41 في المائة في عام 2003. وتوقف حوالي 38 في المائة من النساء عن الاستخدام في غضون 12 شهرا من الأخذ بإحدى الوسائل. وربع النساء المتزوجات حاليا في كينيا لديهن حاجة غير ملباة لتنظيم الأسرة. وثلاثة أخ</w:t>
      </w:r>
      <w:r>
        <w:rPr>
          <w:rFonts w:hint="cs"/>
          <w:rtl/>
          <w:lang w:bidi="ar-EG"/>
        </w:rPr>
        <w:t>ماس الحاجة غير الملباة تتألف من النساء اللائي يرغبن في الانتظار عامين أو أكثر قبل ولادة الطفل التالي في حين يتألف الخمسان من النساء اللائي لا يرغبن في المزيد من الأطفال.</w:t>
      </w:r>
    </w:p>
    <w:p w:rsidR="00000000" w:rsidRDefault="00D867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13: الاستحقاقات الاجتماعية والاقتصادية</w:t>
      </w:r>
    </w:p>
    <w:p w:rsidR="00000000" w:rsidRDefault="00D8679F">
      <w:pPr>
        <w:pStyle w:val="SingleTxt"/>
        <w:tabs>
          <w:tab w:val="clear" w:pos="2592"/>
          <w:tab w:val="left" w:pos="2228"/>
        </w:tabs>
        <w:jc w:val="both"/>
        <w:rPr>
          <w:rFonts w:hint="cs"/>
          <w:rtl/>
          <w:lang w:bidi="ar-EG"/>
        </w:rPr>
      </w:pPr>
      <w:r>
        <w:rPr>
          <w:rFonts w:hint="cs"/>
          <w:rtl/>
          <w:lang w:bidi="ar-EG"/>
        </w:rPr>
        <w:t>134-</w:t>
      </w:r>
      <w:r>
        <w:rPr>
          <w:rFonts w:hint="cs"/>
          <w:rtl/>
          <w:lang w:bidi="ar-EG"/>
        </w:rPr>
        <w:tab/>
        <w:t>يقوم حصول المرأة على التسهيلات ال</w:t>
      </w:r>
      <w:r>
        <w:rPr>
          <w:rFonts w:hint="cs"/>
          <w:rtl/>
          <w:lang w:bidi="ar-EG"/>
        </w:rPr>
        <w:t>ائتمانية في كينيا أساسا على نفس الشروط المتعلقة بالرجل. بيد أن المرأة تواجه تحديات أكبر مما يواجهها الرجل بسبب عدم حيازة كثير منهن لصكوك ملكية أرض نظرا لأنها تمثل الضمان الرئيسي للقروض المصرفية. وعدد النساء الحائزات على صكوك الملكية في البلد متباين من منطق</w:t>
      </w:r>
      <w:r>
        <w:rPr>
          <w:rFonts w:hint="cs"/>
          <w:rtl/>
          <w:lang w:bidi="ar-EG"/>
        </w:rPr>
        <w:t>ة لأخرى ولكن المتوسط على الصعيد الوطني يبلغ 5 في المائة. وتعالج الحكومة هذا التحدي بالمبادرات المختلفة المبينة في إطار المادة</w:t>
      </w:r>
      <w:r>
        <w:rPr>
          <w:rFonts w:hint="eastAsia"/>
          <w:rtl/>
          <w:lang w:bidi="ar-EG"/>
        </w:rPr>
        <w:t> </w:t>
      </w:r>
      <w:r>
        <w:rPr>
          <w:rFonts w:hint="cs"/>
          <w:rtl/>
          <w:lang w:bidi="ar-EG"/>
        </w:rPr>
        <w:t>14 في هذا التقرير.</w:t>
      </w:r>
    </w:p>
    <w:p w:rsidR="00000000" w:rsidRDefault="00D8679F">
      <w:pPr>
        <w:pStyle w:val="SingleTxt"/>
        <w:tabs>
          <w:tab w:val="clear" w:pos="2592"/>
          <w:tab w:val="left" w:pos="2228"/>
        </w:tabs>
        <w:jc w:val="both"/>
        <w:rPr>
          <w:rFonts w:hint="cs"/>
          <w:rtl/>
          <w:lang w:bidi="ar-EG"/>
        </w:rPr>
      </w:pPr>
      <w:r>
        <w:rPr>
          <w:rFonts w:hint="cs"/>
          <w:rtl/>
          <w:lang w:bidi="ar-EG"/>
        </w:rPr>
        <w:t>135-</w:t>
      </w:r>
      <w:r>
        <w:rPr>
          <w:rFonts w:hint="cs"/>
          <w:rtl/>
          <w:lang w:bidi="ar-EG"/>
        </w:rPr>
        <w:tab/>
        <w:t>وفي عام 2003، عدَّلت الحكومة قانون المعاشات التقاعدية وجعلت دفع مكافأة المتقاعد إلزاميا قبل تركه الخدمة. و</w:t>
      </w:r>
      <w:r>
        <w:rPr>
          <w:rFonts w:hint="cs"/>
          <w:rtl/>
          <w:lang w:bidi="ar-EG"/>
        </w:rPr>
        <w:t>عند وفاة العامل الذي يستحق الحصول على معاش تقاعدي، ينبغي دفع المكافأة للمعالين في غضون 90 يوما وإلا تستحق الفائدة عليها بالأسعار المصرفية. وسيؤدي هذا بوجه خاص إلى مساعدة الأراملة اللائي يتوفى عنهن أزواجهن أثناء الخدمة.</w:t>
      </w:r>
    </w:p>
    <w:p w:rsidR="00000000" w:rsidRDefault="00D8679F">
      <w:pPr>
        <w:pStyle w:val="SingleTxt"/>
        <w:tabs>
          <w:tab w:val="clear" w:pos="2592"/>
          <w:tab w:val="left" w:pos="2228"/>
        </w:tabs>
        <w:jc w:val="both"/>
        <w:rPr>
          <w:rFonts w:hint="cs"/>
          <w:rtl/>
          <w:lang w:bidi="ar-EG"/>
        </w:rPr>
      </w:pPr>
      <w:r>
        <w:rPr>
          <w:rFonts w:hint="cs"/>
          <w:rtl/>
          <w:lang w:bidi="ar-EG"/>
        </w:rPr>
        <w:t>136-</w:t>
      </w:r>
      <w:r>
        <w:rPr>
          <w:rFonts w:hint="cs"/>
          <w:rtl/>
          <w:lang w:bidi="ar-EG"/>
        </w:rPr>
        <w:tab/>
        <w:t xml:space="preserve">والضمان والحماية الاجتماعيان في </w:t>
      </w:r>
      <w:r>
        <w:rPr>
          <w:rFonts w:hint="cs"/>
          <w:rtl/>
          <w:lang w:bidi="ar-EG"/>
        </w:rPr>
        <w:t>كينيا يسيطر عليهما إلى حد كبير الصندوق الوطني للضمان الاجتماعي والصندوق الوطني لتأمين المستشفيات. وهذان الصندوقان يغطيان في المقام الأول الموظفين العاملين في القطاع النظامي ولا يشملان الجمهور الأكبر. وبغية تحسين الحالة، تعتزم الحكومة استعراض النظامين الأسا</w:t>
      </w:r>
      <w:r>
        <w:rPr>
          <w:rFonts w:hint="cs"/>
          <w:rtl/>
          <w:lang w:bidi="ar-EG"/>
        </w:rPr>
        <w:t>سيين لهذين الصندوقين لتحويلهما إلى خطة للمعاشات التقاعدية وصندوق وطني للصحة الاجتماعية على التوالي.</w:t>
      </w:r>
    </w:p>
    <w:p w:rsidR="00000000" w:rsidRDefault="00D8679F">
      <w:pPr>
        <w:pStyle w:val="SingleTxt"/>
        <w:tabs>
          <w:tab w:val="clear" w:pos="2592"/>
          <w:tab w:val="left" w:pos="2228"/>
        </w:tabs>
        <w:jc w:val="both"/>
        <w:rPr>
          <w:rFonts w:hint="cs"/>
          <w:rtl/>
          <w:lang w:bidi="ar-EG"/>
        </w:rPr>
      </w:pPr>
      <w:r>
        <w:rPr>
          <w:rFonts w:hint="cs"/>
          <w:rtl/>
          <w:lang w:bidi="ar-EG"/>
        </w:rPr>
        <w:t>137-</w:t>
      </w:r>
      <w:r>
        <w:rPr>
          <w:rFonts w:hint="cs"/>
          <w:rtl/>
          <w:lang w:bidi="ar-EG"/>
        </w:rPr>
        <w:tab/>
        <w:t>وبالإضافة إلى الشرطة والمحاكم العادية، يمكن لأي امرأة تعامل بصورة غير عادلة أو تتعرض للتمييز ضدها أن تقدم شكوى وتلتمس الإنصاف من اللجنة الوطنية لحقوق ا</w:t>
      </w:r>
      <w:r>
        <w:rPr>
          <w:rFonts w:hint="cs"/>
          <w:rtl/>
          <w:lang w:bidi="ar-EG"/>
        </w:rPr>
        <w:t>لإنسان في كينيا، أو إدارة شؤون الأطفال، أو شعبة الأسرة في المحكمة العليا أو محاكم الأطفال الخاصة التي أُنشئت في النظام القضائي لكينيا.</w:t>
      </w:r>
    </w:p>
    <w:p w:rsidR="00000000" w:rsidRDefault="00D8679F">
      <w:pPr>
        <w:pStyle w:val="SingleTxt"/>
        <w:tabs>
          <w:tab w:val="clear" w:pos="2592"/>
          <w:tab w:val="left" w:pos="2228"/>
        </w:tabs>
        <w:jc w:val="both"/>
        <w:rPr>
          <w:rFonts w:hint="cs"/>
          <w:rtl/>
          <w:lang w:bidi="ar-EG"/>
        </w:rPr>
      </w:pPr>
      <w:r>
        <w:rPr>
          <w:rFonts w:hint="cs"/>
          <w:rtl/>
          <w:lang w:bidi="ar-EG"/>
        </w:rPr>
        <w:t>138-</w:t>
      </w:r>
      <w:r>
        <w:rPr>
          <w:rFonts w:hint="cs"/>
          <w:rtl/>
          <w:lang w:bidi="ar-EG"/>
        </w:rPr>
        <w:tab/>
        <w:t>وهناك أيضا عدة منظمات غير حكومية يمكن عن طريقها أن تلتمس المرأة المظلومة المعونة الإرشادية والإنصاف. وهذه المنظمات ت</w:t>
      </w:r>
      <w:r>
        <w:rPr>
          <w:rFonts w:hint="cs"/>
          <w:rtl/>
          <w:lang w:bidi="ar-EG"/>
        </w:rPr>
        <w:t>شمل: اتحاد المحاميات الدولي (اتحاد المحاميات الدولي - كينيا)، وبرنامج التوعية بحقوق المرأة. ومركز المساعدة القضائية (</w:t>
      </w:r>
      <w:r>
        <w:rPr>
          <w:i/>
          <w:iCs/>
          <w:lang w:bidi="ar-EG"/>
        </w:rPr>
        <w:t>Kituo Cha Sheria</w:t>
      </w:r>
      <w:r>
        <w:rPr>
          <w:rFonts w:hint="cs"/>
          <w:i/>
          <w:iCs/>
          <w:rtl/>
          <w:lang w:bidi="ar-EG"/>
        </w:rPr>
        <w:t>)</w:t>
      </w:r>
      <w:r>
        <w:rPr>
          <w:rFonts w:hint="cs"/>
          <w:rtl/>
          <w:lang w:bidi="ar-EG"/>
        </w:rPr>
        <w:t>، والائتلاف المعني بالعنف ضد المرأة، والمهد، ولجنة الحقوقيين الدولية، وشبكة العمل القانوني من أجل الأطفال، ومركز الشبكة ال</w:t>
      </w:r>
      <w:r>
        <w:rPr>
          <w:rFonts w:hint="cs"/>
          <w:rtl/>
          <w:lang w:bidi="ar-EG"/>
        </w:rPr>
        <w:t>نسائية، ومناهضة الاغتصاب في كينيا، والشعب ضد التعذيب، ومنتدى العاملات في حقل التربية والتعليم إلى آخره. بيد أنه تجدر ملاحظة أن معظم هذه المنظمات تقع مراكزها في الحضر ولايصل إليها إلا عدد قليل من الريفيات.</w:t>
      </w:r>
    </w:p>
    <w:p w:rsidR="00000000" w:rsidRDefault="00D8679F">
      <w:pPr>
        <w:pStyle w:val="SingleTxt"/>
        <w:tabs>
          <w:tab w:val="clear" w:pos="2592"/>
          <w:tab w:val="left" w:pos="2228"/>
        </w:tabs>
        <w:spacing w:after="0" w:line="120" w:lineRule="exact"/>
        <w:ind w:left="1930" w:hanging="663"/>
        <w:jc w:val="both"/>
        <w:rPr>
          <w:rFonts w:hint="cs"/>
          <w:sz w:val="10"/>
          <w:rtl/>
          <w:lang w:bidi="ar-EG"/>
        </w:rPr>
      </w:pPr>
    </w:p>
    <w:p w:rsidR="00000000" w:rsidRDefault="00D867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14: الريفيات</w:t>
      </w:r>
    </w:p>
    <w:p w:rsidR="00000000" w:rsidRDefault="00D8679F">
      <w:pPr>
        <w:pStyle w:val="SingleTxt"/>
        <w:tabs>
          <w:tab w:val="clear" w:pos="2592"/>
          <w:tab w:val="left" w:pos="2228"/>
        </w:tabs>
        <w:jc w:val="both"/>
        <w:rPr>
          <w:rFonts w:hint="cs"/>
          <w:rtl/>
          <w:lang w:bidi="ar-EG"/>
        </w:rPr>
      </w:pPr>
      <w:r>
        <w:rPr>
          <w:rFonts w:hint="cs"/>
          <w:rtl/>
          <w:lang w:bidi="ar-EG"/>
        </w:rPr>
        <w:t>139-</w:t>
      </w:r>
      <w:r>
        <w:rPr>
          <w:rFonts w:hint="cs"/>
          <w:rtl/>
          <w:lang w:bidi="ar-EG"/>
        </w:rPr>
        <w:tab/>
        <w:t>هناك برنامج وطني مستفيض</w:t>
      </w:r>
      <w:r>
        <w:rPr>
          <w:rFonts w:hint="cs"/>
          <w:rtl/>
          <w:lang w:bidi="ar-EG"/>
        </w:rPr>
        <w:t xml:space="preserve"> للإرشاد في مجالي الزراعية والثروة الحيوانية يوفر خدمات الإرشاد للفئات المستهدفة من الرجال والنساء. وقد أدمج البرنامج إهتمامات الجنسين في نهجه ويؤكد بصورة خاصة على فقراء الريف الضعفاء وهم من النساء في المقام الأول. ومنذ نشأته في عام 2002، كانت هناك زيادة ف</w:t>
      </w:r>
      <w:r>
        <w:rPr>
          <w:rFonts w:hint="cs"/>
          <w:rtl/>
          <w:lang w:bidi="ar-EG"/>
        </w:rPr>
        <w:t>ي عدد النساء المشتركات في البرنامج، اللائي سجلن ما متوسطه 000 80 من الإناث مقابل 000 100 من الرجال في عام 2004، بعد أن كان أقل من 000 40 امرأة في عام 2002. وتمثل المدارس الميدانية للمزارعين والفئات الأخرى المتخصصة ذات الاهتمام المشترك نُهجا أخرى للإرشاد ال</w:t>
      </w:r>
      <w:r>
        <w:rPr>
          <w:rFonts w:hint="cs"/>
          <w:rtl/>
          <w:lang w:bidi="ar-EG"/>
        </w:rPr>
        <w:t>زراعي تحصل المرأة عن طريقها على الدعم لتحسين أنشطتها الزراعية المدرة للدخل ورفع مستوى مبادرات الأمن الغذائي. وبلغ</w:t>
      </w:r>
      <w:r>
        <w:rPr>
          <w:rFonts w:hint="eastAsia"/>
          <w:rtl/>
          <w:lang w:bidi="ar-EG"/>
        </w:rPr>
        <w:t> </w:t>
      </w:r>
      <w:r>
        <w:rPr>
          <w:rFonts w:hint="cs"/>
          <w:rtl/>
          <w:lang w:bidi="ar-EG"/>
        </w:rPr>
        <w:t>عدد المستفيدات عن طريق هذه الفئات بين عامي 2003 و</w:t>
      </w:r>
      <w:r>
        <w:rPr>
          <w:rFonts w:hint="eastAsia"/>
          <w:rtl/>
          <w:lang w:bidi="ar-EG"/>
        </w:rPr>
        <w:t> </w:t>
      </w:r>
      <w:r>
        <w:rPr>
          <w:rFonts w:hint="cs"/>
          <w:rtl/>
          <w:lang w:bidi="ar-EG"/>
        </w:rPr>
        <w:t>2005 ما يقدر بـ</w:t>
      </w:r>
      <w:r>
        <w:rPr>
          <w:rFonts w:hint="eastAsia"/>
          <w:rtl/>
          <w:lang w:bidi="ar-EG"/>
        </w:rPr>
        <w:t> </w:t>
      </w:r>
      <w:r>
        <w:rPr>
          <w:rFonts w:hint="cs"/>
          <w:rtl/>
          <w:lang w:bidi="ar-EG"/>
        </w:rPr>
        <w:t>000</w:t>
      </w:r>
      <w:r>
        <w:rPr>
          <w:rFonts w:hint="eastAsia"/>
          <w:rtl/>
          <w:lang w:bidi="ar-EG"/>
        </w:rPr>
        <w:t> </w:t>
      </w:r>
      <w:r>
        <w:rPr>
          <w:rFonts w:hint="cs"/>
          <w:rtl/>
          <w:lang w:bidi="ar-EG"/>
        </w:rPr>
        <w:t>21.</w:t>
      </w:r>
    </w:p>
    <w:p w:rsidR="00000000" w:rsidRDefault="00D8679F">
      <w:pPr>
        <w:pStyle w:val="SingleTxt"/>
        <w:tabs>
          <w:tab w:val="clear" w:pos="2592"/>
          <w:tab w:val="left" w:pos="2228"/>
        </w:tabs>
        <w:jc w:val="both"/>
        <w:rPr>
          <w:rFonts w:hint="cs"/>
          <w:rtl/>
          <w:lang w:bidi="ar-EG"/>
        </w:rPr>
      </w:pPr>
      <w:r>
        <w:rPr>
          <w:rFonts w:hint="cs"/>
          <w:rtl/>
          <w:lang w:bidi="ar-EG"/>
        </w:rPr>
        <w:t>140-</w:t>
      </w:r>
      <w:r>
        <w:rPr>
          <w:rFonts w:hint="cs"/>
          <w:rtl/>
          <w:lang w:bidi="ar-EG"/>
        </w:rPr>
        <w:tab/>
        <w:t xml:space="preserve">وفي كينيا، يعيش ما يربو على  80 في المائة من النساء في المناطق </w:t>
      </w:r>
      <w:r>
        <w:rPr>
          <w:rFonts w:hint="cs"/>
          <w:rtl/>
          <w:lang w:bidi="ar-EG"/>
        </w:rPr>
        <w:t>الريفية حيث تعمل الغالبية فيها في زراعة المحاصيل الغذائية والنقدية، وتربية الحيوانات الزراعية والأنشطة الأخرى المدرة للدخل القائم على الزراعة. وتشكل المرأة حوالي 70 في المائة من جميع العاملين في القطاع الزراعي. ويتسم أجرها بالانخفاض وعدم التيقن. والجهود ال</w:t>
      </w:r>
      <w:r>
        <w:rPr>
          <w:rFonts w:hint="cs"/>
          <w:rtl/>
          <w:lang w:bidi="ar-EG"/>
        </w:rPr>
        <w:t xml:space="preserve">تي تبذلها المرأة في القطاعات الأخرى أساسية. فهي تسهم في الخدمات المنزلية بما في ذلك رعاية الطفل، والعمل المنزلي، وجمع الحطب وإحضار المياه وإعداد الطعام ولا تحصل على مكاسب نقدية مقابل ذلك. وتعمل المرأة، كأفراد أو كجماعات، في أنشطة تجارية صغيرة الحجم وصغيرة </w:t>
      </w:r>
      <w:r>
        <w:rPr>
          <w:rFonts w:hint="cs"/>
          <w:rtl/>
          <w:lang w:bidi="ar-EG"/>
        </w:rPr>
        <w:t>جدا تحصل منها على بعض الدخل. ولا تعمل إلا نسبة مئوية صغيرة من النساء في مشاريع كبيرة الحجم وفي وظائف بأجر مجز في القطاع الحديث. والاشتراك العام للمرأة في الاقتصاد ومساهمتها فيه مبخوس التقدير. ووقت المرأة يُقضى أساسا في أدوارها المتعددة في الإنجاب، والإنتاج</w:t>
      </w:r>
      <w:r>
        <w:rPr>
          <w:rFonts w:hint="cs"/>
          <w:rtl/>
          <w:lang w:bidi="ar-EG"/>
        </w:rPr>
        <w:t xml:space="preserve"> والصيانة مما يؤثر على مدى ما يمكنها الاستفادة به من الوسائل الجديدة للإنتاج، والمعلومات والمعرفة واكتساب المهارات.</w:t>
      </w:r>
    </w:p>
    <w:p w:rsidR="00000000" w:rsidRDefault="00D8679F">
      <w:pPr>
        <w:pStyle w:val="SingleTxt"/>
        <w:tabs>
          <w:tab w:val="clear" w:pos="2592"/>
          <w:tab w:val="left" w:pos="2228"/>
        </w:tabs>
        <w:jc w:val="both"/>
        <w:rPr>
          <w:rFonts w:hint="cs"/>
          <w:rtl/>
          <w:lang w:bidi="ar-EG"/>
        </w:rPr>
      </w:pPr>
      <w:r>
        <w:rPr>
          <w:rFonts w:hint="cs"/>
          <w:rtl/>
          <w:lang w:bidi="ar-EG"/>
        </w:rPr>
        <w:t>141-</w:t>
      </w:r>
      <w:r>
        <w:rPr>
          <w:rFonts w:hint="cs"/>
          <w:rtl/>
          <w:lang w:bidi="ar-EG"/>
        </w:rPr>
        <w:tab/>
        <w:t xml:space="preserve">ويتمثل أحد التحديات التي ظهرت في أن هناك افتقارا في الوعي بشأن حقوق ملكية المرأة. وهكذا أصبح من الواضح الآن أن هناك حاجة لقيام الحكومة </w:t>
      </w:r>
      <w:r>
        <w:rPr>
          <w:rFonts w:hint="cs"/>
          <w:rtl/>
          <w:lang w:bidi="ar-EG"/>
        </w:rPr>
        <w:t>بتوعية الجمهور بحقوق المرأة في الملكية والنتائج فيما يتعلق بالوطن ككل، في حالة حرمان المرأة من تلك الحقوق.</w:t>
      </w:r>
    </w:p>
    <w:p w:rsidR="00000000" w:rsidRDefault="00D8679F">
      <w:pPr>
        <w:pStyle w:val="SingleTxt"/>
        <w:tabs>
          <w:tab w:val="clear" w:pos="2592"/>
          <w:tab w:val="left" w:pos="2228"/>
        </w:tabs>
        <w:jc w:val="both"/>
        <w:rPr>
          <w:rFonts w:hint="cs"/>
          <w:rtl/>
          <w:lang w:bidi="ar-EG"/>
        </w:rPr>
      </w:pPr>
      <w:r>
        <w:rPr>
          <w:rFonts w:hint="cs"/>
          <w:rtl/>
          <w:lang w:bidi="ar-EG"/>
        </w:rPr>
        <w:t>142-</w:t>
      </w:r>
      <w:r>
        <w:rPr>
          <w:rFonts w:hint="cs"/>
          <w:rtl/>
          <w:lang w:bidi="ar-EG"/>
        </w:rPr>
        <w:tab/>
        <w:t>ويجري وضع مشروع السياسة الوطنية للأراضي في صورته النهائية ويمكن أن يكون بمثابة محفل يمكن من خلاله معالجة التمييز القائم على نوع الجنس فيما يتعلق</w:t>
      </w:r>
      <w:r>
        <w:rPr>
          <w:rFonts w:hint="cs"/>
          <w:rtl/>
          <w:lang w:bidi="ar-EG"/>
        </w:rPr>
        <w:t xml:space="preserve"> بالحصول على الأراضي وملكيتها. وبعض توصيات هذه السياسة يشمل: إبطال جميع القوانين، والأنظمة، والعادات والممارسات التي تشكل تمييزا قائما على نوع الجنس في الحصول على الأراضي، وملكيتها والسيطرة عليها، وتحقيق تساوق قوانين الوراثة والملكية، واتخاذ تدابير قانونية</w:t>
      </w:r>
      <w:r>
        <w:rPr>
          <w:rFonts w:hint="cs"/>
          <w:rtl/>
          <w:lang w:bidi="ar-EG"/>
        </w:rPr>
        <w:t xml:space="preserve"> لكفالة تمتع المرأة والرجل بحقوق متساوية في الأرض قبل الزواج، وأثناء الزواج وخلال وعند حل الزواج وبعد وفاة أحد الزوجين وسن قوانين لتقييد بيع ورهن أراضي الأسرة بدون مشاركة كلا الزوجين.</w:t>
      </w:r>
    </w:p>
    <w:p w:rsidR="00000000" w:rsidRDefault="00D8679F">
      <w:pPr>
        <w:pStyle w:val="SingleTxt"/>
        <w:tabs>
          <w:tab w:val="clear" w:pos="2592"/>
          <w:tab w:val="left" w:pos="2228"/>
        </w:tabs>
        <w:jc w:val="both"/>
        <w:rPr>
          <w:rFonts w:hint="cs"/>
          <w:rtl/>
          <w:lang w:bidi="ar-EG"/>
        </w:rPr>
      </w:pPr>
      <w:r>
        <w:rPr>
          <w:rFonts w:hint="cs"/>
          <w:rtl/>
          <w:lang w:bidi="ar-EG"/>
        </w:rPr>
        <w:t>143-</w:t>
      </w:r>
      <w:r>
        <w:rPr>
          <w:rFonts w:hint="cs"/>
          <w:rtl/>
          <w:lang w:bidi="ar-EG"/>
        </w:rPr>
        <w:tab/>
        <w:t>وتوجد في كينيا عدة مرافق ائتمانية يمكن للمرأة أن تحصل عن طريقها على</w:t>
      </w:r>
      <w:r>
        <w:rPr>
          <w:rFonts w:hint="cs"/>
          <w:rtl/>
          <w:lang w:bidi="ar-EG"/>
        </w:rPr>
        <w:t xml:space="preserve"> الائتمان بأسعار فائدة منخفضة. وهذه المرافق تشمل: المؤسسة المالية الزراعية، والصندوق الاستئماني المالي للمرأة في كينيا، ورابطة المزارعين في كينيا، وبرنامج المؤسسة الريفية في كينيا. بيد أن هذه المرافق ليست كافية لتلبية الطلب على الائتمان بين الريفيات. والأك</w:t>
      </w:r>
      <w:r>
        <w:rPr>
          <w:rFonts w:hint="cs"/>
          <w:rtl/>
          <w:lang w:bidi="ar-EG"/>
        </w:rPr>
        <w:t>ثر من ذلك، يؤدي عدم حيازة معظم النساء لصكوك ملكية الأرض إلى تقييد حصولهن على الائتمان نظرا لعدم امتلاكهن لشيء لتقديمه كضمان لقروض المصارف التجارية.</w:t>
      </w:r>
    </w:p>
    <w:p w:rsidR="00000000" w:rsidRDefault="00D8679F">
      <w:pPr>
        <w:pStyle w:val="SingleTxt"/>
        <w:tabs>
          <w:tab w:val="clear" w:pos="2592"/>
          <w:tab w:val="left" w:pos="2228"/>
        </w:tabs>
        <w:jc w:val="both"/>
        <w:rPr>
          <w:rFonts w:hint="cs"/>
          <w:rtl/>
          <w:lang w:bidi="ar-EG"/>
        </w:rPr>
      </w:pPr>
      <w:r>
        <w:rPr>
          <w:rFonts w:hint="cs"/>
          <w:rtl/>
          <w:lang w:bidi="ar-EG"/>
        </w:rPr>
        <w:t>144 -</w:t>
      </w:r>
      <w:r>
        <w:rPr>
          <w:rFonts w:hint="cs"/>
          <w:rtl/>
          <w:lang w:bidi="ar-EG"/>
        </w:rPr>
        <w:tab/>
        <w:t xml:space="preserve">وقد أنشأت الحكومة أيضا لجنة المنح الوزارية في إطار وزارة الشؤون الجنسانية، والألعاب الرياضية والثقافة </w:t>
      </w:r>
      <w:r>
        <w:rPr>
          <w:rFonts w:hint="cs"/>
          <w:rtl/>
          <w:lang w:bidi="ar-EG"/>
        </w:rPr>
        <w:t>والخدمات الاجتماعية، التي تقدم الدعم للمبادرات الإنمائية للمجتمعات المحلية. والمشاريع التي تحصل على الدعم عادة ما تحددها  المجتمعات المحلية ذاتها من القاعدة الشعبية وتطلب توجيه الدعم عن طريق اللجان الإنمائية للمجتمعات المحلية في المناطق التي أعيد تنشيطها ف</w:t>
      </w:r>
      <w:r>
        <w:rPr>
          <w:rFonts w:hint="cs"/>
          <w:rtl/>
          <w:lang w:bidi="ar-EG"/>
        </w:rPr>
        <w:t>ي كل منطقة. وفي عام 2005، جرى توزيع حوالي 500 225 48 شلن كيني على هذه المجموعات. وقد شجعت الحكومة المرأة باستمرار لتكوين جماعات جهد ذاتي ورفاه لتمكينها من الوصول إلى مختلف الخدمات المتاحة.</w:t>
      </w:r>
    </w:p>
    <w:p w:rsidR="00000000" w:rsidRDefault="00D8679F">
      <w:pPr>
        <w:pStyle w:val="SingleTxt"/>
        <w:tabs>
          <w:tab w:val="clear" w:pos="2592"/>
          <w:tab w:val="left" w:pos="2228"/>
        </w:tabs>
        <w:jc w:val="both"/>
        <w:rPr>
          <w:rFonts w:hint="cs"/>
          <w:rtl/>
          <w:lang w:bidi="ar-EG"/>
        </w:rPr>
      </w:pPr>
      <w:r>
        <w:rPr>
          <w:rFonts w:hint="cs"/>
          <w:rtl/>
          <w:lang w:bidi="ar-EG"/>
        </w:rPr>
        <w:t>145-</w:t>
      </w:r>
      <w:r>
        <w:rPr>
          <w:rFonts w:hint="cs"/>
          <w:rtl/>
          <w:lang w:bidi="ar-EG"/>
        </w:rPr>
        <w:tab/>
        <w:t>واقتصاد كينيا زراعي أساسيا وتوجد مرافق التسويق التالية: مجلس ك</w:t>
      </w:r>
      <w:r>
        <w:rPr>
          <w:rFonts w:hint="cs"/>
          <w:rtl/>
          <w:lang w:bidi="ar-EG"/>
        </w:rPr>
        <w:t>ينيا للبن، ومجلس كينيا للشاي، ومجلس كينيا للبيريثروم، ومجلس كينيا للسكر، والمجلس الوطني للغلال ومنتجات المزارع، وهيئة تنمية محاصيل البساتين، ولجنة كينيا للحوم، ومجلس كينيا لمنتجات الألبان. وهذه المجالس تسهل تسويق منتجات المزارعين في السوق الدولية. وقامت ال</w:t>
      </w:r>
      <w:r>
        <w:rPr>
          <w:rFonts w:hint="cs"/>
          <w:rtl/>
          <w:lang w:bidi="ar-EG"/>
        </w:rPr>
        <w:t>حكومة بإعادة تنظيم وتحرير معظم الصناعات الزراعية بغية تحقيق أقصى الفوائد للمزارعين.</w:t>
      </w:r>
    </w:p>
    <w:p w:rsidR="00000000" w:rsidRDefault="00D8679F">
      <w:pPr>
        <w:pStyle w:val="SingleTxt"/>
        <w:tabs>
          <w:tab w:val="clear" w:pos="2592"/>
          <w:tab w:val="left" w:pos="2228"/>
        </w:tabs>
        <w:jc w:val="both"/>
        <w:rPr>
          <w:rFonts w:hint="cs"/>
          <w:rtl/>
          <w:lang w:bidi="ar-EG"/>
        </w:rPr>
      </w:pPr>
      <w:r>
        <w:rPr>
          <w:rFonts w:hint="cs"/>
          <w:rtl/>
          <w:lang w:bidi="ar-EG"/>
        </w:rPr>
        <w:t>146-</w:t>
      </w:r>
      <w:r>
        <w:rPr>
          <w:rFonts w:hint="cs"/>
          <w:rtl/>
          <w:lang w:bidi="ar-EG"/>
        </w:rPr>
        <w:tab/>
        <w:t>وجرى تعديل قانون الجمعيات التعاونية، الذي كان يعوق المرأة مبدئيا من الحصول على الائتمان، وذلك لتسهيل قيام المرأة بتكوين جمعيات تعاونية وبالتالي حصولها على الائتمان.</w:t>
      </w:r>
    </w:p>
    <w:p w:rsidR="00000000" w:rsidRDefault="00D8679F">
      <w:pPr>
        <w:pStyle w:val="SingleTxt"/>
        <w:tabs>
          <w:tab w:val="clear" w:pos="2592"/>
          <w:tab w:val="left" w:pos="2228"/>
        </w:tabs>
        <w:jc w:val="both"/>
        <w:rPr>
          <w:rFonts w:hint="cs"/>
          <w:rtl/>
          <w:lang w:bidi="ar-EG"/>
        </w:rPr>
      </w:pPr>
      <w:r>
        <w:rPr>
          <w:rFonts w:hint="cs"/>
          <w:rtl/>
          <w:lang w:bidi="ar-EG"/>
        </w:rPr>
        <w:t>14</w:t>
      </w:r>
      <w:r>
        <w:rPr>
          <w:rFonts w:hint="cs"/>
          <w:rtl/>
          <w:lang w:bidi="ar-EG"/>
        </w:rPr>
        <w:t>7-</w:t>
      </w:r>
      <w:r>
        <w:rPr>
          <w:rFonts w:hint="cs"/>
          <w:rtl/>
          <w:lang w:bidi="ar-EG"/>
        </w:rPr>
        <w:tab/>
        <w:t>وقد تضمن قانون الجمعيات التعاونية الجديد المبادئ التعاونية المقبولة دوليا بما في ذلك مبدأ ’</w:t>
      </w:r>
      <w:r>
        <w:rPr>
          <w:rFonts w:hint="eastAsia"/>
          <w:rtl/>
          <w:lang w:bidi="ar-EG"/>
        </w:rPr>
        <w:t>الرقابة الديمقراطية للأعضاء</w:t>
      </w:r>
      <w:r>
        <w:rPr>
          <w:rFonts w:hint="cs"/>
          <w:rtl/>
          <w:lang w:bidi="ar-EG"/>
        </w:rPr>
        <w:t>‘. وكانت التعديلات تهدف أيضا إلى تعزيز الحركة التعاونية ووضعها استراتيجيا كأدوات رئيسية لتخفيف حدة الفقر. وهذا يتمشى مع استراتيجية الإن</w:t>
      </w:r>
      <w:r>
        <w:rPr>
          <w:rFonts w:hint="cs"/>
          <w:rtl/>
          <w:lang w:bidi="ar-EG"/>
        </w:rPr>
        <w:t>تعاش الاقتصادي من أجل تكوين الثروة وخلق الوظائف.</w:t>
      </w:r>
    </w:p>
    <w:p w:rsidR="00000000" w:rsidRDefault="00D8679F">
      <w:pPr>
        <w:pStyle w:val="SingleTxt"/>
        <w:tabs>
          <w:tab w:val="clear" w:pos="2592"/>
          <w:tab w:val="left" w:pos="2228"/>
        </w:tabs>
        <w:jc w:val="both"/>
        <w:rPr>
          <w:rFonts w:hint="cs"/>
          <w:rtl/>
          <w:lang w:bidi="ar-EG"/>
        </w:rPr>
      </w:pPr>
      <w:r>
        <w:rPr>
          <w:rFonts w:hint="cs"/>
          <w:rtl/>
          <w:lang w:bidi="ar-EG"/>
        </w:rPr>
        <w:t>148-</w:t>
      </w:r>
      <w:r>
        <w:rPr>
          <w:rFonts w:hint="cs"/>
          <w:rtl/>
          <w:lang w:bidi="ar-EG"/>
        </w:rPr>
        <w:tab/>
        <w:t>بيد أن معظم الأنشطة الزراعية الكبيرة الحجم والتجارية ما زالت خاضعة لسيطرة الرجل في حين تترك للمرأة زراعة الكفاف الصغير الحجم بفائض قليل، إن وجد، للبيع. ومع ذلك، هناك استراتيجية جديدة للحكومة لإعادة تنشي</w:t>
      </w:r>
      <w:r>
        <w:rPr>
          <w:rFonts w:hint="cs"/>
          <w:rtl/>
          <w:lang w:bidi="ar-EG"/>
        </w:rPr>
        <w:t>ط الزراعة، في الفترة 2004-2007، تهدف إلى توفير خدمات الإرشاد إلى مزارعي الكفاف.</w:t>
      </w:r>
    </w:p>
    <w:p w:rsidR="00000000" w:rsidRDefault="00D8679F">
      <w:pPr>
        <w:pStyle w:val="SingleTxt"/>
        <w:tabs>
          <w:tab w:val="clear" w:pos="2592"/>
          <w:tab w:val="left" w:pos="2228"/>
        </w:tabs>
        <w:jc w:val="both"/>
        <w:rPr>
          <w:rFonts w:hint="cs"/>
          <w:rtl/>
          <w:lang w:bidi="ar-EG"/>
        </w:rPr>
      </w:pPr>
      <w:r>
        <w:rPr>
          <w:rFonts w:hint="cs"/>
          <w:rtl/>
          <w:lang w:bidi="ar-EG"/>
        </w:rPr>
        <w:t>149-</w:t>
      </w:r>
      <w:r>
        <w:rPr>
          <w:rFonts w:hint="cs"/>
          <w:rtl/>
          <w:lang w:bidi="ar-EG"/>
        </w:rPr>
        <w:tab/>
        <w:t>وقد وضعت موضع التنفيذ برامج خاصة ترمي إلى تلبية الاحتياجات الخاصة للمرأة في المناطق الريفية. وتشمل هذه البرامج إنشاء وزارة الشؤون الجنسانية، والألعاب الرياضية والثقافة وال</w:t>
      </w:r>
      <w:r>
        <w:rPr>
          <w:rFonts w:hint="cs"/>
          <w:rtl/>
          <w:lang w:bidi="ar-EG"/>
        </w:rPr>
        <w:t>خدمات الاجتماعية، واللجنة الوطنية للشؤون الجنسانية، واللجنة الوطنية لحقوق الإنسان في كينيا، والصندوق الإنمائي للدوائر الانتخابية الذي يهدف إلى تمويل المشاريع على صعيد الدوائر الانتخابية، ولجنة المعونات على صعيد الدوائر الانتخابية، وصندوق المنح المالية للطل</w:t>
      </w:r>
      <w:r>
        <w:rPr>
          <w:rFonts w:hint="cs"/>
          <w:rtl/>
          <w:lang w:bidi="ar-EG"/>
        </w:rPr>
        <w:t>اب على صعيد  الدوائر الانتخابية، وصندوق نقل السلطات المحلية وصندوق رسوم</w:t>
      </w:r>
      <w:r>
        <w:rPr>
          <w:rFonts w:hint="eastAsia"/>
          <w:rtl/>
          <w:lang w:bidi="ar-EG"/>
        </w:rPr>
        <w:t> </w:t>
      </w:r>
      <w:r>
        <w:rPr>
          <w:rFonts w:hint="cs"/>
          <w:rtl/>
          <w:lang w:bidi="ar-EG"/>
        </w:rPr>
        <w:t>الطرق.</w:t>
      </w:r>
    </w:p>
    <w:p w:rsidR="00000000" w:rsidRDefault="00D8679F">
      <w:pPr>
        <w:pStyle w:val="SingleTxt"/>
        <w:tabs>
          <w:tab w:val="clear" w:pos="2592"/>
          <w:tab w:val="left" w:pos="2228"/>
        </w:tabs>
        <w:jc w:val="both"/>
        <w:rPr>
          <w:rFonts w:hint="cs"/>
          <w:rtl/>
          <w:lang w:bidi="ar-EG"/>
        </w:rPr>
      </w:pPr>
      <w:r>
        <w:rPr>
          <w:rFonts w:hint="cs"/>
          <w:rtl/>
          <w:lang w:bidi="ar-EG"/>
        </w:rPr>
        <w:t>150-</w:t>
      </w:r>
      <w:r>
        <w:rPr>
          <w:rFonts w:hint="cs"/>
          <w:rtl/>
          <w:lang w:bidi="ar-EG"/>
        </w:rPr>
        <w:tab/>
        <w:t>وأدى إنشاء وزارة الشؤون الجنسانية، والألعاب الرياضية والثقافة والخدمات الاجتماعية واللجنة الوطنية للشؤون الجنسانية من بين أمور أخرى إلى تزويد الحكومة بآلية فعالة يمكن عن طر</w:t>
      </w:r>
      <w:r>
        <w:rPr>
          <w:rFonts w:hint="cs"/>
          <w:rtl/>
          <w:lang w:bidi="ar-EG"/>
        </w:rPr>
        <w:t>يقها أن تعالج معظم أوجه عدم المساواة التي تواجهها المرأة الريفية حتى</w:t>
      </w:r>
      <w:r>
        <w:rPr>
          <w:rFonts w:hint="eastAsia"/>
          <w:rtl/>
          <w:lang w:bidi="ar-EG"/>
        </w:rPr>
        <w:t> </w:t>
      </w:r>
      <w:r>
        <w:rPr>
          <w:rFonts w:hint="cs"/>
          <w:rtl/>
          <w:lang w:bidi="ar-EG"/>
        </w:rPr>
        <w:t>الآن.</w:t>
      </w:r>
    </w:p>
    <w:p w:rsidR="00000000" w:rsidRDefault="00D8679F">
      <w:pPr>
        <w:pStyle w:val="SingleTxt"/>
        <w:tabs>
          <w:tab w:val="clear" w:pos="2592"/>
          <w:tab w:val="left" w:pos="2228"/>
        </w:tabs>
        <w:jc w:val="both"/>
        <w:rPr>
          <w:rFonts w:hint="cs"/>
          <w:rtl/>
          <w:lang w:bidi="ar-EG"/>
        </w:rPr>
      </w:pPr>
      <w:r>
        <w:rPr>
          <w:rFonts w:hint="cs"/>
          <w:rtl/>
          <w:lang w:bidi="ar-EG"/>
        </w:rPr>
        <w:t>151-</w:t>
      </w:r>
      <w:r>
        <w:rPr>
          <w:rFonts w:hint="cs"/>
          <w:rtl/>
          <w:lang w:bidi="ar-EG"/>
        </w:rPr>
        <w:tab/>
        <w:t>وكجزء من استراتيجية الإنتعاش الاقتصادي من أجل تكوين الثروة وخلق الوظائف، لخطة الفترة 2003-2007، بدأت الحكومة برنامج إصلاح قطاع القانون والنظام فيما</w:t>
      </w:r>
      <w:r>
        <w:rPr>
          <w:rFonts w:hint="eastAsia"/>
          <w:rtl/>
          <w:lang w:bidi="ar-EG"/>
        </w:rPr>
        <w:t> </w:t>
      </w:r>
      <w:r>
        <w:rPr>
          <w:rFonts w:hint="cs"/>
          <w:rtl/>
          <w:lang w:bidi="ar-EG"/>
        </w:rPr>
        <w:t>يتعلق بعدالة الحكم، الذي يهد</w:t>
      </w:r>
      <w:r>
        <w:rPr>
          <w:rFonts w:hint="cs"/>
          <w:rtl/>
          <w:lang w:bidi="ar-EG"/>
        </w:rPr>
        <w:t>ف إلى جملة أمور منها: معالجة انتهاكات حقوق الإنسان، وتوفير العدالة للجميع بصورة يسهل الوصول إليها وبتكلفة يمكن تحملها، والتعجيل بالنظر في القضايا أمام المحاكم، وتحقيق استقلال ونزاهة هيئة المحكمة والمحامين وتخفيف اكتظاظ السجون. ويعتمد البرنامج نهجا شموليا ع</w:t>
      </w:r>
      <w:r>
        <w:rPr>
          <w:rFonts w:hint="cs"/>
          <w:rtl/>
          <w:lang w:bidi="ar-EG"/>
        </w:rPr>
        <w:t>لى نطاق القطاعات ويشمل مختلف الجهات الفاعلة الحكومية وغير الحكومية. ويعمل البرنامج على تلبية احتياجات الكينيين بمواءمة أفضل الممارسات المتسمة بالكفاء والفعالية من حيث التكاليف، وبناء القدرات المستدامة، وتوفير القيادة والتنسيق على مستوى رفيع وضمان العمل ببر</w:t>
      </w:r>
      <w:r>
        <w:rPr>
          <w:rFonts w:hint="cs"/>
          <w:rtl/>
          <w:lang w:bidi="ar-EG"/>
        </w:rPr>
        <w:t>نامج مكثف للمعلومات، والتعليم والاتصالات.</w:t>
      </w:r>
    </w:p>
    <w:p w:rsidR="00000000" w:rsidRDefault="00D8679F">
      <w:pPr>
        <w:pStyle w:val="SingleTxt"/>
        <w:tabs>
          <w:tab w:val="clear" w:pos="2592"/>
          <w:tab w:val="left" w:pos="2228"/>
        </w:tabs>
        <w:jc w:val="both"/>
        <w:rPr>
          <w:rFonts w:hint="cs"/>
          <w:rtl/>
          <w:lang w:bidi="ar-EG"/>
        </w:rPr>
      </w:pPr>
      <w:r>
        <w:rPr>
          <w:rFonts w:hint="cs"/>
          <w:rtl/>
          <w:lang w:bidi="ar-EG"/>
        </w:rPr>
        <w:t>152-</w:t>
      </w:r>
      <w:r>
        <w:rPr>
          <w:rFonts w:hint="cs"/>
          <w:rtl/>
          <w:lang w:bidi="ar-EG"/>
        </w:rPr>
        <w:tab/>
        <w:t>وبرنامج إصلاح قطاع القانون والنظام فيما يتعلق بعدالة الحكم، الذي تموله حكومة كينيا بالاشتراك مع وكالات دولية من المتوقع تنفيذه في الفترة 2003-2009. ومن بين النتائج المتوقعة: إنشاء مركز لحقوق الإنسان قادر على أ</w:t>
      </w:r>
      <w:r>
        <w:rPr>
          <w:rFonts w:hint="cs"/>
          <w:rtl/>
          <w:lang w:bidi="ar-EG"/>
        </w:rPr>
        <w:t>داء وظائفه، ويسهل الوصول إليه وجيد الموارد، وتحسين حصول الضعفاء على الاحتياجات الأساسية بوجه عام، ووضع نظام لإدارة الاتصالات والأداء قادر على أداء وظائفه ومستحدث ونظام مدعَّم لعدالة الأحداث.</w:t>
      </w:r>
    </w:p>
    <w:p w:rsidR="00000000" w:rsidRDefault="00D8679F">
      <w:pPr>
        <w:pStyle w:val="SingleTxt"/>
        <w:tabs>
          <w:tab w:val="clear" w:pos="2592"/>
          <w:tab w:val="left" w:pos="2228"/>
        </w:tabs>
        <w:spacing w:after="0" w:line="120" w:lineRule="exact"/>
        <w:ind w:left="1930" w:hanging="663"/>
        <w:jc w:val="both"/>
        <w:rPr>
          <w:rFonts w:hint="cs"/>
          <w:sz w:val="10"/>
          <w:rtl/>
          <w:lang w:bidi="ar-EG"/>
        </w:rPr>
      </w:pPr>
    </w:p>
    <w:p w:rsidR="00000000" w:rsidRDefault="00D867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15: المساواة أمام القانون وفي المسائل المدنية</w:t>
      </w:r>
    </w:p>
    <w:p w:rsidR="00000000" w:rsidRDefault="00D8679F">
      <w:pPr>
        <w:pStyle w:val="SingleTxt"/>
        <w:tabs>
          <w:tab w:val="clear" w:pos="2592"/>
          <w:tab w:val="left" w:pos="2228"/>
        </w:tabs>
        <w:jc w:val="both"/>
        <w:rPr>
          <w:rFonts w:hint="cs"/>
          <w:rtl/>
          <w:lang w:bidi="ar-EG"/>
        </w:rPr>
      </w:pPr>
      <w:r>
        <w:rPr>
          <w:rFonts w:hint="cs"/>
          <w:rtl/>
          <w:lang w:bidi="ar-EG"/>
        </w:rPr>
        <w:t>153-</w:t>
      </w:r>
      <w:r>
        <w:rPr>
          <w:rFonts w:hint="cs"/>
          <w:rtl/>
          <w:lang w:bidi="ar-EG"/>
        </w:rPr>
        <w:tab/>
        <w:t>المس</w:t>
      </w:r>
      <w:r>
        <w:rPr>
          <w:rFonts w:hint="cs"/>
          <w:rtl/>
          <w:lang w:bidi="ar-EG"/>
        </w:rPr>
        <w:t>اواة أمام القانون: تنص المادة 70 (أ) من دستور كينيا على أنه يحق لكل شخص في كينيا التمتع بالحريات والحقوق الأساسية للفرد بما في ذلك حماية القانون. وتنص المادة 77 (9) من الدستور على أنه يحق لجميع الأشخاص إقامة الدعاوى المدنية في المحاكم. وعلى المحاكم واجب مق</w:t>
      </w:r>
      <w:r>
        <w:rPr>
          <w:rFonts w:hint="cs"/>
          <w:rtl/>
          <w:lang w:bidi="ar-EG"/>
        </w:rPr>
        <w:t>ابل للنظر في تلك المسائل والبت فيها بدون تحيز وفي غضون فترة زمنية</w:t>
      </w:r>
      <w:r>
        <w:rPr>
          <w:rFonts w:hint="eastAsia"/>
          <w:rtl/>
          <w:lang w:bidi="ar-EG"/>
        </w:rPr>
        <w:t> </w:t>
      </w:r>
      <w:r>
        <w:rPr>
          <w:rFonts w:hint="cs"/>
          <w:rtl/>
          <w:lang w:bidi="ar-EG"/>
        </w:rPr>
        <w:t>معقولة.</w:t>
      </w:r>
    </w:p>
    <w:p w:rsidR="00000000" w:rsidRDefault="00D8679F">
      <w:pPr>
        <w:pStyle w:val="SingleTxt"/>
        <w:tabs>
          <w:tab w:val="clear" w:pos="2592"/>
          <w:tab w:val="left" w:pos="2228"/>
        </w:tabs>
        <w:jc w:val="both"/>
        <w:rPr>
          <w:rFonts w:hint="cs"/>
          <w:rtl/>
          <w:lang w:bidi="ar-EG"/>
        </w:rPr>
      </w:pPr>
      <w:r>
        <w:rPr>
          <w:rFonts w:hint="cs"/>
          <w:rtl/>
          <w:lang w:bidi="ar-EG"/>
        </w:rPr>
        <w:t>154-</w:t>
      </w:r>
      <w:r>
        <w:rPr>
          <w:rFonts w:hint="cs"/>
          <w:rtl/>
          <w:lang w:bidi="ar-EG"/>
        </w:rPr>
        <w:tab/>
        <w:t>إبرام العقود وإدارة الممتلكات: ينص القانون بصيغته الحالية على أن جميع الأشخاص الراشدين وذوي العقل السليم قادرون على الدخول في التزامات تعاقدية بصرف النظر عن جنسهم. وهذا يتمشى مع</w:t>
      </w:r>
      <w:r>
        <w:rPr>
          <w:rFonts w:hint="cs"/>
          <w:rtl/>
          <w:lang w:bidi="ar-EG"/>
        </w:rPr>
        <w:t xml:space="preserve"> الحكم الدستوري الوارد في المادة 75 (1) التي تقرأ إلى جانب المادة 81 (1) من الدستور، التي تنص على أنه يحق لجميع الأشخاص في كينيا الاستقرار في أي مكان في البلد، وامتلاك الممتلكات والتمتع بحماية القانون لمصالحهم.</w:t>
      </w:r>
    </w:p>
    <w:p w:rsidR="00000000" w:rsidRDefault="00D8679F">
      <w:pPr>
        <w:pStyle w:val="SingleTxt"/>
        <w:tabs>
          <w:tab w:val="clear" w:pos="2592"/>
          <w:tab w:val="left" w:pos="2228"/>
        </w:tabs>
        <w:jc w:val="both"/>
        <w:rPr>
          <w:rFonts w:hint="cs"/>
          <w:rtl/>
          <w:lang w:bidi="ar-EG"/>
        </w:rPr>
      </w:pPr>
      <w:r>
        <w:rPr>
          <w:rFonts w:hint="cs"/>
          <w:rtl/>
          <w:lang w:bidi="ar-EG"/>
        </w:rPr>
        <w:t>155-</w:t>
      </w:r>
      <w:r>
        <w:rPr>
          <w:rFonts w:hint="cs"/>
          <w:rtl/>
          <w:lang w:bidi="ar-EG"/>
        </w:rPr>
        <w:tab/>
        <w:t>ومن الناحية العملية، يصدق هذا إلى حد كبي</w:t>
      </w:r>
      <w:r>
        <w:rPr>
          <w:rFonts w:hint="cs"/>
          <w:rtl/>
          <w:lang w:bidi="ar-EG"/>
        </w:rPr>
        <w:t>ر حيث أن المرأة قادرة على الدخول في عقود، والحصول على وظيفة، وشراء وامتلاك الأراضي، والمساكن والأشكال الأخرى للممتلكات. وهذا يتعلق في المقام الأول بالمرأة في المناطق الحضرية. وفي بعض المناطق الريفية، قد تكون هناك بعض التناقضات بين أحكام القانون والعادات ال</w:t>
      </w:r>
      <w:r>
        <w:rPr>
          <w:rFonts w:hint="cs"/>
          <w:rtl/>
          <w:lang w:bidi="ar-EG"/>
        </w:rPr>
        <w:t>ناتجة عن الممارسات والتقاليد الثقافية الأبوية التي لا تسمح وما زالت تجعل من الصعب للمرأة أن تدير الممتلكات، ولا</w:t>
      </w:r>
      <w:r>
        <w:rPr>
          <w:rFonts w:hint="eastAsia"/>
          <w:rtl/>
          <w:lang w:bidi="ar-EG"/>
        </w:rPr>
        <w:t> </w:t>
      </w:r>
      <w:r>
        <w:rPr>
          <w:rFonts w:hint="cs"/>
          <w:rtl/>
          <w:lang w:bidi="ar-EG"/>
        </w:rPr>
        <w:t>سيما الأرض.</w:t>
      </w:r>
    </w:p>
    <w:p w:rsidR="00000000" w:rsidRDefault="00D8679F">
      <w:pPr>
        <w:pStyle w:val="SingleTxt"/>
        <w:tabs>
          <w:tab w:val="clear" w:pos="2592"/>
          <w:tab w:val="left" w:pos="2228"/>
        </w:tabs>
        <w:jc w:val="both"/>
        <w:rPr>
          <w:rFonts w:hint="cs"/>
          <w:rtl/>
          <w:lang w:bidi="ar-EG"/>
        </w:rPr>
      </w:pPr>
      <w:r>
        <w:rPr>
          <w:rFonts w:hint="cs"/>
          <w:rtl/>
          <w:lang w:bidi="ar-EG"/>
        </w:rPr>
        <w:t>156-</w:t>
      </w:r>
      <w:r>
        <w:rPr>
          <w:rFonts w:hint="cs"/>
          <w:rtl/>
          <w:lang w:bidi="ar-EG"/>
        </w:rPr>
        <w:tab/>
        <w:t>وكما لوحظ في الفقرات 5 و 6 و 7 أعلاه، يسمح دستور كينيا بالتمييز في المسائل المتعلقة بالقانون الشخصي، والطلاق، والميراث والتبني.</w:t>
      </w:r>
      <w:r>
        <w:rPr>
          <w:rFonts w:hint="cs"/>
          <w:rtl/>
          <w:lang w:bidi="ar-EG"/>
        </w:rPr>
        <w:t xml:space="preserve"> وفي حين تدرك الحكومة أثر هذه الأحكام الدستورية في المادة 82 (4 (ب و ج))، فقد ثبت أن هذه تمثل أصعب مجال لمعالجة حقوق المرأة حيث أنها تتطلب إجراء تعديلات دستورية - التي ثبت أنها عملية طويلة ومليئة</w:t>
      </w:r>
      <w:r>
        <w:rPr>
          <w:rFonts w:hint="eastAsia"/>
          <w:rtl/>
          <w:lang w:bidi="ar-EG"/>
        </w:rPr>
        <w:t> </w:t>
      </w:r>
      <w:r>
        <w:rPr>
          <w:rFonts w:hint="cs"/>
          <w:rtl/>
          <w:lang w:bidi="ar-EG"/>
        </w:rPr>
        <w:t>بالتحديات. وفضلا عن ذلك، أثبت الجمهور مرة أخرى، في المناقشات</w:t>
      </w:r>
      <w:r>
        <w:rPr>
          <w:rFonts w:hint="cs"/>
          <w:rtl/>
          <w:lang w:bidi="ar-EG"/>
        </w:rPr>
        <w:t xml:space="preserve"> الدستورية الدائرة - أن القانون العرفي يمثل في الواقع المجال الذي ستجري فيه مواجهة أكبر مقاومة في معالجة حقوق المرأة وربما أكبر تحد يواجهه الآن الملتزمون بكفالة تمتع المرأة الكينية بحقوق متساوية. ومشروع الدستور الذي رفضه الكينينون في الاستفتاء العام الذي أ</w:t>
      </w:r>
      <w:r>
        <w:rPr>
          <w:rFonts w:hint="cs"/>
          <w:rtl/>
          <w:lang w:bidi="ar-EG"/>
        </w:rPr>
        <w:t>جري في الحادي والعشرين من تشرين الثاني/نوفمبر عام 2005 تضمن أحكاما تجعل كينيا متمشية مع أحكام اتفاقية القضاء على جميع أشكال التمييز ضد المرأة، فيما يتعلق بالمواطنة، والجنسية وفيما يتعلق بالمادة 82 (4) (ب) و (ج) التي تسمح بالتمييز على أساس القوانين الشخصية.</w:t>
      </w:r>
      <w:r>
        <w:rPr>
          <w:rFonts w:hint="cs"/>
          <w:rtl/>
          <w:lang w:bidi="ar-EG"/>
        </w:rPr>
        <w:t xml:space="preserve"> وهذا الرفض لمشروع الدستور، يضع البلد في نفس الوضع الذي كانت فيه قبل مشروع الدستور.</w:t>
      </w:r>
    </w:p>
    <w:p w:rsidR="00000000" w:rsidRDefault="00D8679F">
      <w:pPr>
        <w:pStyle w:val="SingleTxt"/>
        <w:tabs>
          <w:tab w:val="clear" w:pos="2592"/>
          <w:tab w:val="left" w:pos="2228"/>
        </w:tabs>
        <w:jc w:val="both"/>
        <w:rPr>
          <w:rFonts w:hint="cs"/>
          <w:rtl/>
          <w:lang w:bidi="ar-EG"/>
        </w:rPr>
      </w:pPr>
      <w:r>
        <w:rPr>
          <w:rFonts w:hint="cs"/>
          <w:rtl/>
          <w:lang w:bidi="ar-EG"/>
        </w:rPr>
        <w:t>157-</w:t>
      </w:r>
      <w:r>
        <w:rPr>
          <w:rFonts w:hint="cs"/>
          <w:rtl/>
          <w:lang w:bidi="ar-EG"/>
        </w:rPr>
        <w:tab/>
        <w:t>الشهادة أمام المحاكم: ينص قانون الشهادة، الفصل 80 من قوانين كينيا، على أنه يجوز إثبات جميع الوقائع عدا محتويات المستندات بالشهادة الشفوية. ويجب أن تكون هذه الشهادة مبا</w:t>
      </w:r>
      <w:r>
        <w:rPr>
          <w:rFonts w:hint="cs"/>
          <w:rtl/>
          <w:lang w:bidi="ar-EG"/>
        </w:rPr>
        <w:t>شرة في جميع الأوقات (المادتان 62 و 63). وينص كذلك على أن من يرغب في أن تصدر أي محكمة حكما فيما يتعلق بأي حق قانوني أو مسؤولية قانونية اعتمادا على وجود الوقائع التي يؤكدها يجب أن يثبت وجود هذه الوقائع (المادة 107).</w:t>
      </w:r>
    </w:p>
    <w:p w:rsidR="00000000" w:rsidRDefault="00D8679F">
      <w:pPr>
        <w:pStyle w:val="SingleTxt"/>
        <w:tabs>
          <w:tab w:val="clear" w:pos="2592"/>
          <w:tab w:val="left" w:pos="2228"/>
        </w:tabs>
        <w:jc w:val="both"/>
        <w:rPr>
          <w:rFonts w:hint="cs"/>
          <w:rtl/>
          <w:lang w:bidi="ar-EG"/>
        </w:rPr>
      </w:pPr>
      <w:r>
        <w:rPr>
          <w:rFonts w:hint="cs"/>
          <w:rtl/>
          <w:lang w:bidi="ar-EG"/>
        </w:rPr>
        <w:t>158-</w:t>
      </w:r>
      <w:r>
        <w:rPr>
          <w:rFonts w:hint="cs"/>
          <w:rtl/>
          <w:lang w:bidi="ar-EG"/>
        </w:rPr>
        <w:tab/>
        <w:t>وهكذا من الواضح أن القانون لا يميز عل</w:t>
      </w:r>
      <w:r>
        <w:rPr>
          <w:rFonts w:hint="cs"/>
          <w:rtl/>
          <w:lang w:bidi="ar-EG"/>
        </w:rPr>
        <w:t>ى أساس نوع الجنس. بيد أنه بسبب طبيعة بعض الجرائم التي تمس المرأة في المقام الأول مثل الاغتصاب والأشكال الأخرى للاعتداء الجنسي، وحقيقة أن الجريمة ترتكب عادة في عزلة وبدون شهود، من الضروري تقديم أدلة مادية أخرى مؤيدة باستثناء حالة القاصر لدعم الادعاء بالاغتص</w:t>
      </w:r>
      <w:r>
        <w:rPr>
          <w:rFonts w:hint="cs"/>
          <w:rtl/>
          <w:lang w:bidi="ar-EG"/>
        </w:rPr>
        <w:t>اب. وهذا منصوص عليه في المادة 124 من قانون التعديلات الجنائية المتنوعة لعام 2003. وهذا هو العامل الذي يسبب تحديا كبيرا لأن ضحية الاغتصاب قد لا</w:t>
      </w:r>
      <w:r>
        <w:rPr>
          <w:rFonts w:hint="eastAsia"/>
          <w:rtl/>
          <w:lang w:bidi="ar-EG"/>
        </w:rPr>
        <w:t> </w:t>
      </w:r>
      <w:r>
        <w:rPr>
          <w:rFonts w:hint="cs"/>
          <w:rtl/>
          <w:lang w:bidi="ar-EG"/>
        </w:rPr>
        <w:t>تكون في حالة ذهنية تمكنها من المرور بالتجربة المؤلمة بنفس القدر للإبلاغ عن الجريمة. وفضلا عن ذلك، يؤدي الافتقار إ</w:t>
      </w:r>
      <w:r>
        <w:rPr>
          <w:rFonts w:hint="cs"/>
          <w:rtl/>
          <w:lang w:bidi="ar-EG"/>
        </w:rPr>
        <w:t>لى الأجهزة العلمية الحديثة إلى تعقيد الأمور في هذه الحالات. وقد تدخلت الحكومة، والمؤسسات الخاصة ومؤسسات المجتمع المدني لمعالجة هذه المشكلة بطريقتين:</w:t>
      </w:r>
    </w:p>
    <w:p w:rsidR="00000000" w:rsidRDefault="00D8679F">
      <w:pPr>
        <w:pStyle w:val="SingleTxt"/>
        <w:tabs>
          <w:tab w:val="clear" w:pos="2592"/>
          <w:tab w:val="left" w:pos="2228"/>
        </w:tabs>
        <w:ind w:left="2228" w:hanging="961"/>
        <w:jc w:val="both"/>
        <w:rPr>
          <w:rFonts w:hint="cs"/>
          <w:rtl/>
          <w:lang w:bidi="ar-EG"/>
        </w:rPr>
      </w:pPr>
      <w:r>
        <w:rPr>
          <w:rFonts w:hint="cs"/>
          <w:rtl/>
          <w:lang w:bidi="ar-EG"/>
        </w:rPr>
        <w:tab/>
        <w:t>•</w:t>
      </w:r>
      <w:r>
        <w:rPr>
          <w:rFonts w:hint="cs"/>
          <w:rtl/>
          <w:lang w:bidi="ar-EG"/>
        </w:rPr>
        <w:tab/>
        <w:t>يوجد الآن مركز شرطة خاص في نيروبي، هو مركز شرطة كيليماني، الذي يُطلب إلى النساء ضحايا الاغتصاب والاعتداء</w:t>
      </w:r>
      <w:r>
        <w:rPr>
          <w:rFonts w:hint="cs"/>
          <w:rtl/>
          <w:lang w:bidi="ar-EG"/>
        </w:rPr>
        <w:t xml:space="preserve"> الجنسي إبلاغه أولا.</w:t>
      </w:r>
    </w:p>
    <w:p w:rsidR="00000000" w:rsidRDefault="00D8679F">
      <w:pPr>
        <w:pStyle w:val="SingleTxt"/>
        <w:tabs>
          <w:tab w:val="clear" w:pos="2592"/>
          <w:tab w:val="left" w:pos="2228"/>
        </w:tabs>
        <w:ind w:left="2228" w:hanging="961"/>
        <w:jc w:val="both"/>
        <w:rPr>
          <w:rFonts w:hint="cs"/>
          <w:rtl/>
          <w:lang w:bidi="ar-EG"/>
        </w:rPr>
      </w:pPr>
      <w:r>
        <w:rPr>
          <w:rFonts w:hint="cs"/>
          <w:rtl/>
          <w:lang w:bidi="ar-EG"/>
        </w:rPr>
        <w:tab/>
        <w:t>•</w:t>
      </w:r>
      <w:r>
        <w:rPr>
          <w:rFonts w:hint="cs"/>
          <w:rtl/>
          <w:lang w:bidi="ar-EG"/>
        </w:rPr>
        <w:tab/>
        <w:t>يركز مركز التعافي من العنف بين الجنسين الذي يقع في مستشفى نيروبي للنساء (مبادرة خاصة) على تقديم الدعم والخدمات لضحايا العنف القائم على نوع الجنس، واللائي تعرضن له. وهذه الخدمات تشمل تقديم المشورة والخدمات الطبية مثل العلاج المضاد لل</w:t>
      </w:r>
      <w:r>
        <w:rPr>
          <w:rFonts w:hint="cs"/>
          <w:rtl/>
          <w:lang w:bidi="ar-EG"/>
        </w:rPr>
        <w:t>فيروسات الرجعية لمن تعرضن للاغتصاب.</w:t>
      </w:r>
    </w:p>
    <w:p w:rsidR="00000000" w:rsidRDefault="00D8679F">
      <w:pPr>
        <w:pStyle w:val="SingleTxt"/>
        <w:tabs>
          <w:tab w:val="clear" w:pos="2592"/>
          <w:tab w:val="left" w:pos="2228"/>
        </w:tabs>
        <w:ind w:left="1930" w:hanging="663"/>
        <w:jc w:val="both"/>
        <w:rPr>
          <w:rFonts w:hint="cs"/>
          <w:rtl/>
          <w:lang w:bidi="ar-EG"/>
        </w:rPr>
      </w:pPr>
      <w:r>
        <w:rPr>
          <w:rFonts w:hint="cs"/>
          <w:rtl/>
          <w:lang w:bidi="ar-EG"/>
        </w:rPr>
        <w:tab/>
        <w:t>وفي حين أن هذه المبادرات جديرة بالثناء فإنها جديدة وقليلة جدا بالفعل حيث يتجاوز الطلب في أحياء نيروبي التي تقدم فيها هذه الخدمات ما هو متوافر من تلك الخدمات. ولذلك تستكشف الحكومة الطرق التي يمكن بها تكرار الخدمات المقدم</w:t>
      </w:r>
      <w:r>
        <w:rPr>
          <w:rFonts w:hint="cs"/>
          <w:rtl/>
          <w:lang w:bidi="ar-EG"/>
        </w:rPr>
        <w:t>ة في مستشفى نيروبي للنساء وذلك في مستشفيات الأقاليم في جميع أنحاء البلد.</w:t>
      </w:r>
    </w:p>
    <w:p w:rsidR="00000000" w:rsidRDefault="00D8679F">
      <w:pPr>
        <w:pStyle w:val="SingleTxt"/>
        <w:tabs>
          <w:tab w:val="clear" w:pos="2592"/>
          <w:tab w:val="left" w:pos="2228"/>
        </w:tabs>
        <w:jc w:val="both"/>
        <w:rPr>
          <w:rFonts w:hint="cs"/>
          <w:rtl/>
          <w:lang w:bidi="ar-EG"/>
        </w:rPr>
      </w:pPr>
      <w:r>
        <w:rPr>
          <w:rFonts w:hint="cs"/>
          <w:rtl/>
          <w:lang w:bidi="ar-EG"/>
        </w:rPr>
        <w:t>159-</w:t>
      </w:r>
      <w:r>
        <w:rPr>
          <w:rFonts w:hint="cs"/>
          <w:rtl/>
          <w:lang w:bidi="ar-EG"/>
        </w:rPr>
        <w:tab/>
        <w:t xml:space="preserve">وفي الوقت ذاته، شهد البلد أيضا زيادة في معدل حدوث الاعتداء الجنسي والعنف. ويجري الإبلاغ أيضا عن وقوع مزيد من الرجال والأولاد ضحايا لهذا النوع من العنف. وهناك زيادة عامة في العنف </w:t>
      </w:r>
      <w:r>
        <w:rPr>
          <w:rFonts w:hint="cs"/>
          <w:rtl/>
          <w:lang w:bidi="ar-EG"/>
        </w:rPr>
        <w:t>على نطاق الدولة وأدى هذا إلى زيادة قلق الجمهور إزاء هذا العنف والالتزام باتخاذ تدابير لمنعه. وفي حين زاد معدل حدوث الجريمة وانعدام الأمن، ما</w:t>
      </w:r>
      <w:r>
        <w:rPr>
          <w:rFonts w:hint="eastAsia"/>
          <w:rtl/>
          <w:lang w:bidi="ar-EG"/>
        </w:rPr>
        <w:t> </w:t>
      </w:r>
      <w:r>
        <w:rPr>
          <w:rFonts w:hint="cs"/>
          <w:rtl/>
          <w:lang w:bidi="ar-EG"/>
        </w:rPr>
        <w:t>زالت أسباب تزايد الاغتصاب والاعتداء الجنسي بوجه خاص غير واضحة.</w:t>
      </w:r>
    </w:p>
    <w:p w:rsidR="00000000" w:rsidRDefault="00D8679F">
      <w:pPr>
        <w:pStyle w:val="SingleTxt"/>
        <w:tabs>
          <w:tab w:val="clear" w:pos="2592"/>
          <w:tab w:val="left" w:pos="2228"/>
        </w:tabs>
        <w:jc w:val="both"/>
        <w:rPr>
          <w:rFonts w:hint="cs"/>
          <w:rtl/>
          <w:lang w:bidi="ar-EG"/>
        </w:rPr>
      </w:pPr>
      <w:r>
        <w:rPr>
          <w:rFonts w:hint="cs"/>
          <w:rtl/>
          <w:lang w:bidi="ar-EG"/>
        </w:rPr>
        <w:t>160-</w:t>
      </w:r>
      <w:r>
        <w:rPr>
          <w:rFonts w:hint="cs"/>
          <w:rtl/>
          <w:lang w:bidi="ar-EG"/>
        </w:rPr>
        <w:tab/>
        <w:t>والمادة 19 من قانون العقوبات، الفصل 63 من قواني</w:t>
      </w:r>
      <w:r>
        <w:rPr>
          <w:rFonts w:hint="cs"/>
          <w:rtl/>
          <w:lang w:bidi="ar-EG"/>
        </w:rPr>
        <w:t>ن كينيا، تنص في جانب منها على أن الزوجة المتهمة بأية جريمة عدا القتل أو خيانة الوطن تتمتع بدفاع وجيه إذا أثبتت أن الجريمة ارتكبت بحضور زوجها وبإكراه منه. والافتراض هنا هو أن الإكراه لا يمكن أن يحدث من الزوجة للزوج.</w:t>
      </w:r>
    </w:p>
    <w:p w:rsidR="00000000" w:rsidRDefault="00D8679F">
      <w:pPr>
        <w:pStyle w:val="SingleTxt"/>
        <w:tabs>
          <w:tab w:val="clear" w:pos="2592"/>
          <w:tab w:val="left" w:pos="2228"/>
        </w:tabs>
        <w:jc w:val="both"/>
        <w:rPr>
          <w:rFonts w:hint="cs"/>
          <w:rtl/>
          <w:lang w:bidi="ar-EG"/>
        </w:rPr>
      </w:pPr>
      <w:r>
        <w:rPr>
          <w:rFonts w:hint="cs"/>
          <w:rtl/>
          <w:lang w:bidi="ar-EG"/>
        </w:rPr>
        <w:t>161-</w:t>
      </w:r>
      <w:r>
        <w:rPr>
          <w:rFonts w:hint="cs"/>
          <w:rtl/>
          <w:lang w:bidi="ar-EG"/>
        </w:rPr>
        <w:tab/>
        <w:t xml:space="preserve">الحق في المقاضاة: ينص قانون الزواج، </w:t>
      </w:r>
      <w:r>
        <w:rPr>
          <w:rFonts w:hint="cs"/>
          <w:rtl/>
          <w:lang w:bidi="ar-EG"/>
        </w:rPr>
        <w:t>الفصل 150 من قوانين كينيا، على أنه يجوز للزوج أن يقاضي رجلا آخر بسبب إقامته علاقة جنسية مع زوجته. ومن ناحية أخرى لايمكن للزوجة أن تقاضي رجلا آخر أو امرأة أخرى بسبب إقامة علاقة جنسية مع زوجها. بيد أن الزنا يمثل سببا معترفا به للطلاق يمكن أن تستخدمه المرأة ف</w:t>
      </w:r>
      <w:r>
        <w:rPr>
          <w:rFonts w:hint="cs"/>
          <w:rtl/>
          <w:lang w:bidi="ar-EG"/>
        </w:rPr>
        <w:t>ي إجراءات الطلاق. ويجوز للزوجة أن تقاضي زوجها في حالة ارتكابه اللواط الحيواني.</w:t>
      </w:r>
    </w:p>
    <w:p w:rsidR="00000000" w:rsidRDefault="00D8679F">
      <w:pPr>
        <w:pStyle w:val="SingleTxt"/>
        <w:tabs>
          <w:tab w:val="clear" w:pos="2592"/>
          <w:tab w:val="left" w:pos="2228"/>
        </w:tabs>
        <w:jc w:val="both"/>
        <w:rPr>
          <w:rFonts w:hint="cs"/>
          <w:rtl/>
          <w:lang w:bidi="ar-EG"/>
        </w:rPr>
      </w:pPr>
      <w:r>
        <w:rPr>
          <w:rFonts w:hint="cs"/>
          <w:rtl/>
          <w:lang w:bidi="ar-EG"/>
        </w:rPr>
        <w:t>162-</w:t>
      </w:r>
      <w:r>
        <w:rPr>
          <w:rFonts w:hint="cs"/>
          <w:rtl/>
          <w:lang w:bidi="ar-EG"/>
        </w:rPr>
        <w:tab/>
        <w:t>المساعدة القضائية: تقدم المساعدة القضائية للأشخاص المتهمين بالقتل والسرقة باستخدام العنف (وهما جريمتان يعاقب عليهما بالإعدام) بصرف النظر عن نوع الجنس.</w:t>
      </w:r>
    </w:p>
    <w:p w:rsidR="00000000" w:rsidRDefault="00D8679F">
      <w:pPr>
        <w:pStyle w:val="SingleTxt"/>
        <w:tabs>
          <w:tab w:val="clear" w:pos="2592"/>
          <w:tab w:val="left" w:pos="2228"/>
        </w:tabs>
        <w:jc w:val="both"/>
        <w:rPr>
          <w:rFonts w:hint="cs"/>
          <w:rtl/>
          <w:lang w:bidi="ar-EG"/>
        </w:rPr>
      </w:pPr>
      <w:r>
        <w:rPr>
          <w:rFonts w:hint="cs"/>
          <w:rtl/>
          <w:lang w:bidi="ar-EG"/>
        </w:rPr>
        <w:t>163-</w:t>
      </w:r>
      <w:r>
        <w:rPr>
          <w:rFonts w:hint="cs"/>
          <w:rtl/>
          <w:lang w:bidi="ar-EG"/>
        </w:rPr>
        <w:tab/>
        <w:t>الإقامة ومحل الإ</w:t>
      </w:r>
      <w:r>
        <w:rPr>
          <w:rFonts w:hint="cs"/>
          <w:rtl/>
          <w:lang w:bidi="ar-EG"/>
        </w:rPr>
        <w:t>قامة: ينص دستور كينيا على أن كل شخص مولود في كينيا يصبح مواطنا كينيا إذا كان في تاريخ ولادته مولودا لأب مواطن كيني. والشخص المولود خارج كينيا يصبح مواطنا كينيا في تاريخ ولادته إذا كان والده في هذا التاريخ مواطنا كينيا. وقد عولجت هذه المسألة في الفقرات 100-</w:t>
      </w:r>
      <w:r>
        <w:rPr>
          <w:rFonts w:hint="cs"/>
          <w:rtl/>
          <w:lang w:bidi="ar-EG"/>
        </w:rPr>
        <w:t>104 أعلاه.</w:t>
      </w:r>
    </w:p>
    <w:p w:rsidR="00000000" w:rsidRDefault="00D8679F">
      <w:pPr>
        <w:pStyle w:val="SingleTxt"/>
        <w:tabs>
          <w:tab w:val="clear" w:pos="2592"/>
          <w:tab w:val="left" w:pos="2228"/>
        </w:tabs>
        <w:jc w:val="both"/>
        <w:rPr>
          <w:rFonts w:hint="cs"/>
          <w:rtl/>
          <w:lang w:bidi="ar-EG"/>
        </w:rPr>
      </w:pPr>
      <w:r>
        <w:rPr>
          <w:rFonts w:hint="cs"/>
          <w:rtl/>
          <w:lang w:bidi="ar-EG"/>
        </w:rPr>
        <w:t>164-</w:t>
      </w:r>
      <w:r>
        <w:rPr>
          <w:rFonts w:hint="cs"/>
          <w:rtl/>
          <w:lang w:bidi="ar-EG"/>
        </w:rPr>
        <w:tab/>
        <w:t>وينص قانون محل الإقامة، الفصل 37 من قوانين كينيا، على أن الطفل المولود لزوجين متزوجين، يكتسب محل إقامة والده. أما الطفل المولود خارج كنف الزوجية فإنه يكتسب محل إقامة أمه (المادة 3). ويكتسب الطفل عند التبني محل إقامة المتبني، أو محل إقامة ال</w:t>
      </w:r>
      <w:r>
        <w:rPr>
          <w:rFonts w:hint="cs"/>
          <w:rtl/>
          <w:lang w:bidi="ar-EG"/>
        </w:rPr>
        <w:t>زوج، إذا تبناه زوجان (المادة 6). وينص القانون كذلك على أن المرأة تكتسب، عند الزواج، محل إقامة زوجها، ولكنه لا ينص على نفس المعاملة في حالة الرجل.</w:t>
      </w:r>
    </w:p>
    <w:p w:rsidR="00000000" w:rsidRDefault="00D8679F">
      <w:pPr>
        <w:pStyle w:val="SingleTxt"/>
        <w:tabs>
          <w:tab w:val="clear" w:pos="2592"/>
          <w:tab w:val="left" w:pos="2228"/>
        </w:tabs>
        <w:jc w:val="both"/>
        <w:rPr>
          <w:rFonts w:hint="cs"/>
          <w:rtl/>
          <w:lang w:bidi="ar-EG"/>
        </w:rPr>
      </w:pPr>
      <w:r>
        <w:rPr>
          <w:rFonts w:hint="cs"/>
          <w:rtl/>
          <w:lang w:bidi="ar-EG"/>
        </w:rPr>
        <w:t>165-</w:t>
      </w:r>
      <w:r>
        <w:rPr>
          <w:rFonts w:hint="cs"/>
          <w:rtl/>
          <w:lang w:bidi="ar-EG"/>
        </w:rPr>
        <w:tab/>
        <w:t>وتتمتع المرأة على غرار الرجل بنفس الأهلية للدخول في عقود وامتلاك الممتلكات والتصرف فيها. وفي المناطق الحض</w:t>
      </w:r>
      <w:r>
        <w:rPr>
          <w:rFonts w:hint="cs"/>
          <w:rtl/>
          <w:lang w:bidi="ar-EG"/>
        </w:rPr>
        <w:t xml:space="preserve">رية، فإنها تتقدم باستمرار في المجالات التي كان يسيطر عليها الرجل سابقا. وفي بعض أنحاء البلد، ولا سيما في المناطق الريفية حيث تكون العادات والتقاليد قوية، وحيث تقوم المجتمعات على السلطة الأبوية، ينكمش دور المرأة في صنع القرار. بيد أن هناك بعض المجالات التي </w:t>
      </w:r>
      <w:r>
        <w:rPr>
          <w:rFonts w:hint="cs"/>
          <w:rtl/>
          <w:lang w:bidi="ar-EG"/>
        </w:rPr>
        <w:t>ما زالت تعطي صورة للتمييز ضد المرأة. ففي حالة المرأة المتزوجة التي ترغب في تسجيل أسماء تجارية أو الحصول على جواز سفر باسمها، فإنه يطلب إليها بيان اسم زوجها في استمارة الطلب. وهذا لا يمتد إلى الرجل في نفس الحالة.</w:t>
      </w:r>
    </w:p>
    <w:p w:rsidR="00000000" w:rsidRDefault="00D8679F">
      <w:pPr>
        <w:pStyle w:val="SingleTxt"/>
        <w:tabs>
          <w:tab w:val="clear" w:pos="2592"/>
          <w:tab w:val="left" w:pos="2228"/>
        </w:tabs>
        <w:spacing w:after="0" w:line="120" w:lineRule="exact"/>
        <w:ind w:left="1930" w:hanging="663"/>
        <w:jc w:val="both"/>
        <w:rPr>
          <w:rFonts w:hint="cs"/>
          <w:sz w:val="10"/>
          <w:rtl/>
          <w:lang w:bidi="ar-EG"/>
        </w:rPr>
      </w:pPr>
    </w:p>
    <w:p w:rsidR="00000000" w:rsidRDefault="00D867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16: المساواة في قانون الزواج والأس</w:t>
      </w:r>
      <w:r>
        <w:rPr>
          <w:rFonts w:hint="cs"/>
          <w:rtl/>
          <w:lang w:bidi="ar-EG"/>
        </w:rPr>
        <w:t>رة</w:t>
      </w:r>
    </w:p>
    <w:p w:rsidR="00000000" w:rsidRDefault="00D8679F">
      <w:pPr>
        <w:pStyle w:val="SingleTxt"/>
        <w:tabs>
          <w:tab w:val="clear" w:pos="2592"/>
          <w:tab w:val="left" w:pos="2228"/>
        </w:tabs>
        <w:jc w:val="both"/>
        <w:rPr>
          <w:rFonts w:hint="cs"/>
          <w:rtl/>
          <w:lang w:bidi="ar-EG"/>
        </w:rPr>
      </w:pPr>
      <w:r>
        <w:rPr>
          <w:rFonts w:hint="cs"/>
          <w:rtl/>
          <w:lang w:bidi="ar-EG"/>
        </w:rPr>
        <w:t>166-</w:t>
      </w:r>
      <w:r>
        <w:rPr>
          <w:rFonts w:hint="cs"/>
          <w:rtl/>
          <w:lang w:bidi="ar-EG"/>
        </w:rPr>
        <w:tab/>
        <w:t>فئات الزواج: المبدأ العام في الدستور هو أن الرجل والمرأة على حد سواء متساويان أمام القانون. بيد أن المساواة التي يمنحها الدستور بيد يأخذها باليد الأخرى عن طريق أحكام الاسترداد التي تنكر الحق في المساواة بقدر ما يتعلق بالقوانين الشخصية. وجدير بالملا</w:t>
      </w:r>
      <w:r>
        <w:rPr>
          <w:rFonts w:hint="cs"/>
          <w:rtl/>
          <w:lang w:bidi="ar-EG"/>
        </w:rPr>
        <w:t>حظة أن الزواج، والطلاق، والميراث وحقوق الدفن تشكل جزءا لا يتجزأ من القوانين الشخصية.</w:t>
      </w:r>
    </w:p>
    <w:p w:rsidR="00000000" w:rsidRDefault="00D8679F">
      <w:pPr>
        <w:pStyle w:val="SingleTxt"/>
        <w:tabs>
          <w:tab w:val="clear" w:pos="2592"/>
          <w:tab w:val="left" w:pos="2228"/>
        </w:tabs>
        <w:jc w:val="both"/>
        <w:rPr>
          <w:rFonts w:hint="cs"/>
          <w:rtl/>
          <w:lang w:bidi="ar-EG"/>
        </w:rPr>
      </w:pPr>
      <w:r>
        <w:rPr>
          <w:rFonts w:hint="cs"/>
          <w:rtl/>
          <w:lang w:bidi="ar-EG"/>
        </w:rPr>
        <w:t>167-</w:t>
      </w:r>
      <w:r>
        <w:rPr>
          <w:rFonts w:hint="cs"/>
          <w:rtl/>
          <w:lang w:bidi="ar-EG"/>
        </w:rPr>
        <w:tab/>
        <w:t>والزواج طبقا للقانون الكيني ينظمه أي إحتفال من احتفالات الزواج السائدة في كينيا من خلال الأحكام التالية:</w:t>
      </w:r>
    </w:p>
    <w:p w:rsidR="00000000" w:rsidRDefault="00D8679F">
      <w:pPr>
        <w:pStyle w:val="SingleTxt"/>
        <w:tabs>
          <w:tab w:val="clear" w:pos="2592"/>
          <w:tab w:val="left" w:pos="2228"/>
        </w:tabs>
        <w:ind w:left="1930" w:hanging="663"/>
        <w:jc w:val="both"/>
        <w:rPr>
          <w:rFonts w:hint="cs"/>
          <w:rtl/>
          <w:lang w:bidi="ar-EG"/>
        </w:rPr>
      </w:pPr>
      <w:r>
        <w:rPr>
          <w:rFonts w:hint="cs"/>
          <w:rtl/>
          <w:lang w:bidi="ar-EG"/>
        </w:rPr>
        <w:tab/>
        <w:t>•</w:t>
      </w:r>
      <w:r>
        <w:rPr>
          <w:rFonts w:hint="cs"/>
          <w:rtl/>
          <w:lang w:bidi="ar-EG"/>
        </w:rPr>
        <w:tab/>
        <w:t>قانون الزواج والطلاق المسيحي الأفريقي، الفصل 151 الذي ينظم</w:t>
      </w:r>
      <w:r>
        <w:rPr>
          <w:rFonts w:hint="cs"/>
          <w:rtl/>
          <w:lang w:bidi="ar-EG"/>
        </w:rPr>
        <w:t xml:space="preserve"> الزواج المسيحي.</w:t>
      </w:r>
    </w:p>
    <w:p w:rsidR="00000000" w:rsidRDefault="00D8679F">
      <w:pPr>
        <w:pStyle w:val="SingleTxt"/>
        <w:tabs>
          <w:tab w:val="clear" w:pos="2592"/>
          <w:tab w:val="left" w:pos="2228"/>
        </w:tabs>
        <w:ind w:left="1930" w:hanging="663"/>
        <w:jc w:val="both"/>
        <w:rPr>
          <w:rFonts w:hint="cs"/>
          <w:rtl/>
          <w:lang w:bidi="ar-EG"/>
        </w:rPr>
      </w:pPr>
      <w:r>
        <w:rPr>
          <w:rFonts w:hint="cs"/>
          <w:rtl/>
          <w:lang w:bidi="ar-EG"/>
        </w:rPr>
        <w:tab/>
        <w:t>•</w:t>
      </w:r>
      <w:r>
        <w:rPr>
          <w:rFonts w:hint="cs"/>
          <w:rtl/>
          <w:lang w:bidi="ar-EG"/>
        </w:rPr>
        <w:tab/>
        <w:t>قانون الزواج، الفصل 150 الذي ينظم الزواج المدني.</w:t>
      </w:r>
    </w:p>
    <w:p w:rsidR="00000000" w:rsidRDefault="00D8679F">
      <w:pPr>
        <w:pStyle w:val="SingleTxt"/>
        <w:tabs>
          <w:tab w:val="clear" w:pos="2592"/>
          <w:tab w:val="left" w:pos="2228"/>
        </w:tabs>
        <w:ind w:left="2228" w:hanging="961"/>
        <w:jc w:val="both"/>
        <w:rPr>
          <w:rFonts w:hint="cs"/>
          <w:rtl/>
          <w:lang w:bidi="ar-EG"/>
        </w:rPr>
      </w:pPr>
      <w:r>
        <w:rPr>
          <w:rFonts w:hint="cs"/>
          <w:rtl/>
          <w:lang w:bidi="ar-EG"/>
        </w:rPr>
        <w:tab/>
        <w:t>•</w:t>
      </w:r>
      <w:r>
        <w:rPr>
          <w:rFonts w:hint="cs"/>
          <w:rtl/>
          <w:lang w:bidi="ar-EG"/>
        </w:rPr>
        <w:tab/>
        <w:t>قانون الزواج والطلاق والوراثة الإسلامي، الفصل 156، الذي ينظم الزواج الإسلامي.</w:t>
      </w:r>
    </w:p>
    <w:p w:rsidR="00000000" w:rsidRDefault="00D8679F">
      <w:pPr>
        <w:pStyle w:val="SingleTxt"/>
        <w:tabs>
          <w:tab w:val="clear" w:pos="2592"/>
          <w:tab w:val="left" w:pos="2228"/>
        </w:tabs>
        <w:ind w:left="2228" w:hanging="961"/>
        <w:jc w:val="both"/>
        <w:rPr>
          <w:rFonts w:hint="cs"/>
          <w:rtl/>
          <w:lang w:bidi="ar-EG"/>
        </w:rPr>
      </w:pPr>
      <w:r>
        <w:rPr>
          <w:rFonts w:hint="cs"/>
          <w:rtl/>
          <w:lang w:bidi="ar-EG"/>
        </w:rPr>
        <w:tab/>
        <w:t>•</w:t>
      </w:r>
      <w:r>
        <w:rPr>
          <w:rFonts w:hint="cs"/>
          <w:rtl/>
          <w:lang w:bidi="ar-EG"/>
        </w:rPr>
        <w:tab/>
        <w:t>قانون الزواج الهندوسي، الفصل 157 الذي ينظم الزواج الهندوسي، والزواج العرفي الأفريقي.</w:t>
      </w:r>
    </w:p>
    <w:p w:rsidR="00000000" w:rsidRDefault="00D8679F">
      <w:pPr>
        <w:pStyle w:val="SingleTxt"/>
        <w:tabs>
          <w:tab w:val="clear" w:pos="2592"/>
          <w:tab w:val="left" w:pos="2228"/>
        </w:tabs>
        <w:ind w:left="2228" w:hanging="961"/>
        <w:jc w:val="both"/>
        <w:rPr>
          <w:rFonts w:hint="cs"/>
          <w:rtl/>
          <w:lang w:bidi="ar-EG"/>
        </w:rPr>
      </w:pPr>
      <w:r>
        <w:rPr>
          <w:rFonts w:hint="cs"/>
          <w:rtl/>
          <w:lang w:bidi="ar-EG"/>
        </w:rPr>
        <w:tab/>
        <w:t>•</w:t>
      </w:r>
      <w:r>
        <w:rPr>
          <w:rFonts w:hint="cs"/>
          <w:rtl/>
          <w:lang w:bidi="ar-EG"/>
        </w:rPr>
        <w:tab/>
        <w:t xml:space="preserve">ويمكن أن يتزوج </w:t>
      </w:r>
      <w:r>
        <w:rPr>
          <w:rFonts w:hint="cs"/>
          <w:rtl/>
          <w:lang w:bidi="ar-EG"/>
        </w:rPr>
        <w:t xml:space="preserve">الأفراد أيضا طبقا للقانون العرفي الأفريقي شريطة أن يكون الزواج متمشيا مع جميع الطقوس والممارسات المطلوبة للمجتمع المحلي ذي الصلة. ولا يوجد حاليا قانون ينظم الزواج طبقا للقانون العرفي الأفريقي - وهذه ثغرة في القانون. وفضلا عن ذلك، لا يوجد حكم لتسجيل الزواج </w:t>
      </w:r>
      <w:r>
        <w:rPr>
          <w:rFonts w:hint="cs"/>
          <w:rtl/>
          <w:lang w:bidi="ar-EG"/>
        </w:rPr>
        <w:t>طبقا للقانون العرفي الأفريقي.</w:t>
      </w:r>
    </w:p>
    <w:p w:rsidR="00000000" w:rsidRDefault="00D8679F">
      <w:pPr>
        <w:pStyle w:val="SingleTxt"/>
        <w:tabs>
          <w:tab w:val="clear" w:pos="2592"/>
          <w:tab w:val="left" w:pos="2228"/>
        </w:tabs>
        <w:ind w:left="2228" w:hanging="961"/>
        <w:jc w:val="both"/>
        <w:rPr>
          <w:rFonts w:hint="cs"/>
          <w:rtl/>
          <w:lang w:bidi="ar-EG"/>
        </w:rPr>
      </w:pPr>
      <w:r>
        <w:rPr>
          <w:rFonts w:hint="cs"/>
          <w:rtl/>
          <w:lang w:bidi="ar-EG"/>
        </w:rPr>
        <w:tab/>
        <w:t>•</w:t>
      </w:r>
      <w:r>
        <w:rPr>
          <w:rFonts w:hint="cs"/>
          <w:rtl/>
          <w:lang w:bidi="ar-EG"/>
        </w:rPr>
        <w:tab/>
        <w:t>ومن الأهمية ملاحظة أنه من خلال لجنة إصلاح القانون، بدأت الحكومة عملية لاستعراض قوانين الزواج، وهي القوانين التي ستأخذ بعين الاعتبار الأحكام المختلفة للاتفاقية. ومن ناحية أخرى، كانت وسائط الإعلام سباقة في تغيير القوالب الجام</w:t>
      </w:r>
      <w:r>
        <w:rPr>
          <w:rFonts w:hint="cs"/>
          <w:rtl/>
          <w:lang w:bidi="ar-EG"/>
        </w:rPr>
        <w:t>دة التي كانت تميز باستمرار ضد المرأة.</w:t>
      </w:r>
    </w:p>
    <w:p w:rsidR="00000000" w:rsidRDefault="00D8679F">
      <w:pPr>
        <w:pStyle w:val="SingleTxt"/>
        <w:tabs>
          <w:tab w:val="clear" w:pos="2592"/>
          <w:tab w:val="left" w:pos="2228"/>
        </w:tabs>
        <w:jc w:val="both"/>
        <w:rPr>
          <w:rFonts w:hint="cs"/>
          <w:rtl/>
          <w:lang w:bidi="ar-EG"/>
        </w:rPr>
      </w:pPr>
      <w:r>
        <w:rPr>
          <w:rFonts w:hint="cs"/>
          <w:rtl/>
          <w:lang w:bidi="ar-EG"/>
        </w:rPr>
        <w:t>168-</w:t>
      </w:r>
      <w:r>
        <w:rPr>
          <w:rFonts w:hint="cs"/>
          <w:rtl/>
          <w:lang w:bidi="ar-EG"/>
        </w:rPr>
        <w:tab/>
        <w:t>تعدد الزوجات: طبقا للقانون الحالي، إذا تزوجت امرأة طبقا للقانون العرفي الأفريقي أو لقانون الزواج والطلاق الإسلامي، فإنها تكون موافقة صراحة على إمكانية الاقتران على أساس تعدد الزوجات. ومن الناحية التقليدية، لا يعتب</w:t>
      </w:r>
      <w:r>
        <w:rPr>
          <w:rFonts w:hint="cs"/>
          <w:rtl/>
          <w:lang w:bidi="ar-EG"/>
        </w:rPr>
        <w:t>ر تعدد الزوجات شكلا للتمييز ضد المرأة. وفي الواقع، يتمثل أحد التحديات التي ووجهت في أنه في كثير من الحالات دافعت المرأة عن استمرار وجوده. وتحقيق التساوق بين النظم المتعددة الحالية للقوانين المنظمة للزواج شكَّل تحديا كبيرا بسبب تنوع المجتمعات المحلية التي ت</w:t>
      </w:r>
      <w:r>
        <w:rPr>
          <w:rFonts w:hint="cs"/>
          <w:rtl/>
          <w:lang w:bidi="ar-EG"/>
        </w:rPr>
        <w:t>عيش في كينيا. وأنواع الزواج المختلفة تمنح حقوقا والتزامات مختلفة. وعلى سبيل المثال رهنا بنوع العرف في الزواج طبقا للقانون العرفي، لا يمكن منح الزوجة حضانة الأطفال أو إعالة نفسها.</w:t>
      </w:r>
    </w:p>
    <w:p w:rsidR="00000000" w:rsidRDefault="00D8679F">
      <w:pPr>
        <w:pStyle w:val="SingleTxt"/>
        <w:tabs>
          <w:tab w:val="clear" w:pos="2592"/>
          <w:tab w:val="left" w:pos="2228"/>
        </w:tabs>
        <w:jc w:val="both"/>
        <w:rPr>
          <w:rFonts w:hint="cs"/>
          <w:rtl/>
          <w:lang w:bidi="ar-EG"/>
        </w:rPr>
      </w:pPr>
      <w:r>
        <w:rPr>
          <w:rFonts w:hint="cs"/>
          <w:rtl/>
          <w:lang w:bidi="ar-EG"/>
        </w:rPr>
        <w:t>169-</w:t>
      </w:r>
      <w:r>
        <w:rPr>
          <w:rFonts w:hint="cs"/>
          <w:rtl/>
          <w:lang w:bidi="ar-EG"/>
        </w:rPr>
        <w:tab/>
        <w:t>المعايشة: بمعني أن يعيش رجل وامرأة معا كزوج وزوجة بدون عقد زواج معترف به</w:t>
      </w:r>
      <w:r>
        <w:rPr>
          <w:rFonts w:hint="cs"/>
          <w:rtl/>
          <w:lang w:bidi="ar-EG"/>
        </w:rPr>
        <w:t xml:space="preserve"> قانونا يمثل ممارسة متزايدة. وترتب هذه الممارسة نتائج بعيدة المدى فيما يتعلق بالأطفال والنساء المعنيين. وعلى سبيل المثال، في حالة الانفصال، على المرأة أن تتحمل نتائج تربية الأطفال وإعالة نفسها متى كان الرجل مورد الرزق. وحاليا، لا يُلزم قانون الأطفال إلا ال</w:t>
      </w:r>
      <w:r>
        <w:rPr>
          <w:rFonts w:hint="cs"/>
          <w:rtl/>
          <w:lang w:bidi="ar-EG"/>
        </w:rPr>
        <w:t>أم لإعالة الطفل المولود خارج كنف الزوجية. وحاليا وُضع قانون الأطفال على المحك بطلب تفسير من المحكمة. فهناك قضية منظورة أمام المحكمة يلتمس فيها قاصر إرغام والده البيولوجي (غير المتزوج بأم القاصر) على إعالة القاصر المذكور.</w:t>
      </w:r>
    </w:p>
    <w:p w:rsidR="00000000" w:rsidRDefault="00D8679F">
      <w:pPr>
        <w:pStyle w:val="SingleTxt"/>
        <w:tabs>
          <w:tab w:val="clear" w:pos="2592"/>
          <w:tab w:val="left" w:pos="2228"/>
        </w:tabs>
        <w:jc w:val="both"/>
        <w:rPr>
          <w:rFonts w:hint="cs"/>
          <w:rtl/>
          <w:lang w:bidi="ar-EG"/>
        </w:rPr>
      </w:pPr>
      <w:r>
        <w:rPr>
          <w:rFonts w:hint="cs"/>
          <w:rtl/>
          <w:lang w:bidi="ar-EG"/>
        </w:rPr>
        <w:t>170-</w:t>
      </w:r>
      <w:r>
        <w:rPr>
          <w:rFonts w:hint="cs"/>
          <w:rtl/>
          <w:lang w:bidi="ar-EG"/>
        </w:rPr>
        <w:tab/>
        <w:t xml:space="preserve">ولا يوجد حاليا تشريع في كينيا </w:t>
      </w:r>
      <w:r>
        <w:rPr>
          <w:rFonts w:hint="cs"/>
          <w:rtl/>
          <w:lang w:bidi="ar-EG"/>
        </w:rPr>
        <w:t>ينظم المعايشة. بيد أن القضاء لعب باستمرار دورا حاسما في حل القضايا المتعلقة بالمعايشة ومن ثم ضمان حقوق المرأة. ولتحقيق هذه الغاية، يصدر القضاء باستمرار أحكاما تقدمية في صالح المرأة. وجرى تطبيق القانون غير المكتوب والسوابق القضائية في حل بعض المنازعات الناش</w:t>
      </w:r>
      <w:r>
        <w:rPr>
          <w:rFonts w:hint="cs"/>
          <w:rtl/>
          <w:lang w:bidi="ar-EG"/>
        </w:rPr>
        <w:t>ئة.</w:t>
      </w:r>
    </w:p>
    <w:p w:rsidR="00000000" w:rsidRDefault="00D8679F">
      <w:pPr>
        <w:pStyle w:val="SingleTxt"/>
        <w:tabs>
          <w:tab w:val="clear" w:pos="2592"/>
          <w:tab w:val="left" w:pos="2228"/>
        </w:tabs>
        <w:jc w:val="both"/>
        <w:rPr>
          <w:rFonts w:hint="cs"/>
          <w:rtl/>
          <w:lang w:bidi="ar-EG"/>
        </w:rPr>
      </w:pPr>
      <w:r>
        <w:rPr>
          <w:rFonts w:hint="cs"/>
          <w:rtl/>
          <w:lang w:bidi="ar-EG"/>
        </w:rPr>
        <w:t>171-</w:t>
      </w:r>
      <w:r>
        <w:rPr>
          <w:rFonts w:hint="cs"/>
          <w:rtl/>
          <w:lang w:bidi="ar-EG"/>
        </w:rPr>
        <w:tab/>
        <w:t xml:space="preserve">وقضية </w:t>
      </w:r>
      <w:r>
        <w:rPr>
          <w:rFonts w:hint="cs"/>
          <w:i/>
          <w:iCs/>
          <w:rtl/>
          <w:lang w:bidi="ar-EG"/>
        </w:rPr>
        <w:t>بيتر هينغا - ضد - ماري وانجيكو، الاستئناف المدني رقم 94 لعام 1977، وقضية هورتنسيا وانجيكو ياوي - ضد - الوصي العام، الاستنئاف المدني رقم 13 لعام 1976، وقضية ستيفن مامبو - ضد - ماري وامبوي، الاستئناف المدني رقم 3 لعام 1976</w:t>
      </w:r>
      <w:r>
        <w:rPr>
          <w:rFonts w:hint="cs"/>
          <w:rtl/>
          <w:lang w:bidi="ar-EG"/>
        </w:rPr>
        <w:t>، توفر سوابق بارزة في</w:t>
      </w:r>
      <w:r>
        <w:rPr>
          <w:rFonts w:hint="cs"/>
          <w:rtl/>
          <w:lang w:bidi="ar-EG"/>
        </w:rPr>
        <w:t xml:space="preserve"> مسائل المعايشة. وقد قررت المحكمة أنه ينبغي أن تكون المعايشة لفترة معقولة، وتعريف معقولة لم يحدد على وجه التحديد. وفي حالة ولادة أي أطفال نتيجة علاقة توجد فيها معايشة، عندئذ يصلح هذا لتعزيز افتراض الزواج. وينبغي أن تكون هذه الفترة طويلة بما يكفي لأن تقرر ا</w:t>
      </w:r>
      <w:r>
        <w:rPr>
          <w:rFonts w:hint="cs"/>
          <w:rtl/>
          <w:lang w:bidi="ar-EG"/>
        </w:rPr>
        <w:t xml:space="preserve">لمحكمة أن الزوجين تعايشا كزوج وزوجة وقدما نفسيهما للعالم على هذا النحو لفترة طويلة بصورة معقولة. وقد تأكدت هذه المبادئ في الآونة الأخيرة في القرار الصادر في قضية </w:t>
      </w:r>
      <w:r>
        <w:rPr>
          <w:rFonts w:hint="cs"/>
          <w:i/>
          <w:iCs/>
          <w:rtl/>
          <w:lang w:bidi="ar-EG"/>
        </w:rPr>
        <w:t>استر نجيري وانجينغا - ضد - جوزيف موانغي ماثاغا المعروف بـ جاستوس نديرانغو [قضية المحكمة العليا</w:t>
      </w:r>
      <w:r>
        <w:rPr>
          <w:rFonts w:hint="cs"/>
          <w:i/>
          <w:iCs/>
          <w:rtl/>
          <w:lang w:bidi="ar-EG"/>
        </w:rPr>
        <w:t xml:space="preserve"> رقم 1548 لعام 2002]</w:t>
      </w:r>
      <w:r>
        <w:rPr>
          <w:rFonts w:hint="cs"/>
          <w:rtl/>
          <w:lang w:bidi="ar-EG"/>
        </w:rPr>
        <w:t xml:space="preserve">، حيث حكمت المحكمة العليا بأن الرجل الذي غير اسمه في محاولة لتجنب ادعاء بأنه متزوج بامرأة كان يعيش معها طوال خمس سنوات </w:t>
      </w:r>
      <w:r>
        <w:rPr>
          <w:rtl/>
          <w:lang w:bidi="ar-EG"/>
        </w:rPr>
        <w:t>–</w:t>
      </w:r>
      <w:r>
        <w:rPr>
          <w:rFonts w:hint="cs"/>
          <w:rtl/>
          <w:lang w:bidi="ar-EG"/>
        </w:rPr>
        <w:t xml:space="preserve"> هو في الواقع متزوج بهذه المرأة. ومن بين العوامل التي أخذتها المحكمة في الاعتبار في التوصل إلى هذا القرار، بخلاف أن </w:t>
      </w:r>
      <w:r>
        <w:rPr>
          <w:rFonts w:hint="cs"/>
          <w:rtl/>
          <w:lang w:bidi="ar-EG"/>
        </w:rPr>
        <w:t>الزوجين تعايشا طوال خمس سنوات، كانت حقيقة أنه كان لديهما أطفال، توفى أحدهما ودفن في بيت الأب.</w:t>
      </w:r>
    </w:p>
    <w:p w:rsidR="00000000" w:rsidRDefault="00D8679F">
      <w:pPr>
        <w:pStyle w:val="SingleTxt"/>
        <w:tabs>
          <w:tab w:val="clear" w:pos="2592"/>
          <w:tab w:val="left" w:pos="2228"/>
        </w:tabs>
        <w:jc w:val="both"/>
        <w:rPr>
          <w:rFonts w:hint="cs"/>
          <w:rtl/>
          <w:lang w:bidi="ar-EG"/>
        </w:rPr>
      </w:pPr>
      <w:r>
        <w:rPr>
          <w:rFonts w:hint="cs"/>
          <w:rtl/>
          <w:lang w:bidi="ar-EG"/>
        </w:rPr>
        <w:t>172-</w:t>
      </w:r>
      <w:r>
        <w:rPr>
          <w:rFonts w:hint="cs"/>
          <w:rtl/>
          <w:lang w:bidi="ar-EG"/>
        </w:rPr>
        <w:tab/>
        <w:t>الزواج المبكر: تتمتع المرأة والرجل بنفس الحق في اختيار عقد الزواج بموافقتهما الحرة والكاملة فحسب. بيد أن القانون الإسلامي والقانون العرفي يسمحان بزواج القصر.</w:t>
      </w:r>
      <w:r>
        <w:rPr>
          <w:rFonts w:hint="cs"/>
          <w:rtl/>
          <w:lang w:bidi="ar-EG"/>
        </w:rPr>
        <w:t xml:space="preserve"> غير أن قانون الأطفال يحظر هذه الممارسة كما أنه يحظر زواج الأشخاص دون سن 18 عاما. وينص على أن أي جزء في القانون يخالف أحكام هذا القانون يكون باطلا ولاغيا. ولما</w:t>
      </w:r>
      <w:r>
        <w:rPr>
          <w:rFonts w:hint="eastAsia"/>
          <w:rtl/>
          <w:lang w:bidi="ar-EG"/>
        </w:rPr>
        <w:t> </w:t>
      </w:r>
      <w:r>
        <w:rPr>
          <w:rFonts w:hint="cs"/>
          <w:rtl/>
          <w:lang w:bidi="ar-EG"/>
        </w:rPr>
        <w:t>كان قانون الأطفال هو الأخير من حيث الوقت، فإنه يسود على جميع القوانين القائمة</w:t>
      </w:r>
      <w:r>
        <w:rPr>
          <w:rFonts w:hint="eastAsia"/>
          <w:rtl/>
          <w:lang w:bidi="ar-EG"/>
        </w:rPr>
        <w:t> </w:t>
      </w:r>
      <w:r>
        <w:rPr>
          <w:rFonts w:hint="cs"/>
          <w:rtl/>
          <w:lang w:bidi="ar-EG"/>
        </w:rPr>
        <w:t>الأخرى.</w:t>
      </w:r>
    </w:p>
    <w:p w:rsidR="00000000" w:rsidRDefault="00D8679F">
      <w:pPr>
        <w:pStyle w:val="SingleTxt"/>
        <w:tabs>
          <w:tab w:val="clear" w:pos="2592"/>
          <w:tab w:val="left" w:pos="2228"/>
        </w:tabs>
        <w:jc w:val="both"/>
        <w:rPr>
          <w:rFonts w:hint="cs"/>
          <w:rtl/>
          <w:lang w:bidi="ar-EG"/>
        </w:rPr>
      </w:pPr>
      <w:r>
        <w:rPr>
          <w:rFonts w:hint="cs"/>
          <w:rtl/>
          <w:lang w:bidi="ar-EG"/>
        </w:rPr>
        <w:t>173-</w:t>
      </w:r>
      <w:r>
        <w:rPr>
          <w:rFonts w:hint="cs"/>
          <w:rtl/>
          <w:lang w:bidi="ar-EG"/>
        </w:rPr>
        <w:tab/>
        <w:t>المسؤ</w:t>
      </w:r>
      <w:r>
        <w:rPr>
          <w:rFonts w:hint="cs"/>
          <w:rtl/>
          <w:lang w:bidi="ar-EG"/>
        </w:rPr>
        <w:t>وليات في الزواج: فيما يتعلق بالمسؤوليات في الزواج، يتقاسم الرجل والمرأة المسؤوليات بالتساوي تجاه أطفالهما بما في ذلك الولاية، والقوامة، والوصاية، وتبني الأطفال، والحقوق في الطلاق وملكية الممتلكات. وعلى سبيل المثال، فإن ملكية الممتلكات المكتسبة قبل الزواج ت</w:t>
      </w:r>
      <w:r>
        <w:rPr>
          <w:rFonts w:hint="cs"/>
          <w:rtl/>
          <w:lang w:bidi="ar-EG"/>
        </w:rPr>
        <w:t>عتبر ممتلكات فردية. وجميع الممتلكات المكتسبة أثناء فترة الزواج تعتبر ممتلكات زوجية ولذلك تكون لكل زوج حصة متساوية فيها. ومع ذلك، يحق لكل زوج أن يمتلك ممتلكات باسمه. وقانون ممتلكات الزوجية المعمول به حاليا في كينيا متقادم للغاية حيث أنه قانون بريطاني يرجع إ</w:t>
      </w:r>
      <w:r>
        <w:rPr>
          <w:rFonts w:hint="cs"/>
          <w:rtl/>
          <w:lang w:bidi="ar-EG"/>
        </w:rPr>
        <w:t xml:space="preserve">لى القرن التاسع عشر وتنتج عنه عدة ثغرات في هذا المجال. وتقوم حاليا لجنة إصلاح القانون باستعراض هذا القانون وهي بسبيل صياغة مشروع قانون ممتلكات الزوجية. وفي حالة الممتلكات المكتسبة قبل الزواج، يمكن أن تتصرف المرأة في ممتلكاتها بحرية. بيد أنه في بعض الحالات </w:t>
      </w:r>
      <w:r>
        <w:rPr>
          <w:rFonts w:hint="cs"/>
          <w:rtl/>
          <w:lang w:bidi="ar-EG"/>
        </w:rPr>
        <w:t>ولا سيما عند امتلاك الممتلكات بصورة مشتركة مع الزوج قد تلزم موافقة الزوج والعكس صحيح.</w:t>
      </w:r>
    </w:p>
    <w:p w:rsidR="00000000" w:rsidRDefault="00D8679F">
      <w:pPr>
        <w:pStyle w:val="SingleTxt"/>
        <w:tabs>
          <w:tab w:val="clear" w:pos="2592"/>
          <w:tab w:val="left" w:pos="2228"/>
        </w:tabs>
        <w:jc w:val="both"/>
        <w:rPr>
          <w:rFonts w:hint="cs"/>
          <w:rtl/>
          <w:lang w:bidi="ar-EG"/>
        </w:rPr>
      </w:pPr>
      <w:r>
        <w:rPr>
          <w:rFonts w:hint="cs"/>
          <w:rtl/>
          <w:lang w:bidi="ar-EG"/>
        </w:rPr>
        <w:t>174-</w:t>
      </w:r>
      <w:r>
        <w:rPr>
          <w:rFonts w:hint="cs"/>
          <w:rtl/>
          <w:lang w:bidi="ar-EG"/>
        </w:rPr>
        <w:tab/>
        <w:t>حل المنازعات عند حل الزواج: وفرت حكومة كينيا آلية لحل المنازعات في حالات حل الزواج. ويضع قانون قضايا الزوجية، الفصل 152 من قوانين كينيا، آليات لمنح الطلاق، والفصل ال</w:t>
      </w:r>
      <w:r>
        <w:rPr>
          <w:rFonts w:hint="cs"/>
          <w:rtl/>
          <w:lang w:bidi="ar-EG"/>
        </w:rPr>
        <w:t>قضائي، والإبطال وأشكال الإنصاف الأخرى المتعلقة بالزواج الناشئة عن حالات الزواج الأحادي القانوني. وقضايا الزوجية الناشئة عن الزواج الإسلامي تنظمها الشريعة الإسلامية طبقا لقانون الزواج والطلاق والوراثة الإسلامي. ولا يوجد قانون مكتوب فيما يتعلق بقضايا الزوجية</w:t>
      </w:r>
      <w:r>
        <w:rPr>
          <w:rFonts w:hint="cs"/>
          <w:rtl/>
          <w:lang w:bidi="ar-EG"/>
        </w:rPr>
        <w:t xml:space="preserve"> الناشئة عن الزواج المعقود طبقا للقانون العرفي. وهذا الزواج لا يسجل وتنظمه الممارسات العرفية. وعدم تسجيل الزواج العرفي يمثل عقبة أمام التأكد من وجود زواج عرفي. وهذا على ضوء ارتفاع أعداد الأزواج الذين يعيشون معا كمتزوجين ولكنهم لم يقوموا بجميع طقوس الزواج ا</w:t>
      </w:r>
      <w:r>
        <w:rPr>
          <w:rFonts w:hint="cs"/>
          <w:rtl/>
          <w:lang w:bidi="ar-EG"/>
        </w:rPr>
        <w:t>لعرفي. ويجري تقديم بعض الأسباب المحددة التي يمكن على أساسها عرض الطلبات على المحاكم المختصة في البلد. والزوج الذي يقيم دعوى طلاق لا يمكنه أن يفعل ذلك إلا بعد مرور ثلاث سنوات على عقد الزواج. وهذا منصوص عليه في المادة 6 من قانون قضايا الزوجية. ومن الناحية ال</w:t>
      </w:r>
      <w:r>
        <w:rPr>
          <w:rFonts w:hint="cs"/>
          <w:rtl/>
          <w:lang w:bidi="ar-EG"/>
        </w:rPr>
        <w:t>عملية تفعل المحاكمة كل ما في وسعها لتشجيع الزوجين على محاولة حل خلافاتهما قبل منح الطلاق. وفي كينيا يُحظر على الزوجين التواطؤ للحصول على الطلاق. وتورد المادة 8 من قانون قضايا الزوجية الأسباب التالية التي يمكن على أساسها إقامة دعوى طلاق:</w:t>
      </w:r>
    </w:p>
    <w:p w:rsidR="00000000" w:rsidRDefault="00D8679F">
      <w:pPr>
        <w:pStyle w:val="SingleTxt"/>
        <w:tabs>
          <w:tab w:val="clear" w:pos="2592"/>
          <w:tab w:val="left" w:pos="2228"/>
        </w:tabs>
        <w:ind w:left="1930" w:hanging="663"/>
        <w:jc w:val="both"/>
        <w:rPr>
          <w:rFonts w:hint="cs"/>
          <w:rtl/>
          <w:lang w:bidi="ar-EG"/>
        </w:rPr>
      </w:pPr>
      <w:r>
        <w:rPr>
          <w:rFonts w:hint="cs"/>
          <w:rtl/>
          <w:lang w:bidi="ar-EG"/>
        </w:rPr>
        <w:tab/>
        <w:t>•</w:t>
      </w:r>
      <w:r>
        <w:rPr>
          <w:rFonts w:hint="cs"/>
          <w:rtl/>
          <w:lang w:bidi="ar-EG"/>
        </w:rPr>
        <w:tab/>
        <w:t>الزنا</w:t>
      </w:r>
    </w:p>
    <w:p w:rsidR="00000000" w:rsidRDefault="00D8679F">
      <w:pPr>
        <w:pStyle w:val="SingleTxt"/>
        <w:tabs>
          <w:tab w:val="clear" w:pos="2592"/>
          <w:tab w:val="left" w:pos="2228"/>
        </w:tabs>
        <w:ind w:left="1930" w:hanging="663"/>
        <w:jc w:val="both"/>
        <w:rPr>
          <w:rFonts w:hint="cs"/>
          <w:rtl/>
          <w:lang w:bidi="ar-EG"/>
        </w:rPr>
      </w:pPr>
      <w:r>
        <w:rPr>
          <w:rFonts w:hint="cs"/>
          <w:rtl/>
          <w:lang w:bidi="ar-EG"/>
        </w:rPr>
        <w:tab/>
        <w:t>•</w:t>
      </w:r>
      <w:r>
        <w:rPr>
          <w:rFonts w:hint="cs"/>
          <w:rtl/>
          <w:lang w:bidi="ar-EG"/>
        </w:rPr>
        <w:tab/>
        <w:t>القسوة</w:t>
      </w:r>
    </w:p>
    <w:p w:rsidR="00000000" w:rsidRDefault="00D8679F">
      <w:pPr>
        <w:pStyle w:val="SingleTxt"/>
        <w:tabs>
          <w:tab w:val="clear" w:pos="2592"/>
          <w:tab w:val="left" w:pos="2228"/>
        </w:tabs>
        <w:ind w:left="1930" w:hanging="663"/>
        <w:jc w:val="both"/>
        <w:rPr>
          <w:rFonts w:hint="cs"/>
          <w:rtl/>
          <w:lang w:bidi="ar-EG"/>
        </w:rPr>
      </w:pPr>
      <w:r>
        <w:rPr>
          <w:rFonts w:hint="cs"/>
          <w:rtl/>
          <w:lang w:bidi="ar-EG"/>
        </w:rPr>
        <w:tab/>
        <w:t>•</w:t>
      </w:r>
      <w:r>
        <w:rPr>
          <w:rFonts w:hint="cs"/>
          <w:rtl/>
          <w:lang w:bidi="ar-EG"/>
        </w:rPr>
        <w:tab/>
        <w:t>الهجر لفترة لا تقل عن ثلاث سنوات</w:t>
      </w:r>
    </w:p>
    <w:p w:rsidR="00000000" w:rsidRDefault="00D8679F">
      <w:pPr>
        <w:pStyle w:val="SingleTxt"/>
        <w:tabs>
          <w:tab w:val="clear" w:pos="2592"/>
          <w:tab w:val="left" w:pos="2228"/>
        </w:tabs>
        <w:ind w:left="1930" w:hanging="663"/>
        <w:jc w:val="both"/>
        <w:rPr>
          <w:rFonts w:hint="cs"/>
          <w:rtl/>
          <w:lang w:bidi="ar-EG"/>
        </w:rPr>
      </w:pPr>
      <w:r>
        <w:rPr>
          <w:rFonts w:hint="cs"/>
          <w:rtl/>
          <w:lang w:bidi="ar-EG"/>
        </w:rPr>
        <w:tab/>
        <w:t>•</w:t>
      </w:r>
      <w:r>
        <w:rPr>
          <w:rFonts w:hint="cs"/>
          <w:rtl/>
          <w:lang w:bidi="ar-EG"/>
        </w:rPr>
        <w:tab/>
        <w:t>أن الزوج غير سليم العقل بصورة يستعصي شفاؤها</w:t>
      </w:r>
    </w:p>
    <w:p w:rsidR="00000000" w:rsidRDefault="00D8679F">
      <w:pPr>
        <w:pStyle w:val="SingleTxt"/>
        <w:tabs>
          <w:tab w:val="clear" w:pos="2592"/>
          <w:tab w:val="left" w:pos="2228"/>
        </w:tabs>
        <w:ind w:left="2228" w:hanging="961"/>
        <w:jc w:val="both"/>
        <w:rPr>
          <w:rFonts w:hint="cs"/>
          <w:rtl/>
          <w:lang w:bidi="ar-EG"/>
        </w:rPr>
      </w:pPr>
      <w:r>
        <w:rPr>
          <w:rFonts w:hint="cs"/>
          <w:rtl/>
          <w:lang w:bidi="ar-EG"/>
        </w:rPr>
        <w:tab/>
        <w:t>•</w:t>
      </w:r>
      <w:r>
        <w:rPr>
          <w:rFonts w:hint="cs"/>
          <w:rtl/>
          <w:lang w:bidi="ar-EG"/>
        </w:rPr>
        <w:tab/>
        <w:t>أنه منذ عقد الزواج، كان الزوج مذنبا بارتكاب الاغتصاب أو اللواط أو اللواط الحيواني.</w:t>
      </w:r>
    </w:p>
    <w:p w:rsidR="00000000" w:rsidRDefault="00D8679F">
      <w:pPr>
        <w:pStyle w:val="SingleTxt"/>
        <w:tabs>
          <w:tab w:val="clear" w:pos="2592"/>
          <w:tab w:val="left" w:pos="2228"/>
        </w:tabs>
        <w:jc w:val="both"/>
        <w:rPr>
          <w:rFonts w:hint="cs"/>
          <w:rtl/>
          <w:lang w:bidi="ar-EG"/>
        </w:rPr>
      </w:pPr>
      <w:r>
        <w:rPr>
          <w:rFonts w:hint="cs"/>
          <w:rtl/>
          <w:lang w:bidi="ar-EG"/>
        </w:rPr>
        <w:t>175-</w:t>
      </w:r>
      <w:r>
        <w:rPr>
          <w:rFonts w:hint="cs"/>
          <w:rtl/>
          <w:lang w:bidi="ar-EG"/>
        </w:rPr>
        <w:tab/>
        <w:t>وفيما يتعلق بحضانة الأطفال، يتمتع كلا الوالدين بحقوق متساوية وتبت المحاكم في القضا</w:t>
      </w:r>
      <w:r>
        <w:rPr>
          <w:rFonts w:hint="cs"/>
          <w:rtl/>
          <w:lang w:bidi="ar-EG"/>
        </w:rPr>
        <w:t>يا وفقا لذلك.</w:t>
      </w:r>
    </w:p>
    <w:p w:rsidR="00000000" w:rsidRDefault="00D8679F">
      <w:pPr>
        <w:pStyle w:val="SingleTxt"/>
        <w:tabs>
          <w:tab w:val="clear" w:pos="2592"/>
          <w:tab w:val="left" w:pos="2228"/>
        </w:tabs>
        <w:jc w:val="both"/>
        <w:rPr>
          <w:rFonts w:hint="cs"/>
          <w:rtl/>
          <w:lang w:bidi="ar-EG"/>
        </w:rPr>
      </w:pPr>
      <w:r>
        <w:rPr>
          <w:rFonts w:hint="cs"/>
          <w:rtl/>
          <w:lang w:bidi="ar-EG"/>
        </w:rPr>
        <w:t>176-</w:t>
      </w:r>
      <w:r>
        <w:rPr>
          <w:rFonts w:hint="cs"/>
          <w:rtl/>
          <w:lang w:bidi="ar-EG"/>
        </w:rPr>
        <w:tab/>
        <w:t xml:space="preserve">وينص قانون الأطفال على أنه إذا عاش الزوجان معا لمدة 12 شهرا متتالية، عندئذ يحق للأطفال المولودين نتيجة ارتباطهما الحصول على الإعالة من كلا الوالدين. وينص قانون الأطفال في المادة 24 (3) على أنه إذا لم يكن والد وأم الطفل متزوجين من بعضهما </w:t>
      </w:r>
      <w:r>
        <w:rPr>
          <w:rFonts w:hint="cs"/>
          <w:rtl/>
          <w:lang w:bidi="ar-EG"/>
        </w:rPr>
        <w:t>وقت ولادة الطفل ولم يتزوجا من بعضهما بناء على ذلك، تكون للأم المسؤولية الوالدية بالدرجة الأولى. وبعد ذلك يكتسب الأب المسؤولية الأبوية إما عن طريق طلب يقدم إلى المحكمة لهذا الغرض أو في حالة الاعتراف بأبوة الطفل أو إعالته للطفل. وكلا الأبوين ملتزمان مع ذلك ب</w:t>
      </w:r>
      <w:r>
        <w:rPr>
          <w:rFonts w:hint="cs"/>
          <w:rtl/>
          <w:lang w:bidi="ar-EG"/>
        </w:rPr>
        <w:t xml:space="preserve">إعالة الأطفال. وفي قضية </w:t>
      </w:r>
      <w:r>
        <w:rPr>
          <w:rFonts w:hint="cs"/>
          <w:i/>
          <w:iCs/>
          <w:rtl/>
          <w:lang w:bidi="ar-EG"/>
        </w:rPr>
        <w:t>سوزان ويريمو - ضد ديفيد شيغي موانغي [</w:t>
      </w:r>
      <w:r>
        <w:rPr>
          <w:i/>
          <w:iCs/>
          <w:lang w:bidi="ar-EG"/>
        </w:rPr>
        <w:t>Muranga SPMCC No.3 of 2003</w:t>
      </w:r>
      <w:r>
        <w:rPr>
          <w:rFonts w:hint="cs"/>
          <w:i/>
          <w:iCs/>
          <w:rtl/>
          <w:lang w:bidi="ar-EG"/>
        </w:rPr>
        <w:t>]</w:t>
      </w:r>
      <w:r>
        <w:rPr>
          <w:rFonts w:hint="cs"/>
          <w:rtl/>
          <w:lang w:bidi="ar-EG"/>
        </w:rPr>
        <w:t>، حكمت محكمة جزئية بأنه في حالة الإنفصال فيما يتعلق بزواج طبقا</w:t>
      </w:r>
      <w:r>
        <w:rPr>
          <w:rFonts w:hint="eastAsia"/>
          <w:rtl/>
          <w:lang w:bidi="ar-EG"/>
        </w:rPr>
        <w:t> </w:t>
      </w:r>
      <w:r>
        <w:rPr>
          <w:rFonts w:hint="cs"/>
          <w:rtl/>
          <w:lang w:bidi="ar-EG"/>
        </w:rPr>
        <w:t>للقانون العرفي، يظل الأب يتحمل المسؤولية الأبوية عن إعالة أي أطفال يولدون نتيجة هذا الإقتران. وتأكد نفس ا</w:t>
      </w:r>
      <w:r>
        <w:rPr>
          <w:rFonts w:hint="cs"/>
          <w:rtl/>
          <w:lang w:bidi="ar-EG"/>
        </w:rPr>
        <w:t xml:space="preserve">لشيء في قضية عرضت على القاضي الجزئي المقيم الأقدم في نيروبي، </w:t>
      </w:r>
      <w:r>
        <w:rPr>
          <w:rFonts w:hint="cs"/>
          <w:i/>
          <w:iCs/>
          <w:rtl/>
        </w:rPr>
        <w:t xml:space="preserve">هي قضية </w:t>
      </w:r>
      <w:r>
        <w:rPr>
          <w:rFonts w:hint="cs"/>
          <w:i/>
          <w:iCs/>
          <w:rtl/>
          <w:lang w:bidi="ar-EG"/>
        </w:rPr>
        <w:t>سوزان وانجيكو ندونغوو - ضد - سيباستيان ندونغوو [</w:t>
      </w:r>
      <w:r>
        <w:rPr>
          <w:i/>
          <w:iCs/>
          <w:lang w:bidi="ar-EG"/>
        </w:rPr>
        <w:t>Nairobi SRMCCC No. 215 of 2003</w:t>
      </w:r>
      <w:r>
        <w:rPr>
          <w:rFonts w:hint="cs"/>
          <w:i/>
          <w:iCs/>
          <w:rtl/>
          <w:lang w:bidi="ar-EG"/>
        </w:rPr>
        <w:t>]</w:t>
      </w:r>
      <w:r>
        <w:rPr>
          <w:rFonts w:hint="cs"/>
          <w:rtl/>
          <w:lang w:bidi="ar-EG"/>
        </w:rPr>
        <w:t>.</w:t>
      </w:r>
    </w:p>
    <w:p w:rsidR="00000000" w:rsidRDefault="00D8679F">
      <w:pPr>
        <w:pStyle w:val="SingleTxt"/>
        <w:tabs>
          <w:tab w:val="clear" w:pos="2592"/>
          <w:tab w:val="left" w:pos="2228"/>
        </w:tabs>
        <w:jc w:val="both"/>
        <w:rPr>
          <w:rFonts w:hint="cs"/>
          <w:rtl/>
          <w:lang w:bidi="ar-EG"/>
        </w:rPr>
      </w:pPr>
      <w:r>
        <w:rPr>
          <w:rFonts w:hint="cs"/>
          <w:rtl/>
          <w:lang w:bidi="ar-EG"/>
        </w:rPr>
        <w:t>177-</w:t>
      </w:r>
      <w:r>
        <w:rPr>
          <w:rFonts w:hint="cs"/>
          <w:rtl/>
          <w:lang w:bidi="ar-EG"/>
        </w:rPr>
        <w:tab/>
        <w:t>ويعترف القانون العرفي بالزواج عن طريق الفرار حيث يتعايش المرأة والرجل بدون عقد أي زواج. والزوجان اللذ</w:t>
      </w:r>
      <w:r>
        <w:rPr>
          <w:rFonts w:hint="cs"/>
          <w:rtl/>
          <w:lang w:bidi="ar-EG"/>
        </w:rPr>
        <w:t>ان يتعايشان لا يمنحان الحماية طبقا للقانون المكتوب. بيد أنه عند وفاة الزوج، يمكن أن تثبت المرأة أنه كان يعولها طبقا لقانون الوراثة.</w:t>
      </w:r>
    </w:p>
    <w:p w:rsidR="00000000" w:rsidRDefault="00D8679F">
      <w:pPr>
        <w:pStyle w:val="SingleTxt"/>
        <w:tabs>
          <w:tab w:val="clear" w:pos="2592"/>
          <w:tab w:val="left" w:pos="2228"/>
        </w:tabs>
        <w:jc w:val="both"/>
        <w:rPr>
          <w:rFonts w:hint="cs"/>
          <w:rtl/>
          <w:lang w:bidi="ar-EG"/>
        </w:rPr>
      </w:pPr>
      <w:r>
        <w:rPr>
          <w:rFonts w:hint="cs"/>
          <w:rtl/>
          <w:lang w:bidi="ar-EG"/>
        </w:rPr>
        <w:t>178-</w:t>
      </w:r>
      <w:r>
        <w:rPr>
          <w:rFonts w:hint="cs"/>
          <w:rtl/>
          <w:lang w:bidi="ar-EG"/>
        </w:rPr>
        <w:tab/>
        <w:t>الحق في اختيار المباعدة بين الأطفال: تعيش معظم النساء في فقر ولذلك لا يستطعن تحمل تكاليف وسائل منع الحمل للتمكن من تقري</w:t>
      </w:r>
      <w:r>
        <w:rPr>
          <w:rFonts w:hint="cs"/>
          <w:rtl/>
          <w:lang w:bidi="ar-EG"/>
        </w:rPr>
        <w:t>ر المباعدة بين أطفالهن.</w:t>
      </w:r>
    </w:p>
    <w:p w:rsidR="00000000" w:rsidRDefault="00D8679F">
      <w:pPr>
        <w:pStyle w:val="SingleTxt"/>
        <w:tabs>
          <w:tab w:val="clear" w:pos="2592"/>
          <w:tab w:val="left" w:pos="2228"/>
        </w:tabs>
        <w:ind w:left="1930" w:hanging="663"/>
        <w:jc w:val="both"/>
        <w:rPr>
          <w:rFonts w:hint="cs"/>
          <w:rtl/>
          <w:lang w:bidi="ar-EG"/>
        </w:rPr>
      </w:pPr>
      <w:r>
        <w:rPr>
          <w:rFonts w:hint="cs"/>
          <w:rtl/>
          <w:lang w:bidi="ar-EG"/>
        </w:rPr>
        <w:t>179-</w:t>
      </w:r>
      <w:r>
        <w:rPr>
          <w:rFonts w:hint="cs"/>
          <w:rtl/>
          <w:lang w:bidi="ar-EG"/>
        </w:rPr>
        <w:tab/>
        <w:t>الإجهاض: أُُعلن أنه غير قانوني في كينيا، إلا إذا كانت حياة الأم معرضة للخطر.</w:t>
      </w:r>
    </w:p>
    <w:p w:rsidR="00000000" w:rsidRDefault="00D8679F">
      <w:pPr>
        <w:pStyle w:val="SingleTxt"/>
        <w:tabs>
          <w:tab w:val="clear" w:pos="2592"/>
          <w:tab w:val="left" w:pos="2228"/>
        </w:tabs>
        <w:jc w:val="both"/>
        <w:rPr>
          <w:rFonts w:hint="cs"/>
          <w:rtl/>
          <w:lang w:bidi="ar-EG"/>
        </w:rPr>
      </w:pPr>
      <w:r>
        <w:rPr>
          <w:rFonts w:hint="cs"/>
          <w:rtl/>
          <w:lang w:bidi="ar-EG"/>
        </w:rPr>
        <w:t>180-</w:t>
      </w:r>
      <w:r>
        <w:rPr>
          <w:rFonts w:hint="cs"/>
          <w:rtl/>
          <w:lang w:bidi="ar-EG"/>
        </w:rPr>
        <w:tab/>
        <w:t>التبني: يتمتع الرجل والمرأة على حد سواء بحقوق في التبني ولكن هناك شروط وإجراءات ينص عليها القانون ويتعين التقيد بها.</w:t>
      </w:r>
    </w:p>
    <w:p w:rsidR="00000000" w:rsidRDefault="00D8679F">
      <w:pPr>
        <w:pStyle w:val="SingleTxt"/>
        <w:tabs>
          <w:tab w:val="clear" w:pos="2592"/>
          <w:tab w:val="left" w:pos="2228"/>
        </w:tabs>
        <w:jc w:val="both"/>
        <w:rPr>
          <w:rFonts w:hint="cs"/>
          <w:rtl/>
          <w:lang w:bidi="ar-EG"/>
        </w:rPr>
      </w:pPr>
      <w:r>
        <w:rPr>
          <w:rFonts w:hint="cs"/>
          <w:rtl/>
          <w:lang w:bidi="ar-EG"/>
        </w:rPr>
        <w:t>181-</w:t>
      </w:r>
      <w:r>
        <w:rPr>
          <w:rFonts w:hint="cs"/>
          <w:rtl/>
          <w:lang w:bidi="ar-EG"/>
        </w:rPr>
        <w:tab/>
        <w:t>الحق في تغيير الاسم: ال</w:t>
      </w:r>
      <w:r>
        <w:rPr>
          <w:rFonts w:hint="cs"/>
          <w:rtl/>
          <w:lang w:bidi="ar-EG"/>
        </w:rPr>
        <w:t xml:space="preserve">حق في اختيار اسم العائلة غير منصوص عليه قانونا ولايتدخل القانون في هذا المجال. وفي حكم صدر مؤخرا، حكمت المحكمة العليا بأنه لايلزم أن تغير المرأة إسمها عند الزواج. وفي قضية </w:t>
      </w:r>
      <w:r>
        <w:rPr>
          <w:rFonts w:hint="cs"/>
          <w:i/>
          <w:iCs/>
          <w:rtl/>
          <w:lang w:bidi="ar-EG"/>
        </w:rPr>
        <w:t>فلورانس ويريمو كانيورا</w:t>
      </w:r>
      <w:r>
        <w:rPr>
          <w:rFonts w:hint="eastAsia"/>
          <w:i/>
          <w:iCs/>
          <w:rtl/>
          <w:lang w:bidi="ar-EG"/>
        </w:rPr>
        <w:t> </w:t>
      </w:r>
      <w:r>
        <w:rPr>
          <w:rFonts w:hint="cs"/>
          <w:i/>
          <w:iCs/>
          <w:rtl/>
          <w:lang w:bidi="ar-EG"/>
        </w:rPr>
        <w:t>- ضد - نجوروغي كينيانجوي [2005]</w:t>
      </w:r>
      <w:r>
        <w:rPr>
          <w:rFonts w:hint="cs"/>
          <w:rtl/>
          <w:lang w:bidi="ar-EG"/>
        </w:rPr>
        <w:t>، حكم القاضي بأنه:</w:t>
      </w:r>
    </w:p>
    <w:p w:rsidR="00000000" w:rsidRDefault="00D8679F">
      <w:pPr>
        <w:pStyle w:val="SingleTxt"/>
        <w:ind w:left="1930" w:hanging="663"/>
        <w:jc w:val="both"/>
        <w:rPr>
          <w:rFonts w:hint="cs"/>
          <w:rtl/>
          <w:lang w:bidi="ar-EG"/>
        </w:rPr>
      </w:pPr>
      <w:r>
        <w:rPr>
          <w:rFonts w:hint="cs"/>
          <w:rtl/>
          <w:lang w:bidi="ar-EG"/>
        </w:rPr>
        <w:tab/>
      </w:r>
      <w:r>
        <w:rPr>
          <w:rFonts w:hint="cs"/>
          <w:rtl/>
          <w:lang w:bidi="ar-EG"/>
        </w:rPr>
        <w:tab/>
        <w:t>لا يمكن أ</w:t>
      </w:r>
      <w:r>
        <w:rPr>
          <w:rFonts w:hint="cs"/>
          <w:rtl/>
          <w:lang w:bidi="ar-EG"/>
        </w:rPr>
        <w:t>ن يؤثر عدم تغيير الاسم [في هذه القضية إسم امرأة] في الحالة الزواجية حيث لا يوجد قانون يقضي بأن يختار الشخص اسم الزوج.</w:t>
      </w:r>
    </w:p>
    <w:p w:rsidR="00000000" w:rsidRDefault="00D8679F">
      <w:pPr>
        <w:pStyle w:val="SingleTxt"/>
        <w:tabs>
          <w:tab w:val="clear" w:pos="2592"/>
          <w:tab w:val="left" w:pos="2228"/>
        </w:tabs>
        <w:jc w:val="both"/>
        <w:rPr>
          <w:rFonts w:hint="cs"/>
          <w:rtl/>
          <w:lang w:bidi="ar-EG"/>
        </w:rPr>
      </w:pPr>
      <w:r>
        <w:rPr>
          <w:rFonts w:hint="cs"/>
          <w:rtl/>
          <w:lang w:bidi="ar-EG"/>
        </w:rPr>
        <w:t>182-</w:t>
      </w:r>
      <w:r>
        <w:rPr>
          <w:rFonts w:hint="cs"/>
          <w:rtl/>
          <w:lang w:bidi="ar-EG"/>
        </w:rPr>
        <w:tab/>
        <w:t>الحق في اختيار المهنة والوظيفة: تتمتع المرأة، سواء كانت متزوجة أو غير متزوجة، بالحق في اختيار مهنة ووظيفة.</w:t>
      </w:r>
    </w:p>
    <w:p w:rsidR="00000000" w:rsidRDefault="00D8679F">
      <w:pPr>
        <w:pStyle w:val="SingleTxt"/>
        <w:tabs>
          <w:tab w:val="clear" w:pos="2592"/>
          <w:tab w:val="left" w:pos="2228"/>
        </w:tabs>
        <w:jc w:val="both"/>
        <w:rPr>
          <w:rFonts w:hint="cs"/>
          <w:rtl/>
          <w:lang w:bidi="ar-EG"/>
        </w:rPr>
      </w:pPr>
      <w:r>
        <w:rPr>
          <w:rFonts w:hint="cs"/>
          <w:rtl/>
          <w:lang w:bidi="ar-EG"/>
        </w:rPr>
        <w:t>183-</w:t>
      </w:r>
      <w:r>
        <w:rPr>
          <w:rFonts w:hint="cs"/>
          <w:rtl/>
          <w:lang w:bidi="ar-EG"/>
        </w:rPr>
        <w:tab/>
        <w:t>ملكية الممتلكات: يضمن</w:t>
      </w:r>
      <w:r>
        <w:rPr>
          <w:rFonts w:hint="cs"/>
          <w:rtl/>
          <w:lang w:bidi="ar-EG"/>
        </w:rPr>
        <w:t xml:space="preserve"> الدستور حقوق ملكية الممتلكات، واكتسابها، وإدارتها وتدبير شؤونها والتصرف فيها. والقيود المتعلقة بهذا المجال في القانون نوقشت بالتفصيل في الفقرات 4 و 5 و 6 و 7 و 165 أعلاه. وملكية المرأة للممتلكات المكتسبة أثناء الزواج تعززت عن طريق عدة قرارات صدرت عن المحا</w:t>
      </w:r>
      <w:r>
        <w:rPr>
          <w:rFonts w:hint="cs"/>
          <w:rtl/>
          <w:lang w:bidi="ar-EG"/>
        </w:rPr>
        <w:t xml:space="preserve">كم في الآونة الأخيرة وبخاصة: قضية </w:t>
      </w:r>
      <w:r>
        <w:rPr>
          <w:i/>
          <w:iCs/>
          <w:lang w:bidi="ar-EG"/>
        </w:rPr>
        <w:t>MSK - v - SNK [2005]</w:t>
      </w:r>
      <w:r>
        <w:rPr>
          <w:rFonts w:hint="cs"/>
          <w:rtl/>
          <w:lang w:bidi="ar-EG"/>
        </w:rPr>
        <w:t xml:space="preserve">، حيث قررت المحكمة العليا أن الواجبات المنزلية تعادل المساهمة في ممتلكات الزوجية. وفي هذه الحالة، أعلنت السيدة القاضية ماري أنغاوا  أن: </w:t>
      </w:r>
      <w:r>
        <w:rPr>
          <w:rFonts w:hint="eastAsia"/>
          <w:rtl/>
          <w:lang w:bidi="ar-EG"/>
        </w:rPr>
        <w:t xml:space="preserve">”الزواج نظام قائم على الثقة. </w:t>
      </w:r>
      <w:r>
        <w:rPr>
          <w:rFonts w:hint="cs"/>
          <w:rtl/>
          <w:lang w:bidi="ar-EG"/>
        </w:rPr>
        <w:t>ولا تقوم الزوجة يوميا بتسجيل ما فعلته</w:t>
      </w:r>
      <w:r>
        <w:rPr>
          <w:rFonts w:hint="cs"/>
          <w:rtl/>
          <w:lang w:bidi="ar-EG"/>
        </w:rPr>
        <w:t xml:space="preserve"> للمساهمة في الزواج</w:t>
      </w:r>
      <w:r>
        <w:rPr>
          <w:rFonts w:hint="eastAsia"/>
          <w:rtl/>
          <w:lang w:bidi="ar-EG"/>
        </w:rPr>
        <w:t>“.</w:t>
      </w:r>
      <w:r>
        <w:rPr>
          <w:rFonts w:hint="cs"/>
          <w:rtl/>
          <w:lang w:bidi="ar-EG"/>
        </w:rPr>
        <w:t xml:space="preserve"> وفي قضية </w:t>
      </w:r>
      <w:r>
        <w:rPr>
          <w:i/>
          <w:iCs/>
          <w:lang w:bidi="ar-EG"/>
        </w:rPr>
        <w:t>Florence Wairimu Kanyora - v - Njoroge Kinyanjui [2005]</w:t>
      </w:r>
      <w:r>
        <w:rPr>
          <w:rFonts w:hint="cs"/>
          <w:rtl/>
          <w:lang w:bidi="ar-EG"/>
        </w:rPr>
        <w:t>، حكمت المحكمة أيضا بأنه يحق للمرأة أن يكون لها نصيب في الممتلكات التي يرثها زوجها، متى أثبتت أنها ساهمت في تنمية تلك الممتلكات.</w:t>
      </w:r>
    </w:p>
    <w:p w:rsidR="00000000" w:rsidRDefault="00D8679F">
      <w:pPr>
        <w:pStyle w:val="SingleTxt"/>
        <w:tabs>
          <w:tab w:val="clear" w:pos="2592"/>
          <w:tab w:val="left" w:pos="2228"/>
        </w:tabs>
        <w:spacing w:line="380" w:lineRule="exact"/>
        <w:jc w:val="both"/>
        <w:rPr>
          <w:rFonts w:hint="cs"/>
          <w:rtl/>
          <w:lang w:bidi="ar-EG"/>
        </w:rPr>
      </w:pPr>
      <w:r>
        <w:rPr>
          <w:rFonts w:hint="cs"/>
          <w:rtl/>
          <w:lang w:bidi="ar-EG"/>
        </w:rPr>
        <w:t>184-</w:t>
      </w:r>
      <w:r>
        <w:rPr>
          <w:rFonts w:hint="cs"/>
          <w:rtl/>
          <w:lang w:bidi="ar-EG"/>
        </w:rPr>
        <w:tab/>
        <w:t>بيد أن قانون الوراثة الذي ينظم مسائل</w:t>
      </w:r>
      <w:r>
        <w:rPr>
          <w:rFonts w:hint="cs"/>
          <w:rtl/>
          <w:lang w:bidi="ar-EG"/>
        </w:rPr>
        <w:t xml:space="preserve"> الميراث والتصرف في ممتلكات المتوفى ينص على أن الأرملة تفقد المنفعة التي تتمتع بها مدى الحياة متى تزوجت ثانية من أي شخص. وبالإضافة إلى ذلك، يحرم نفس القانون المرأة من أي منفعة في الأرض الزراعية لزوجها، والمحاصيل وحيوانات المزرعة في حالة وفاة الزوج بدون وصي</w:t>
      </w:r>
      <w:r>
        <w:rPr>
          <w:rFonts w:hint="cs"/>
          <w:rtl/>
          <w:lang w:bidi="ar-EG"/>
        </w:rPr>
        <w:t>ة وكان مقيما في منطقة نشرها الوزير في الجريدة الرسمية أو كانت له مصالح في أرض مملوكة على المشاع، حيث لا يسمح القانون العرفي للمرأة بالوراثة. والحكومة بسبيل معالجة هذه القضية عن طريق لجنة إصلاح</w:t>
      </w:r>
      <w:r>
        <w:rPr>
          <w:rFonts w:hint="eastAsia"/>
          <w:rtl/>
          <w:lang w:bidi="ar-EG"/>
        </w:rPr>
        <w:t> </w:t>
      </w:r>
      <w:r>
        <w:rPr>
          <w:rFonts w:hint="cs"/>
          <w:rtl/>
          <w:lang w:bidi="ar-EG"/>
        </w:rPr>
        <w:t>القانون.</w:t>
      </w:r>
    </w:p>
    <w:p w:rsidR="00000000" w:rsidRDefault="00D8679F">
      <w:pPr>
        <w:pStyle w:val="SingleTxt"/>
        <w:tabs>
          <w:tab w:val="clear" w:pos="2592"/>
          <w:tab w:val="left" w:pos="2228"/>
        </w:tabs>
        <w:spacing w:line="380" w:lineRule="exact"/>
        <w:jc w:val="both"/>
        <w:rPr>
          <w:rFonts w:hint="cs"/>
          <w:rtl/>
          <w:lang w:bidi="ar-EG"/>
        </w:rPr>
      </w:pPr>
      <w:r>
        <w:rPr>
          <w:rFonts w:hint="cs"/>
          <w:rtl/>
          <w:lang w:bidi="ar-EG"/>
        </w:rPr>
        <w:t>185-</w:t>
      </w:r>
      <w:r>
        <w:rPr>
          <w:rFonts w:hint="cs"/>
          <w:rtl/>
          <w:lang w:bidi="ar-EG"/>
        </w:rPr>
        <w:tab/>
        <w:t>سن القوانين: أوصت اللجنة المعنية بالقضاء على التم</w:t>
      </w:r>
      <w:r>
        <w:rPr>
          <w:rFonts w:hint="cs"/>
          <w:rtl/>
          <w:lang w:bidi="ar-EG"/>
        </w:rPr>
        <w:t>ييز ضد المرأة بأن تقوم الحكومة على وجه السرعة بسن قوانين معينة من أجل القضاء على التمييز ضد المرأة ومن ثم تحقيق المساواة في الزواج. ولتحقيق هذه الغاية، سنت الحكومة قانون اللجنة الوطنية المعنية بالشؤون الجنسانية والتنمية، وقانون تعديل القانون الجنائي وقانون</w:t>
      </w:r>
      <w:r>
        <w:rPr>
          <w:rFonts w:hint="cs"/>
          <w:rtl/>
          <w:lang w:bidi="ar-EG"/>
        </w:rPr>
        <w:t xml:space="preserve"> آداب مهنة الموظفين العموميين. وبالإضافة إلى ذلك، واصلت الحكومة العمل مع المجتمع المدني، بما في ذلك المنظمات النسائية غير الحكومية لتهيئة بيئة مواتية للإصلاح القانوني، والإنفاذ الفعال للقانون والإلمام بالشؤون القانونية. ونظمت الحكومة التدريب لضباط الشرطة و</w:t>
      </w:r>
      <w:r>
        <w:rPr>
          <w:rFonts w:hint="cs"/>
          <w:rtl/>
          <w:lang w:bidi="ar-EG"/>
        </w:rPr>
        <w:t>الرؤساء والإدارة الإقليمية الأخرى بشأن تمتع المرأة بحقوق متساوية في الزواج ولا سيما في مسائل الوراثة. وبالتعاون مع منظمات المجتمع المدني مثل اتحاد المحاميات الدولي لكينيا، تقوم إدارة الشرطة بتعميم منظور نوع الجنس في المنهاج التدريبي لضباط الشرطة.</w:t>
      </w:r>
    </w:p>
    <w:p w:rsidR="00000000" w:rsidRDefault="00D8679F">
      <w:pPr>
        <w:pStyle w:val="SingleTxt"/>
        <w:tabs>
          <w:tab w:val="clear" w:pos="2592"/>
          <w:tab w:val="left" w:pos="2228"/>
        </w:tabs>
        <w:spacing w:line="380" w:lineRule="exact"/>
        <w:jc w:val="both"/>
        <w:rPr>
          <w:rFonts w:hint="cs"/>
          <w:rtl/>
          <w:lang w:bidi="ar-EG"/>
        </w:rPr>
      </w:pPr>
      <w:r>
        <w:rPr>
          <w:rFonts w:hint="cs"/>
          <w:rtl/>
          <w:lang w:bidi="ar-EG"/>
        </w:rPr>
        <w:t>186-</w:t>
      </w:r>
      <w:r>
        <w:rPr>
          <w:rFonts w:hint="cs"/>
          <w:rtl/>
          <w:lang w:bidi="ar-EG"/>
        </w:rPr>
        <w:tab/>
        <w:t>وبال</w:t>
      </w:r>
      <w:r>
        <w:rPr>
          <w:rFonts w:hint="cs"/>
          <w:rtl/>
          <w:lang w:bidi="ar-EG"/>
        </w:rPr>
        <w:t>إضافة إلى ذلك، ما برحت لجنة إصلاح القانون تدرب موظفيها على صياغة التشريعات التي تراعي الفوارق بين الجنسين. وبغية الإسراع بسن قانون حماية الأسرة، عقدت الحكومة منتديات استشارية مع اتحاد المحاميات الدولي لكينيا ومنظمات المجتمع المدني الأخرى. كما أعطت لجنة إصل</w:t>
      </w:r>
      <w:r>
        <w:rPr>
          <w:rFonts w:hint="cs"/>
          <w:rtl/>
          <w:lang w:bidi="ar-EG"/>
        </w:rPr>
        <w:t>اح القانون أولوية لقانون فيروس نقص المناعة البشرية/الإيدز وأعيد نشره (قانون مكافحة، ومنع وإدارة فيروس نقص المناعة البشرية/الإيدز لعام 2005).</w:t>
      </w:r>
    </w:p>
    <w:p w:rsidR="00000000" w:rsidRDefault="00D8679F">
      <w:pPr>
        <w:pStyle w:val="SingleTxt"/>
        <w:tabs>
          <w:tab w:val="clear" w:pos="2592"/>
          <w:tab w:val="left" w:pos="2228"/>
        </w:tabs>
        <w:spacing w:line="380" w:lineRule="exact"/>
        <w:jc w:val="both"/>
        <w:rPr>
          <w:rFonts w:hint="cs"/>
          <w:rtl/>
          <w:lang w:bidi="ar-EG"/>
        </w:rPr>
      </w:pPr>
      <w:r>
        <w:rPr>
          <w:rFonts w:hint="cs"/>
          <w:rtl/>
          <w:lang w:bidi="ar-EG"/>
        </w:rPr>
        <w:t>187-</w:t>
      </w:r>
      <w:r>
        <w:rPr>
          <w:rFonts w:hint="cs"/>
          <w:rtl/>
          <w:lang w:bidi="ar-EG"/>
        </w:rPr>
        <w:tab/>
        <w:t>وفيما يتعلق بمشروع الجرائم الجنسية - وافق البرلمان بالإجماع على الاقتراح المتعلق</w:t>
      </w:r>
      <w:r>
        <w:rPr>
          <w:rFonts w:hint="eastAsia"/>
          <w:rtl/>
          <w:lang w:bidi="ar-EG"/>
        </w:rPr>
        <w:t> </w:t>
      </w:r>
      <w:r>
        <w:rPr>
          <w:rFonts w:hint="cs"/>
          <w:rtl/>
          <w:lang w:bidi="ar-EG"/>
        </w:rPr>
        <w:t xml:space="preserve">بمشــــروع القانون وأعطيت له </w:t>
      </w:r>
      <w:r>
        <w:rPr>
          <w:rFonts w:hint="cs"/>
          <w:rtl/>
          <w:lang w:bidi="ar-EG"/>
        </w:rPr>
        <w:t>الأولوية للمناقشة. وفيما يتعلق بمشروع قانون المساواة</w:t>
      </w:r>
      <w:r>
        <w:rPr>
          <w:rFonts w:hint="eastAsia"/>
          <w:rtl/>
          <w:lang w:bidi="ar-EG"/>
        </w:rPr>
        <w:t> </w:t>
      </w:r>
      <w:r>
        <w:rPr>
          <w:rFonts w:hint="cs"/>
          <w:rtl/>
          <w:lang w:bidi="ar-EG"/>
        </w:rPr>
        <w:t>- أوصي بمعالجة المبادئ الواردة فيه في عملية الإصلاح الدستوري. والتحدي الذي تواجهه المناقشات المتعلقة بمشروعي القانونين هذين يتمثل في قائمة البرلمان المشحونة وتعطل عملية الإصلاح الدستوري.</w:t>
      </w:r>
    </w:p>
    <w:p w:rsidR="00000000" w:rsidRDefault="00D8679F">
      <w:pPr>
        <w:pStyle w:val="SingleTxt"/>
        <w:tabs>
          <w:tab w:val="clear" w:pos="2592"/>
          <w:tab w:val="left" w:pos="2228"/>
        </w:tabs>
        <w:spacing w:line="380" w:lineRule="exact"/>
        <w:jc w:val="both"/>
        <w:rPr>
          <w:rFonts w:hint="cs"/>
          <w:rtl/>
          <w:lang w:bidi="ar-EG"/>
        </w:rPr>
      </w:pPr>
      <w:r>
        <w:rPr>
          <w:rFonts w:hint="cs"/>
          <w:rtl/>
          <w:lang w:bidi="ar-EG"/>
        </w:rPr>
        <w:t>188-</w:t>
      </w:r>
      <w:r>
        <w:rPr>
          <w:rFonts w:hint="cs"/>
          <w:rtl/>
          <w:lang w:bidi="ar-EG"/>
        </w:rPr>
        <w:tab/>
        <w:t>ويعامل قانو</w:t>
      </w:r>
      <w:r>
        <w:rPr>
          <w:rFonts w:hint="cs"/>
          <w:rtl/>
          <w:lang w:bidi="ar-EG"/>
        </w:rPr>
        <w:t>ن الوراثة، الفصل 160، المرأة المتزوجة في الزواج القائم على أساس تعدد الزوجات على أنها زوجة حتى لو كان زوجها قد تزوج سابقا، أو لاحقا، طبقا لزواج أحادي الزوجات. وهكذا، يبدو أن قانون الوراثة يعامل الزواج المتعدد الزوجات والزواج الأحادي على قدم المساواة. كما ي</w:t>
      </w:r>
      <w:r>
        <w:rPr>
          <w:rFonts w:hint="cs"/>
          <w:rtl/>
          <w:lang w:bidi="ar-EG"/>
        </w:rPr>
        <w:t>عترف بتحويل الزواج المتعدد الزوجات إلى زواج أحادي. وقد قيل إنه ينبغي تطبيق هذا المبدأ أثناء حياة الرجل من أجل نقل الحقوق إلى المرأة. ولا</w:t>
      </w:r>
      <w:r>
        <w:rPr>
          <w:rFonts w:hint="eastAsia"/>
          <w:rtl/>
          <w:lang w:bidi="ar-EG"/>
        </w:rPr>
        <w:t> </w:t>
      </w:r>
      <w:r>
        <w:rPr>
          <w:rFonts w:hint="cs"/>
          <w:rtl/>
          <w:lang w:bidi="ar-EG"/>
        </w:rPr>
        <w:t>يسري قانون الوراثة على المسلمين. بيد أنه يجدر ذكر أن هناك عدم مساواة في الوراثة بين المسلمين، حيث لا ترث المرأة إلا ثلث</w:t>
      </w:r>
      <w:r>
        <w:rPr>
          <w:rFonts w:hint="cs"/>
          <w:rtl/>
          <w:lang w:bidi="ar-EG"/>
        </w:rPr>
        <w:t xml:space="preserve"> الممتلكات في حين يرث الرجل الثلثين.</w:t>
      </w:r>
    </w:p>
    <w:p w:rsidR="00000000" w:rsidRDefault="00D8679F">
      <w:pPr>
        <w:pStyle w:val="SingleTxt"/>
        <w:tabs>
          <w:tab w:val="clear" w:pos="2592"/>
          <w:tab w:val="left" w:pos="2228"/>
        </w:tabs>
        <w:spacing w:line="380" w:lineRule="exact"/>
        <w:jc w:val="both"/>
        <w:rPr>
          <w:rFonts w:hint="cs"/>
          <w:rtl/>
          <w:lang w:bidi="ar-EG"/>
        </w:rPr>
      </w:pPr>
      <w:r>
        <w:rPr>
          <w:rFonts w:hint="cs"/>
          <w:rtl/>
          <w:lang w:bidi="ar-EG"/>
        </w:rPr>
        <w:t>189-</w:t>
      </w:r>
      <w:r>
        <w:rPr>
          <w:rFonts w:hint="cs"/>
          <w:rtl/>
          <w:lang w:bidi="ar-EG"/>
        </w:rPr>
        <w:tab/>
        <w:t>تسجيل الزواج: يسجل الزواج القانوني في الإطار القانوني المحدد. ولا يسجل الزواج العرفي في السجل الرسمي للحكومة كما هو مشار إليه في الفقرة 177 أعلاه؛ بيد أن لكل مجتمع محلي نظام معمول به للاعتراف بالزواج المحتفل به طبق</w:t>
      </w:r>
      <w:r>
        <w:rPr>
          <w:rFonts w:hint="cs"/>
          <w:rtl/>
          <w:lang w:bidi="ar-EG"/>
        </w:rPr>
        <w:t>ا لعاداته.</w:t>
      </w:r>
    </w:p>
    <w:p w:rsidR="00000000" w:rsidRDefault="00D8679F">
      <w:pPr>
        <w:pStyle w:val="SingleTxt"/>
        <w:tabs>
          <w:tab w:val="clear" w:pos="2592"/>
          <w:tab w:val="left" w:pos="2228"/>
        </w:tabs>
        <w:spacing w:line="380" w:lineRule="exact"/>
        <w:jc w:val="both"/>
        <w:rPr>
          <w:rFonts w:hint="cs"/>
          <w:rtl/>
          <w:lang w:bidi="ar-EG"/>
        </w:rPr>
      </w:pPr>
      <w:r>
        <w:rPr>
          <w:rFonts w:hint="cs"/>
          <w:rtl/>
          <w:lang w:bidi="ar-EG"/>
        </w:rPr>
        <w:t>190-</w:t>
      </w:r>
      <w:r>
        <w:rPr>
          <w:rFonts w:hint="cs"/>
          <w:rtl/>
          <w:lang w:bidi="ar-EG"/>
        </w:rPr>
        <w:tab/>
        <w:t xml:space="preserve">إطار العمل المتعلق بالدعاية التي تقوم بها الحكومة: أعدت وزارة الشؤون الجنسانية، والألعاب الرياضية، والثقافة والخدمات الاجتماعية ورقة دورية بشأن المساواة بين الجنسين والتنمية أوجزت إطار عمل لخلق الوعي والدعاية بشأن المسائل ذات الصلة بالقضاء </w:t>
      </w:r>
      <w:r>
        <w:rPr>
          <w:rFonts w:hint="cs"/>
          <w:rtl/>
          <w:lang w:bidi="ar-EG"/>
        </w:rPr>
        <w:t>على التمييز ضد المرأة.</w:t>
      </w:r>
    </w:p>
    <w:p w:rsidR="00000000" w:rsidRDefault="00D8679F">
      <w:pPr>
        <w:pStyle w:val="SingleTxt"/>
        <w:tabs>
          <w:tab w:val="clear" w:pos="2592"/>
          <w:tab w:val="left" w:pos="2228"/>
        </w:tabs>
        <w:spacing w:line="380" w:lineRule="exact"/>
        <w:jc w:val="both"/>
        <w:rPr>
          <w:rFonts w:hint="cs"/>
          <w:rtl/>
        </w:rPr>
      </w:pPr>
      <w:r>
        <w:rPr>
          <w:rFonts w:hint="cs"/>
          <w:rtl/>
          <w:lang w:bidi="ar-EG"/>
        </w:rPr>
        <w:t>191-</w:t>
      </w:r>
      <w:r>
        <w:rPr>
          <w:rFonts w:hint="cs"/>
          <w:rtl/>
          <w:lang w:bidi="ar-EG"/>
        </w:rPr>
        <w:tab/>
        <w:t>العنف ضد المرأة: فيما يتعلق بالعنف ضد المرأة، هناك زيادة في تغطية وسائط الإعلام للقضايا ذات الصلة بالعنف وأدى هذا بدوره إلى زيادة الوعي بشأن العنف الجنساني بين المواطنين. وإحدى الطرق الابتكارية التي يجري بها زيادة الوعي هي من خل</w:t>
      </w:r>
      <w:r>
        <w:rPr>
          <w:rFonts w:hint="cs"/>
          <w:rtl/>
          <w:lang w:bidi="ar-EG"/>
        </w:rPr>
        <w:t>ال إحياء الذكرى السنوية لحملة الأيام ال 16 لمناهضة العنف ضد المرأة التي تُجرى في كينيا. وتبدأ الحملة في 23 تشرين الثاني/نوفمبر وتنتهي في 10 كانون الأول/ديسمبر - وخلال هذه الفترة تُنشر مقالات كثيرة في جميع الصحف الوطنية يوميا وتركز انتباه الجمهور على قضية ا</w:t>
      </w:r>
      <w:r>
        <w:rPr>
          <w:rFonts w:hint="cs"/>
          <w:rtl/>
          <w:lang w:bidi="ar-EG"/>
        </w:rPr>
        <w:t>لعنف ضد المرأة. وقد لوحظ أن عددا متزايدا من محرري الصحف في أكبر الصحف مبيعا يخصصون مساحة تحريرية لهذه القضية - مما يدل على حدوث تحسن ملحوظ في التزام الجمهور الكيني بمعالجة هذه المشكلة. ويشترك أيضا مزيد من منظمات المجتمع المدني في جمع البيانات المتعلقة بالع</w:t>
      </w:r>
      <w:r>
        <w:rPr>
          <w:rFonts w:hint="cs"/>
          <w:rtl/>
          <w:lang w:bidi="ar-EG"/>
        </w:rPr>
        <w:t>نف ضد المرأة وفي الفترة 2002-2003، تعاون المجلس الوطني لنساء كينيا (وهو منظمة شاملة للمنظمات غير الحكومية لحقوق المرأة) مع منظمة أفريقيا للاتصالات بين السكان لإصدار أول دراسة استقصائية وطنية على الإطلاق عن معدل حدوث وطبيعة العنف ضد المرأة والفتاة في كينيا.</w:t>
      </w:r>
      <w:r>
        <w:rPr>
          <w:rFonts w:hint="cs"/>
          <w:rtl/>
          <w:lang w:bidi="ar-EG"/>
        </w:rPr>
        <w:t xml:space="preserve"> ومما له أهميته أن هذه الدراسات بحثت أيضا الإيذاء المنزلي ووفرت بيانات موزعة حسب نوع الجنس والسن مما أتاح إجراء تحليل مقارن للعنف القائم على نوع الجنس ومعدل حدوثه  بين النساء، والرجال، والفتيات والبنات والبنين</w:t>
      </w:r>
      <w:r>
        <w:rPr>
          <w:vertAlign w:val="superscript"/>
          <w:rtl/>
          <w:lang w:bidi="ar-EG"/>
        </w:rPr>
        <w:t>(</w:t>
      </w:r>
      <w:r>
        <w:rPr>
          <w:rStyle w:val="FootnoteReference"/>
          <w:rtl/>
        </w:rPr>
        <w:footnoteRef/>
      </w:r>
      <w:r>
        <w:rPr>
          <w:vertAlign w:val="superscript"/>
          <w:rtl/>
          <w:lang w:bidi="ar-EG"/>
        </w:rPr>
        <w:t>)</w:t>
      </w:r>
      <w:r>
        <w:rPr>
          <w:rFonts w:hint="cs"/>
          <w:rtl/>
          <w:lang w:bidi="ar-EG"/>
        </w:rPr>
        <w:t>.</w:t>
      </w:r>
    </w:p>
    <w:p w:rsidR="00000000" w:rsidRDefault="00D8679F">
      <w:pPr>
        <w:pStyle w:val="SingleTxt"/>
        <w:tabs>
          <w:tab w:val="clear" w:pos="2592"/>
          <w:tab w:val="left" w:pos="2228"/>
        </w:tabs>
        <w:jc w:val="both"/>
        <w:rPr>
          <w:rFonts w:hint="cs"/>
          <w:rtl/>
          <w:lang w:bidi="ar-EG"/>
        </w:rPr>
      </w:pPr>
      <w:r>
        <w:rPr>
          <w:rFonts w:hint="cs"/>
          <w:rtl/>
          <w:lang w:bidi="ar-EG"/>
        </w:rPr>
        <w:t>192-</w:t>
      </w:r>
      <w:r>
        <w:rPr>
          <w:rFonts w:hint="cs"/>
          <w:rtl/>
          <w:lang w:bidi="ar-EG"/>
        </w:rPr>
        <w:tab/>
        <w:t>وفيما يتعلق بالجهود التي تبذلها الحكو</w:t>
      </w:r>
      <w:r>
        <w:rPr>
          <w:rFonts w:hint="cs"/>
          <w:rtl/>
          <w:lang w:bidi="ar-EG"/>
        </w:rPr>
        <w:t>مة لمكافحة العنف الجنساني، أصدرت قانون آداب مهنة الموظفين العموميين لعام 2003. ويرد في القانون نص يجعل مضايقة المرأة جنسيا في المكاتب العامة جريمة. ونشرت الحكومة أيضا لأغراض المناقشة مشروع قانون الجرائم الجنسية ومشروع قانون العنف المنزلي (حماية الأسرة) لعا</w:t>
      </w:r>
      <w:r>
        <w:rPr>
          <w:rFonts w:hint="cs"/>
          <w:rtl/>
          <w:lang w:bidi="ar-EG"/>
        </w:rPr>
        <w:t>م 2002. ومشروعا القانونيين في انتظار مناقشة البرلمان. وهناك افتقار على ما يبدو في الإرادة السياسية من جانب المشرعين، وهو أحد الأسباب لتفسير التأخير في مناقشة مشروعي القانونين وإصدارهما في قانونين.</w:t>
      </w:r>
    </w:p>
    <w:p w:rsidR="00000000" w:rsidRDefault="00D8679F">
      <w:pPr>
        <w:pStyle w:val="SingleTxt"/>
        <w:tabs>
          <w:tab w:val="clear" w:pos="2592"/>
          <w:tab w:val="left" w:pos="2228"/>
        </w:tabs>
        <w:jc w:val="both"/>
        <w:rPr>
          <w:rFonts w:hint="cs"/>
          <w:rtl/>
          <w:lang w:bidi="ar-EG"/>
        </w:rPr>
      </w:pPr>
      <w:r>
        <w:rPr>
          <w:rFonts w:hint="cs"/>
          <w:rtl/>
          <w:lang w:bidi="ar-EG"/>
        </w:rPr>
        <w:t>193-</w:t>
      </w:r>
      <w:r>
        <w:rPr>
          <w:rFonts w:hint="cs"/>
          <w:rtl/>
          <w:lang w:bidi="ar-EG"/>
        </w:rPr>
        <w:tab/>
        <w:t>وما زالت بعض المجتمعات المحلية تمارس وراثة الزوجة في ك</w:t>
      </w:r>
      <w:r>
        <w:rPr>
          <w:rFonts w:hint="cs"/>
          <w:rtl/>
          <w:lang w:bidi="ar-EG"/>
        </w:rPr>
        <w:t>ينيا. وأدى هذا إلى انتهاك حق المرأة في اختيار من تتزوجه كما أدى بالتالي إلى انتشار فيروس نقص المناعة البشرية/الإيدز.</w:t>
      </w:r>
    </w:p>
    <w:p w:rsidR="00000000" w:rsidRDefault="00D8679F">
      <w:pPr>
        <w:pStyle w:val="SingleTxt"/>
        <w:tabs>
          <w:tab w:val="clear" w:pos="2592"/>
          <w:tab w:val="left" w:pos="2228"/>
        </w:tabs>
        <w:jc w:val="both"/>
        <w:rPr>
          <w:rFonts w:hint="cs"/>
          <w:rtl/>
          <w:lang w:bidi="ar-EG"/>
        </w:rPr>
      </w:pPr>
      <w:r>
        <w:rPr>
          <w:rFonts w:hint="cs"/>
          <w:rtl/>
          <w:lang w:bidi="ar-EG"/>
        </w:rPr>
        <w:t>194-</w:t>
      </w:r>
      <w:r>
        <w:rPr>
          <w:rFonts w:hint="cs"/>
          <w:rtl/>
          <w:lang w:bidi="ar-EG"/>
        </w:rPr>
        <w:tab/>
        <w:t>الأسر المعيشية التي ترأسها أنثى: إن أعداد الأسر المعيشية التي ترأسها أنثى كثيرة في كينيا. وطبقا للدراسة الاستقصائية الديمغرافية والصحي</w:t>
      </w:r>
      <w:r>
        <w:rPr>
          <w:rFonts w:hint="cs"/>
          <w:rtl/>
          <w:lang w:bidi="ar-EG"/>
        </w:rPr>
        <w:t>ة لكينيا، لعام 2003، تبلغ نسبة الأسر المعيشية التي ترأسها أنثى 31.7 في المائة ونسبة الأسر المعيشية التي يرأسها ذكر 68.3 في المائة. وعلاوة على ذلك، فإن معدل انتشار الفقر بين الأسر المعيشية التي ترأسها أنثى أعلى، حيث تعيش نسبة 79.5 في المائة من هذه الأسر الم</w:t>
      </w:r>
      <w:r>
        <w:rPr>
          <w:rFonts w:hint="cs"/>
          <w:rtl/>
          <w:lang w:bidi="ar-EG"/>
        </w:rPr>
        <w:t>عيشية دون خط الفقر.</w:t>
      </w:r>
    </w:p>
    <w:p w:rsidR="00000000" w:rsidRDefault="00D8679F">
      <w:pPr>
        <w:pStyle w:val="SingleTxt"/>
        <w:tabs>
          <w:tab w:val="clear" w:pos="2592"/>
          <w:tab w:val="left" w:pos="2228"/>
        </w:tabs>
        <w:jc w:val="both"/>
        <w:rPr>
          <w:rFonts w:hint="cs"/>
          <w:rtl/>
          <w:lang w:bidi="ar-EG"/>
        </w:rPr>
      </w:pPr>
      <w:r>
        <w:rPr>
          <w:rFonts w:hint="cs"/>
          <w:rtl/>
          <w:lang w:bidi="ar-EG"/>
        </w:rPr>
        <w:t>195-</w:t>
      </w:r>
      <w:r>
        <w:rPr>
          <w:rFonts w:hint="cs"/>
          <w:rtl/>
          <w:lang w:bidi="ar-EG"/>
        </w:rPr>
        <w:tab/>
        <w:t>ثمن العروس: إن مفهوم ثمن العروس طبقا للقانون العرفي هو ما يسهم في شرعية الزواج الذي يعقد طبقا لهذا النظام. بيد أن بعض الرجال أساءوا استخدام هذا المفهوم واعتبروا النساء كممتلكات لا كبشر.</w:t>
      </w:r>
    </w:p>
    <w:p w:rsidR="00000000" w:rsidRDefault="00D8679F">
      <w:pPr>
        <w:pStyle w:val="SingleTxt"/>
        <w:tabs>
          <w:tab w:val="clear" w:pos="2592"/>
          <w:tab w:val="left" w:pos="2228"/>
        </w:tabs>
        <w:spacing w:after="0" w:line="240" w:lineRule="auto"/>
        <w:ind w:left="1930" w:hanging="663"/>
        <w:jc w:val="both"/>
        <w:rPr>
          <w:rFonts w:hint="cs"/>
          <w:rtl/>
          <w:lang w:bidi="ar-EG"/>
        </w:rPr>
      </w:pPr>
      <w:r>
        <w:rPr>
          <w:rFonts w:hint="cs"/>
          <w:noProof/>
          <w:w w:val="100"/>
          <w:rtl/>
        </w:rPr>
        <w:pict>
          <v:line id="_x0000_s1027" style="position:absolute;left:0;text-align:left;z-index:1" from="206.6pt,24pt" to="278.6pt,24pt" strokeweight=".25pt">
            <w10:wrap anchorx="page"/>
          </v:line>
        </w:pict>
      </w:r>
    </w:p>
    <w:sectPr w:rsidR="00000000">
      <w:headerReference w:type="even" r:id="rId13"/>
      <w:headerReference w:type="default" r:id="rId14"/>
      <w:footerReference w:type="even" r:id="rId15"/>
      <w:footerReference w:type="default" r:id="rId16"/>
      <w:endnotePr>
        <w:numFmt w:val="decimal"/>
      </w:endnotePr>
      <w:type w:val="continuous"/>
      <w:pgSz w:w="12240" w:h="15840" w:code="1"/>
      <w:pgMar w:top="1742" w:right="1195" w:bottom="1901" w:left="1195" w:header="576" w:footer="1037"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D8679F">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NO&gt;&gt;N0659778A&lt;&lt;ODS JOB NO</w:t>
      </w:r>
      <w:r>
        <w:rPr>
          <w:rtl/>
        </w:rPr>
        <w:t>&gt;&gt;</w:t>
      </w:r>
    </w:p>
    <w:p w:rsidR="00000000" w:rsidRDefault="00D8679F">
      <w:pPr>
        <w:pStyle w:val="CommentText"/>
        <w:rPr>
          <w:rtl/>
        </w:rPr>
      </w:pPr>
      <w:r>
        <w:rPr>
          <w:rtl/>
        </w:rPr>
        <w:t>&lt;&lt;</w:t>
      </w:r>
      <w:r>
        <w:t>ODS DOC SYMBOL1&gt;&gt;CEDAW/C/KEN/6&lt;&lt;ODS DOC SYMBOL1</w:t>
      </w:r>
      <w:r>
        <w:rPr>
          <w:rtl/>
        </w:rPr>
        <w:t>&gt;&gt;</w:t>
      </w:r>
    </w:p>
    <w:p w:rsidR="00000000" w:rsidRDefault="00D8679F">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altName w:val="Trebuchet MS"/>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44</w:t>
          </w:r>
          <w:r>
            <w:rPr>
              <w:w w:val="103"/>
            </w:rPr>
            <w:fldChar w:fldCharType="end"/>
          </w:r>
        </w:p>
      </w:tc>
      <w:tc>
        <w:tcPr>
          <w:tcW w:w="5033" w:type="dxa"/>
        </w:tcPr>
        <w:p w:rsidR="00000000" w:rsidRDefault="00000000">
          <w:pPr>
            <w:pStyle w:val="Footer"/>
            <w:rPr>
              <w:b w:val="0"/>
              <w:w w:val="103"/>
            </w:rPr>
          </w:pPr>
          <w:r>
            <w:rPr>
              <w:b w:val="0"/>
              <w:w w:val="103"/>
            </w:rPr>
            <w:t>06-59778</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w w:val="103"/>
            </w:rPr>
          </w:pPr>
          <w:r>
            <w:rPr>
              <w:b w:val="0"/>
              <w:w w:val="103"/>
            </w:rPr>
            <w:t>06-59778</w:t>
          </w:r>
        </w:p>
      </w:tc>
      <w:tc>
        <w:tcPr>
          <w:tcW w:w="5033" w:type="dxa"/>
        </w:tcPr>
        <w:p w:rsidR="00000000" w:rsidRDefault="00000000">
          <w:pPr>
            <w:pStyle w:val="Footer"/>
            <w:rPr>
              <w:w w:val="103"/>
            </w:rPr>
          </w:pPr>
          <w:r>
            <w:rPr>
              <w:w w:val="103"/>
            </w:rPr>
            <w:fldChar w:fldCharType="begin"/>
          </w:r>
          <w:r>
            <w:rPr>
              <w:w w:val="103"/>
            </w:rPr>
            <w:instrText xml:space="preserve"> PAGE  \* MERGEFORMAT </w:instrText>
          </w:r>
          <w:r>
            <w:rPr>
              <w:w w:val="103"/>
            </w:rPr>
            <w:fldChar w:fldCharType="separate"/>
          </w:r>
          <w:r>
            <w:rPr>
              <w:w w:val="103"/>
            </w:rPr>
            <w:t>44</w:t>
          </w:r>
          <w:r>
            <w:rPr>
              <w:w w:val="103"/>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8679F">
    <w:pPr>
      <w:pStyle w:val="Footer"/>
    </w:pPr>
  </w:p>
  <w:p w:rsidR="00000000" w:rsidRDefault="00D8679F">
    <w:pPr>
      <w:pStyle w:val="Footer"/>
      <w:jc w:val="right"/>
      <w:rPr>
        <w:rFonts w:cs="Times New Roman"/>
        <w:b w:val="0"/>
        <w:w w:val="103"/>
        <w:sz w:val="20"/>
      </w:rPr>
    </w:pPr>
    <w:r>
      <w:rPr>
        <w:rFonts w:cs="Times New Roman"/>
        <w:b w:val="0"/>
        <w:w w:val="103"/>
        <w:sz w:val="20"/>
      </w:rPr>
      <w:t>110107    110107    06-59778 (A)</w:t>
    </w:r>
  </w:p>
  <w:p w:rsidR="00000000" w:rsidRDefault="00D8679F">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*0659778*</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8679F" w:rsidTr="00D8679F">
      <w:tblPrEx>
        <w:tblCellMar>
          <w:top w:w="0" w:type="dxa"/>
          <w:bottom w:w="0" w:type="dxa"/>
        </w:tblCellMar>
      </w:tblPrEx>
      <w:tc>
        <w:tcPr>
          <w:tcW w:w="5033" w:type="dxa"/>
        </w:tcPr>
        <w:p w:rsidR="00D8679F" w:rsidRDefault="00D8679F">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56</w:t>
          </w:r>
          <w:r>
            <w:rPr>
              <w:w w:val="103"/>
            </w:rPr>
            <w:fldChar w:fldCharType="end"/>
          </w:r>
        </w:p>
      </w:tc>
      <w:tc>
        <w:tcPr>
          <w:tcW w:w="5033" w:type="dxa"/>
        </w:tcPr>
        <w:p w:rsidR="00D8679F" w:rsidRDefault="00D8679F">
          <w:pPr>
            <w:pStyle w:val="Footer"/>
            <w:rPr>
              <w:b w:val="0"/>
              <w:w w:val="103"/>
            </w:rPr>
          </w:pPr>
          <w:r>
            <w:rPr>
              <w:b w:val="0"/>
              <w:w w:val="103"/>
            </w:rPr>
            <w:t>06-59778</w:t>
          </w:r>
        </w:p>
      </w:tc>
    </w:tr>
  </w:tbl>
  <w:p w:rsidR="00000000" w:rsidRDefault="00D8679F">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8679F" w:rsidTr="00D8679F">
      <w:tblPrEx>
        <w:tblCellMar>
          <w:top w:w="0" w:type="dxa"/>
          <w:bottom w:w="0" w:type="dxa"/>
        </w:tblCellMar>
      </w:tblPrEx>
      <w:tc>
        <w:tcPr>
          <w:tcW w:w="5033" w:type="dxa"/>
        </w:tcPr>
        <w:p w:rsidR="00D8679F" w:rsidRDefault="00D8679F">
          <w:pPr>
            <w:pStyle w:val="Footer"/>
            <w:jc w:val="right"/>
            <w:rPr>
              <w:b w:val="0"/>
              <w:w w:val="103"/>
            </w:rPr>
          </w:pPr>
          <w:r>
            <w:rPr>
              <w:b w:val="0"/>
              <w:w w:val="103"/>
            </w:rPr>
            <w:t>06-59778</w:t>
          </w:r>
        </w:p>
      </w:tc>
      <w:tc>
        <w:tcPr>
          <w:tcW w:w="5033" w:type="dxa"/>
        </w:tcPr>
        <w:p w:rsidR="00D8679F" w:rsidRDefault="00D8679F">
          <w:pPr>
            <w:pStyle w:val="Footer"/>
            <w:rPr>
              <w:w w:val="103"/>
            </w:rPr>
          </w:pPr>
          <w:r>
            <w:rPr>
              <w:w w:val="103"/>
            </w:rPr>
            <w:fldChar w:fldCharType="begin"/>
          </w:r>
          <w:r>
            <w:rPr>
              <w:w w:val="103"/>
            </w:rPr>
            <w:instrText xml:space="preserve"> PAGE  \* MERGEFORMAT </w:instrText>
          </w:r>
          <w:r>
            <w:rPr>
              <w:w w:val="103"/>
            </w:rPr>
            <w:fldChar w:fldCharType="separate"/>
          </w:r>
          <w:r>
            <w:rPr>
              <w:w w:val="103"/>
            </w:rPr>
            <w:t>57</w:t>
          </w:r>
          <w:r>
            <w:rPr>
              <w:w w:val="103"/>
            </w:rPr>
            <w:fldChar w:fldCharType="end"/>
          </w:r>
        </w:p>
      </w:tc>
    </w:tr>
  </w:tbl>
  <w:p w:rsidR="00000000" w:rsidRDefault="00D8679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bidi/>
        <w:spacing w:after="80"/>
        <w:ind w:left="792"/>
        <w:rPr>
          <w:sz w:val="16"/>
        </w:rPr>
      </w:pPr>
      <w:r>
        <w:rPr>
          <w:sz w:val="16"/>
          <w:rtl/>
        </w:rPr>
        <w:t>__________</w:t>
      </w:r>
    </w:p>
  </w:footnote>
  <w:footnote w:type="continuationSeparator" w:id="0">
    <w:p w:rsidR="00000000" w:rsidRDefault="00000000">
      <w:pPr>
        <w:pStyle w:val="Footer"/>
        <w:spacing w:after="80"/>
        <w:ind w:left="792"/>
        <w:rPr>
          <w:sz w:val="16"/>
        </w:rPr>
      </w:pPr>
      <w:r>
        <w:rPr>
          <w:sz w:val="16"/>
        </w:rPr>
        <w:t>__________</w:t>
      </w:r>
    </w:p>
  </w:footnote>
  <w:footnote w:id="1">
    <w:p w:rsidR="00000000" w:rsidRDefault="00D8679F">
      <w:pPr>
        <w:pStyle w:val="FootnoteText"/>
        <w:tabs>
          <w:tab w:val="clear" w:pos="418"/>
          <w:tab w:val="right" w:pos="1195"/>
          <w:tab w:val="left" w:pos="1267"/>
          <w:tab w:val="left" w:pos="1656"/>
          <w:tab w:val="left" w:pos="2088"/>
        </w:tabs>
        <w:spacing w:after="80"/>
        <w:ind w:left="1267" w:right="1267" w:hanging="547"/>
        <w:jc w:val="lowKashida"/>
        <w:rPr>
          <w:rFonts w:hint="cs"/>
          <w:w w:val="103"/>
          <w:rtl/>
          <w:lang w:bidi="ar-EG"/>
        </w:rPr>
      </w:pPr>
      <w:r>
        <w:rPr>
          <w:rtl/>
        </w:rPr>
        <w:tab/>
      </w:r>
      <w:r>
        <w:rPr>
          <w:w w:val="103"/>
          <w:rtl/>
          <w:lang w:bidi="ar-EG"/>
        </w:rPr>
        <w:t>(</w:t>
      </w:r>
      <w:r>
        <w:rPr>
          <w:rStyle w:val="FootnoteReference"/>
          <w:spacing w:val="0"/>
          <w:w w:val="103"/>
          <w:vertAlign w:val="baseline"/>
          <w:rtl/>
        </w:rPr>
        <w:footnoteRef/>
      </w:r>
      <w:r>
        <w:rPr>
          <w:w w:val="103"/>
          <w:rtl/>
          <w:lang w:bidi="ar-EG"/>
        </w:rPr>
        <w:t>)</w:t>
      </w:r>
      <w:r>
        <w:rPr>
          <w:w w:val="103"/>
          <w:rtl/>
        </w:rPr>
        <w:tab/>
      </w:r>
      <w:r>
        <w:rPr>
          <w:rFonts w:hint="cs"/>
          <w:w w:val="103"/>
          <w:rtl/>
          <w:lang w:bidi="ar-EG"/>
        </w:rPr>
        <w:t>دستور كينيا، المادة 82 (4أ).</w:t>
      </w:r>
    </w:p>
  </w:footnote>
  <w:footnote w:id="2">
    <w:p w:rsidR="00000000" w:rsidRDefault="00D8679F">
      <w:pPr>
        <w:pStyle w:val="FootnoteText"/>
        <w:tabs>
          <w:tab w:val="clear" w:pos="418"/>
          <w:tab w:val="right" w:pos="1195"/>
          <w:tab w:val="left" w:pos="1267"/>
          <w:tab w:val="left" w:pos="1656"/>
          <w:tab w:val="left" w:pos="2088"/>
        </w:tabs>
        <w:spacing w:after="80"/>
        <w:ind w:left="1267" w:right="1267" w:hanging="547"/>
        <w:jc w:val="lowKashida"/>
        <w:rPr>
          <w:rFonts w:hint="cs"/>
          <w:w w:val="103"/>
          <w:rtl/>
          <w:lang w:bidi="ar-EG"/>
        </w:rPr>
      </w:pPr>
      <w:r>
        <w:rPr>
          <w:rtl/>
        </w:rPr>
        <w:tab/>
      </w:r>
      <w:r>
        <w:rPr>
          <w:w w:val="103"/>
          <w:rtl/>
          <w:lang w:bidi="ar-EG"/>
        </w:rPr>
        <w:t>(</w:t>
      </w:r>
      <w:r>
        <w:rPr>
          <w:rStyle w:val="FootnoteReference"/>
          <w:spacing w:val="0"/>
          <w:w w:val="103"/>
          <w:vertAlign w:val="baseline"/>
          <w:rtl/>
        </w:rPr>
        <w:footnoteRef/>
      </w:r>
      <w:r>
        <w:rPr>
          <w:w w:val="103"/>
          <w:rtl/>
          <w:lang w:bidi="ar-EG"/>
        </w:rPr>
        <w:t>)</w:t>
      </w:r>
      <w:r>
        <w:rPr>
          <w:w w:val="103"/>
          <w:rtl/>
        </w:rPr>
        <w:tab/>
      </w:r>
      <w:r>
        <w:rPr>
          <w:rFonts w:hint="cs"/>
          <w:w w:val="103"/>
          <w:rtl/>
          <w:lang w:bidi="ar-EG"/>
        </w:rPr>
        <w:t>الاس</w:t>
      </w:r>
      <w:r>
        <w:rPr>
          <w:rFonts w:hint="cs"/>
          <w:w w:val="103"/>
          <w:rtl/>
          <w:lang w:bidi="ar-EG"/>
        </w:rPr>
        <w:t>تئناف المدني رقم 74 لعام 2001.</w:t>
      </w:r>
    </w:p>
  </w:footnote>
  <w:footnote w:id="3">
    <w:p w:rsidR="00000000" w:rsidRDefault="00D8679F">
      <w:pPr>
        <w:pStyle w:val="FootnoteText"/>
        <w:tabs>
          <w:tab w:val="clear" w:pos="418"/>
          <w:tab w:val="right" w:pos="1195"/>
          <w:tab w:val="left" w:pos="1267"/>
          <w:tab w:val="left" w:pos="1656"/>
          <w:tab w:val="left" w:pos="2088"/>
        </w:tabs>
        <w:spacing w:after="80"/>
        <w:ind w:left="1267" w:right="1267" w:hanging="547"/>
        <w:jc w:val="lowKashida"/>
        <w:rPr>
          <w:rFonts w:hint="cs"/>
          <w:w w:val="103"/>
          <w:rtl/>
          <w:lang w:bidi="ar-EG"/>
        </w:rPr>
      </w:pPr>
      <w:r>
        <w:rPr>
          <w:rtl/>
        </w:rPr>
        <w:tab/>
      </w:r>
      <w:r>
        <w:rPr>
          <w:w w:val="103"/>
          <w:rtl/>
          <w:lang w:bidi="ar-EG"/>
        </w:rPr>
        <w:t>(</w:t>
      </w:r>
      <w:r>
        <w:rPr>
          <w:rStyle w:val="FootnoteReference"/>
          <w:spacing w:val="0"/>
          <w:w w:val="103"/>
          <w:vertAlign w:val="baseline"/>
          <w:rtl/>
        </w:rPr>
        <w:footnoteRef/>
      </w:r>
      <w:r>
        <w:rPr>
          <w:w w:val="103"/>
          <w:rtl/>
          <w:lang w:bidi="ar-EG"/>
        </w:rPr>
        <w:t>)</w:t>
      </w:r>
      <w:r>
        <w:rPr>
          <w:w w:val="103"/>
          <w:rtl/>
        </w:rPr>
        <w:tab/>
      </w:r>
      <w:r>
        <w:rPr>
          <w:rFonts w:hint="cs"/>
          <w:w w:val="103"/>
          <w:rtl/>
          <w:lang w:bidi="ar-EG"/>
        </w:rPr>
        <w:t>حكومة كينيا، الاستراتيجية الاقتصادية من أجل تكوين الثروة وخلق الوظائف للفترة 2003-2007 (نيروبي: المطبعة الحكومية، 2003) 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8"/>
      <w:gridCol w:w="4942"/>
    </w:tblGrid>
    <w:tr w:rsidR="00000000">
      <w:tblPrEx>
        <w:tblCellMar>
          <w:top w:w="0" w:type="dxa"/>
          <w:bottom w:w="0" w:type="dxa"/>
        </w:tblCellMar>
      </w:tblPrEx>
      <w:trPr>
        <w:trHeight w:hRule="exact" w:val="864"/>
        <w:jc w:val="center"/>
      </w:trPr>
      <w:tc>
        <w:tcPr>
          <w:tcW w:w="5033" w:type="dxa"/>
          <w:vAlign w:val="bottom"/>
        </w:tcPr>
        <w:p w:rsidR="00000000" w:rsidRDefault="00000000">
          <w:pPr>
            <w:pStyle w:val="Header"/>
            <w:bidi/>
            <w:jc w:val="right"/>
          </w:pPr>
        </w:p>
      </w:tc>
      <w:tc>
        <w:tcPr>
          <w:tcW w:w="5033" w:type="dxa"/>
          <w:vAlign w:val="bottom"/>
        </w:tcPr>
        <w:p w:rsidR="00000000" w:rsidRDefault="00000000">
          <w:pPr>
            <w:pStyle w:val="Header"/>
            <w:spacing w:after="80"/>
            <w:jc w:val="right"/>
            <w:rPr>
              <w:w w:val="103"/>
            </w:rPr>
          </w:pPr>
          <w:r>
            <w:rPr>
              <w:w w:val="103"/>
            </w:rPr>
            <w:t>CEDAW/C/KEN/6</w:t>
          </w:r>
        </w:p>
      </w:tc>
    </w:tr>
  </w:tbl>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2"/>
      <w:gridCol w:w="4908"/>
    </w:tblGrid>
    <w:tr w:rsidR="00000000">
      <w:tblPrEx>
        <w:tblCellMar>
          <w:top w:w="0" w:type="dxa"/>
          <w:bottom w:w="0" w:type="dxa"/>
        </w:tblCellMar>
      </w:tblPrEx>
      <w:trPr>
        <w:trHeight w:hRule="exact" w:val="864"/>
        <w:jc w:val="center"/>
      </w:trPr>
      <w:tc>
        <w:tcPr>
          <w:tcW w:w="5033" w:type="dxa"/>
          <w:vAlign w:val="bottom"/>
        </w:tcPr>
        <w:p w:rsidR="00000000" w:rsidRDefault="00000000">
          <w:pPr>
            <w:pStyle w:val="Header"/>
            <w:spacing w:after="80"/>
            <w:rPr>
              <w:w w:val="103"/>
            </w:rPr>
          </w:pPr>
          <w:r>
            <w:rPr>
              <w:w w:val="103"/>
            </w:rPr>
            <w:t>CEDAW/C/KEN/6</w:t>
          </w:r>
        </w:p>
      </w:tc>
      <w:tc>
        <w:tcPr>
          <w:tcW w:w="5033" w:type="dxa"/>
          <w:vAlign w:val="bottom"/>
        </w:tcPr>
        <w:p w:rsidR="00000000" w:rsidRDefault="00000000">
          <w:pPr>
            <w:pStyle w:val="Header"/>
          </w:pPr>
        </w:p>
      </w:tc>
    </w:tr>
  </w:tbl>
  <w:p w:rsidR="00000000" w:rsidRDefault="000000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D8679F" w:rsidTr="00D8679F">
      <w:tblPrEx>
        <w:tblCellMar>
          <w:top w:w="0" w:type="dxa"/>
          <w:bottom w:w="0" w:type="dxa"/>
        </w:tblCellMar>
      </w:tblPrEx>
      <w:trPr>
        <w:gridAfter w:val="1"/>
        <w:trHeight w:hRule="exact" w:val="864"/>
      </w:trPr>
      <w:tc>
        <w:tcPr>
          <w:tcW w:w="1282" w:type="dxa"/>
          <w:tcBorders>
            <w:bottom w:val="single" w:sz="4" w:space="0" w:color="auto"/>
          </w:tcBorders>
          <w:vAlign w:val="bottom"/>
        </w:tcPr>
        <w:p w:rsidR="00D8679F" w:rsidRDefault="00D8679F">
          <w:pPr>
            <w:pStyle w:val="Header"/>
            <w:spacing w:after="120"/>
          </w:pPr>
        </w:p>
      </w:tc>
      <w:tc>
        <w:tcPr>
          <w:tcW w:w="1786" w:type="dxa"/>
          <w:tcBorders>
            <w:bottom w:val="single" w:sz="4" w:space="0" w:color="auto"/>
          </w:tcBorders>
          <w:vAlign w:val="bottom"/>
        </w:tcPr>
        <w:p w:rsidR="00D8679F" w:rsidRDefault="00D8679F">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vAlign w:val="bottom"/>
        </w:tcPr>
        <w:p w:rsidR="00D8679F" w:rsidRDefault="00D8679F">
          <w:pPr>
            <w:pStyle w:val="Header"/>
            <w:spacing w:after="120"/>
          </w:pPr>
        </w:p>
      </w:tc>
      <w:tc>
        <w:tcPr>
          <w:tcW w:w="6523" w:type="dxa"/>
          <w:gridSpan w:val="3"/>
          <w:tcBorders>
            <w:bottom w:val="single" w:sz="4" w:space="0" w:color="auto"/>
          </w:tcBorders>
          <w:vAlign w:val="bottom"/>
        </w:tcPr>
        <w:p w:rsidR="00D8679F" w:rsidRDefault="00D8679F">
          <w:pPr>
            <w:spacing w:line="380" w:lineRule="exact"/>
            <w:jc w:val="right"/>
          </w:pPr>
          <w:r>
            <w:rPr>
              <w:sz w:val="40"/>
            </w:rPr>
            <w:t>CEDAW</w:t>
          </w:r>
          <w:r>
            <w:t>/C/KEN/6</w:t>
          </w:r>
        </w:p>
      </w:tc>
    </w:tr>
    <w:tr w:rsidR="00D8679F" w:rsidTr="00D8679F">
      <w:tblPrEx>
        <w:tblCellMar>
          <w:top w:w="0" w:type="dxa"/>
          <w:bottom w:w="0" w:type="dxa"/>
        </w:tblCellMar>
      </w:tblPrEx>
      <w:trPr>
        <w:trHeight w:hRule="exact" w:val="2880"/>
      </w:trPr>
      <w:tc>
        <w:tcPr>
          <w:tcW w:w="1282" w:type="dxa"/>
          <w:tcBorders>
            <w:top w:val="single" w:sz="4" w:space="0" w:color="auto"/>
            <w:bottom w:val="single" w:sz="12" w:space="0" w:color="auto"/>
          </w:tcBorders>
        </w:tcPr>
        <w:p w:rsidR="00D8679F" w:rsidRDefault="00D8679F">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v:imagedata r:id="rId1" o:title="_unlogo"/>
              </v:shape>
            </w:pict>
          </w:r>
        </w:p>
        <w:p w:rsidR="00D8679F" w:rsidRDefault="00D8679F">
          <w:pPr>
            <w:pStyle w:val="Header"/>
            <w:spacing w:before="109"/>
            <w:jc w:val="right"/>
          </w:pPr>
        </w:p>
      </w:tc>
      <w:tc>
        <w:tcPr>
          <w:tcW w:w="5227" w:type="dxa"/>
          <w:gridSpan w:val="3"/>
          <w:tcBorders>
            <w:top w:val="single" w:sz="4" w:space="0" w:color="auto"/>
            <w:bottom w:val="single" w:sz="12" w:space="0" w:color="auto"/>
          </w:tcBorders>
        </w:tcPr>
        <w:p w:rsidR="00D8679F" w:rsidRDefault="00D8679F">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tcPr>
        <w:p w:rsidR="00D8679F" w:rsidRDefault="00D8679F">
          <w:pPr>
            <w:pStyle w:val="Header"/>
            <w:spacing w:before="109"/>
          </w:pPr>
        </w:p>
      </w:tc>
      <w:tc>
        <w:tcPr>
          <w:tcW w:w="3100" w:type="dxa"/>
          <w:gridSpan w:val="2"/>
          <w:tcBorders>
            <w:top w:val="single" w:sz="4" w:space="0" w:color="auto"/>
            <w:bottom w:val="single" w:sz="12" w:space="0" w:color="auto"/>
          </w:tcBorders>
        </w:tcPr>
        <w:p w:rsidR="00D8679F" w:rsidRDefault="00D8679F">
          <w:pPr>
            <w:bidi w:val="0"/>
            <w:spacing w:before="240" w:line="240" w:lineRule="exact"/>
          </w:pPr>
          <w:r>
            <w:t>Distr :.General</w:t>
          </w:r>
        </w:p>
        <w:p w:rsidR="00D8679F" w:rsidRDefault="00D8679F">
          <w:pPr>
            <w:bidi w:val="0"/>
            <w:spacing w:line="240" w:lineRule="exact"/>
            <w:jc w:val="left"/>
          </w:pPr>
          <w:r>
            <w:t>16 October 2006</w:t>
          </w:r>
        </w:p>
        <w:p w:rsidR="00D8679F" w:rsidRDefault="00D8679F">
          <w:pPr>
            <w:bidi w:val="0"/>
            <w:spacing w:line="240" w:lineRule="exact"/>
            <w:jc w:val="left"/>
          </w:pPr>
          <w:r>
            <w:t>Arabic</w:t>
          </w:r>
        </w:p>
        <w:p w:rsidR="00D8679F" w:rsidRDefault="00D8679F">
          <w:pPr>
            <w:bidi w:val="0"/>
            <w:spacing w:line="240" w:lineRule="exact"/>
            <w:jc w:val="left"/>
          </w:pPr>
          <w:r>
            <w:t>Original: English</w:t>
          </w:r>
        </w:p>
      </w:tc>
    </w:tr>
  </w:tbl>
  <w:p w:rsidR="00000000" w:rsidRDefault="00D8679F">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17"/>
      <w:gridCol w:w="4949"/>
    </w:tblGrid>
    <w:tr w:rsidR="00000000">
      <w:tblPrEx>
        <w:tblCellMar>
          <w:top w:w="0" w:type="dxa"/>
          <w:bottom w:w="0" w:type="dxa"/>
        </w:tblCellMar>
      </w:tblPrEx>
      <w:trPr>
        <w:trHeight w:hRule="exact" w:val="864"/>
        <w:jc w:val="center"/>
      </w:trPr>
      <w:tc>
        <w:tcPr>
          <w:tcW w:w="5033" w:type="dxa"/>
          <w:vAlign w:val="bottom"/>
        </w:tcPr>
        <w:p w:rsidR="00000000" w:rsidRDefault="00D8679F">
          <w:pPr>
            <w:pStyle w:val="Header"/>
            <w:bidi/>
            <w:jc w:val="right"/>
          </w:pPr>
        </w:p>
      </w:tc>
      <w:tc>
        <w:tcPr>
          <w:tcW w:w="5033" w:type="dxa"/>
          <w:vAlign w:val="bottom"/>
        </w:tcPr>
        <w:p w:rsidR="00000000" w:rsidRDefault="00D8679F">
          <w:pPr>
            <w:pStyle w:val="Header"/>
            <w:spacing w:after="80"/>
            <w:jc w:val="right"/>
            <w:rPr>
              <w:w w:val="103"/>
            </w:rPr>
          </w:pPr>
          <w:r>
            <w:rPr>
              <w:w w:val="103"/>
            </w:rPr>
            <w:t>CEDAW/C/KEN/6</w:t>
          </w:r>
        </w:p>
      </w:tc>
    </w:tr>
  </w:tbl>
  <w:p w:rsidR="00000000" w:rsidRDefault="00D8679F">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9"/>
      <w:gridCol w:w="4917"/>
    </w:tblGrid>
    <w:tr w:rsidR="00000000">
      <w:tblPrEx>
        <w:tblCellMar>
          <w:top w:w="0" w:type="dxa"/>
          <w:bottom w:w="0" w:type="dxa"/>
        </w:tblCellMar>
      </w:tblPrEx>
      <w:trPr>
        <w:trHeight w:hRule="exact" w:val="864"/>
        <w:jc w:val="center"/>
      </w:trPr>
      <w:tc>
        <w:tcPr>
          <w:tcW w:w="5033" w:type="dxa"/>
          <w:vAlign w:val="bottom"/>
        </w:tcPr>
        <w:p w:rsidR="00000000" w:rsidRDefault="00D8679F">
          <w:pPr>
            <w:pStyle w:val="Header"/>
            <w:spacing w:after="80"/>
            <w:rPr>
              <w:w w:val="103"/>
            </w:rPr>
          </w:pPr>
          <w:r>
            <w:rPr>
              <w:w w:val="103"/>
            </w:rPr>
            <w:t>CEDAW/C/KEN/6</w:t>
          </w:r>
        </w:p>
      </w:tc>
      <w:tc>
        <w:tcPr>
          <w:tcW w:w="5033" w:type="dxa"/>
          <w:vAlign w:val="bottom"/>
        </w:tcPr>
        <w:p w:rsidR="00000000" w:rsidRDefault="00D8679F">
          <w:pPr>
            <w:pStyle w:val="Header"/>
          </w:pPr>
        </w:p>
      </w:tc>
    </w:tr>
  </w:tbl>
  <w:p w:rsidR="00000000" w:rsidRDefault="00D8679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activeWritingStyle w:appName="MSWord" w:lang="ar-SA" w:vendorID="4" w:dllVersion="512" w:checkStyle="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2/19/2006 3:10: PM"/>
    <w:docVar w:name="DocCategory" w:val="Doc"/>
    <w:docVar w:name="DocType" w:val="Final"/>
    <w:docVar w:name="JobNo" w:val="0659778A"/>
    <w:docVar w:name="OandT" w:val=" "/>
    <w:docVar w:name="Symbol1" w:val="CEDAW/C/KEN/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both"/>
    </w:pPr>
    <w:rPr>
      <w:w w:val="103"/>
      <w:kern w:val="14"/>
      <w:szCs w:val="30"/>
      <w:lang w:val="en-US" w:eastAsia="en-US"/>
    </w:rPr>
  </w:style>
  <w:style w:type="paragraph" w:styleId="Heading1">
    <w:name w:val="heading 1"/>
    <w:basedOn w:val="Normal"/>
    <w:next w:val="Normal"/>
    <w:qFormat/>
    <w:pPr>
      <w:keepNext/>
      <w:outlineLvl w:val="0"/>
    </w:pPr>
    <w:rPr>
      <w:sz w:val="24"/>
      <w:szCs w:val="24"/>
    </w:rPr>
  </w:style>
  <w:style w:type="paragraph" w:styleId="Heading2">
    <w:name w:val="heading 2"/>
    <w:basedOn w:val="Normal"/>
    <w:next w:val="Normal"/>
    <w:qFormat/>
    <w:pPr>
      <w:keepNext/>
      <w:outlineLvl w:val="1"/>
    </w:pPr>
    <w:rPr>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jc w:val="lowKashida"/>
      <w:outlineLvl w:val="0"/>
    </w:pPr>
    <w:rPr>
      <w:b/>
      <w:bCs/>
      <w:sz w:val="24"/>
      <w:szCs w:val="34"/>
    </w:rPr>
  </w:style>
  <w:style w:type="paragraph" w:customStyle="1" w:styleId="HCh">
    <w:name w:val="_ H _Ch"/>
    <w:basedOn w:val="H1"/>
    <w:next w:val="SingleTxt"/>
    <w:pPr>
      <w:spacing w:line="450" w:lineRule="exact"/>
      <w:jc w:val="both"/>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SingleTxt"/>
    <w:pPr>
      <w:jc w:val="both"/>
      <w:outlineLvl w:val="1"/>
    </w:pPr>
    <w:rPr>
      <w:spacing w:val="2"/>
      <w:sz w:val="20"/>
      <w:szCs w:val="30"/>
    </w:rPr>
  </w:style>
  <w:style w:type="paragraph" w:customStyle="1" w:styleId="H4">
    <w:name w:val="_ H_4"/>
    <w:basedOn w:val="Normal"/>
    <w:next w:val="Normal"/>
    <w:pPr>
      <w:keepNext/>
      <w:keepLines/>
      <w:suppressAutoHyphens/>
      <w:spacing w:line="360" w:lineRule="exact"/>
      <w:jc w:val="lowKashida"/>
      <w:outlineLvl w:val="3"/>
    </w:pPr>
    <w:rPr>
      <w:i/>
      <w:iCs/>
      <w:spacing w:val="3"/>
    </w:rPr>
  </w:style>
  <w:style w:type="paragraph" w:customStyle="1" w:styleId="H56">
    <w:name w:val="_ H_5/6"/>
    <w:basedOn w:val="Normal"/>
    <w:next w:val="Normal"/>
    <w:pPr>
      <w:keepNext/>
      <w:keepLines/>
      <w:suppressAutoHyphens/>
      <w:spacing w:line="360" w:lineRule="exact"/>
      <w:jc w:val="lowKashida"/>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left="662"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Pr>
      <w:rFonts w:ascii="Times New Roman" w:hAnsi="Times New Roman" w:cs="Traditional Arabic"/>
      <w:spacing w:val="-5"/>
      <w:w w:val="100"/>
      <w:position w:val="0"/>
      <w:sz w:val="17"/>
      <w:szCs w:val="26"/>
      <w:vertAlign w:val="superscript"/>
      <w:lang w:val="en-US" w:bidi="ar-SA"/>
    </w:rPr>
  </w:style>
  <w:style w:type="paragraph" w:styleId="Header">
    <w:name w:val="header"/>
    <w:semiHidden/>
    <w:pPr>
      <w:tabs>
        <w:tab w:val="center" w:pos="4320"/>
        <w:tab w:val="right" w:pos="8640"/>
      </w:tabs>
    </w:pPr>
    <w:rPr>
      <w:b/>
      <w:bCs/>
      <w:noProof/>
      <w:w w:val="105"/>
      <w:sz w:val="17"/>
      <w:szCs w:val="25"/>
      <w:lang w:val="en-US" w:eastAsia="en-US"/>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righ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right"/>
    </w:pPr>
    <w:rPr>
      <w:spacing w:val="-4"/>
      <w:w w:val="98"/>
      <w:sz w:val="40"/>
      <w:szCs w:val="60"/>
    </w:rPr>
  </w:style>
  <w:style w:type="paragraph" w:customStyle="1" w:styleId="XXLarge">
    <w:name w:val="XXLarge"/>
    <w:basedOn w:val="XLarge"/>
    <w:next w:val="Normal"/>
    <w:pPr>
      <w:spacing w:line="820" w:lineRule="exact"/>
    </w:pPr>
    <w:rPr>
      <w:spacing w:val="-8"/>
      <w:w w:val="96"/>
      <w:sz w:val="57"/>
      <w:szCs w:val="86"/>
    </w:rPr>
  </w:style>
  <w:style w:type="paragraph" w:customStyle="1" w:styleId="JDualTxt">
    <w:name w:val="J__Dual Txt"/>
    <w:basedOn w:val="Normal"/>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pPr>
      <w:spacing w:line="420" w:lineRule="exact"/>
    </w:pPr>
    <w:rPr>
      <w:sz w:val="23"/>
      <w:szCs w:val="34"/>
    </w:rPr>
  </w:style>
  <w:style w:type="paragraph" w:customStyle="1" w:styleId="JH2">
    <w:name w:val="J_H_2"/>
    <w:basedOn w:val="JH1"/>
    <w:pPr>
      <w:spacing w:line="400" w:lineRule="exact"/>
    </w:pPr>
    <w:rPr>
      <w:sz w:val="20"/>
      <w:szCs w:val="30"/>
    </w:rPr>
  </w:style>
  <w:style w:type="paragraph" w:styleId="BalloonText">
    <w:name w:val="Balloon Text"/>
    <w:basedOn w:val="Normal"/>
    <w:semiHidden/>
    <w:rPr>
      <w:rFonts w:ascii="Tahoma" w:hAnsi="Tahoma" w:cs="Tahoma"/>
      <w:sz w:val="16"/>
      <w:szCs w:val="16"/>
    </w:rPr>
  </w:style>
  <w:style w:type="paragraph" w:customStyle="1" w:styleId="JSmall">
    <w:name w:val="J_Small"/>
    <w:basedOn w:val="JSingleTxt"/>
    <w:next w:val="JSingleTxt"/>
    <w:pPr>
      <w:tabs>
        <w:tab w:val="clear" w:pos="1843"/>
        <w:tab w:val="clear" w:pos="2419"/>
        <w:tab w:val="clear" w:pos="2995"/>
        <w:tab w:val="clear" w:pos="3571"/>
        <w:tab w:val="clear" w:pos="4147"/>
        <w:tab w:val="clear" w:pos="4723"/>
        <w:tab w:val="clear" w:pos="5486"/>
        <w:tab w:val="clear" w:pos="9547"/>
      </w:tabs>
      <w:spacing w:after="120"/>
      <w:ind w:left="2563" w:right="1584"/>
      <w:jc w:val="both"/>
    </w:pPr>
  </w:style>
  <w:style w:type="paragraph" w:styleId="CommentText">
    <w:name w:val="annotation text"/>
    <w:basedOn w:val="Normal"/>
    <w:semiHidden/>
    <w:rPr>
      <w:szCs w:val="20"/>
    </w:rPr>
  </w:style>
  <w:style w:type="paragraph" w:styleId="CommentSubject">
    <w:name w:val="annotation subject"/>
    <w:basedOn w:val="CommentText"/>
    <w:next w:val="CommentText"/>
    <w:semiHidden/>
    <w:rPr>
      <w:b/>
      <w:bCs/>
    </w:rPr>
  </w:style>
  <w:style w:type="paragraph" w:styleId="BodyText">
    <w:name w:val="Body Text"/>
    <w:basedOn w:val="Normal"/>
    <w:semiHidden/>
    <w:pPr>
      <w:spacing w:after="1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5.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oter" Target="footer4.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eader" Target="header5.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96</TotalTime>
  <Pages>58</Pages>
  <Words>16413</Words>
  <Characters>93557</Characters>
  <Application>Microsoft Office Word</Application>
  <DocSecurity>4</DocSecurity>
  <Lines>779</Lines>
  <Paragraphs>187</Paragraphs>
  <ScaleCrop>false</ScaleCrop>
  <HeadingPairs>
    <vt:vector size="2" baseType="variant">
      <vt:variant>
        <vt:lpstr>Title</vt:lpstr>
      </vt:variant>
      <vt:variant>
        <vt:i4>1</vt:i4>
      </vt:variant>
    </vt:vector>
  </HeadingPairs>
  <TitlesOfParts>
    <vt:vector size="1" baseType="lpstr">
      <vt:lpstr>Normal.dot</vt:lpstr>
    </vt:vector>
  </TitlesOfParts>
  <Company>.</Company>
  <LinksUpToDate>false</LinksUpToDate>
  <CharactersWithSpaces>114894</CharactersWithSpaces>
  <SharedDoc>false</SharedDoc>
  <HLinks>
    <vt:vector size="6" baseType="variant">
      <vt:variant>
        <vt:i4>8257630</vt:i4>
      </vt:variant>
      <vt:variant>
        <vt:i4>229630</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Free User</dc:creator>
  <cp:keywords/>
  <dc:description/>
  <cp:lastModifiedBy>ODS</cp:lastModifiedBy>
  <cp:revision>55</cp:revision>
  <cp:lastPrinted>2007-01-11T19:38:00Z</cp:lastPrinted>
  <dcterms:created xsi:type="dcterms:W3CDTF">2007-01-11T16:50:00Z</dcterms:created>
  <dcterms:modified xsi:type="dcterms:W3CDTF">2007-01-12T10:05:00Z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CEDAW/C/KEN/6</vt:lpwstr>
  </property>
  <property fmtid="{D5CDD505-2E9C-101B-9397-08002B2CF9AE}" pid="3" name="Symbol2">
    <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JobNo">
    <vt:lpwstr>0659778A</vt:lpwstr>
  </property>
</Properties>
</file>