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26312761" w14:textId="77777777" w:rsidTr="00374938">
        <w:trPr>
          <w:trHeight w:hRule="exact" w:val="851"/>
        </w:trPr>
        <w:tc>
          <w:tcPr>
            <w:tcW w:w="1280" w:type="dxa"/>
            <w:tcBorders>
              <w:bottom w:val="single" w:sz="4" w:space="0" w:color="auto"/>
            </w:tcBorders>
          </w:tcPr>
          <w:p w14:paraId="4F99711B" w14:textId="77777777" w:rsidR="002D5AAC" w:rsidRDefault="002D5AAC" w:rsidP="001B4E3F"/>
        </w:tc>
        <w:tc>
          <w:tcPr>
            <w:tcW w:w="2273" w:type="dxa"/>
            <w:tcBorders>
              <w:bottom w:val="single" w:sz="4" w:space="0" w:color="auto"/>
            </w:tcBorders>
            <w:vAlign w:val="bottom"/>
          </w:tcPr>
          <w:p w14:paraId="4C94EBAE"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8224802" w14:textId="1F5EDEA5" w:rsidR="002D5AAC" w:rsidRPr="003214FA" w:rsidRDefault="003214FA" w:rsidP="003214FA">
            <w:pPr>
              <w:jc w:val="right"/>
            </w:pPr>
            <w:r w:rsidRPr="003214FA">
              <w:rPr>
                <w:rFonts w:eastAsiaTheme="minorHAnsi"/>
                <w:sz w:val="40"/>
                <w:lang w:val="fr-CH" w:eastAsia="en-US"/>
              </w:rPr>
              <w:t>CRC</w:t>
            </w:r>
            <w:r>
              <w:rPr>
                <w:rFonts w:eastAsiaTheme="minorHAnsi"/>
                <w:lang w:val="fr-CH" w:eastAsia="en-US"/>
              </w:rPr>
              <w:t>/C/89/D/78/2019</w:t>
            </w:r>
          </w:p>
        </w:tc>
      </w:tr>
      <w:tr w:rsidR="002D5AAC" w14:paraId="26F70D5A" w14:textId="77777777" w:rsidTr="00374938">
        <w:trPr>
          <w:trHeight w:hRule="exact" w:val="2835"/>
        </w:trPr>
        <w:tc>
          <w:tcPr>
            <w:tcW w:w="1280" w:type="dxa"/>
            <w:tcBorders>
              <w:top w:val="single" w:sz="4" w:space="0" w:color="auto"/>
              <w:bottom w:val="single" w:sz="12" w:space="0" w:color="auto"/>
            </w:tcBorders>
          </w:tcPr>
          <w:p w14:paraId="46C085FC" w14:textId="77777777" w:rsidR="002D5AAC" w:rsidRDefault="00100922" w:rsidP="001B4E3F">
            <w:pPr>
              <w:spacing w:before="120"/>
              <w:jc w:val="center"/>
            </w:pPr>
            <w:r>
              <w:rPr>
                <w:noProof/>
                <w:lang w:val="en-GB" w:eastAsia="en-GB"/>
              </w:rPr>
              <w:drawing>
                <wp:inline distT="0" distB="0" distL="0" distR="0" wp14:anchorId="371C2D85" wp14:editId="4F0B121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203262" w14:textId="6EE9EAE5" w:rsidR="00F6063F" w:rsidRPr="00FB2D3D" w:rsidRDefault="004D45DB" w:rsidP="0085327E">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D39CC17" w14:textId="3B3AF339" w:rsidR="002D5AAC" w:rsidRDefault="00374938" w:rsidP="00374938">
            <w:pPr>
              <w:spacing w:before="240" w:line="240" w:lineRule="exact"/>
            </w:pPr>
            <w:r>
              <w:t xml:space="preserve">Distr. </w:t>
            </w:r>
            <w:r w:rsidR="00DF3BEC">
              <w:t>g</w:t>
            </w:r>
            <w:r>
              <w:t>eneral</w:t>
            </w:r>
          </w:p>
          <w:p w14:paraId="3D577D2D" w14:textId="24B270A9" w:rsidR="00374938" w:rsidRDefault="003D6708" w:rsidP="00374938">
            <w:pPr>
              <w:spacing w:line="240" w:lineRule="exact"/>
            </w:pPr>
            <w:r>
              <w:t>10</w:t>
            </w:r>
            <w:r w:rsidR="0085327E">
              <w:t xml:space="preserve"> </w:t>
            </w:r>
            <w:r w:rsidR="00374938">
              <w:t xml:space="preserve">de </w:t>
            </w:r>
            <w:r w:rsidR="00C84947">
              <w:t xml:space="preserve">marzo </w:t>
            </w:r>
            <w:r w:rsidR="00374938">
              <w:t xml:space="preserve">de </w:t>
            </w:r>
            <w:r w:rsidR="008D1934">
              <w:t>202</w:t>
            </w:r>
            <w:r w:rsidR="00951A8A">
              <w:t>2</w:t>
            </w:r>
          </w:p>
          <w:p w14:paraId="6069F39F" w14:textId="77777777" w:rsidR="00374938" w:rsidRDefault="00374938" w:rsidP="00374938">
            <w:pPr>
              <w:spacing w:line="240" w:lineRule="exact"/>
            </w:pPr>
          </w:p>
          <w:p w14:paraId="5BB41784" w14:textId="77777777" w:rsidR="00374938" w:rsidRDefault="00374938" w:rsidP="00374938">
            <w:pPr>
              <w:spacing w:line="240" w:lineRule="exact"/>
            </w:pPr>
            <w:r>
              <w:t>Original: español</w:t>
            </w:r>
          </w:p>
        </w:tc>
      </w:tr>
    </w:tbl>
    <w:p w14:paraId="6EC80CD6" w14:textId="77777777" w:rsidR="00374938" w:rsidRPr="00EC58FE" w:rsidRDefault="00374938" w:rsidP="00374938">
      <w:pPr>
        <w:spacing w:before="120"/>
        <w:rPr>
          <w:b/>
          <w:sz w:val="24"/>
          <w:szCs w:val="24"/>
        </w:rPr>
      </w:pPr>
      <w:r w:rsidRPr="00EC58FE">
        <w:rPr>
          <w:b/>
          <w:sz w:val="24"/>
          <w:szCs w:val="24"/>
        </w:rPr>
        <w:t xml:space="preserve">Comité de </w:t>
      </w:r>
      <w:r>
        <w:rPr>
          <w:b/>
          <w:sz w:val="24"/>
          <w:szCs w:val="24"/>
        </w:rPr>
        <w:t>los Derechos del Niño</w:t>
      </w:r>
    </w:p>
    <w:p w14:paraId="0BA1511A" w14:textId="089F6539" w:rsidR="00374938" w:rsidRDefault="00374938" w:rsidP="00374938">
      <w:pPr>
        <w:pStyle w:val="HChG"/>
        <w:rPr>
          <w:b w:val="0"/>
          <w:sz w:val="20"/>
        </w:rPr>
      </w:pPr>
      <w:r w:rsidRPr="00225C09">
        <w:tab/>
      </w:r>
      <w:r w:rsidRPr="00225C09">
        <w:tab/>
        <w:t>Decisión adoptada por el Comité en relación con el</w:t>
      </w:r>
      <w:r w:rsidR="00F93B94">
        <w:t> </w:t>
      </w:r>
      <w:r w:rsidRPr="00225C09">
        <w:t>Protocolo</w:t>
      </w:r>
      <w:r w:rsidR="00F93B94">
        <w:t> </w:t>
      </w:r>
      <w:r w:rsidR="000856B1">
        <w:t>F</w:t>
      </w:r>
      <w:r w:rsidRPr="00225C09">
        <w:t>acultativo de la Convención sobre los</w:t>
      </w:r>
      <w:r w:rsidR="00F93B94">
        <w:t> </w:t>
      </w:r>
      <w:r w:rsidRPr="00225C09">
        <w:t>Derechos</w:t>
      </w:r>
      <w:r w:rsidR="00976739">
        <w:t> </w:t>
      </w:r>
      <w:r w:rsidRPr="00225C09">
        <w:t>del Niño relativo a un procedimiento de</w:t>
      </w:r>
      <w:r w:rsidR="00F93B94">
        <w:t> </w:t>
      </w:r>
      <w:r w:rsidRPr="00225C09">
        <w:t>comunicaciones respecto de la comunicación</w:t>
      </w:r>
      <w:r>
        <w:t xml:space="preserve"> </w:t>
      </w:r>
      <w:r w:rsidR="001B1E23">
        <w:t>núm.</w:t>
      </w:r>
      <w:r w:rsidR="00F93B94">
        <w:t> </w:t>
      </w:r>
      <w:r w:rsidR="00DB3A46">
        <w:t>78</w:t>
      </w:r>
      <w:r>
        <w:t>/20</w:t>
      </w:r>
      <w:r w:rsidR="00951A8A">
        <w:t>1</w:t>
      </w:r>
      <w:r w:rsidR="00DB3A46">
        <w:t>9</w:t>
      </w:r>
      <w:r w:rsidR="0085327E" w:rsidRPr="00D208B6">
        <w:rPr>
          <w:rStyle w:val="Refdenotaalpie"/>
          <w:b w:val="0"/>
          <w:sz w:val="20"/>
          <w:vertAlign w:val="baseline"/>
        </w:rPr>
        <w:footnoteReference w:customMarkFollows="1" w:id="1"/>
        <w:t>*</w:t>
      </w:r>
      <w:r w:rsidR="00D208B6" w:rsidRPr="007C03E5">
        <w:rPr>
          <w:b w:val="0"/>
          <w:position w:val="6"/>
          <w:sz w:val="20"/>
        </w:rPr>
        <w:t xml:space="preserve"> </w:t>
      </w:r>
      <w:r w:rsidR="0085327E" w:rsidRPr="00D208B6">
        <w:rPr>
          <w:rStyle w:val="Refdenotaalpie"/>
          <w:b w:val="0"/>
          <w:sz w:val="20"/>
          <w:vertAlign w:val="baseline"/>
        </w:rPr>
        <w:footnoteReference w:customMarkFollows="1" w:id="2"/>
        <w:t>**</w:t>
      </w:r>
    </w:p>
    <w:p w14:paraId="46B10087" w14:textId="652441DA" w:rsidR="00374938" w:rsidRDefault="00374938" w:rsidP="008D4818">
      <w:pPr>
        <w:pStyle w:val="SingleTxtG"/>
        <w:ind w:left="4536" w:hanging="2835"/>
        <w:jc w:val="left"/>
      </w:pPr>
      <w:r>
        <w:rPr>
          <w:i/>
        </w:rPr>
        <w:t>Comunicación presentada por:</w:t>
      </w:r>
      <w:r>
        <w:tab/>
      </w:r>
      <w:r w:rsidR="00DB3A46">
        <w:t>M</w:t>
      </w:r>
      <w:r w:rsidR="003C5697">
        <w:t>.</w:t>
      </w:r>
      <w:r w:rsidR="00C84947">
        <w:t xml:space="preserve"> </w:t>
      </w:r>
      <w:r w:rsidR="008B1776">
        <w:t>E</w:t>
      </w:r>
      <w:r w:rsidR="003C5697">
        <w:t>.</w:t>
      </w:r>
      <w:r w:rsidR="00C15A31">
        <w:t xml:space="preserve"> (representad</w:t>
      </w:r>
      <w:r w:rsidR="00951A8A">
        <w:t>o</w:t>
      </w:r>
      <w:r w:rsidR="00C15A31">
        <w:t xml:space="preserve"> por</w:t>
      </w:r>
      <w:r w:rsidR="00951A8A">
        <w:t xml:space="preserve"> </w:t>
      </w:r>
      <w:r w:rsidR="00C84947">
        <w:t xml:space="preserve">la abogada </w:t>
      </w:r>
      <w:r w:rsidR="00DB3A46">
        <w:t>Marta</w:t>
      </w:r>
      <w:r w:rsidR="00F93B94">
        <w:t> </w:t>
      </w:r>
      <w:r w:rsidR="00DB3A46">
        <w:t>S</w:t>
      </w:r>
      <w:r w:rsidR="000703C7">
        <w:t>á</w:t>
      </w:r>
      <w:r w:rsidR="00DB3A46">
        <w:t>nchez Briñas Otte</w:t>
      </w:r>
      <w:r w:rsidR="00C15A31">
        <w:t>)</w:t>
      </w:r>
    </w:p>
    <w:p w14:paraId="0F6E09B9" w14:textId="7A4CAFBF" w:rsidR="00374938" w:rsidRDefault="00374938" w:rsidP="008D4818">
      <w:pPr>
        <w:pStyle w:val="SingleTxtG"/>
        <w:ind w:left="4536" w:hanging="2835"/>
        <w:jc w:val="left"/>
      </w:pPr>
      <w:r>
        <w:rPr>
          <w:i/>
        </w:rPr>
        <w:t>Presunta víctima:</w:t>
      </w:r>
      <w:r>
        <w:tab/>
      </w:r>
      <w:r w:rsidR="00951A8A">
        <w:t>El autor</w:t>
      </w:r>
    </w:p>
    <w:p w14:paraId="0B77A70C" w14:textId="77777777" w:rsidR="00374938" w:rsidRDefault="00374938" w:rsidP="008D4818">
      <w:pPr>
        <w:pStyle w:val="SingleTxtG"/>
        <w:ind w:left="4536" w:hanging="2835"/>
        <w:jc w:val="left"/>
      </w:pPr>
      <w:r>
        <w:rPr>
          <w:i/>
        </w:rPr>
        <w:t>Estado parte:</w:t>
      </w:r>
      <w:r>
        <w:tab/>
      </w:r>
      <w:r>
        <w:tab/>
        <w:t>España</w:t>
      </w:r>
    </w:p>
    <w:p w14:paraId="08502A9D" w14:textId="2181123C" w:rsidR="00374938" w:rsidRPr="00147046" w:rsidRDefault="00374938" w:rsidP="008D4818">
      <w:pPr>
        <w:pStyle w:val="SingleTxtG"/>
        <w:ind w:left="4536" w:hanging="2835"/>
        <w:jc w:val="left"/>
      </w:pPr>
      <w:r>
        <w:rPr>
          <w:i/>
        </w:rPr>
        <w:t>Fecha de la comunicación:</w:t>
      </w:r>
      <w:r>
        <w:tab/>
      </w:r>
      <w:r w:rsidR="00DB3A46">
        <w:rPr>
          <w:color w:val="000000"/>
        </w:rPr>
        <w:t>12</w:t>
      </w:r>
      <w:r>
        <w:rPr>
          <w:color w:val="000000"/>
        </w:rPr>
        <w:t xml:space="preserve"> de </w:t>
      </w:r>
      <w:r w:rsidR="00DB3A46">
        <w:rPr>
          <w:color w:val="000000"/>
        </w:rPr>
        <w:t>marzo</w:t>
      </w:r>
      <w:r>
        <w:rPr>
          <w:color w:val="000000"/>
        </w:rPr>
        <w:t xml:space="preserve"> de</w:t>
      </w:r>
      <w:r w:rsidRPr="00147046">
        <w:rPr>
          <w:color w:val="000000"/>
        </w:rPr>
        <w:t xml:space="preserve"> 20</w:t>
      </w:r>
      <w:r w:rsidR="00951A8A">
        <w:rPr>
          <w:color w:val="000000"/>
        </w:rPr>
        <w:t>1</w:t>
      </w:r>
      <w:r w:rsidR="00DB3A46">
        <w:rPr>
          <w:color w:val="000000"/>
        </w:rPr>
        <w:t>9</w:t>
      </w:r>
      <w:r w:rsidR="00C84947">
        <w:rPr>
          <w:color w:val="000000"/>
        </w:rPr>
        <w:t xml:space="preserve"> (presentación inicial)</w:t>
      </w:r>
    </w:p>
    <w:p w14:paraId="783571E6" w14:textId="4D7DC097" w:rsidR="00951A8A" w:rsidRDefault="00951A8A" w:rsidP="008D4818">
      <w:pPr>
        <w:pStyle w:val="SingleTxtG"/>
        <w:keepNext/>
        <w:keepLines/>
        <w:suppressAutoHyphens/>
        <w:spacing w:after="240"/>
        <w:ind w:left="4536" w:hanging="2835"/>
        <w:jc w:val="left"/>
        <w:rPr>
          <w:i/>
          <w:lang w:eastAsia="en-US"/>
        </w:rPr>
      </w:pPr>
      <w:r>
        <w:rPr>
          <w:i/>
          <w:lang w:eastAsia="en-US"/>
        </w:rPr>
        <w:t>Asunto:</w:t>
      </w:r>
      <w:r>
        <w:rPr>
          <w:i/>
          <w:lang w:eastAsia="en-US"/>
        </w:rPr>
        <w:tab/>
      </w:r>
      <w:r w:rsidR="006D3EAC">
        <w:rPr>
          <w:i/>
          <w:lang w:eastAsia="en-US"/>
        </w:rPr>
        <w:tab/>
      </w:r>
      <w:r w:rsidRPr="00951A8A">
        <w:rPr>
          <w:lang w:eastAsia="en-US"/>
        </w:rPr>
        <w:t xml:space="preserve">Procedimiento de determinación de la edad de </w:t>
      </w:r>
      <w:r w:rsidR="00E76B7B">
        <w:rPr>
          <w:lang w:eastAsia="en-US"/>
        </w:rPr>
        <w:t>niño</w:t>
      </w:r>
      <w:r w:rsidRPr="00951A8A">
        <w:rPr>
          <w:lang w:eastAsia="en-US"/>
        </w:rPr>
        <w:t xml:space="preserve"> no acompañado</w:t>
      </w:r>
    </w:p>
    <w:p w14:paraId="6BD5EDA9" w14:textId="1DD7B569" w:rsidR="00951A8A" w:rsidRDefault="00951A8A" w:rsidP="008D4818">
      <w:pPr>
        <w:pStyle w:val="SingleTxtG"/>
        <w:ind w:left="4536" w:hanging="2835"/>
      </w:pPr>
      <w:r>
        <w:rPr>
          <w:i/>
        </w:rPr>
        <w:t>Cuestiones de fondo:</w:t>
      </w:r>
      <w:r>
        <w:t xml:space="preserve"> </w:t>
      </w:r>
      <w:r>
        <w:tab/>
      </w:r>
      <w:r>
        <w:tab/>
        <w:t>Interés superior del niño</w:t>
      </w:r>
      <w:r w:rsidR="00C7573D">
        <w:t>;</w:t>
      </w:r>
      <w:r>
        <w:t xml:space="preserve"> derecho a la identidad, derecho a ser escuchado</w:t>
      </w:r>
      <w:r w:rsidR="00C7573D">
        <w:t>;</w:t>
      </w:r>
      <w:r>
        <w:t xml:space="preserve"> derecho a un tutor, derecho al desarrollo</w:t>
      </w:r>
      <w:r w:rsidR="00C7573D">
        <w:t>;</w:t>
      </w:r>
      <w:r>
        <w:t xml:space="preserve"> derecho a la protección y asistencia especiales del Estado</w:t>
      </w:r>
    </w:p>
    <w:p w14:paraId="067F85CE" w14:textId="7757509D" w:rsidR="00374938" w:rsidRPr="00374938" w:rsidRDefault="00951A8A" w:rsidP="008D4818">
      <w:pPr>
        <w:pStyle w:val="SingleTxtG"/>
        <w:keepNext/>
        <w:keepLines/>
        <w:suppressAutoHyphens/>
        <w:spacing w:after="240"/>
        <w:ind w:left="4536" w:hanging="2835"/>
        <w:jc w:val="left"/>
        <w:rPr>
          <w:i/>
          <w:lang w:eastAsia="en-US"/>
        </w:rPr>
      </w:pPr>
      <w:r>
        <w:rPr>
          <w:i/>
        </w:rPr>
        <w:t>Artículos de la Convención:</w:t>
      </w:r>
      <w:r>
        <w:tab/>
        <w:t xml:space="preserve">3; 8; </w:t>
      </w:r>
      <w:r w:rsidR="00D87F64">
        <w:t>12; 18, párr</w:t>
      </w:r>
      <w:r w:rsidR="00C84947">
        <w:t>.</w:t>
      </w:r>
      <w:r w:rsidR="00D87F64">
        <w:t xml:space="preserve"> 2; </w:t>
      </w:r>
      <w:r>
        <w:t>20; 27 y 29</w:t>
      </w:r>
    </w:p>
    <w:p w14:paraId="55F91E5F" w14:textId="1932D0B7" w:rsidR="000703C7" w:rsidRDefault="000C09D2" w:rsidP="00C15A31">
      <w:pPr>
        <w:pStyle w:val="SingleTxtG"/>
      </w:pPr>
      <w:r>
        <w:t>1.</w:t>
      </w:r>
      <w:r>
        <w:tab/>
      </w:r>
      <w:r w:rsidR="000703C7">
        <w:rPr>
          <w:rFonts w:eastAsia="Calibri"/>
        </w:rPr>
        <w:t>El autor de la comunicación es M.</w:t>
      </w:r>
      <w:r w:rsidR="00C84947">
        <w:rPr>
          <w:rFonts w:eastAsia="Calibri"/>
        </w:rPr>
        <w:t xml:space="preserve"> </w:t>
      </w:r>
      <w:r w:rsidR="000703C7">
        <w:rPr>
          <w:rFonts w:eastAsia="Calibri"/>
        </w:rPr>
        <w:t>E.</w:t>
      </w:r>
      <w:r w:rsidR="00C84947">
        <w:rPr>
          <w:rFonts w:eastAsia="Calibri"/>
        </w:rPr>
        <w:t xml:space="preserve">, </w:t>
      </w:r>
      <w:r w:rsidR="000703C7">
        <w:rPr>
          <w:rFonts w:eastAsia="Calibri"/>
        </w:rPr>
        <w:t xml:space="preserve">nacional </w:t>
      </w:r>
      <w:r w:rsidR="00C84947">
        <w:rPr>
          <w:rFonts w:eastAsia="Calibri"/>
        </w:rPr>
        <w:t xml:space="preserve">de Marruecos, </w:t>
      </w:r>
      <w:r w:rsidR="000703C7">
        <w:rPr>
          <w:rFonts w:eastAsia="Calibri"/>
        </w:rPr>
        <w:t xml:space="preserve">de 17 años de edad al momento de presentación de la comunicación. </w:t>
      </w:r>
      <w:r w:rsidR="00C84947" w:rsidRPr="00035CB6">
        <w:t>Alega que el Estado parte ha violado los derechos que lo asist</w:t>
      </w:r>
      <w:r w:rsidR="00C84947" w:rsidRPr="00F01C08">
        <w:t xml:space="preserve">en </w:t>
      </w:r>
      <w:r w:rsidR="00C84947" w:rsidRPr="00035CB6">
        <w:t>en virtud</w:t>
      </w:r>
      <w:r w:rsidR="00C84947" w:rsidDel="00C84947">
        <w:rPr>
          <w:rFonts w:eastAsia="Calibri"/>
        </w:rPr>
        <w:t xml:space="preserve"> </w:t>
      </w:r>
      <w:r w:rsidR="00C84947">
        <w:rPr>
          <w:rFonts w:eastAsia="Calibri"/>
        </w:rPr>
        <w:t>de</w:t>
      </w:r>
      <w:r w:rsidR="00790C47">
        <w:rPr>
          <w:rFonts w:eastAsia="Calibri"/>
        </w:rPr>
        <w:t>l</w:t>
      </w:r>
      <w:r w:rsidR="00C84947">
        <w:rPr>
          <w:rFonts w:eastAsia="Calibri"/>
        </w:rPr>
        <w:t xml:space="preserve"> </w:t>
      </w:r>
      <w:r w:rsidR="000703C7">
        <w:rPr>
          <w:rFonts w:eastAsia="Calibri"/>
        </w:rPr>
        <w:t xml:space="preserve">artículo 3, </w:t>
      </w:r>
      <w:r w:rsidR="00C84947">
        <w:t>leído conjuntamente</w:t>
      </w:r>
      <w:r w:rsidR="000703C7">
        <w:t xml:space="preserve"> con </w:t>
      </w:r>
      <w:r w:rsidR="00D21348">
        <w:t xml:space="preserve">los </w:t>
      </w:r>
      <w:r w:rsidR="00C84947">
        <w:t>artículo</w:t>
      </w:r>
      <w:r w:rsidR="00D21348">
        <w:t>s</w:t>
      </w:r>
      <w:r w:rsidR="00C84947">
        <w:t> </w:t>
      </w:r>
      <w:r w:rsidR="000703C7">
        <w:t>18</w:t>
      </w:r>
      <w:r w:rsidR="00C84947">
        <w:t>, párrafo </w:t>
      </w:r>
      <w:r w:rsidR="000703C7">
        <w:t>2</w:t>
      </w:r>
      <w:r w:rsidR="00A937FF">
        <w:t>,</w:t>
      </w:r>
      <w:r w:rsidR="000703C7">
        <w:t xml:space="preserve"> y 20</w:t>
      </w:r>
      <w:r w:rsidR="00C84947">
        <w:t>, párrafo </w:t>
      </w:r>
      <w:r w:rsidR="000703C7">
        <w:t>1</w:t>
      </w:r>
      <w:r w:rsidR="000703C7">
        <w:rPr>
          <w:rFonts w:eastAsia="Calibri"/>
        </w:rPr>
        <w:t xml:space="preserve">; </w:t>
      </w:r>
      <w:r w:rsidR="00790C47">
        <w:rPr>
          <w:rFonts w:eastAsia="Calibri"/>
        </w:rPr>
        <w:t xml:space="preserve">y los artículos </w:t>
      </w:r>
      <w:r w:rsidR="000703C7">
        <w:rPr>
          <w:rFonts w:eastAsia="Calibri"/>
        </w:rPr>
        <w:t>8; 12; 20; 27 y 29 de la Convención. El Protocolo Facultativo entró en vigor para el Estado parte el 14 de abril de 2014.</w:t>
      </w:r>
    </w:p>
    <w:p w14:paraId="2D2F8884" w14:textId="3A6EEC82" w:rsidR="000703C7" w:rsidRDefault="00FC7FDE" w:rsidP="00FC7FDE">
      <w:pPr>
        <w:pStyle w:val="SingleTxtG"/>
      </w:pPr>
      <w:r>
        <w:t>2.</w:t>
      </w:r>
      <w:r>
        <w:tab/>
      </w:r>
      <w:r w:rsidR="000703C7">
        <w:t>El 17 de enero de 2019, el autor fue interceptado cerca de Algeciras cuando intentaba entrar en España en una embarcación de migrantes. Estaba indocumentado y fue trasladado al Hospital de Algeciras, donde se le realizó una radiografía de la mano izquierda. El examen indicó que era mayor de 18 años. El autor indica que este examen se realizó sin la presencia de su abogad</w:t>
      </w:r>
      <w:r w:rsidR="00C84947">
        <w:t>a</w:t>
      </w:r>
      <w:r w:rsidR="000703C7">
        <w:t xml:space="preserve">. El 18 de enero de 2019, la Subdelegación del Gobierno de Cádiz dictó una orden de expulsión en su contra con base en esos resultados. Al día siguiente, el 19 de enero de 2019, el Juez </w:t>
      </w:r>
      <w:r w:rsidR="00C84947">
        <w:t>n</w:t>
      </w:r>
      <w:r w:rsidR="000703C7" w:rsidRPr="000703C7">
        <w:t>ú</w:t>
      </w:r>
      <w:r w:rsidR="000703C7">
        <w:t xml:space="preserve">m. 4 de Algeciras ordenó el internamiento del autor en el </w:t>
      </w:r>
      <w:r w:rsidR="00C84947">
        <w:t>Centro de Internamiento de Extranjeros</w:t>
      </w:r>
      <w:r w:rsidR="00C84947" w:rsidDel="00C84947">
        <w:t xml:space="preserve"> </w:t>
      </w:r>
      <w:r w:rsidR="000703C7">
        <w:t xml:space="preserve">de Madrid, a fin de asegurar su expulsión. El 30 de enero de </w:t>
      </w:r>
      <w:r w:rsidR="000703C7">
        <w:lastRenderedPageBreak/>
        <w:t xml:space="preserve">2019, el autor solicitó la suspensión de su expulsión, indicando que era menor de edad, pero no recibió respuesta antes de presentar su comunicación al Comité. En fecha desconocida, el autor presentó un documento al director del </w:t>
      </w:r>
      <w:r w:rsidR="00813E28">
        <w:t>Centro de Internamiento de Extranjeros</w:t>
      </w:r>
      <w:r w:rsidR="000703C7">
        <w:t xml:space="preserve">, </w:t>
      </w:r>
      <w:r w:rsidR="00326891">
        <w:t xml:space="preserve">en el que se </w:t>
      </w:r>
      <w:r w:rsidR="000703C7">
        <w:t>indica</w:t>
      </w:r>
      <w:r w:rsidR="00326891">
        <w:t>ba</w:t>
      </w:r>
      <w:r w:rsidR="000703C7">
        <w:t xml:space="preserve"> que era menor de edad. El 12 de febrero de 2019, se realizó una nueva prueba para determinar su edad y los resultados indicaron que el autor tenía más de 18 años. El autor recibió posteriormente un certificado de nacimiento y su libreta de familia en Marruecos. En fecha desconocida (después del 8 de febrero de 2019), el autor presentó ambos documentos al director del </w:t>
      </w:r>
      <w:r w:rsidR="00813E28">
        <w:t>Centro de Internamiento de Extranjeros</w:t>
      </w:r>
      <w:r w:rsidR="000703C7">
        <w:t>, pero no recibió respuesta.</w:t>
      </w:r>
    </w:p>
    <w:p w14:paraId="08AA5EFE" w14:textId="1D325A2B" w:rsidR="000703C7" w:rsidRDefault="00276AEB" w:rsidP="00276AEB">
      <w:pPr>
        <w:pStyle w:val="SingleTxtG"/>
      </w:pPr>
      <w:r>
        <w:t>3.</w:t>
      </w:r>
      <w:r>
        <w:tab/>
      </w:r>
      <w:r w:rsidR="000703C7">
        <w:rPr>
          <w:rFonts w:eastAsia="Calibri"/>
        </w:rPr>
        <w:t xml:space="preserve">De conformidad con el artículo 6 del Protocolo Facultativo, el 19 de marzo de 2019, el grupo de trabajo sobre las comunicaciones, actuando en nombre del Comité, pidió al Estado parte que adoptara medidas provisionales </w:t>
      </w:r>
      <w:r w:rsidR="00813E28" w:rsidRPr="006D3EAC">
        <w:rPr>
          <w:rFonts w:eastAsia="Calibri"/>
        </w:rPr>
        <w:t>―</w:t>
      </w:r>
      <w:r w:rsidR="000703C7">
        <w:rPr>
          <w:rFonts w:eastAsia="Calibri"/>
        </w:rPr>
        <w:t>a saber, que suspendiera la ejecución de la orden de deportación del autor hasta que el Comité examinara su caso</w:t>
      </w:r>
      <w:r w:rsidR="00813E28">
        <w:rPr>
          <w:rFonts w:eastAsia="Calibri"/>
        </w:rPr>
        <w:t>―</w:t>
      </w:r>
      <w:r w:rsidR="000703C7">
        <w:rPr>
          <w:rFonts w:eastAsia="Calibri"/>
        </w:rPr>
        <w:t xml:space="preserve"> y que lo trasladara a un centro de protección de menores.</w:t>
      </w:r>
    </w:p>
    <w:p w14:paraId="53B00705" w14:textId="083E4318" w:rsidR="000703C7" w:rsidRDefault="00276AEB" w:rsidP="00506040">
      <w:pPr>
        <w:pStyle w:val="SingleTxtG"/>
      </w:pPr>
      <w:r>
        <w:t>4.</w:t>
      </w:r>
      <w:r>
        <w:tab/>
      </w:r>
      <w:r w:rsidR="000703C7">
        <w:rPr>
          <w:rFonts w:eastAsia="Calibri"/>
        </w:rPr>
        <w:t>El 22 de marzo de 2019, el abogado del autor envió más información según la cual el</w:t>
      </w:r>
      <w:r w:rsidR="00F93B94">
        <w:rPr>
          <w:rFonts w:eastAsia="Calibri"/>
        </w:rPr>
        <w:t> </w:t>
      </w:r>
      <w:r w:rsidR="000703C7">
        <w:rPr>
          <w:rFonts w:eastAsia="Calibri"/>
        </w:rPr>
        <w:t xml:space="preserve">12 de marzo de 2019 este había sido liberado del </w:t>
      </w:r>
      <w:r w:rsidR="00813E28">
        <w:t>Centro de Internamiento de Extranjeros</w:t>
      </w:r>
      <w:r w:rsidR="00813E28" w:rsidDel="00C84947">
        <w:t xml:space="preserve"> </w:t>
      </w:r>
      <w:r w:rsidR="000703C7">
        <w:rPr>
          <w:rFonts w:eastAsia="Calibri"/>
        </w:rPr>
        <w:t>y trasladado a un centro de protección de menores.</w:t>
      </w:r>
    </w:p>
    <w:p w14:paraId="0844C48A" w14:textId="57A09B2D" w:rsidR="000703C7" w:rsidRDefault="00506040" w:rsidP="00506040">
      <w:pPr>
        <w:pStyle w:val="SingleTxtG"/>
        <w:rPr>
          <w:rFonts w:eastAsia="Calibri"/>
        </w:rPr>
      </w:pPr>
      <w:r>
        <w:rPr>
          <w:color w:val="000000"/>
        </w:rPr>
        <w:t>5.</w:t>
      </w:r>
      <w:r>
        <w:rPr>
          <w:color w:val="000000"/>
        </w:rPr>
        <w:tab/>
      </w:r>
      <w:r w:rsidR="000703C7">
        <w:rPr>
          <w:rFonts w:eastAsia="Calibri"/>
        </w:rPr>
        <w:t xml:space="preserve">El 20 de agosto de 2019, el Estado parte presentó una solicitud de archivo en la que explicaba que el 2 de abril de 2019, la Fiscalía emitió un </w:t>
      </w:r>
      <w:r w:rsidR="00813E28">
        <w:rPr>
          <w:rFonts w:eastAsia="Calibri"/>
        </w:rPr>
        <w:t>d</w:t>
      </w:r>
      <w:r w:rsidR="000703C7">
        <w:rPr>
          <w:rFonts w:eastAsia="Calibri"/>
        </w:rPr>
        <w:t>ecreto de determinación de la edad en el que se reconocía oficialmente que el autor era menor de edad y que ordenaba su traslado a un centro de protección de menores (donde ya estaba desde marzo).</w:t>
      </w:r>
    </w:p>
    <w:p w14:paraId="57640E08" w14:textId="476DF4AC" w:rsidR="000703C7" w:rsidRPr="000703C7" w:rsidRDefault="000703C7" w:rsidP="000703C7">
      <w:pPr>
        <w:pStyle w:val="SingleTxtG"/>
        <w:rPr>
          <w:color w:val="000000"/>
        </w:rPr>
      </w:pPr>
      <w:r>
        <w:rPr>
          <w:color w:val="000000"/>
        </w:rPr>
        <w:t>6.</w:t>
      </w:r>
      <w:r>
        <w:rPr>
          <w:color w:val="000000"/>
        </w:rPr>
        <w:tab/>
      </w:r>
      <w:r w:rsidRPr="000703C7">
        <w:rPr>
          <w:color w:val="000000"/>
        </w:rPr>
        <w:t xml:space="preserve">El 15 de diciembre de 2020, el abogado del autor </w:t>
      </w:r>
      <w:r w:rsidR="001B06CA">
        <w:rPr>
          <w:color w:val="000000"/>
        </w:rPr>
        <w:t>se opuso</w:t>
      </w:r>
      <w:r w:rsidRPr="000703C7">
        <w:rPr>
          <w:color w:val="000000"/>
        </w:rPr>
        <w:t xml:space="preserve"> a la solicitud de </w:t>
      </w:r>
      <w:r>
        <w:rPr>
          <w:color w:val="000000"/>
        </w:rPr>
        <w:t>archivo</w:t>
      </w:r>
      <w:r w:rsidRPr="000703C7">
        <w:rPr>
          <w:color w:val="000000"/>
        </w:rPr>
        <w:t xml:space="preserve"> del Estado parte alegando que estuvo </w:t>
      </w:r>
      <w:r w:rsidR="001B06CA">
        <w:rPr>
          <w:color w:val="000000"/>
        </w:rPr>
        <w:t xml:space="preserve">internado </w:t>
      </w:r>
      <w:r w:rsidRPr="000703C7">
        <w:rPr>
          <w:color w:val="000000"/>
        </w:rPr>
        <w:t xml:space="preserve">53 días en </w:t>
      </w:r>
      <w:r w:rsidR="001B06CA">
        <w:rPr>
          <w:color w:val="000000"/>
        </w:rPr>
        <w:t xml:space="preserve">el </w:t>
      </w:r>
      <w:r w:rsidR="00813E28">
        <w:t>Centro de Internamiento de Extranjeros</w:t>
      </w:r>
      <w:r w:rsidR="001B06CA">
        <w:rPr>
          <w:color w:val="000000"/>
        </w:rPr>
        <w:t>, un</w:t>
      </w:r>
      <w:r w:rsidRPr="000703C7">
        <w:rPr>
          <w:color w:val="000000"/>
        </w:rPr>
        <w:t xml:space="preserve"> centro no apto para niños</w:t>
      </w:r>
      <w:r w:rsidR="001B06CA">
        <w:rPr>
          <w:color w:val="000000"/>
        </w:rPr>
        <w:t xml:space="preserve">, del cual </w:t>
      </w:r>
      <w:r w:rsidR="001B06CA" w:rsidRPr="000703C7">
        <w:rPr>
          <w:color w:val="000000"/>
        </w:rPr>
        <w:t xml:space="preserve">no fue trasladado </w:t>
      </w:r>
      <w:r w:rsidR="001B06CA">
        <w:rPr>
          <w:color w:val="000000"/>
        </w:rPr>
        <w:t xml:space="preserve">sino </w:t>
      </w:r>
      <w:r w:rsidR="001B06CA" w:rsidRPr="000703C7">
        <w:rPr>
          <w:color w:val="000000"/>
        </w:rPr>
        <w:t xml:space="preserve">hasta que presentó el certificado de nacimiento y </w:t>
      </w:r>
      <w:r w:rsidR="001B06CA">
        <w:rPr>
          <w:color w:val="000000"/>
        </w:rPr>
        <w:t>la libreta</w:t>
      </w:r>
      <w:r w:rsidR="001B06CA" w:rsidRPr="000703C7">
        <w:rPr>
          <w:color w:val="000000"/>
        </w:rPr>
        <w:t xml:space="preserve"> de familia</w:t>
      </w:r>
      <w:r w:rsidRPr="000703C7">
        <w:rPr>
          <w:color w:val="000000"/>
        </w:rPr>
        <w:t>.</w:t>
      </w:r>
    </w:p>
    <w:p w14:paraId="34D19EBE" w14:textId="5029CB4E" w:rsidR="00381C24" w:rsidRDefault="000703C7" w:rsidP="00506040">
      <w:pPr>
        <w:pStyle w:val="SingleTxtG"/>
        <w:rPr>
          <w:lang w:val="es-ES_tradnl"/>
        </w:rPr>
      </w:pPr>
      <w:r>
        <w:rPr>
          <w:color w:val="000000"/>
        </w:rPr>
        <w:t>7.</w:t>
      </w:r>
      <w:r>
        <w:rPr>
          <w:color w:val="000000"/>
        </w:rPr>
        <w:tab/>
        <w:t xml:space="preserve">Reunido el </w:t>
      </w:r>
      <w:r w:rsidR="00E76B7B">
        <w:rPr>
          <w:color w:val="000000"/>
        </w:rPr>
        <w:t>8</w:t>
      </w:r>
      <w:r>
        <w:rPr>
          <w:color w:val="000000"/>
        </w:rPr>
        <w:t xml:space="preserve"> de febrero de 2022, el Comité </w:t>
      </w:r>
      <w:r w:rsidRPr="000703C7">
        <w:rPr>
          <w:color w:val="000000"/>
        </w:rPr>
        <w:t xml:space="preserve">observa que el autor ha sido reconocido como menor de edad y puesto bajo la protección de las autoridades. A pesar de que este hecho no constituye en sí mismo una plena reparación de las violaciones de la Convención alegadas, y sin endosar el procedimiento de determinación de la edad seguido por el Estado parte, el Comité considera que el reconocimiento como menor de edad del autor hace que la comunicación </w:t>
      </w:r>
      <w:r w:rsidR="00A937FF">
        <w:rPr>
          <w:color w:val="000000"/>
        </w:rPr>
        <w:t xml:space="preserve">núm. </w:t>
      </w:r>
      <w:r w:rsidR="00D21348">
        <w:rPr>
          <w:color w:val="000000"/>
        </w:rPr>
        <w:t xml:space="preserve">78/2019 </w:t>
      </w:r>
      <w:r w:rsidRPr="000703C7">
        <w:rPr>
          <w:color w:val="000000"/>
        </w:rPr>
        <w:t>quede sin objeto, y decide poner fin a</w:t>
      </w:r>
      <w:r w:rsidR="007C64A8">
        <w:rPr>
          <w:color w:val="000000"/>
        </w:rPr>
        <w:t xml:space="preserve"> su examen, </w:t>
      </w:r>
      <w:r w:rsidR="00813E28">
        <w:rPr>
          <w:color w:val="000000"/>
        </w:rPr>
        <w:t>con arreglo al</w:t>
      </w:r>
      <w:r w:rsidR="007C64A8">
        <w:rPr>
          <w:color w:val="000000"/>
        </w:rPr>
        <w:t xml:space="preserve"> artículo 26 de su reglamento </w:t>
      </w:r>
      <w:r w:rsidR="00813E28">
        <w:rPr>
          <w:color w:val="000000"/>
        </w:rPr>
        <w:t>en relación con el</w:t>
      </w:r>
      <w:r w:rsidR="007C64A8">
        <w:rPr>
          <w:color w:val="000000"/>
        </w:rPr>
        <w:t xml:space="preserve"> Protocolo Facultativo de la Convención sobre los Derechos del Niño relativo a un procedimiento de comunicaciones.</w:t>
      </w:r>
    </w:p>
    <w:p w14:paraId="68C3B5A3" w14:textId="4719B964" w:rsidR="00374938" w:rsidRPr="00E12643" w:rsidRDefault="00374938" w:rsidP="00374938">
      <w:pPr>
        <w:pStyle w:val="SingleTxtG"/>
        <w:suppressAutoHyphens/>
        <w:spacing w:before="240" w:after="0"/>
        <w:jc w:val="center"/>
        <w:rPr>
          <w:u w:val="single"/>
        </w:rPr>
      </w:pPr>
      <w:r w:rsidRPr="00E12643">
        <w:rPr>
          <w:u w:val="single"/>
        </w:rPr>
        <w:tab/>
      </w:r>
      <w:r w:rsidRPr="00E12643">
        <w:rPr>
          <w:u w:val="single"/>
        </w:rPr>
        <w:tab/>
      </w:r>
      <w:r w:rsidRPr="00E12643">
        <w:rPr>
          <w:u w:val="single"/>
        </w:rPr>
        <w:tab/>
      </w:r>
      <w:r w:rsidR="00C412C6" w:rsidRPr="00E12643">
        <w:rPr>
          <w:u w:val="single"/>
        </w:rPr>
        <w:tab/>
      </w:r>
    </w:p>
    <w:sectPr w:rsidR="00374938" w:rsidRPr="00E12643" w:rsidSect="00374938">
      <w:headerReference w:type="even" r:id="rId8"/>
      <w:headerReference w:type="default" r:id="rId9"/>
      <w:footerReference w:type="even" r:id="rId10"/>
      <w:footerReference w:type="default" r:id="rId11"/>
      <w:footerReference w:type="first" r:id="rId1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41605" w14:textId="77777777" w:rsidR="00A4029B" w:rsidRDefault="00A4029B">
      <w:r>
        <w:separator/>
      </w:r>
    </w:p>
  </w:endnote>
  <w:endnote w:type="continuationSeparator" w:id="0">
    <w:p w14:paraId="3B3FD9B4" w14:textId="77777777" w:rsidR="00A4029B" w:rsidRDefault="00A40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FD8EF" w14:textId="3D892E32" w:rsidR="00374938" w:rsidRPr="00374938" w:rsidRDefault="00374938" w:rsidP="00374938">
    <w:pPr>
      <w:pStyle w:val="Piedepgina"/>
      <w:tabs>
        <w:tab w:val="right" w:pos="9638"/>
      </w:tabs>
    </w:pPr>
    <w:r w:rsidRPr="00374938">
      <w:rPr>
        <w:b/>
        <w:sz w:val="18"/>
      </w:rPr>
      <w:fldChar w:fldCharType="begin"/>
    </w:r>
    <w:r w:rsidRPr="00374938">
      <w:rPr>
        <w:b/>
        <w:sz w:val="18"/>
      </w:rPr>
      <w:instrText xml:space="preserve"> PAGE  \* MERGEFORMAT </w:instrText>
    </w:r>
    <w:r w:rsidRPr="00374938">
      <w:rPr>
        <w:b/>
        <w:sz w:val="18"/>
      </w:rPr>
      <w:fldChar w:fldCharType="separate"/>
    </w:r>
    <w:r w:rsidR="003D6708">
      <w:rPr>
        <w:b/>
        <w:noProof/>
        <w:sz w:val="18"/>
      </w:rPr>
      <w:t>2</w:t>
    </w:r>
    <w:r w:rsidRPr="0037493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48215" w14:textId="41F132A7" w:rsidR="00374938" w:rsidRPr="00374938" w:rsidRDefault="00374938" w:rsidP="00374938">
    <w:pPr>
      <w:pStyle w:val="Piedepgina"/>
      <w:tabs>
        <w:tab w:val="right" w:pos="9638"/>
      </w:tabs>
      <w:rPr>
        <w:b/>
        <w:sz w:val="18"/>
      </w:rPr>
    </w:pPr>
    <w:r>
      <w:tab/>
    </w:r>
    <w:r w:rsidRPr="00374938">
      <w:rPr>
        <w:b/>
        <w:sz w:val="18"/>
      </w:rPr>
      <w:fldChar w:fldCharType="begin"/>
    </w:r>
    <w:r w:rsidRPr="00374938">
      <w:rPr>
        <w:b/>
        <w:sz w:val="18"/>
      </w:rPr>
      <w:instrText xml:space="preserve"> PAGE  \* MERGEFORMAT </w:instrText>
    </w:r>
    <w:r w:rsidRPr="00374938">
      <w:rPr>
        <w:b/>
        <w:sz w:val="18"/>
      </w:rPr>
      <w:fldChar w:fldCharType="separate"/>
    </w:r>
    <w:r w:rsidR="00D053A6">
      <w:rPr>
        <w:b/>
        <w:noProof/>
        <w:sz w:val="18"/>
      </w:rPr>
      <w:t>3</w:t>
    </w:r>
    <w:r w:rsidRPr="003749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99216" w14:textId="2F33798F" w:rsidR="00F93B94" w:rsidRPr="003214FA" w:rsidRDefault="003214FA" w:rsidP="003214FA">
    <w:pPr>
      <w:pStyle w:val="Piedepgina"/>
      <w:tabs>
        <w:tab w:val="left" w:pos="6520"/>
        <w:tab w:val="right" w:pos="9638"/>
      </w:tabs>
      <w:spacing w:before="120" w:line="240" w:lineRule="auto"/>
      <w:rPr>
        <w:sz w:val="20"/>
      </w:rPr>
    </w:pPr>
    <w:r>
      <w:rPr>
        <w:sz w:val="20"/>
      </w:rPr>
      <w:t>GE.22-03562  (S)</w:t>
    </w:r>
    <w:bookmarkStart w:id="0" w:name="_GoBack"/>
    <w:bookmarkEnd w:id="0"/>
    <w:r>
      <w:rPr>
        <w:sz w:val="20"/>
      </w:rPr>
      <w:tab/>
    </w:r>
    <w:r w:rsidRPr="003214FA">
      <w:rPr>
        <w:noProof/>
        <w:sz w:val="20"/>
        <w:lang w:val="fr-CH" w:eastAsia="zh-CN"/>
      </w:rPr>
      <w:drawing>
        <wp:inline distT="0" distB="0" distL="0" distR="0" wp14:anchorId="01CDD46B" wp14:editId="505AB40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A229C61" wp14:editId="1CD4E099">
          <wp:extent cx="562610" cy="562610"/>
          <wp:effectExtent l="0" t="0" r="889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DDCF2" w14:textId="77777777" w:rsidR="00A4029B" w:rsidRPr="001075E9" w:rsidRDefault="00A4029B" w:rsidP="001075E9">
      <w:pPr>
        <w:tabs>
          <w:tab w:val="right" w:pos="2155"/>
        </w:tabs>
        <w:spacing w:after="80" w:line="240" w:lineRule="auto"/>
        <w:ind w:left="680"/>
        <w:rPr>
          <w:u w:val="single"/>
        </w:rPr>
      </w:pPr>
      <w:r>
        <w:rPr>
          <w:u w:val="single"/>
        </w:rPr>
        <w:tab/>
      </w:r>
    </w:p>
  </w:footnote>
  <w:footnote w:type="continuationSeparator" w:id="0">
    <w:p w14:paraId="2DEE9514" w14:textId="77777777" w:rsidR="00A4029B" w:rsidRDefault="00A4029B">
      <w:r>
        <w:continuationSeparator/>
      </w:r>
    </w:p>
  </w:footnote>
  <w:footnote w:id="1">
    <w:p w14:paraId="41A8E80A" w14:textId="57ECB7BC" w:rsidR="0085327E" w:rsidRPr="00290182" w:rsidRDefault="0085327E">
      <w:pPr>
        <w:pStyle w:val="Textonotapie"/>
      </w:pPr>
      <w:r>
        <w:rPr>
          <w:rStyle w:val="Refdenotaalpie"/>
        </w:rPr>
        <w:tab/>
      </w:r>
      <w:r w:rsidRPr="00C412C6">
        <w:rPr>
          <w:rStyle w:val="Refdenotaalpie"/>
          <w:sz w:val="20"/>
          <w:vertAlign w:val="baseline"/>
        </w:rPr>
        <w:t>*</w:t>
      </w:r>
      <w:r>
        <w:rPr>
          <w:rStyle w:val="Refdenotaalpie"/>
          <w:sz w:val="20"/>
          <w:vertAlign w:val="baseline"/>
        </w:rPr>
        <w:tab/>
      </w:r>
      <w:r w:rsidR="00813E28">
        <w:t xml:space="preserve">Adoptada </w:t>
      </w:r>
      <w:r w:rsidR="00853F9A">
        <w:t>por el Comité en su 89º período de sesiones (31 de enero a 11 de febrero de</w:t>
      </w:r>
      <w:r w:rsidR="00F93B94">
        <w:t> </w:t>
      </w:r>
      <w:r w:rsidR="00853F9A">
        <w:t>2022)</w:t>
      </w:r>
      <w:r w:rsidR="000C09D2">
        <w:t>.</w:t>
      </w:r>
    </w:p>
  </w:footnote>
  <w:footnote w:id="2">
    <w:p w14:paraId="4D910C3E" w14:textId="51CAE45C" w:rsidR="0085327E" w:rsidRPr="00290182" w:rsidRDefault="0085327E">
      <w:pPr>
        <w:pStyle w:val="Textonotapie"/>
      </w:pPr>
      <w:r>
        <w:rPr>
          <w:rStyle w:val="Refdenotaalpie"/>
        </w:rPr>
        <w:tab/>
      </w:r>
      <w:r w:rsidRPr="00C412C6">
        <w:rPr>
          <w:rStyle w:val="Refdenotaalpie"/>
          <w:sz w:val="20"/>
          <w:vertAlign w:val="baseline"/>
        </w:rPr>
        <w:t>**</w:t>
      </w:r>
      <w:r>
        <w:rPr>
          <w:rStyle w:val="Refdenotaalpie"/>
          <w:sz w:val="20"/>
          <w:vertAlign w:val="baseline"/>
        </w:rPr>
        <w:tab/>
      </w:r>
      <w:r w:rsidR="00853F9A">
        <w:rPr>
          <w:szCs w:val="18"/>
        </w:rPr>
        <w:t xml:space="preserve">Participaron en el examen de la </w:t>
      </w:r>
      <w:r w:rsidR="00853F9A" w:rsidRPr="00A937FF">
        <w:rPr>
          <w:szCs w:val="18"/>
        </w:rPr>
        <w:t>comunicación los siguientes miembros del Comité:</w:t>
      </w:r>
      <w:r w:rsidR="00853F9A" w:rsidRPr="00A937FF">
        <w:t xml:space="preserve"> </w:t>
      </w:r>
      <w:r w:rsidR="00853F9A" w:rsidRPr="00A937FF">
        <w:rPr>
          <w:szCs w:val="18"/>
        </w:rPr>
        <w:t>Suzanne Aho, Hynd Ayoubi Idrissi, Rinchen Chop</w:t>
      </w:r>
      <w:r w:rsidR="00A937FF" w:rsidRPr="007C03E5">
        <w:rPr>
          <w:szCs w:val="18"/>
        </w:rPr>
        <w:t>h</w:t>
      </w:r>
      <w:r w:rsidR="00853F9A" w:rsidRPr="00A937FF">
        <w:rPr>
          <w:szCs w:val="18"/>
        </w:rPr>
        <w:t>el, Bragi</w:t>
      </w:r>
      <w:r w:rsidR="00853F9A">
        <w:rPr>
          <w:szCs w:val="18"/>
        </w:rPr>
        <w:t xml:space="preserve"> Gudbrandsson, Philip Jaffé, Sop</w:t>
      </w:r>
      <w:r w:rsidR="00813E28">
        <w:rPr>
          <w:szCs w:val="18"/>
        </w:rPr>
        <w:t>io</w:t>
      </w:r>
      <w:r w:rsidR="00853F9A">
        <w:rPr>
          <w:szCs w:val="18"/>
        </w:rPr>
        <w:t xml:space="preserve"> Kiladze, Gehad Madi, Benyam Dawit Mezmur, Clarence Nelson, Otani Mikiko, Luis Ernesto Pedernera Reyna, </w:t>
      </w:r>
      <w:r w:rsidR="00813E28">
        <w:rPr>
          <w:szCs w:val="18"/>
        </w:rPr>
        <w:t xml:space="preserve">Zara Ratou, </w:t>
      </w:r>
      <w:r w:rsidR="00853F9A">
        <w:rPr>
          <w:szCs w:val="18"/>
        </w:rPr>
        <w:t>Jos</w:t>
      </w:r>
      <w:r w:rsidR="00E76B7B">
        <w:rPr>
          <w:szCs w:val="18"/>
        </w:rPr>
        <w:t>é</w:t>
      </w:r>
      <w:r w:rsidR="00853F9A">
        <w:rPr>
          <w:szCs w:val="18"/>
        </w:rPr>
        <w:t xml:space="preserve"> </w:t>
      </w:r>
      <w:r w:rsidR="00813E28">
        <w:rPr>
          <w:szCs w:val="18"/>
        </w:rPr>
        <w:t>Á</w:t>
      </w:r>
      <w:r w:rsidR="00853F9A">
        <w:rPr>
          <w:szCs w:val="18"/>
        </w:rPr>
        <w:t>ngel Rodr</w:t>
      </w:r>
      <w:r w:rsidR="00E76B7B">
        <w:rPr>
          <w:szCs w:val="18"/>
        </w:rPr>
        <w:t>í</w:t>
      </w:r>
      <w:r w:rsidR="00853F9A">
        <w:rPr>
          <w:szCs w:val="18"/>
        </w:rPr>
        <w:t>guez Reyes, Ann Marie Skelton, Velina Todorova</w:t>
      </w:r>
      <w:r w:rsidR="00813E28">
        <w:rPr>
          <w:szCs w:val="18"/>
        </w:rPr>
        <w:t xml:space="preserve"> y</w:t>
      </w:r>
      <w:r w:rsidR="00853F9A">
        <w:rPr>
          <w:szCs w:val="18"/>
        </w:rPr>
        <w:t xml:space="preserve"> Benoit Van Keirsbilck</w:t>
      </w:r>
      <w:r w:rsidR="00BB4D2E" w:rsidRPr="002877FA">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CA983" w14:textId="24DDFA3A" w:rsidR="00374938" w:rsidRPr="00951A8A" w:rsidRDefault="00951A8A" w:rsidP="00951A8A">
    <w:pPr>
      <w:pStyle w:val="Encabezado"/>
    </w:pPr>
    <w:r w:rsidRPr="00951A8A">
      <w:t>CRC/C/89/D/</w:t>
    </w:r>
    <w:r w:rsidR="00DB3A46">
      <w:t>78</w:t>
    </w:r>
    <w:r w:rsidRPr="00951A8A">
      <w:t>/201</w:t>
    </w:r>
    <w:r w:rsidR="00DB3A46">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F4411" w14:textId="5944E1AF" w:rsidR="00374938" w:rsidRPr="00374938" w:rsidRDefault="003D6708" w:rsidP="00374938">
    <w:pPr>
      <w:pStyle w:val="Encabezado"/>
      <w:jc w:val="right"/>
    </w:pPr>
    <w:fldSimple w:instr=" TITLE  \* MERGEFORMAT ">
      <w:r w:rsidR="004476AE">
        <w:t>CRC/C/89/D/78/2019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938"/>
    <w:rsid w:val="00002131"/>
    <w:rsid w:val="00014D3F"/>
    <w:rsid w:val="000328AD"/>
    <w:rsid w:val="00033EE1"/>
    <w:rsid w:val="00041588"/>
    <w:rsid w:val="00061160"/>
    <w:rsid w:val="000703C7"/>
    <w:rsid w:val="000856B1"/>
    <w:rsid w:val="000A3FAF"/>
    <w:rsid w:val="000B57E7"/>
    <w:rsid w:val="000C09D2"/>
    <w:rsid w:val="000F09DF"/>
    <w:rsid w:val="000F61B2"/>
    <w:rsid w:val="00100922"/>
    <w:rsid w:val="00100D1E"/>
    <w:rsid w:val="001061DB"/>
    <w:rsid w:val="001075E9"/>
    <w:rsid w:val="001220F5"/>
    <w:rsid w:val="001256EA"/>
    <w:rsid w:val="0012572F"/>
    <w:rsid w:val="0015043F"/>
    <w:rsid w:val="00161852"/>
    <w:rsid w:val="00171470"/>
    <w:rsid w:val="00180183"/>
    <w:rsid w:val="0018649F"/>
    <w:rsid w:val="00196389"/>
    <w:rsid w:val="001B06CA"/>
    <w:rsid w:val="001B1E23"/>
    <w:rsid w:val="001B4E3F"/>
    <w:rsid w:val="001B5FFA"/>
    <w:rsid w:val="001C7A89"/>
    <w:rsid w:val="001D7483"/>
    <w:rsid w:val="001F1084"/>
    <w:rsid w:val="00220F72"/>
    <w:rsid w:val="002338D8"/>
    <w:rsid w:val="00240004"/>
    <w:rsid w:val="00262176"/>
    <w:rsid w:val="00276AEB"/>
    <w:rsid w:val="00290182"/>
    <w:rsid w:val="002A2EFC"/>
    <w:rsid w:val="002A6389"/>
    <w:rsid w:val="002C0E18"/>
    <w:rsid w:val="002D5AAC"/>
    <w:rsid w:val="002F7CBD"/>
    <w:rsid w:val="00301299"/>
    <w:rsid w:val="0030390F"/>
    <w:rsid w:val="00311ABC"/>
    <w:rsid w:val="003214FA"/>
    <w:rsid w:val="00322004"/>
    <w:rsid w:val="00322594"/>
    <w:rsid w:val="00326891"/>
    <w:rsid w:val="003402C2"/>
    <w:rsid w:val="00342659"/>
    <w:rsid w:val="00374938"/>
    <w:rsid w:val="00381C24"/>
    <w:rsid w:val="003822BF"/>
    <w:rsid w:val="003958D0"/>
    <w:rsid w:val="003A203E"/>
    <w:rsid w:val="003A6803"/>
    <w:rsid w:val="003B00E5"/>
    <w:rsid w:val="003C5697"/>
    <w:rsid w:val="003D6708"/>
    <w:rsid w:val="00414A16"/>
    <w:rsid w:val="00427F10"/>
    <w:rsid w:val="004476AE"/>
    <w:rsid w:val="00450C46"/>
    <w:rsid w:val="00454E07"/>
    <w:rsid w:val="004A04B7"/>
    <w:rsid w:val="004A7243"/>
    <w:rsid w:val="004D45DB"/>
    <w:rsid w:val="0050108D"/>
    <w:rsid w:val="00506040"/>
    <w:rsid w:val="00536DF4"/>
    <w:rsid w:val="00572E19"/>
    <w:rsid w:val="005900DB"/>
    <w:rsid w:val="005C312C"/>
    <w:rsid w:val="005C43E4"/>
    <w:rsid w:val="005D7179"/>
    <w:rsid w:val="005F0B42"/>
    <w:rsid w:val="005F2AD1"/>
    <w:rsid w:val="00607AB8"/>
    <w:rsid w:val="006233C3"/>
    <w:rsid w:val="0063787C"/>
    <w:rsid w:val="0066609A"/>
    <w:rsid w:val="00681653"/>
    <w:rsid w:val="00697650"/>
    <w:rsid w:val="006B3A76"/>
    <w:rsid w:val="006B64A9"/>
    <w:rsid w:val="006D3EAC"/>
    <w:rsid w:val="006F16EC"/>
    <w:rsid w:val="006F1A2B"/>
    <w:rsid w:val="006F35EE"/>
    <w:rsid w:val="007021FF"/>
    <w:rsid w:val="00707CE9"/>
    <w:rsid w:val="00756179"/>
    <w:rsid w:val="00757357"/>
    <w:rsid w:val="00762BA5"/>
    <w:rsid w:val="00790C47"/>
    <w:rsid w:val="007A059A"/>
    <w:rsid w:val="007C03E5"/>
    <w:rsid w:val="007C20AB"/>
    <w:rsid w:val="007C64A8"/>
    <w:rsid w:val="007E16A7"/>
    <w:rsid w:val="007F4281"/>
    <w:rsid w:val="00813E28"/>
    <w:rsid w:val="00814D3A"/>
    <w:rsid w:val="008261B8"/>
    <w:rsid w:val="00834B71"/>
    <w:rsid w:val="0085327E"/>
    <w:rsid w:val="00853F9A"/>
    <w:rsid w:val="008628AF"/>
    <w:rsid w:val="0086445C"/>
    <w:rsid w:val="008A08D7"/>
    <w:rsid w:val="008B0DA1"/>
    <w:rsid w:val="008B1776"/>
    <w:rsid w:val="008C2B1A"/>
    <w:rsid w:val="008D1934"/>
    <w:rsid w:val="008D4818"/>
    <w:rsid w:val="008E1429"/>
    <w:rsid w:val="008E1C58"/>
    <w:rsid w:val="008E48C7"/>
    <w:rsid w:val="008F2BCB"/>
    <w:rsid w:val="00906890"/>
    <w:rsid w:val="00913DA3"/>
    <w:rsid w:val="00951972"/>
    <w:rsid w:val="00951A8A"/>
    <w:rsid w:val="0095519F"/>
    <w:rsid w:val="00976739"/>
    <w:rsid w:val="009C646E"/>
    <w:rsid w:val="009D3BC8"/>
    <w:rsid w:val="009E7F0B"/>
    <w:rsid w:val="009E7F32"/>
    <w:rsid w:val="00A4029B"/>
    <w:rsid w:val="00A4159C"/>
    <w:rsid w:val="00A43957"/>
    <w:rsid w:val="00A85A0D"/>
    <w:rsid w:val="00A910D9"/>
    <w:rsid w:val="00A917B3"/>
    <w:rsid w:val="00A937FF"/>
    <w:rsid w:val="00A97C80"/>
    <w:rsid w:val="00AB4B51"/>
    <w:rsid w:val="00AE2458"/>
    <w:rsid w:val="00AE5117"/>
    <w:rsid w:val="00AF2D3F"/>
    <w:rsid w:val="00AF3FE0"/>
    <w:rsid w:val="00B10CC7"/>
    <w:rsid w:val="00B17EAC"/>
    <w:rsid w:val="00B36FBA"/>
    <w:rsid w:val="00B476BC"/>
    <w:rsid w:val="00B62458"/>
    <w:rsid w:val="00B8687E"/>
    <w:rsid w:val="00BA5D5B"/>
    <w:rsid w:val="00BB3560"/>
    <w:rsid w:val="00BB4D2E"/>
    <w:rsid w:val="00BC12D3"/>
    <w:rsid w:val="00BD33EE"/>
    <w:rsid w:val="00C15A31"/>
    <w:rsid w:val="00C412C6"/>
    <w:rsid w:val="00C60F0C"/>
    <w:rsid w:val="00C67843"/>
    <w:rsid w:val="00C7573D"/>
    <w:rsid w:val="00C805C9"/>
    <w:rsid w:val="00C84947"/>
    <w:rsid w:val="00CA1679"/>
    <w:rsid w:val="00D053A6"/>
    <w:rsid w:val="00D15EAE"/>
    <w:rsid w:val="00D208B6"/>
    <w:rsid w:val="00D21348"/>
    <w:rsid w:val="00D33D63"/>
    <w:rsid w:val="00D87F64"/>
    <w:rsid w:val="00D90138"/>
    <w:rsid w:val="00DA6F38"/>
    <w:rsid w:val="00DB3A46"/>
    <w:rsid w:val="00DD5FC0"/>
    <w:rsid w:val="00DD6AEE"/>
    <w:rsid w:val="00DF3BEC"/>
    <w:rsid w:val="00DF63E3"/>
    <w:rsid w:val="00E020BF"/>
    <w:rsid w:val="00E12643"/>
    <w:rsid w:val="00E23796"/>
    <w:rsid w:val="00E573DD"/>
    <w:rsid w:val="00E73F76"/>
    <w:rsid w:val="00E76B7B"/>
    <w:rsid w:val="00ED0DB0"/>
    <w:rsid w:val="00ED33CE"/>
    <w:rsid w:val="00EF1360"/>
    <w:rsid w:val="00EF3220"/>
    <w:rsid w:val="00F223A9"/>
    <w:rsid w:val="00F23FB6"/>
    <w:rsid w:val="00F265C7"/>
    <w:rsid w:val="00F526FD"/>
    <w:rsid w:val="00F6063F"/>
    <w:rsid w:val="00F80811"/>
    <w:rsid w:val="00F90F9F"/>
    <w:rsid w:val="00F93B94"/>
    <w:rsid w:val="00F94155"/>
    <w:rsid w:val="00F963D6"/>
    <w:rsid w:val="00F96469"/>
    <w:rsid w:val="00FB2D3D"/>
    <w:rsid w:val="00FC38C5"/>
    <w:rsid w:val="00FC7FDE"/>
    <w:rsid w:val="00FD2EF7"/>
    <w:rsid w:val="00FE313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4C5FFF6"/>
  <w15:docId w15:val="{1931DFFA-A77F-4DE5-82C9-CBFF3BD6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basedOn w:val="Fuentedeprrafopredeter"/>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uiPriority w:val="99"/>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Normal"/>
    <w:qFormat/>
    <w:rsid w:val="001220F5"/>
    <w:pPr>
      <w:numPr>
        <w:numId w:val="16"/>
      </w:numPr>
      <w:tabs>
        <w:tab w:val="left" w:pos="1701"/>
      </w:tabs>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basedOn w:val="Fuentedeprrafopredeter"/>
    <w:link w:val="Textonotapie"/>
    <w:uiPriority w:val="99"/>
    <w:rsid w:val="00374938"/>
    <w:rPr>
      <w:sz w:val="18"/>
      <w:lang w:val="es-ES" w:eastAsia="es-ES"/>
    </w:rPr>
  </w:style>
  <w:style w:type="character" w:customStyle="1" w:styleId="SingleTxtGChar">
    <w:name w:val="_ Single Txt_G Char"/>
    <w:link w:val="SingleTxtG"/>
    <w:rsid w:val="00374938"/>
    <w:rPr>
      <w:lang w:val="es-ES" w:eastAsia="es-ES"/>
    </w:rPr>
  </w:style>
  <w:style w:type="character" w:styleId="Refdecomentario">
    <w:name w:val="annotation reference"/>
    <w:basedOn w:val="Fuentedeprrafopredeter"/>
    <w:semiHidden/>
    <w:unhideWhenUsed/>
    <w:rsid w:val="001D7483"/>
    <w:rPr>
      <w:sz w:val="16"/>
      <w:szCs w:val="16"/>
    </w:rPr>
  </w:style>
  <w:style w:type="paragraph" w:styleId="Textocomentario">
    <w:name w:val="annotation text"/>
    <w:basedOn w:val="Normal"/>
    <w:link w:val="TextocomentarioCar"/>
    <w:semiHidden/>
    <w:unhideWhenUsed/>
    <w:rsid w:val="001D7483"/>
    <w:pPr>
      <w:spacing w:line="240" w:lineRule="auto"/>
    </w:pPr>
  </w:style>
  <w:style w:type="character" w:customStyle="1" w:styleId="TextocomentarioCar">
    <w:name w:val="Texto comentario Car"/>
    <w:basedOn w:val="Fuentedeprrafopredeter"/>
    <w:link w:val="Textocomentario"/>
    <w:semiHidden/>
    <w:rsid w:val="001D7483"/>
    <w:rPr>
      <w:lang w:val="es-ES" w:eastAsia="es-ES"/>
    </w:rPr>
  </w:style>
  <w:style w:type="paragraph" w:styleId="Asuntodelcomentario">
    <w:name w:val="annotation subject"/>
    <w:basedOn w:val="Textocomentario"/>
    <w:next w:val="Textocomentario"/>
    <w:link w:val="AsuntodelcomentarioCar"/>
    <w:semiHidden/>
    <w:unhideWhenUsed/>
    <w:rsid w:val="001D7483"/>
    <w:rPr>
      <w:b/>
      <w:bCs/>
    </w:rPr>
  </w:style>
  <w:style w:type="character" w:customStyle="1" w:styleId="AsuntodelcomentarioCar">
    <w:name w:val="Asunto del comentario Car"/>
    <w:basedOn w:val="TextocomentarioCar"/>
    <w:link w:val="Asuntodelcomentario"/>
    <w:semiHidden/>
    <w:rsid w:val="001D7483"/>
    <w:rPr>
      <w:b/>
      <w:bCs/>
      <w:lang w:val="es-ES" w:eastAsia="es-ES"/>
    </w:rPr>
  </w:style>
  <w:style w:type="paragraph" w:styleId="Prrafodelista">
    <w:name w:val="List Paragraph"/>
    <w:basedOn w:val="Normal"/>
    <w:uiPriority w:val="34"/>
    <w:semiHidden/>
    <w:qFormat/>
    <w:rsid w:val="00FC7FDE"/>
    <w:pPr>
      <w:ind w:left="720"/>
      <w:contextualSpacing/>
    </w:pPr>
  </w:style>
  <w:style w:type="character" w:customStyle="1" w:styleId="Mencinsinresolver1">
    <w:name w:val="Mención sin resolver1"/>
    <w:basedOn w:val="Fuentedeprrafopredeter"/>
    <w:uiPriority w:val="99"/>
    <w:semiHidden/>
    <w:unhideWhenUsed/>
    <w:rsid w:val="00C849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5924">
      <w:bodyDiv w:val="1"/>
      <w:marLeft w:val="0"/>
      <w:marRight w:val="0"/>
      <w:marTop w:val="0"/>
      <w:marBottom w:val="0"/>
      <w:divBdr>
        <w:top w:val="none" w:sz="0" w:space="0" w:color="auto"/>
        <w:left w:val="none" w:sz="0" w:space="0" w:color="auto"/>
        <w:bottom w:val="none" w:sz="0" w:space="0" w:color="auto"/>
        <w:right w:val="none" w:sz="0" w:space="0" w:color="auto"/>
      </w:divBdr>
    </w:div>
    <w:div w:id="659240110">
      <w:bodyDiv w:val="1"/>
      <w:marLeft w:val="0"/>
      <w:marRight w:val="0"/>
      <w:marTop w:val="0"/>
      <w:marBottom w:val="0"/>
      <w:divBdr>
        <w:top w:val="none" w:sz="0" w:space="0" w:color="auto"/>
        <w:left w:val="none" w:sz="0" w:space="0" w:color="auto"/>
        <w:bottom w:val="none" w:sz="0" w:space="0" w:color="auto"/>
        <w:right w:val="none" w:sz="0" w:space="0" w:color="auto"/>
      </w:divBdr>
    </w:div>
    <w:div w:id="1045527690">
      <w:bodyDiv w:val="1"/>
      <w:marLeft w:val="0"/>
      <w:marRight w:val="0"/>
      <w:marTop w:val="0"/>
      <w:marBottom w:val="0"/>
      <w:divBdr>
        <w:top w:val="none" w:sz="0" w:space="0" w:color="auto"/>
        <w:left w:val="none" w:sz="0" w:space="0" w:color="auto"/>
        <w:bottom w:val="none" w:sz="0" w:space="0" w:color="auto"/>
        <w:right w:val="none" w:sz="0" w:space="0" w:color="auto"/>
      </w:divBdr>
    </w:div>
    <w:div w:id="1312440085">
      <w:bodyDiv w:val="1"/>
      <w:marLeft w:val="0"/>
      <w:marRight w:val="0"/>
      <w:marTop w:val="0"/>
      <w:marBottom w:val="0"/>
      <w:divBdr>
        <w:top w:val="none" w:sz="0" w:space="0" w:color="auto"/>
        <w:left w:val="none" w:sz="0" w:space="0" w:color="auto"/>
        <w:bottom w:val="none" w:sz="0" w:space="0" w:color="auto"/>
        <w:right w:val="none" w:sz="0" w:space="0" w:color="auto"/>
      </w:divBdr>
    </w:div>
    <w:div w:id="1669672460">
      <w:bodyDiv w:val="1"/>
      <w:marLeft w:val="0"/>
      <w:marRight w:val="0"/>
      <w:marTop w:val="0"/>
      <w:marBottom w:val="0"/>
      <w:divBdr>
        <w:top w:val="none" w:sz="0" w:space="0" w:color="auto"/>
        <w:left w:val="none" w:sz="0" w:space="0" w:color="auto"/>
        <w:bottom w:val="none" w:sz="0" w:space="0" w:color="auto"/>
        <w:right w:val="none" w:sz="0" w:space="0" w:color="auto"/>
      </w:divBdr>
    </w:div>
    <w:div w:id="2004115612">
      <w:bodyDiv w:val="1"/>
      <w:marLeft w:val="0"/>
      <w:marRight w:val="0"/>
      <w:marTop w:val="0"/>
      <w:marBottom w:val="0"/>
      <w:divBdr>
        <w:top w:val="none" w:sz="0" w:space="0" w:color="auto"/>
        <w:left w:val="none" w:sz="0" w:space="0" w:color="auto"/>
        <w:bottom w:val="none" w:sz="0" w:space="0" w:color="auto"/>
        <w:right w:val="none" w:sz="0" w:space="0" w:color="auto"/>
      </w:divBdr>
    </w:div>
    <w:div w:id="2006399705">
      <w:bodyDiv w:val="1"/>
      <w:marLeft w:val="0"/>
      <w:marRight w:val="0"/>
      <w:marTop w:val="0"/>
      <w:marBottom w:val="0"/>
      <w:divBdr>
        <w:top w:val="none" w:sz="0" w:space="0" w:color="auto"/>
        <w:left w:val="none" w:sz="0" w:space="0" w:color="auto"/>
        <w:bottom w:val="none" w:sz="0" w:space="0" w:color="auto"/>
        <w:right w:val="none" w:sz="0" w:space="0" w:color="auto"/>
      </w:divBdr>
    </w:div>
    <w:div w:id="2081825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2</Pages>
  <Words>830</Words>
  <Characters>3944</Characters>
  <Application>Microsoft Office Word</Application>
  <DocSecurity>0</DocSecurity>
  <Lines>74</Lines>
  <Paragraphs>22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CRC/C/82/D/54/2018</vt:lpstr>
      <vt:lpstr>CRC/C/82/D/54/2018</vt:lpstr>
      <vt:lpstr>Naciones Unidas</vt:lpstr>
    </vt:vector>
  </TitlesOfParts>
  <Company>DCM</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CRC/C/89/D/78/2019</dc:title>
  <dc:subject/>
  <dc:creator>Maria Belen Enriquez</dc:creator>
  <cp:keywords/>
  <cp:lastModifiedBy>Angel Moreno Torres</cp:lastModifiedBy>
  <cp:revision>4</cp:revision>
  <cp:lastPrinted>2022-03-10T12:49:00Z</cp:lastPrinted>
  <dcterms:created xsi:type="dcterms:W3CDTF">2022-03-10T12:49:00Z</dcterms:created>
  <dcterms:modified xsi:type="dcterms:W3CDTF">2022-03-10T12:49:00Z</dcterms:modified>
</cp:coreProperties>
</file>