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14:paraId="5689B97F" w14:textId="77777777" w:rsidTr="00E47463">
        <w:trPr>
          <w:cantSplit/>
          <w:trHeight w:hRule="exact" w:val="851"/>
        </w:trPr>
        <w:tc>
          <w:tcPr>
            <w:tcW w:w="1276" w:type="dxa"/>
            <w:tcBorders>
              <w:bottom w:val="single" w:sz="4" w:space="0" w:color="auto"/>
            </w:tcBorders>
            <w:vAlign w:val="bottom"/>
          </w:tcPr>
          <w:p w14:paraId="78BFDFC5" w14:textId="77777777" w:rsidR="000175F8" w:rsidRDefault="000175F8" w:rsidP="00E47463">
            <w:pPr>
              <w:pStyle w:val="SingleTxtG"/>
            </w:pPr>
          </w:p>
        </w:tc>
        <w:tc>
          <w:tcPr>
            <w:tcW w:w="2268" w:type="dxa"/>
            <w:tcBorders>
              <w:bottom w:val="single" w:sz="4" w:space="0" w:color="auto"/>
            </w:tcBorders>
            <w:vAlign w:val="bottom"/>
          </w:tcPr>
          <w:p w14:paraId="73F88D90" w14:textId="77777777" w:rsidR="000175F8" w:rsidRDefault="000175F8" w:rsidP="00E4746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15BB70A" w14:textId="77777777" w:rsidR="000175F8" w:rsidRDefault="002C2FDA" w:rsidP="002C2FDA">
            <w:pPr>
              <w:suppressAutoHyphens w:val="0"/>
              <w:spacing w:after="20"/>
              <w:jc w:val="right"/>
            </w:pPr>
            <w:r w:rsidRPr="002C2FDA">
              <w:rPr>
                <w:sz w:val="40"/>
              </w:rPr>
              <w:t>CAT</w:t>
            </w:r>
            <w:r>
              <w:t>/OP/HRV/ROSP/1</w:t>
            </w:r>
          </w:p>
        </w:tc>
      </w:tr>
      <w:tr w:rsidR="00324D4A" w14:paraId="11E59D89" w14:textId="77777777" w:rsidTr="00E47463">
        <w:trPr>
          <w:cantSplit/>
          <w:trHeight w:hRule="exact" w:val="2835"/>
        </w:trPr>
        <w:tc>
          <w:tcPr>
            <w:tcW w:w="1276" w:type="dxa"/>
            <w:tcBorders>
              <w:top w:val="single" w:sz="4" w:space="0" w:color="auto"/>
              <w:bottom w:val="single" w:sz="12" w:space="0" w:color="auto"/>
            </w:tcBorders>
          </w:tcPr>
          <w:p w14:paraId="7C9E262F" w14:textId="77777777" w:rsidR="00324D4A" w:rsidRDefault="00324D4A" w:rsidP="00324D4A">
            <w:pPr>
              <w:spacing w:before="120"/>
              <w:jc w:val="center"/>
            </w:pPr>
            <w:r>
              <w:rPr>
                <w:noProof/>
                <w:lang w:val="fr-CH" w:eastAsia="fr-CH"/>
              </w:rPr>
              <w:drawing>
                <wp:inline distT="0" distB="0" distL="0" distR="0" wp14:anchorId="4AC7A12D" wp14:editId="677F23B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A2BCC3D" w14:textId="77777777" w:rsidR="00324D4A" w:rsidRDefault="00324D4A" w:rsidP="00324D4A">
            <w:pPr>
              <w:spacing w:before="120" w:line="420" w:lineRule="exact"/>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835" w:type="dxa"/>
            <w:tcBorders>
              <w:top w:val="single" w:sz="4" w:space="0" w:color="auto"/>
              <w:bottom w:val="single" w:sz="12" w:space="0" w:color="auto"/>
            </w:tcBorders>
          </w:tcPr>
          <w:p w14:paraId="2167CC46" w14:textId="77777777" w:rsidR="002C2FDA" w:rsidRPr="00353F00" w:rsidRDefault="002C2FDA" w:rsidP="002C2FDA">
            <w:pPr>
              <w:suppressAutoHyphens w:val="0"/>
              <w:spacing w:before="240"/>
            </w:pPr>
            <w:r w:rsidRPr="00353F00">
              <w:t xml:space="preserve">Distr.: </w:t>
            </w:r>
            <w:r>
              <w:t>General</w:t>
            </w:r>
          </w:p>
          <w:p w14:paraId="26145766" w14:textId="260E04C8" w:rsidR="002C2FDA" w:rsidRPr="00353F00" w:rsidRDefault="002C2FDA" w:rsidP="002C2FDA">
            <w:pPr>
              <w:suppressAutoHyphens w:val="0"/>
            </w:pPr>
            <w:r w:rsidRPr="00D149B3">
              <w:t>2</w:t>
            </w:r>
            <w:r w:rsidR="00377C6E">
              <w:t>1</w:t>
            </w:r>
            <w:r>
              <w:t xml:space="preserve"> October 2025</w:t>
            </w:r>
          </w:p>
          <w:p w14:paraId="75699FD8" w14:textId="77777777" w:rsidR="002C2FDA" w:rsidRPr="00353F00" w:rsidRDefault="002C2FDA" w:rsidP="002C2FDA">
            <w:pPr>
              <w:suppressAutoHyphens w:val="0"/>
            </w:pPr>
          </w:p>
          <w:p w14:paraId="70261FB8" w14:textId="77777777" w:rsidR="002C2FDA" w:rsidRPr="00353F00" w:rsidRDefault="002C2FDA" w:rsidP="002C2FDA">
            <w:pPr>
              <w:suppressAutoHyphens w:val="0"/>
            </w:pPr>
            <w:r w:rsidRPr="00353F00">
              <w:t>Original: English</w:t>
            </w:r>
          </w:p>
          <w:p w14:paraId="58E630A9" w14:textId="019BD899" w:rsidR="002C2FDA" w:rsidRDefault="002C2FDA" w:rsidP="002C2FDA">
            <w:pPr>
              <w:suppressAutoHyphens w:val="0"/>
            </w:pPr>
            <w:r w:rsidRPr="00353F00">
              <w:rPr>
                <w:color w:val="000000" w:themeColor="text1"/>
              </w:rPr>
              <w:t>English, French and Spanish only</w:t>
            </w:r>
          </w:p>
        </w:tc>
      </w:tr>
    </w:tbl>
    <w:p w14:paraId="7F68A68C" w14:textId="77777777" w:rsidR="002C2FDA" w:rsidRPr="00353F00" w:rsidRDefault="002C2FDA" w:rsidP="002C2FDA">
      <w:pPr>
        <w:spacing w:before="120"/>
        <w:rPr>
          <w:rFonts w:eastAsia="SimSun"/>
          <w:b/>
          <w:bCs/>
          <w:color w:val="000000" w:themeColor="text1"/>
          <w:sz w:val="24"/>
          <w:szCs w:val="24"/>
        </w:rPr>
      </w:pPr>
      <w:bookmarkStart w:id="0" w:name="_Hlk211863056"/>
      <w:r w:rsidRPr="00353F00">
        <w:rPr>
          <w:rFonts w:eastAsia="SimSun"/>
          <w:b/>
          <w:bCs/>
          <w:color w:val="000000" w:themeColor="text1"/>
          <w:sz w:val="24"/>
          <w:szCs w:val="24"/>
        </w:rPr>
        <w:t>Subcommittee on Prevention of Torture and Other Cruel,</w:t>
      </w:r>
      <w:r w:rsidRPr="00353F00">
        <w:rPr>
          <w:rFonts w:eastAsia="SimSun"/>
          <w:b/>
          <w:bCs/>
          <w:color w:val="000000" w:themeColor="text1"/>
          <w:sz w:val="24"/>
          <w:szCs w:val="24"/>
        </w:rPr>
        <w:br/>
        <w:t>Inhuman or Degrading Treatment or Punishment</w:t>
      </w:r>
    </w:p>
    <w:p w14:paraId="6CCA4F81" w14:textId="77777777" w:rsidR="002C2FDA" w:rsidRPr="00353F00" w:rsidRDefault="002C2FDA" w:rsidP="002C2FDA">
      <w:pPr>
        <w:pStyle w:val="HChG"/>
      </w:pPr>
      <w:r w:rsidRPr="00353F00">
        <w:tab/>
      </w:r>
      <w:r w:rsidRPr="00353F00">
        <w:tab/>
      </w:r>
      <w:bookmarkStart w:id="1" w:name="_Toc57978682"/>
      <w:bookmarkStart w:id="2" w:name="_Toc211864408"/>
      <w:r w:rsidRPr="00353F00">
        <w:t>Visit to Croatia undertaken from 2 to 8 July 2023: recommendations and observations addressed to the State </w:t>
      </w:r>
      <w:bookmarkEnd w:id="1"/>
      <w:r w:rsidRPr="00ED6AA2">
        <w:t>Party</w:t>
      </w:r>
      <w:bookmarkEnd w:id="2"/>
    </w:p>
    <w:p w14:paraId="2859085E" w14:textId="77777777" w:rsidR="002C2FDA" w:rsidRPr="002C2FDA" w:rsidRDefault="002C2FDA" w:rsidP="002C2FDA">
      <w:pPr>
        <w:pStyle w:val="H1G"/>
        <w:rPr>
          <w:rStyle w:val="FootnoteReference"/>
          <w:b w:val="0"/>
          <w:bCs/>
          <w:sz w:val="20"/>
          <w:szCs w:val="22"/>
          <w:vertAlign w:val="baseline"/>
        </w:rPr>
      </w:pPr>
      <w:r w:rsidRPr="00353F00">
        <w:tab/>
      </w:r>
      <w:r w:rsidRPr="00353F00">
        <w:tab/>
      </w:r>
      <w:bookmarkStart w:id="3" w:name="_Toc57978683"/>
      <w:bookmarkStart w:id="4" w:name="_Toc211864409"/>
      <w:r w:rsidRPr="00353F00">
        <w:t>Report of the Subcommittee</w:t>
      </w:r>
      <w:r w:rsidRPr="002C2FDA">
        <w:rPr>
          <w:rStyle w:val="FootnoteReference"/>
          <w:b w:val="0"/>
          <w:bCs/>
          <w:sz w:val="20"/>
          <w:szCs w:val="22"/>
          <w:vertAlign w:val="baseline"/>
        </w:rPr>
        <w:footnoteReference w:customMarkFollows="1" w:id="1"/>
        <w:t>*</w:t>
      </w:r>
      <w:r w:rsidRPr="002C2FDA">
        <w:rPr>
          <w:rStyle w:val="FootnoteReference"/>
          <w:b w:val="0"/>
          <w:bCs/>
          <w:position w:val="8"/>
          <w:sz w:val="20"/>
          <w:szCs w:val="22"/>
          <w:vertAlign w:val="baseline"/>
        </w:rPr>
        <w:t>,</w:t>
      </w:r>
      <w:r w:rsidRPr="002C2FDA">
        <w:rPr>
          <w:rStyle w:val="FootnoteReference"/>
          <w:b w:val="0"/>
          <w:bCs/>
          <w:sz w:val="20"/>
          <w:szCs w:val="22"/>
          <w:vertAlign w:val="baseline"/>
        </w:rPr>
        <w:t xml:space="preserve"> </w:t>
      </w:r>
      <w:r w:rsidRPr="002C2FDA">
        <w:rPr>
          <w:rStyle w:val="FootnoteReference"/>
          <w:b w:val="0"/>
          <w:bCs/>
          <w:sz w:val="20"/>
          <w:szCs w:val="22"/>
          <w:vertAlign w:val="baseline"/>
        </w:rPr>
        <w:footnoteReference w:customMarkFollows="1" w:id="2"/>
        <w:t>**</w:t>
      </w:r>
      <w:bookmarkEnd w:id="3"/>
      <w:bookmarkEnd w:id="4"/>
    </w:p>
    <w:p w14:paraId="7AA2C567" w14:textId="77777777" w:rsidR="002C2FDA" w:rsidRPr="00353F00" w:rsidRDefault="002C2FDA" w:rsidP="002C2FDA">
      <w:pPr>
        <w:pStyle w:val="SingleTxtG"/>
      </w:pPr>
      <w:r w:rsidRPr="00353F00">
        <w:br w:type="page"/>
      </w:r>
    </w:p>
    <w:p w14:paraId="517BF6A7" w14:textId="77777777" w:rsidR="002C2FDA" w:rsidRPr="00353F00" w:rsidRDefault="002C2FDA" w:rsidP="002C2FDA">
      <w:pPr>
        <w:spacing w:after="120"/>
        <w:rPr>
          <w:sz w:val="28"/>
        </w:rPr>
      </w:pPr>
      <w:r w:rsidRPr="00353F00">
        <w:rPr>
          <w:sz w:val="28"/>
        </w:rPr>
        <w:lastRenderedPageBreak/>
        <w:t>Contents</w:t>
      </w:r>
    </w:p>
    <w:p w14:paraId="1BB256C9" w14:textId="77777777" w:rsidR="002C2FDA" w:rsidRPr="00353F00" w:rsidRDefault="002C2FDA" w:rsidP="002C2FDA">
      <w:pPr>
        <w:tabs>
          <w:tab w:val="right" w:pos="9638"/>
        </w:tabs>
        <w:spacing w:after="120"/>
        <w:ind w:left="283"/>
        <w:rPr>
          <w:sz w:val="18"/>
        </w:rPr>
      </w:pPr>
      <w:r w:rsidRPr="00353F00">
        <w:rPr>
          <w:i/>
          <w:sz w:val="18"/>
        </w:rPr>
        <w:tab/>
        <w:t>Page</w:t>
      </w:r>
    </w:p>
    <w:p w14:paraId="6EC8942F" w14:textId="7C3B11EB" w:rsidR="004A3283" w:rsidRDefault="004A3283" w:rsidP="004A3283">
      <w:pPr>
        <w:tabs>
          <w:tab w:val="right" w:pos="850"/>
          <w:tab w:val="left" w:pos="1134"/>
          <w:tab w:val="left" w:pos="1559"/>
          <w:tab w:val="left" w:pos="1984"/>
          <w:tab w:val="left" w:leader="dot" w:pos="8787"/>
          <w:tab w:val="right" w:pos="9638"/>
        </w:tabs>
        <w:spacing w:after="120"/>
      </w:pPr>
      <w:r>
        <w:tab/>
        <w:t>I.</w:t>
      </w:r>
      <w:r>
        <w:tab/>
        <w:t>Introduction</w:t>
      </w:r>
      <w:r>
        <w:tab/>
      </w:r>
      <w:r>
        <w:tab/>
        <w:t>3</w:t>
      </w:r>
    </w:p>
    <w:p w14:paraId="1FE9BC52" w14:textId="786DB0C4" w:rsidR="004A3283" w:rsidRDefault="004A3283" w:rsidP="004A3283">
      <w:pPr>
        <w:tabs>
          <w:tab w:val="right" w:pos="850"/>
          <w:tab w:val="left" w:pos="1134"/>
          <w:tab w:val="left" w:pos="1559"/>
          <w:tab w:val="left" w:pos="1984"/>
          <w:tab w:val="left" w:leader="dot" w:pos="8787"/>
          <w:tab w:val="right" w:pos="9638"/>
        </w:tabs>
        <w:spacing w:after="120"/>
      </w:pPr>
      <w:r>
        <w:tab/>
        <w:t>II.</w:t>
      </w:r>
      <w:r>
        <w:tab/>
        <w:t>National preventive mechanism</w:t>
      </w:r>
      <w:r>
        <w:tab/>
      </w:r>
      <w:r>
        <w:tab/>
        <w:t>4</w:t>
      </w:r>
    </w:p>
    <w:p w14:paraId="64EA6955" w14:textId="7987FDA9" w:rsidR="004A3283" w:rsidRDefault="004A3283" w:rsidP="004A3283">
      <w:pPr>
        <w:tabs>
          <w:tab w:val="right" w:pos="850"/>
          <w:tab w:val="left" w:pos="1134"/>
          <w:tab w:val="left" w:pos="1559"/>
          <w:tab w:val="left" w:pos="1984"/>
          <w:tab w:val="left" w:leader="dot" w:pos="8787"/>
          <w:tab w:val="right" w:pos="9638"/>
        </w:tabs>
        <w:spacing w:after="120"/>
      </w:pPr>
      <w:r>
        <w:tab/>
      </w:r>
      <w:r>
        <w:tab/>
        <w:t>A.</w:t>
      </w:r>
      <w:r>
        <w:tab/>
        <w:t>Legislative basis</w:t>
      </w:r>
      <w:r>
        <w:tab/>
      </w:r>
      <w:r>
        <w:tab/>
        <w:t>4</w:t>
      </w:r>
    </w:p>
    <w:p w14:paraId="0FD7D007" w14:textId="6D2B0F8A" w:rsidR="004A3283" w:rsidRDefault="004A3283" w:rsidP="004A3283">
      <w:pPr>
        <w:tabs>
          <w:tab w:val="right" w:pos="850"/>
          <w:tab w:val="left" w:pos="1134"/>
          <w:tab w:val="left" w:pos="1559"/>
          <w:tab w:val="left" w:pos="1984"/>
          <w:tab w:val="left" w:leader="dot" w:pos="8787"/>
          <w:tab w:val="right" w:pos="9638"/>
        </w:tabs>
        <w:spacing w:after="120"/>
      </w:pPr>
      <w:r>
        <w:tab/>
      </w:r>
      <w:r>
        <w:tab/>
        <w:t>B.</w:t>
      </w:r>
      <w:r>
        <w:tab/>
        <w:t>Functional independence and resources</w:t>
      </w:r>
      <w:r>
        <w:tab/>
      </w:r>
      <w:r>
        <w:tab/>
        <w:t>4</w:t>
      </w:r>
    </w:p>
    <w:p w14:paraId="65545077" w14:textId="5FC85229" w:rsidR="004A3283" w:rsidRDefault="004A3283" w:rsidP="004A3283">
      <w:pPr>
        <w:tabs>
          <w:tab w:val="right" w:pos="850"/>
          <w:tab w:val="left" w:pos="1134"/>
          <w:tab w:val="left" w:pos="1559"/>
          <w:tab w:val="left" w:pos="1984"/>
          <w:tab w:val="left" w:leader="dot" w:pos="8787"/>
          <w:tab w:val="right" w:pos="9638"/>
        </w:tabs>
        <w:spacing w:after="120"/>
      </w:pPr>
      <w:r>
        <w:tab/>
      </w:r>
      <w:r>
        <w:tab/>
        <w:t>C.</w:t>
      </w:r>
      <w:r>
        <w:tab/>
        <w:t>Activities and visibility</w:t>
      </w:r>
      <w:r>
        <w:tab/>
      </w:r>
      <w:r>
        <w:tab/>
        <w:t>5</w:t>
      </w:r>
    </w:p>
    <w:p w14:paraId="6E9FE0B6" w14:textId="0D333C54" w:rsidR="004A3283" w:rsidRDefault="004A3283" w:rsidP="004A3283">
      <w:pPr>
        <w:tabs>
          <w:tab w:val="right" w:pos="850"/>
          <w:tab w:val="left" w:pos="1134"/>
          <w:tab w:val="left" w:pos="1559"/>
          <w:tab w:val="left" w:pos="1984"/>
          <w:tab w:val="left" w:leader="dot" w:pos="8787"/>
          <w:tab w:val="right" w:pos="9638"/>
        </w:tabs>
        <w:spacing w:after="120"/>
      </w:pPr>
      <w:r>
        <w:tab/>
        <w:t>III.</w:t>
      </w:r>
      <w:r>
        <w:tab/>
        <w:t>Normative framework for the prevention of torture</w:t>
      </w:r>
      <w:r>
        <w:tab/>
      </w:r>
      <w:r>
        <w:tab/>
        <w:t>6</w:t>
      </w:r>
    </w:p>
    <w:p w14:paraId="067C8D26" w14:textId="0FCEB901" w:rsidR="004A3283" w:rsidRDefault="004A3283" w:rsidP="004A3283">
      <w:pPr>
        <w:tabs>
          <w:tab w:val="right" w:pos="850"/>
          <w:tab w:val="left" w:pos="1134"/>
          <w:tab w:val="left" w:pos="1559"/>
          <w:tab w:val="left" w:pos="1984"/>
          <w:tab w:val="left" w:leader="dot" w:pos="8787"/>
          <w:tab w:val="right" w:pos="9638"/>
        </w:tabs>
        <w:spacing w:after="120"/>
      </w:pPr>
      <w:r>
        <w:tab/>
      </w:r>
      <w:r>
        <w:tab/>
        <w:t>A.</w:t>
      </w:r>
      <w:r>
        <w:tab/>
        <w:t>Legal framework</w:t>
      </w:r>
      <w:r>
        <w:tab/>
      </w:r>
      <w:r>
        <w:tab/>
        <w:t>6</w:t>
      </w:r>
    </w:p>
    <w:p w14:paraId="733F94FD" w14:textId="3636A849" w:rsidR="004A3283" w:rsidRDefault="004A3283" w:rsidP="004A3283">
      <w:pPr>
        <w:tabs>
          <w:tab w:val="right" w:pos="850"/>
          <w:tab w:val="left" w:pos="1134"/>
          <w:tab w:val="left" w:pos="1559"/>
          <w:tab w:val="left" w:pos="1984"/>
          <w:tab w:val="left" w:leader="dot" w:pos="8787"/>
          <w:tab w:val="right" w:pos="9638"/>
        </w:tabs>
        <w:spacing w:after="120"/>
      </w:pPr>
      <w:r>
        <w:tab/>
      </w:r>
      <w:r>
        <w:tab/>
        <w:t>B.</w:t>
      </w:r>
      <w:r>
        <w:tab/>
        <w:t>Institutional framework (administrative/structural)</w:t>
      </w:r>
      <w:r>
        <w:tab/>
      </w:r>
      <w:r>
        <w:tab/>
        <w:t>7</w:t>
      </w:r>
    </w:p>
    <w:p w14:paraId="694391DD" w14:textId="4A413606" w:rsidR="004A3283" w:rsidRDefault="004A3283" w:rsidP="004A3283">
      <w:pPr>
        <w:tabs>
          <w:tab w:val="right" w:pos="850"/>
          <w:tab w:val="left" w:pos="1134"/>
          <w:tab w:val="left" w:pos="1559"/>
          <w:tab w:val="left" w:pos="1984"/>
          <w:tab w:val="left" w:leader="dot" w:pos="8787"/>
          <w:tab w:val="right" w:pos="9638"/>
        </w:tabs>
        <w:spacing w:after="120"/>
      </w:pPr>
      <w:r>
        <w:tab/>
        <w:t>IV.</w:t>
      </w:r>
      <w:r>
        <w:tab/>
        <w:t>Overarching issues</w:t>
      </w:r>
      <w:r>
        <w:tab/>
      </w:r>
      <w:r>
        <w:tab/>
        <w:t>8</w:t>
      </w:r>
    </w:p>
    <w:p w14:paraId="603FB11C" w14:textId="2B8AB057" w:rsidR="004A3283" w:rsidRDefault="004A3283" w:rsidP="004A3283">
      <w:pPr>
        <w:tabs>
          <w:tab w:val="right" w:pos="850"/>
          <w:tab w:val="left" w:pos="1134"/>
          <w:tab w:val="left" w:pos="1559"/>
          <w:tab w:val="left" w:pos="1984"/>
          <w:tab w:val="left" w:leader="dot" w:pos="8787"/>
          <w:tab w:val="right" w:pos="9638"/>
        </w:tabs>
        <w:spacing w:after="120"/>
      </w:pPr>
      <w:r>
        <w:tab/>
      </w:r>
      <w:r>
        <w:tab/>
        <w:t>A.</w:t>
      </w:r>
      <w:r>
        <w:tab/>
        <w:t>Judicial delays</w:t>
      </w:r>
      <w:r>
        <w:tab/>
      </w:r>
      <w:r>
        <w:tab/>
        <w:t>8</w:t>
      </w:r>
    </w:p>
    <w:p w14:paraId="067A799C" w14:textId="19B563C6" w:rsidR="004A3283" w:rsidRDefault="004A3283" w:rsidP="004A3283">
      <w:pPr>
        <w:tabs>
          <w:tab w:val="right" w:pos="850"/>
          <w:tab w:val="left" w:pos="1134"/>
          <w:tab w:val="left" w:pos="1559"/>
          <w:tab w:val="left" w:pos="1984"/>
          <w:tab w:val="left" w:leader="dot" w:pos="8787"/>
          <w:tab w:val="right" w:pos="9638"/>
        </w:tabs>
        <w:spacing w:after="120"/>
      </w:pPr>
      <w:r>
        <w:tab/>
      </w:r>
      <w:r>
        <w:tab/>
        <w:t>B.</w:t>
      </w:r>
      <w:r>
        <w:tab/>
        <w:t xml:space="preserve">Manual on the Effective Investigation and Documentation of Torture and </w:t>
      </w:r>
      <w:r>
        <w:br/>
      </w:r>
      <w:r>
        <w:tab/>
      </w:r>
      <w:r>
        <w:tab/>
      </w:r>
      <w:r>
        <w:tab/>
        <w:t>Other Cruel, Inhuman or Degrading Treatment or Punishment (Istanbul Protocol)</w:t>
      </w:r>
      <w:r>
        <w:tab/>
      </w:r>
      <w:r>
        <w:tab/>
        <w:t>8</w:t>
      </w:r>
    </w:p>
    <w:p w14:paraId="23980182" w14:textId="7F34FD94" w:rsidR="004A3283" w:rsidRDefault="004A3283" w:rsidP="004A3283">
      <w:pPr>
        <w:tabs>
          <w:tab w:val="right" w:pos="850"/>
          <w:tab w:val="left" w:pos="1134"/>
          <w:tab w:val="left" w:pos="1559"/>
          <w:tab w:val="left" w:pos="1984"/>
          <w:tab w:val="left" w:leader="dot" w:pos="8787"/>
          <w:tab w:val="right" w:pos="9638"/>
        </w:tabs>
        <w:spacing w:after="120"/>
      </w:pPr>
      <w:r>
        <w:tab/>
        <w:t>V.</w:t>
      </w:r>
      <w:r>
        <w:tab/>
        <w:t>Situation of persons deprived of their liberty</w:t>
      </w:r>
      <w:r>
        <w:tab/>
      </w:r>
      <w:r>
        <w:tab/>
        <w:t>9</w:t>
      </w:r>
    </w:p>
    <w:p w14:paraId="197E95AC" w14:textId="777540BB" w:rsidR="004A3283" w:rsidRDefault="004A3283" w:rsidP="004A3283">
      <w:pPr>
        <w:tabs>
          <w:tab w:val="right" w:pos="850"/>
          <w:tab w:val="left" w:pos="1134"/>
          <w:tab w:val="left" w:pos="1559"/>
          <w:tab w:val="left" w:pos="1984"/>
          <w:tab w:val="left" w:leader="dot" w:pos="8787"/>
          <w:tab w:val="right" w:pos="9638"/>
        </w:tabs>
        <w:spacing w:after="120"/>
      </w:pPr>
      <w:r>
        <w:tab/>
      </w:r>
      <w:r>
        <w:tab/>
        <w:t>A.</w:t>
      </w:r>
      <w:r>
        <w:tab/>
        <w:t>Police</w:t>
      </w:r>
      <w:r>
        <w:tab/>
      </w:r>
      <w:r>
        <w:tab/>
        <w:t>9</w:t>
      </w:r>
    </w:p>
    <w:p w14:paraId="284098DD" w14:textId="18615099" w:rsidR="004A3283" w:rsidRDefault="004A3283" w:rsidP="004A3283">
      <w:pPr>
        <w:tabs>
          <w:tab w:val="right" w:pos="850"/>
          <w:tab w:val="left" w:pos="1134"/>
          <w:tab w:val="left" w:pos="1559"/>
          <w:tab w:val="left" w:pos="1984"/>
          <w:tab w:val="left" w:leader="dot" w:pos="8787"/>
          <w:tab w:val="right" w:pos="9638"/>
        </w:tabs>
        <w:spacing w:after="120"/>
      </w:pPr>
      <w:r>
        <w:tab/>
      </w:r>
      <w:r>
        <w:tab/>
        <w:t>B.</w:t>
      </w:r>
      <w:r>
        <w:tab/>
        <w:t>Prisons</w:t>
      </w:r>
      <w:r>
        <w:tab/>
      </w:r>
      <w:r>
        <w:tab/>
        <w:t>12</w:t>
      </w:r>
    </w:p>
    <w:p w14:paraId="513524A9" w14:textId="7D2B4081" w:rsidR="004A3283" w:rsidRDefault="004A3283" w:rsidP="004A3283">
      <w:pPr>
        <w:tabs>
          <w:tab w:val="right" w:pos="850"/>
          <w:tab w:val="left" w:pos="1134"/>
          <w:tab w:val="left" w:pos="1559"/>
          <w:tab w:val="left" w:pos="1984"/>
          <w:tab w:val="left" w:leader="dot" w:pos="8787"/>
          <w:tab w:val="right" w:pos="9638"/>
        </w:tabs>
        <w:spacing w:after="120"/>
      </w:pPr>
      <w:r>
        <w:tab/>
      </w:r>
      <w:r>
        <w:tab/>
        <w:t>C.</w:t>
      </w:r>
      <w:r>
        <w:tab/>
        <w:t>Situation of vulnerable groups and groups in particular situations of vulnerability</w:t>
      </w:r>
      <w:r>
        <w:tab/>
      </w:r>
      <w:r>
        <w:tab/>
        <w:t>16</w:t>
      </w:r>
    </w:p>
    <w:p w14:paraId="7ECC4115" w14:textId="050C043A" w:rsidR="004A3283" w:rsidRDefault="004A3283" w:rsidP="004A3283">
      <w:pPr>
        <w:tabs>
          <w:tab w:val="right" w:pos="850"/>
          <w:tab w:val="left" w:pos="1134"/>
          <w:tab w:val="left" w:pos="1559"/>
          <w:tab w:val="left" w:pos="1984"/>
          <w:tab w:val="left" w:leader="dot" w:pos="8787"/>
          <w:tab w:val="right" w:pos="9638"/>
        </w:tabs>
        <w:spacing w:after="120"/>
      </w:pPr>
      <w:r>
        <w:tab/>
      </w:r>
      <w:r>
        <w:tab/>
        <w:t>D.</w:t>
      </w:r>
      <w:r>
        <w:tab/>
        <w:t>Migration centre</w:t>
      </w:r>
      <w:r>
        <w:tab/>
      </w:r>
      <w:r>
        <w:tab/>
        <w:t>17</w:t>
      </w:r>
    </w:p>
    <w:p w14:paraId="7CE9ACB9" w14:textId="4A9619E6" w:rsidR="004A3283" w:rsidRDefault="004A3283" w:rsidP="004A3283">
      <w:pPr>
        <w:tabs>
          <w:tab w:val="right" w:pos="850"/>
          <w:tab w:val="left" w:pos="1134"/>
          <w:tab w:val="left" w:pos="1559"/>
          <w:tab w:val="left" w:pos="1984"/>
          <w:tab w:val="left" w:leader="dot" w:pos="8787"/>
          <w:tab w:val="right" w:pos="9638"/>
        </w:tabs>
        <w:spacing w:after="120"/>
      </w:pPr>
      <w:r>
        <w:tab/>
      </w:r>
      <w:r>
        <w:tab/>
        <w:t>E.</w:t>
      </w:r>
      <w:r>
        <w:tab/>
        <w:t>Social care homes</w:t>
      </w:r>
      <w:r>
        <w:tab/>
      </w:r>
      <w:r>
        <w:tab/>
        <w:t>18</w:t>
      </w:r>
    </w:p>
    <w:p w14:paraId="2B943D34" w14:textId="497CCDD2" w:rsidR="004A3283" w:rsidRDefault="004A3283" w:rsidP="004A3283">
      <w:pPr>
        <w:tabs>
          <w:tab w:val="right" w:pos="850"/>
          <w:tab w:val="left" w:pos="1134"/>
          <w:tab w:val="left" w:pos="1559"/>
          <w:tab w:val="left" w:pos="1984"/>
          <w:tab w:val="left" w:leader="dot" w:pos="8787"/>
          <w:tab w:val="right" w:pos="9638"/>
        </w:tabs>
        <w:spacing w:after="120"/>
      </w:pPr>
      <w:r>
        <w:tab/>
        <w:t>VI.</w:t>
      </w:r>
      <w:r>
        <w:tab/>
        <w:t>Next steps</w:t>
      </w:r>
      <w:r>
        <w:tab/>
      </w:r>
      <w:r>
        <w:tab/>
      </w:r>
      <w:r>
        <w:tab/>
        <w:t>18</w:t>
      </w:r>
    </w:p>
    <w:p w14:paraId="37D96BE3" w14:textId="5DBB9444" w:rsidR="004A3283" w:rsidRDefault="004A3283" w:rsidP="004A3283">
      <w:pPr>
        <w:tabs>
          <w:tab w:val="right" w:pos="850"/>
          <w:tab w:val="left" w:pos="1134"/>
          <w:tab w:val="left" w:pos="1559"/>
          <w:tab w:val="left" w:pos="1984"/>
          <w:tab w:val="left" w:leader="dot" w:pos="8787"/>
          <w:tab w:val="right" w:pos="9638"/>
        </w:tabs>
        <w:spacing w:after="120"/>
      </w:pPr>
      <w:r>
        <w:tab/>
        <w:t>Annexes</w:t>
      </w:r>
    </w:p>
    <w:p w14:paraId="2B95E5D1" w14:textId="76AD24CB" w:rsidR="004A3283" w:rsidRDefault="004A3283" w:rsidP="004A3283">
      <w:pPr>
        <w:tabs>
          <w:tab w:val="right" w:pos="850"/>
          <w:tab w:val="left" w:pos="1134"/>
          <w:tab w:val="left" w:pos="1559"/>
          <w:tab w:val="left" w:pos="1984"/>
          <w:tab w:val="left" w:leader="dot" w:pos="8787"/>
          <w:tab w:val="right" w:pos="9638"/>
        </w:tabs>
        <w:spacing w:after="120"/>
      </w:pPr>
      <w:r>
        <w:tab/>
        <w:t>I</w:t>
      </w:r>
      <w:r w:rsidR="00577115">
        <w:t>.</w:t>
      </w:r>
      <w:r>
        <w:tab/>
        <w:t>List of places of deprivation of liberty visited  by the Subcommittee</w:t>
      </w:r>
      <w:r>
        <w:tab/>
      </w:r>
      <w:r>
        <w:tab/>
        <w:t>20</w:t>
      </w:r>
    </w:p>
    <w:p w14:paraId="48C835B3" w14:textId="6B696B44" w:rsidR="00EA6B0F" w:rsidRDefault="004A3283" w:rsidP="004A3283">
      <w:pPr>
        <w:tabs>
          <w:tab w:val="right" w:pos="850"/>
          <w:tab w:val="left" w:pos="1134"/>
          <w:tab w:val="left" w:pos="1559"/>
          <w:tab w:val="left" w:pos="1984"/>
          <w:tab w:val="left" w:leader="dot" w:pos="8787"/>
          <w:tab w:val="right" w:pos="9638"/>
        </w:tabs>
        <w:spacing w:after="120"/>
      </w:pPr>
      <w:r>
        <w:tab/>
        <w:t>II</w:t>
      </w:r>
      <w:r w:rsidR="00577115">
        <w:t>.</w:t>
      </w:r>
      <w:r>
        <w:tab/>
        <w:t>List of government officials and other interlocutors with whom the Subcommittee met</w:t>
      </w:r>
      <w:r>
        <w:tab/>
      </w:r>
      <w:r>
        <w:tab/>
        <w:t>21</w:t>
      </w:r>
    </w:p>
    <w:p w14:paraId="3358AB2F" w14:textId="349810C5" w:rsidR="002C2FDA" w:rsidRPr="00353F00" w:rsidRDefault="002C2FDA" w:rsidP="002C2FDA">
      <w:pPr>
        <w:pStyle w:val="SingleTxtG"/>
      </w:pPr>
      <w:r w:rsidRPr="00353F00">
        <w:br w:type="page"/>
      </w:r>
    </w:p>
    <w:p w14:paraId="6BABED95" w14:textId="77777777" w:rsidR="002C2FDA" w:rsidRPr="00353F00" w:rsidRDefault="002C2FDA" w:rsidP="002C2FDA">
      <w:pPr>
        <w:pStyle w:val="HChG"/>
      </w:pPr>
      <w:bookmarkStart w:id="5" w:name="_Toc89859856"/>
      <w:bookmarkStart w:id="6" w:name="_Toc156227354"/>
      <w:r w:rsidRPr="00353F00">
        <w:lastRenderedPageBreak/>
        <w:tab/>
      </w:r>
      <w:bookmarkStart w:id="7" w:name="_Toc211864410"/>
      <w:r w:rsidRPr="00353F00">
        <w:t>I.</w:t>
      </w:r>
      <w:r w:rsidRPr="00353F00">
        <w:tab/>
        <w:t>Introduction</w:t>
      </w:r>
      <w:bookmarkEnd w:id="5"/>
      <w:bookmarkEnd w:id="6"/>
      <w:bookmarkEnd w:id="7"/>
    </w:p>
    <w:p w14:paraId="3DC66038" w14:textId="77777777" w:rsidR="002C2FDA" w:rsidRPr="00353F00" w:rsidRDefault="002C2FDA" w:rsidP="002C2FDA">
      <w:pPr>
        <w:pStyle w:val="SingleTxtG"/>
      </w:pPr>
      <w:r w:rsidRPr="00353F00">
        <w:t>1.</w:t>
      </w:r>
      <w:r w:rsidRPr="00353F00">
        <w:tab/>
        <w:t>In accordance with its mandate under the Optional Protocol to the Convention against Torture and Other Cruel, Inhuman or Degrading Treatment or Punishment, the Subcommittee on Prevention of Torture carried out its first visit to Croatia from 2 to 8 July 2023.</w:t>
      </w:r>
    </w:p>
    <w:p w14:paraId="7E661E2E" w14:textId="77777777" w:rsidR="002C2FDA" w:rsidRPr="00353F00" w:rsidRDefault="002C2FDA" w:rsidP="002C2FDA">
      <w:pPr>
        <w:pStyle w:val="SingleTxtG"/>
      </w:pPr>
      <w:r w:rsidRPr="00353F00">
        <w:t>2.</w:t>
      </w:r>
      <w:r w:rsidRPr="00353F00">
        <w:tab/>
        <w:t xml:space="preserve">The Subcommittee members conducting the visit were Marie Brasholt (head of delegation), Uju Roselyn Chiemeka </w:t>
      </w:r>
      <w:proofErr w:type="spellStart"/>
      <w:r w:rsidRPr="00353F00">
        <w:t>Agomoh</w:t>
      </w:r>
      <w:proofErr w:type="spellEnd"/>
      <w:r w:rsidRPr="00353F00">
        <w:t xml:space="preserve">, </w:t>
      </w:r>
      <w:proofErr w:type="spellStart"/>
      <w:r w:rsidRPr="00353F00">
        <w:t>Satyabhooshun</w:t>
      </w:r>
      <w:proofErr w:type="spellEnd"/>
      <w:r w:rsidRPr="00353F00">
        <w:t xml:space="preserve"> </w:t>
      </w:r>
      <w:proofErr w:type="spellStart"/>
      <w:r w:rsidRPr="00353F00">
        <w:t>Gupt</w:t>
      </w:r>
      <w:proofErr w:type="spellEnd"/>
      <w:r w:rsidRPr="00353F00">
        <w:t xml:space="preserve"> Domah, Daniel Fink and Zdenka Perović. The delegation was assisted by two human rights officers and two security officers from the Office of the United Nations High Commissioner for Human Rights.</w:t>
      </w:r>
    </w:p>
    <w:p w14:paraId="2EA0C2BF" w14:textId="77777777" w:rsidR="002C2FDA" w:rsidRPr="00353F00" w:rsidRDefault="002C2FDA" w:rsidP="002C2FDA">
      <w:pPr>
        <w:pStyle w:val="SingleTxtG"/>
      </w:pPr>
      <w:r w:rsidRPr="00353F00">
        <w:t>3.</w:t>
      </w:r>
      <w:r w:rsidRPr="00353F00">
        <w:tab/>
        <w:t xml:space="preserve">The principal objectives of the visit were: (a) to visit a range of places of deprivation of liberty in order to assist the State </w:t>
      </w:r>
      <w:r>
        <w:t>Party</w:t>
      </w:r>
      <w:r w:rsidRPr="00353F00">
        <w:t xml:space="preserve"> in fully implementing its obligations under the Optional Protocol to strengthen the protection of persons deprived of their liberty from the risk of torture and ill-treatment; and (b) to provide advice and technical assistance to the national preventive mechanism of Croatia and to consider the extent to which the Croatian national authorities are supporting its work and responding to its recommendations, taking into account the Subcommittee’s guidelines on national preventive mechanisms.</w:t>
      </w:r>
      <w:r w:rsidRPr="00353F00">
        <w:rPr>
          <w:rStyle w:val="FootnoteReference"/>
        </w:rPr>
        <w:footnoteReference w:id="3"/>
      </w:r>
      <w:r w:rsidRPr="00353F00">
        <w:t xml:space="preserve"> The delegation visited places of deprivation of liberty, where it met and interviewed persons deprived of their liberty, law enforcement and detention officers and health-care and social care personnel. The delegation also held discussions with relevant government authorities and the national preventive mechanism (see annex II). </w:t>
      </w:r>
    </w:p>
    <w:p w14:paraId="685BF2ED" w14:textId="77777777" w:rsidR="002C2FDA" w:rsidRPr="00353F00" w:rsidRDefault="002C2FDA" w:rsidP="002C2FDA">
      <w:pPr>
        <w:pStyle w:val="SingleTxtG"/>
      </w:pPr>
      <w:r w:rsidRPr="00353F00">
        <w:t>4.</w:t>
      </w:r>
      <w:r w:rsidRPr="00353F00">
        <w:tab/>
        <w:t>At the end of the visit, the delegation presented its confidential preliminary observations orally to government authorities.</w:t>
      </w:r>
    </w:p>
    <w:p w14:paraId="2A834A43" w14:textId="77777777" w:rsidR="002C2FDA" w:rsidRPr="00353F00" w:rsidRDefault="002C2FDA" w:rsidP="002C2FDA">
      <w:pPr>
        <w:pStyle w:val="SingleTxtG"/>
      </w:pPr>
      <w:r w:rsidRPr="00353F00">
        <w:t>5.</w:t>
      </w:r>
      <w:r w:rsidRPr="00353F00">
        <w:tab/>
        <w:t>In the present report, the Subcommittee sets out its observations, findings and recommendations relevant to the prevention of torture and ill-treatment of persons deprived of their liberty under the jurisdiction or control of Croatia.</w:t>
      </w:r>
    </w:p>
    <w:p w14:paraId="09C4AFDB" w14:textId="77777777" w:rsidR="002C2FDA" w:rsidRPr="00353F00" w:rsidRDefault="002C2FDA" w:rsidP="002C2FDA">
      <w:pPr>
        <w:pStyle w:val="SingleTxtG"/>
      </w:pPr>
      <w:r w:rsidRPr="00353F00">
        <w:t>6.</w:t>
      </w:r>
      <w:r w:rsidRPr="00353F00">
        <w:tab/>
        <w:t xml:space="preserve">The Subcommittee reserves the right to comment further on any place visited, whether it is mentioned in the present report or in its discussions with the State </w:t>
      </w:r>
      <w:r>
        <w:t>Party</w:t>
      </w:r>
      <w:r w:rsidRPr="00353F00">
        <w:t xml:space="preserve"> arising from the report. The absence of any comment in the present report relating to a specific facility or place of detention visited by the Subcommittee delegation does not imply that it has a positive or negative opinion of it.</w:t>
      </w:r>
    </w:p>
    <w:p w14:paraId="599B0AEC" w14:textId="77777777" w:rsidR="002C2FDA" w:rsidRPr="00353F00" w:rsidRDefault="002C2FDA" w:rsidP="002C2FDA">
      <w:pPr>
        <w:pStyle w:val="SingleTxtG"/>
        <w:rPr>
          <w:b/>
          <w:bCs/>
        </w:rPr>
      </w:pPr>
      <w:r w:rsidRPr="00353F00">
        <w:t>7.</w:t>
      </w:r>
      <w:r w:rsidRPr="00353F00">
        <w:tab/>
      </w:r>
      <w:r w:rsidRPr="00353F00">
        <w:rPr>
          <w:b/>
          <w:bCs/>
        </w:rPr>
        <w:t>The Subcommittee recommends that the present report be distributed to all relevant authorities, departments and institutions, including but not limited to those to which it specifically refers, including the national preventive mechanism.</w:t>
      </w:r>
    </w:p>
    <w:p w14:paraId="2BFED993" w14:textId="77777777" w:rsidR="002C2FDA" w:rsidRPr="00353F00" w:rsidRDefault="002C2FDA" w:rsidP="002C2FDA">
      <w:pPr>
        <w:pStyle w:val="SingleTxtG"/>
      </w:pPr>
      <w:r w:rsidRPr="00353F00">
        <w:t>8.</w:t>
      </w:r>
      <w:r w:rsidRPr="00353F00">
        <w:tab/>
        <w:t xml:space="preserve">The present report will remain confidential until such time as the State </w:t>
      </w:r>
      <w:r>
        <w:t>Party</w:t>
      </w:r>
      <w:r w:rsidRPr="00353F00">
        <w:t xml:space="preserve"> requests its publication in accordance with article 16 (2) of the Optional Protocol. The Subcommittee firmly believes that the publication of the present report would contribute positively to the prevention of torture and ill-treatment in Croatia.</w:t>
      </w:r>
    </w:p>
    <w:p w14:paraId="6AEDAE12" w14:textId="77777777" w:rsidR="002C2FDA" w:rsidRPr="00353F00" w:rsidRDefault="002C2FDA" w:rsidP="002C2FDA">
      <w:pPr>
        <w:pStyle w:val="SingleTxtG"/>
      </w:pPr>
      <w:r w:rsidRPr="00353F00">
        <w:t>9.</w:t>
      </w:r>
      <w:r w:rsidRPr="00353F00">
        <w:tab/>
        <w:t>The Subcommittee will send a separate report to the national preventive mechanism, which will include the parts of the present report that concern the mechanism.</w:t>
      </w:r>
    </w:p>
    <w:p w14:paraId="3B3BE84B" w14:textId="77777777" w:rsidR="002C2FDA" w:rsidRPr="00353F00" w:rsidRDefault="002C2FDA" w:rsidP="002C2FDA">
      <w:pPr>
        <w:pStyle w:val="SingleTxtG"/>
        <w:rPr>
          <w:b/>
          <w:bCs/>
        </w:rPr>
      </w:pPr>
      <w:r w:rsidRPr="00353F00">
        <w:t>10.</w:t>
      </w:r>
      <w:r w:rsidRPr="00353F00">
        <w:tab/>
      </w:r>
      <w:r w:rsidRPr="00353F00">
        <w:rPr>
          <w:b/>
          <w:bCs/>
        </w:rPr>
        <w:t xml:space="preserve">The Subcommittee encourages the State </w:t>
      </w:r>
      <w:r>
        <w:rPr>
          <w:b/>
          <w:bCs/>
        </w:rPr>
        <w:t>Party</w:t>
      </w:r>
      <w:r w:rsidRPr="00353F00">
        <w:rPr>
          <w:b/>
          <w:bCs/>
        </w:rPr>
        <w:t xml:space="preserve"> to request the publication of the present report in accordance with article 16 (2) of the Optional Protocol.</w:t>
      </w:r>
    </w:p>
    <w:p w14:paraId="044B538D" w14:textId="77777777" w:rsidR="002C2FDA" w:rsidRPr="00353F00" w:rsidRDefault="002C2FDA" w:rsidP="002C2FDA">
      <w:pPr>
        <w:pStyle w:val="SingleTxtG"/>
      </w:pPr>
      <w:r w:rsidRPr="00353F00">
        <w:t>11.</w:t>
      </w:r>
      <w:r w:rsidRPr="00353F00">
        <w:tab/>
        <w:t xml:space="preserve">The Subcommittee wishes to draw the State </w:t>
      </w:r>
      <w:r>
        <w:t>Party</w:t>
      </w:r>
      <w:r w:rsidRPr="00353F00">
        <w:t>’s attention to the Special Fund established in accordance with article 26 of the Optional Protocol. Only recommendations contained in Subcommittee visit reports that have been made public can form the basis of applications to the Fund, in accordance with its published criteria. The national preventive mechanism may seek financial support from the Special Fund for its educational programmes, whether the State visit report has been published or not.</w:t>
      </w:r>
    </w:p>
    <w:p w14:paraId="58D0F494" w14:textId="77777777" w:rsidR="002C2FDA" w:rsidRPr="00353F00" w:rsidRDefault="002C2FDA" w:rsidP="002C2FDA">
      <w:pPr>
        <w:pStyle w:val="SingleTxtG"/>
      </w:pPr>
      <w:r w:rsidRPr="00353F00">
        <w:t>12.</w:t>
      </w:r>
      <w:r w:rsidRPr="00353F00">
        <w:tab/>
        <w:t>The Subcommittee wishes to express its gratitude to the authorities and the liaison officer for their assistance relating to the planning and undertaking of the visit.</w:t>
      </w:r>
    </w:p>
    <w:p w14:paraId="6343BFFC" w14:textId="77777777" w:rsidR="002C2FDA" w:rsidRPr="00353F00" w:rsidRDefault="002C2FDA" w:rsidP="002C2FDA">
      <w:pPr>
        <w:pStyle w:val="HChG"/>
      </w:pPr>
      <w:bookmarkStart w:id="8" w:name="_Toc57978685"/>
      <w:bookmarkStart w:id="9" w:name="_Toc156227355"/>
      <w:bookmarkStart w:id="10" w:name="_Toc89859857"/>
      <w:r w:rsidRPr="00353F00">
        <w:lastRenderedPageBreak/>
        <w:tab/>
      </w:r>
      <w:bookmarkStart w:id="11" w:name="_Toc211864411"/>
      <w:r w:rsidRPr="00353F00">
        <w:t>II.</w:t>
      </w:r>
      <w:r w:rsidRPr="00353F00">
        <w:tab/>
        <w:t>National preventive mechanism</w:t>
      </w:r>
      <w:bookmarkEnd w:id="8"/>
      <w:bookmarkEnd w:id="9"/>
      <w:bookmarkEnd w:id="11"/>
      <w:r w:rsidRPr="00353F00">
        <w:t xml:space="preserve"> </w:t>
      </w:r>
      <w:bookmarkEnd w:id="10"/>
    </w:p>
    <w:p w14:paraId="392907CE" w14:textId="77777777" w:rsidR="002C2FDA" w:rsidRPr="00353F00" w:rsidRDefault="002C2FDA" w:rsidP="002C2FDA">
      <w:pPr>
        <w:pStyle w:val="H1G"/>
      </w:pPr>
      <w:r w:rsidRPr="00353F00">
        <w:tab/>
      </w:r>
      <w:bookmarkStart w:id="12" w:name="_Toc57978686"/>
      <w:bookmarkStart w:id="13" w:name="_Toc89859858"/>
      <w:bookmarkStart w:id="14" w:name="_Toc156227356"/>
      <w:bookmarkStart w:id="15" w:name="_Toc211864412"/>
      <w:r w:rsidRPr="00353F00">
        <w:t>A.</w:t>
      </w:r>
      <w:r w:rsidRPr="00353F00">
        <w:tab/>
      </w:r>
      <w:bookmarkEnd w:id="12"/>
      <w:r w:rsidRPr="00353F00">
        <w:t>Legislative basis</w:t>
      </w:r>
      <w:bookmarkEnd w:id="13"/>
      <w:bookmarkEnd w:id="14"/>
      <w:bookmarkEnd w:id="15"/>
    </w:p>
    <w:p w14:paraId="761D3AD5" w14:textId="77777777" w:rsidR="002C2FDA" w:rsidRPr="00353F00" w:rsidRDefault="002C2FDA" w:rsidP="002C2FDA">
      <w:pPr>
        <w:pStyle w:val="SingleTxtG"/>
      </w:pPr>
      <w:r w:rsidRPr="00353F00">
        <w:t>13.</w:t>
      </w:r>
      <w:r w:rsidRPr="00353F00">
        <w:tab/>
        <w:t xml:space="preserve">Croatia ratified the Optional Protocol on 25 April 2005. On 8 February 2012, the Permanent Mission of Croatia to the United Nations Office in Geneva notified the Subcommittee of </w:t>
      </w:r>
      <w:bookmarkStart w:id="16" w:name="_Hlk173140773"/>
      <w:r w:rsidRPr="00353F00">
        <w:t xml:space="preserve">the entry into force, on </w:t>
      </w:r>
      <w:bookmarkEnd w:id="16"/>
      <w:r w:rsidRPr="00353F00">
        <w:t>17 February 2011, of legislation designating the Ombudsperson as the national preventive mechanism.</w:t>
      </w:r>
      <w:r w:rsidRPr="00353F00">
        <w:rPr>
          <w:rStyle w:val="FootnoteReference"/>
        </w:rPr>
        <w:footnoteReference w:id="4"/>
      </w:r>
      <w:r w:rsidRPr="00353F00">
        <w:t xml:space="preserve"> </w:t>
      </w:r>
    </w:p>
    <w:p w14:paraId="5A66E4C7" w14:textId="77777777" w:rsidR="002C2FDA" w:rsidRPr="00353F00" w:rsidRDefault="002C2FDA" w:rsidP="002C2FDA">
      <w:pPr>
        <w:pStyle w:val="SingleTxtG"/>
      </w:pPr>
      <w:r w:rsidRPr="00353F00">
        <w:t>14.</w:t>
      </w:r>
      <w:r w:rsidRPr="00353F00">
        <w:tab/>
        <w:t>The Act on the National Preventive Mechanism for the Prevention of Torture and Other Cruel, Inhuman or Degrading Treatment or Punishment</w:t>
      </w:r>
      <w:r w:rsidRPr="00353F00">
        <w:rPr>
          <w:rStyle w:val="FootnoteReference"/>
        </w:rPr>
        <w:footnoteReference w:id="5"/>
      </w:r>
      <w:r w:rsidRPr="00353F00">
        <w:t xml:space="preserve"> gives the Office of the Ombudsperson the power to carry out its mandate as a national preventive mechanism, as provided for in articles 19 and 20 of the Optional Protocol. Specifically, it enables the national preventive mechanism to carry out unannounced visits to premises where persons are or may be deprived of their liberty, freely access information about such premises, put recommendations to relevant governmental entities and formulate proposals relating to laws and other regulations. In addition, the Act stipulates that the mechanism is to offer recommendations to competent authorities and institutions in order to ensure improvements in the treatment of persons deprived of their liberty and in the conditions of their accommodation for the purpose of preventing torture and other cruel, inhuman or degrading treatment or punishment. Where instances of torture or other inhuman or degrading treatment or punishment have been established, the Ombudsperson must make recommendations to the concerned entity. If those recommendations are not addressed within a specified deadline, the Ombudsperson must inform the Parliament. The Act provides that the national preventive mechanism is to collaborate with civil society organizations active in the field of human rights, specialized ombudspersons and other independent experts. In addition, the national preventive mechanism of Croatia is also involved in commenting on relevant Croatian legislation and regulations.</w:t>
      </w:r>
    </w:p>
    <w:p w14:paraId="3863999C" w14:textId="77777777" w:rsidR="002C2FDA" w:rsidRPr="00353F00" w:rsidRDefault="002C2FDA" w:rsidP="002C2FDA">
      <w:pPr>
        <w:pStyle w:val="H1G"/>
      </w:pPr>
      <w:r w:rsidRPr="00353F00">
        <w:tab/>
      </w:r>
      <w:bookmarkStart w:id="18" w:name="_Toc156227357"/>
      <w:bookmarkStart w:id="19" w:name="_Toc211864413"/>
      <w:r w:rsidRPr="00353F00">
        <w:t>B.</w:t>
      </w:r>
      <w:r w:rsidRPr="00353F00">
        <w:tab/>
      </w:r>
      <w:bookmarkStart w:id="20" w:name="_Hlk170913145"/>
      <w:r w:rsidRPr="00353F00">
        <w:t>Functional independence and resources</w:t>
      </w:r>
      <w:bookmarkEnd w:id="18"/>
      <w:bookmarkEnd w:id="20"/>
      <w:bookmarkEnd w:id="19"/>
    </w:p>
    <w:p w14:paraId="6008BE0D" w14:textId="77777777" w:rsidR="002C2FDA" w:rsidRPr="00353F00" w:rsidRDefault="002C2FDA" w:rsidP="002C2FDA">
      <w:pPr>
        <w:pStyle w:val="SingleTxtG"/>
      </w:pPr>
      <w:r w:rsidRPr="00353F00">
        <w:t>15.</w:t>
      </w:r>
      <w:r w:rsidRPr="00353F00">
        <w:tab/>
        <w:t>The Subcommittee notes that the Office of the Ombudsperson holds several mandates concurrently, namely that of national preventive mechanism, national human rights institution and national equality body, as well as a mandate related to the protection of whistle-blowers. The national preventive mechanism of Croatia is managed by a deputy ombudsperson and functions under the overall leadership of the Ombudsperson. The tasks of the mechanism’s staff include the handling of complaints pertaining to deprivation of liberty sent to the Office of the Ombudsperson.</w:t>
      </w:r>
    </w:p>
    <w:p w14:paraId="4A6FE465" w14:textId="77777777" w:rsidR="002C2FDA" w:rsidRPr="00353F00" w:rsidRDefault="002C2FDA" w:rsidP="002C2FDA">
      <w:pPr>
        <w:pStyle w:val="SingleTxtG"/>
      </w:pPr>
      <w:r w:rsidRPr="00353F00">
        <w:t>16.</w:t>
      </w:r>
      <w:r w:rsidRPr="00353F00">
        <w:tab/>
        <w:t xml:space="preserve">During the visit, the delegation was informed that the national preventive mechanism team was composed of eight full-time employees and that it worked with 15 independent experts, most with a medical background, and five associations. The delegation noted with appreciation that the mechanism team was composed of professional, experienced, knowledgeable and multidisciplinary staff, with specialists in law, social work and psychology. </w:t>
      </w:r>
    </w:p>
    <w:p w14:paraId="4199D134" w14:textId="77777777" w:rsidR="002C2FDA" w:rsidRPr="00353F00" w:rsidRDefault="002C2FDA" w:rsidP="002C2FDA">
      <w:pPr>
        <w:pStyle w:val="SingleTxtG"/>
      </w:pPr>
      <w:r w:rsidRPr="00353F00">
        <w:t>17.</w:t>
      </w:r>
      <w:r w:rsidRPr="00353F00">
        <w:tab/>
        <w:t>The Subcommittee notes that, as regards budgetary allocations, the finances of the national preventive mechanism are not clearly separated from those of the Office of the Ombudsperson. The mechanism does not have a dedicated, ring-fenced budget for its work, even though the Act on the National Preventive Mechanism for the Prevention of Torture and Other Cruel, Inhuman or Degrading Treatment or Punishment</w:t>
      </w:r>
      <w:r w:rsidRPr="00353F00" w:rsidDel="00E83953">
        <w:t xml:space="preserve"> </w:t>
      </w:r>
      <w:r w:rsidRPr="00353F00">
        <w:t xml:space="preserve">requires that the funds allocated to the mechanism be recorded in a separate line within the budget of the Office of the Ombudsperson (art. 10). In this context, the Ombudsperson allocates unearmarked </w:t>
      </w:r>
      <w:r w:rsidRPr="00353F00">
        <w:lastRenderedPageBreak/>
        <w:t xml:space="preserve">resources for the performance of the mechanism’s tasks. While approximately €2,300,000 were allocated to the Office of the Ombudsperson in 2023, only €34,500 were earmarked for costs specific to the mechanism, namely the hiring of external experts and the translation of its annual report. Other costs, including salaries, are covered by the general budget. </w:t>
      </w:r>
    </w:p>
    <w:p w14:paraId="44FBA1EA" w14:textId="77777777" w:rsidR="002C2FDA" w:rsidRPr="00353F00" w:rsidRDefault="002C2FDA" w:rsidP="002C2FDA">
      <w:pPr>
        <w:pStyle w:val="SingleTxtG"/>
      </w:pPr>
      <w:r w:rsidRPr="00353F00">
        <w:t>18.</w:t>
      </w:r>
      <w:r w:rsidRPr="00353F00">
        <w:tab/>
        <w:t xml:space="preserve">Article 18 (1) of the Optional Protocol requires that the national preventive mechanisms established, maintained or designated by the State </w:t>
      </w:r>
      <w:r>
        <w:t>Party</w:t>
      </w:r>
      <w:r w:rsidRPr="00353F00">
        <w:t xml:space="preserve"> are independent. This requirement applies to all mechanisms, irrespective of their type or model. Article 18 (1) of the Optional Protocol also requires that States </w:t>
      </w:r>
      <w:r>
        <w:t>P</w:t>
      </w:r>
      <w:r w:rsidRPr="00353F00">
        <w:t xml:space="preserve">arties ensure the functional independence of the mechanism. Therefore, the personnel appointed to the mechanism must not give rise to questions of conflict of interest and must discharge the mandate of the mechanism effectively and independently. Article 18 (3) of the Optional Protocol requires that the mechanism be provided with the financial resources to enable it to discharge its mandate. Thus, the mechanism should have decision-making power in terms of what resources are required (budget preparation) and how to discharge that budget (expenditure of the budget). Consequently, when the mandate of the mechanism is placed within an ombudsperson’s institution, the mechanism’s budget should be ring-fenced and it is only the mechanism that should be in charge of the way that the budget is formed and discharged. In other words, the organizational chart of the mechanism should reflect the requirements of the Optional Protocol, which specify that the mechanism should have operational autonomy with regard to its resources and its workplan, findings, recommendations and direct and, if needed, confidential contact with the Subcommittee. </w:t>
      </w:r>
    </w:p>
    <w:p w14:paraId="047F68AD" w14:textId="77777777" w:rsidR="002C2FDA" w:rsidRPr="00353F00" w:rsidRDefault="002C2FDA" w:rsidP="002C2FDA">
      <w:pPr>
        <w:pStyle w:val="SingleTxtG"/>
        <w:rPr>
          <w:b/>
          <w:bCs/>
        </w:rPr>
      </w:pPr>
      <w:r w:rsidRPr="00353F00">
        <w:t>19.</w:t>
      </w:r>
      <w:r w:rsidRPr="00353F00">
        <w:tab/>
      </w:r>
      <w:r w:rsidRPr="00353F00">
        <w:rPr>
          <w:b/>
          <w:bCs/>
        </w:rPr>
        <w:t xml:space="preserve">The Subcommittee recommends that the State </w:t>
      </w:r>
      <w:r>
        <w:rPr>
          <w:b/>
          <w:bCs/>
        </w:rPr>
        <w:t>Party</w:t>
      </w:r>
      <w:r w:rsidRPr="00353F00">
        <w:rPr>
          <w:b/>
          <w:bCs/>
        </w:rPr>
        <w:t xml:space="preserve"> initiate discussions with the Office of the Ombudsperson with the aim of separating the tasks and budgets of the Office and of the national preventive mechanism so that both have sufficient resources to carry out their respective mandates effectively and independently. </w:t>
      </w:r>
    </w:p>
    <w:p w14:paraId="26DF6015" w14:textId="77777777" w:rsidR="002C2FDA" w:rsidRPr="00353F00" w:rsidRDefault="002C2FDA" w:rsidP="002C2FDA">
      <w:pPr>
        <w:pStyle w:val="SingleTxtG"/>
        <w:rPr>
          <w:b/>
          <w:bCs/>
        </w:rPr>
      </w:pPr>
      <w:r w:rsidRPr="00353F00">
        <w:t>20.</w:t>
      </w:r>
      <w:r w:rsidRPr="00353F00">
        <w:tab/>
      </w:r>
      <w:r w:rsidRPr="00353F00">
        <w:rPr>
          <w:b/>
          <w:bCs/>
        </w:rPr>
        <w:t xml:space="preserve">The Subcommittee also recommends that the State </w:t>
      </w:r>
      <w:r>
        <w:rPr>
          <w:b/>
          <w:bCs/>
        </w:rPr>
        <w:t>Party</w:t>
      </w:r>
      <w:r w:rsidRPr="00353F00">
        <w:rPr>
          <w:b/>
          <w:bCs/>
        </w:rPr>
        <w:t xml:space="preserve"> allocate to the national preventive mechanism the financial resources it needs, as required by article 18 (3) of the Optional Protocol and the Subcommittee’s guidelines on national preventive mechanisms,</w:t>
      </w:r>
      <w:r w:rsidRPr="0099637A">
        <w:rPr>
          <w:rStyle w:val="FootnoteReference"/>
        </w:rPr>
        <w:footnoteReference w:id="6"/>
      </w:r>
      <w:r w:rsidRPr="00353F00">
        <w:rPr>
          <w:b/>
          <w:bCs/>
        </w:rPr>
        <w:t xml:space="preserve"> ensuring that it enjoys complete financial and operational autonomy in the performance of its functions. The funding for the mechanism should be provided through the State </w:t>
      </w:r>
      <w:r>
        <w:rPr>
          <w:b/>
          <w:bCs/>
        </w:rPr>
        <w:t>Party</w:t>
      </w:r>
      <w:r w:rsidRPr="00353F00">
        <w:rPr>
          <w:b/>
          <w:bCs/>
        </w:rPr>
        <w:t>’s budget in a separate line within the budget of the Office of the Ombudsperson that refers specifically to the mechanism and covers all the resources it needs to discharge its mandate.</w:t>
      </w:r>
      <w:r w:rsidRPr="0099637A">
        <w:rPr>
          <w:rStyle w:val="FootnoteReference"/>
        </w:rPr>
        <w:footnoteReference w:id="7"/>
      </w:r>
      <w:r w:rsidRPr="00353F00">
        <w:rPr>
          <w:b/>
          <w:bCs/>
        </w:rPr>
        <w:t xml:space="preserve"> The Subcommittee further recommends that this funding be at such a level as to allow the mechanism to carry out its visiting programme, hire its own staff, including external experts, and regularly engage in training programmes.</w:t>
      </w:r>
    </w:p>
    <w:p w14:paraId="6275D80C" w14:textId="77777777" w:rsidR="002C2FDA" w:rsidRPr="00353F00" w:rsidRDefault="002C2FDA" w:rsidP="002C2FDA">
      <w:pPr>
        <w:pStyle w:val="H1G"/>
      </w:pPr>
      <w:r w:rsidRPr="00353F00">
        <w:tab/>
      </w:r>
      <w:bookmarkStart w:id="21" w:name="_Toc156227358"/>
      <w:bookmarkStart w:id="22" w:name="_Toc211864414"/>
      <w:r w:rsidRPr="00353F00">
        <w:t>C.</w:t>
      </w:r>
      <w:r w:rsidRPr="00353F00">
        <w:tab/>
        <w:t>Activities and visibility</w:t>
      </w:r>
      <w:bookmarkEnd w:id="21"/>
      <w:bookmarkEnd w:id="22"/>
    </w:p>
    <w:p w14:paraId="5DEE3D11" w14:textId="77777777" w:rsidR="002C2FDA" w:rsidRPr="00353F00" w:rsidRDefault="002C2FDA" w:rsidP="002C2FDA">
      <w:pPr>
        <w:pStyle w:val="SingleTxtG"/>
      </w:pPr>
      <w:r w:rsidRPr="00353F00">
        <w:t>21.</w:t>
      </w:r>
      <w:r w:rsidRPr="00353F00">
        <w:tab/>
        <w:t xml:space="preserve">The Subcommittee notes that, in recent years, the national preventive mechanism has been able to exercise its mandate by visiting various places of deprivation of liberty, as provided for in article 4 of the Optional Protocol. The places visited included police stations, pretrial detention facilities, prisons, border police facilities, immigration detention centres, psychiatric institutions and social care homes. However, the total number of institutions visited remains quite limited. The mechanism has produced annual reports for the years 2012–2021 on the basis of, inter alia, data collected through unannounced visits. The annual reports include recommendations addressed to competent bodies. </w:t>
      </w:r>
    </w:p>
    <w:p w14:paraId="17A9A6EB" w14:textId="77777777" w:rsidR="002C2FDA" w:rsidRPr="00353F00" w:rsidRDefault="002C2FDA" w:rsidP="002C2FDA">
      <w:pPr>
        <w:pStyle w:val="SingleTxtG"/>
      </w:pPr>
      <w:r w:rsidRPr="00353F00">
        <w:t>22.</w:t>
      </w:r>
      <w:r w:rsidRPr="00353F00">
        <w:tab/>
        <w:t xml:space="preserve">The delegation carried out two joint visits with the national preventive mechanism of Croatia. The Subcommittee notes that the visits were well structured, the visiting programme was clear and the mechanism team had well-established working procedures. </w:t>
      </w:r>
    </w:p>
    <w:p w14:paraId="627554DE" w14:textId="77777777" w:rsidR="002C2FDA" w:rsidRPr="00353F00" w:rsidRDefault="002C2FDA" w:rsidP="002C2FDA">
      <w:pPr>
        <w:pStyle w:val="SingleTxtG"/>
      </w:pPr>
      <w:r w:rsidRPr="00353F00">
        <w:t>23.</w:t>
      </w:r>
      <w:r w:rsidRPr="00353F00">
        <w:tab/>
        <w:t xml:space="preserve">The meetings held by the delegation with some of the State authorities revealed, however, that there is little public awareness of the existence of the national preventive mechanism. This also holds true for other stakeholders, including persons deprived of their </w:t>
      </w:r>
      <w:r w:rsidRPr="00353F00">
        <w:lastRenderedPageBreak/>
        <w:t>liberty. The mechanism’s visibility is, therefore, clearly insufficient. There seems to be a lack of understanding among external stakeholders, including State authorities, of the role of the mechanism compared with that of the Office of the Ombudsperson. There also needs to be greater awareness of the reports of the mechanism and measures taken by authorities to implement them.</w:t>
      </w:r>
    </w:p>
    <w:p w14:paraId="4A45BE23" w14:textId="77777777" w:rsidR="002C2FDA" w:rsidRPr="00353F00" w:rsidRDefault="002C2FDA" w:rsidP="002C2FDA">
      <w:pPr>
        <w:pStyle w:val="SingleTxtG"/>
        <w:rPr>
          <w:b/>
          <w:bCs/>
        </w:rPr>
      </w:pPr>
      <w:r w:rsidRPr="00353F00">
        <w:t>24.</w:t>
      </w:r>
      <w:r w:rsidRPr="00353F00">
        <w:tab/>
      </w:r>
      <w:r w:rsidRPr="00353F00">
        <w:rPr>
          <w:b/>
          <w:bCs/>
        </w:rPr>
        <w:t>The Subcommittee is of the view that the national preventive mechanism of Croatia, even if it is part of the Office of the Ombudsperson, should operate and be seen to operate in its own right, and that it should complement rather than merge with existing systems of oversight in the country. The mechanism should have the operational autonomy to carry out its mandate under the Optional Protocol. The relationship between the mechanism and the national human rights institution should be clear.</w:t>
      </w:r>
    </w:p>
    <w:p w14:paraId="709C175C" w14:textId="77777777" w:rsidR="002C2FDA" w:rsidRPr="00353F00" w:rsidRDefault="002C2FDA" w:rsidP="002C2FDA">
      <w:pPr>
        <w:pStyle w:val="SingleTxtG"/>
        <w:rPr>
          <w:b/>
          <w:bCs/>
        </w:rPr>
      </w:pPr>
      <w:r w:rsidRPr="00353F00">
        <w:t>25.</w:t>
      </w:r>
      <w:r w:rsidRPr="00353F00">
        <w:tab/>
      </w:r>
      <w:r w:rsidRPr="00353F00">
        <w:rPr>
          <w:b/>
          <w:bCs/>
        </w:rPr>
        <w:t xml:space="preserve">The Subcommittee recommends that the State </w:t>
      </w:r>
      <w:r>
        <w:rPr>
          <w:b/>
          <w:bCs/>
        </w:rPr>
        <w:t>Party</w:t>
      </w:r>
      <w:r w:rsidRPr="00353F00">
        <w:rPr>
          <w:b/>
          <w:bCs/>
        </w:rPr>
        <w:t xml:space="preserve"> take immediate initiatives to increase the visibility of the national preventive mechanism, including through activities that raise awareness of the Optional Protocol and the mechanism’s mandate, with a focus on preventive activities. The Subcommittee also recommends that the State </w:t>
      </w:r>
      <w:r>
        <w:rPr>
          <w:b/>
          <w:bCs/>
        </w:rPr>
        <w:t>Party</w:t>
      </w:r>
      <w:r w:rsidRPr="00353F00">
        <w:rPr>
          <w:b/>
          <w:bCs/>
        </w:rPr>
        <w:t xml:space="preserve"> undertake the following: (a) ensure that the mechanism is recognized as a key component of the country’s system for preventing torture and ill-treatment; (b)</w:t>
      </w:r>
      <w:r>
        <w:rPr>
          <w:b/>
          <w:bCs/>
        </w:rPr>
        <w:t> </w:t>
      </w:r>
      <w:r w:rsidRPr="00353F00">
        <w:rPr>
          <w:b/>
          <w:bCs/>
        </w:rPr>
        <w:t>contribute to making the work of the mechanism more visible, for example by organizing awareness-raising campaigns and other promotional activities, including the production and distribution of materials on its mandate and activities to persons deprived of their liberty, public authorities, civil society organizations, lawyers, members of the judiciary and the general public; (c) include information about the mechanism and its mandate in training programmes for law enforcement staff and custodial staff; and (d) ensure that the mechanism’s recommendations are thoroughly discussed and addressed by relevant stakeholders, in accordance with article 19 of the Optional Protocol.</w:t>
      </w:r>
    </w:p>
    <w:p w14:paraId="2F390BAD" w14:textId="77777777" w:rsidR="002C2FDA" w:rsidRPr="00353F00" w:rsidRDefault="002C2FDA" w:rsidP="002C2FDA">
      <w:pPr>
        <w:pStyle w:val="SingleTxtG"/>
        <w:rPr>
          <w:b/>
          <w:bCs/>
        </w:rPr>
      </w:pPr>
      <w:r w:rsidRPr="00353F00">
        <w:t>26.</w:t>
      </w:r>
      <w:r w:rsidRPr="00353F00">
        <w:tab/>
      </w:r>
      <w:r w:rsidRPr="00353F00">
        <w:rPr>
          <w:b/>
          <w:bCs/>
        </w:rPr>
        <w:t xml:space="preserve">The State </w:t>
      </w:r>
      <w:r>
        <w:rPr>
          <w:b/>
          <w:bCs/>
        </w:rPr>
        <w:t>Party</w:t>
      </w:r>
      <w:r w:rsidRPr="00353F00">
        <w:rPr>
          <w:b/>
          <w:bCs/>
        </w:rPr>
        <w:t xml:space="preserve"> must foster greater visibility of the national preventive mechanism in Parliament, including by providing for the separate presentation of its report to Parliament.</w:t>
      </w:r>
    </w:p>
    <w:p w14:paraId="3A81AB03" w14:textId="77777777" w:rsidR="002C2FDA" w:rsidRPr="00353F00" w:rsidRDefault="002C2FDA" w:rsidP="002C2FDA">
      <w:pPr>
        <w:pStyle w:val="HChG"/>
      </w:pPr>
      <w:bookmarkStart w:id="23" w:name="_Toc156227359"/>
      <w:r w:rsidRPr="00353F00">
        <w:tab/>
      </w:r>
      <w:bookmarkStart w:id="24" w:name="_Toc211864415"/>
      <w:r w:rsidRPr="00353F00">
        <w:t>III.</w:t>
      </w:r>
      <w:r w:rsidRPr="00353F00">
        <w:tab/>
        <w:t>Normative framework for the prevention of torture</w:t>
      </w:r>
      <w:bookmarkEnd w:id="23"/>
      <w:bookmarkEnd w:id="24"/>
      <w:r w:rsidRPr="00353F00">
        <w:t xml:space="preserve"> </w:t>
      </w:r>
    </w:p>
    <w:p w14:paraId="1B8A70A7" w14:textId="77777777" w:rsidR="002C2FDA" w:rsidRPr="00353F00" w:rsidRDefault="002C2FDA" w:rsidP="002C2FDA">
      <w:pPr>
        <w:pStyle w:val="H1G"/>
      </w:pPr>
      <w:bookmarkStart w:id="25" w:name="_Toc156227360"/>
      <w:r w:rsidRPr="00353F00">
        <w:tab/>
      </w:r>
      <w:bookmarkStart w:id="26" w:name="_Toc211864416"/>
      <w:r w:rsidRPr="00353F00">
        <w:t>A.</w:t>
      </w:r>
      <w:r w:rsidRPr="00353F00">
        <w:tab/>
        <w:t>Legal framework</w:t>
      </w:r>
      <w:bookmarkEnd w:id="25"/>
      <w:bookmarkEnd w:id="26"/>
    </w:p>
    <w:p w14:paraId="291072FD" w14:textId="77777777" w:rsidR="002C2FDA" w:rsidRPr="00353F00" w:rsidRDefault="002C2FDA" w:rsidP="002C2FDA">
      <w:pPr>
        <w:pStyle w:val="SingleTxtG"/>
      </w:pPr>
      <w:r w:rsidRPr="00353F00">
        <w:t>27.</w:t>
      </w:r>
      <w:r w:rsidRPr="00353F00">
        <w:tab/>
        <w:t xml:space="preserve">The Subcommittee notes that the State </w:t>
      </w:r>
      <w:r>
        <w:t>Party</w:t>
      </w:r>
      <w:r w:rsidRPr="00353F00">
        <w:t>’s legislation, including article 104 of the Criminal Code, criminalizes torture in accordance with the Convention against Torture and Other Cruel, Inhuman or Degrading Treatment or Punishment. The Subcommittee is, however, concerned that the Criminal Code provides the possibility for enforcement authorities to prosecute acts amounting to torture under lesser offences, such as “bodily harm”, “grievous bodily harm” or “coerced testimony”, under articles 117, 118 and 297 of the Criminal Code, respectively. The Subcommittee wishes to stress the importance of choice in prosecutions so that ensuing sanctions deter future violations in terms of general prevention. It recalls that sanctions should be commensurate with the gravity of the offence, in line with article 4 of the Convention.</w:t>
      </w:r>
    </w:p>
    <w:p w14:paraId="77180FDA" w14:textId="77777777" w:rsidR="002C2FDA" w:rsidRPr="00353F00" w:rsidRDefault="002C2FDA" w:rsidP="002C2FDA">
      <w:pPr>
        <w:pStyle w:val="SingleTxtG"/>
      </w:pPr>
      <w:r w:rsidRPr="00353F00">
        <w:t>28.</w:t>
      </w:r>
      <w:r w:rsidRPr="00353F00">
        <w:tab/>
        <w:t xml:space="preserve">The Subcommittee welcomes the fact that the State </w:t>
      </w:r>
      <w:r>
        <w:t>Party</w:t>
      </w:r>
      <w:r w:rsidRPr="00353F00">
        <w:t xml:space="preserve"> adopted the Execution of Prison Sentences Act on 5 February 2021 and related policy guidelines to enable the conditional release and electronic monitoring of persons who would otherwise be deprived of their liberty. However, despite these and other recent legislative and policy changes implemented by the State </w:t>
      </w:r>
      <w:r>
        <w:t>Party</w:t>
      </w:r>
      <w:r w:rsidRPr="00353F00">
        <w:t xml:space="preserve"> to adopt alternatives to detention, such as the removal of custodial sentences </w:t>
      </w:r>
      <m:oMath>
        <m:r>
          <m:rPr>
            <m:sty m:val="p"/>
          </m:rPr>
          <w:rPr>
            <w:rFonts w:ascii="Cambria Math" w:hAnsi="Cambria Math"/>
          </w:rPr>
          <m:t>for</m:t>
        </m:r>
      </m:oMath>
      <w:r w:rsidRPr="00353F00">
        <w:t xml:space="preserve"> some misdemeanors and the de-institutionalization of sentenced individuals, the Subcommittee observed that such alternatives remain underutilized. This seems to be due in part to the various procedural hurdles that detainees must clear before they are allowed to submit a conditional release request. Furthermore, the Subcommittee received information from detainees about a lack of joint consideration of criminal sentences and concurrent sentencing. These are some of the factors contributing to prison overcrowding, </w:t>
      </w:r>
      <w:r w:rsidRPr="00353F00">
        <w:lastRenderedPageBreak/>
        <w:t xml:space="preserve">which in turn may be conducive to inhumane or degrading detention conditions. The Subcommittee notes that the State </w:t>
      </w:r>
      <w:r>
        <w:t>Party</w:t>
      </w:r>
      <w:r w:rsidRPr="00353F00">
        <w:t xml:space="preserve"> has been remodelling and upgrading places of deprivation of liberty and intends to build new ones, but this will not necessarily provide a lasting solution, as these may quickly fill up if the system remains the same.</w:t>
      </w:r>
    </w:p>
    <w:p w14:paraId="71250405" w14:textId="77777777" w:rsidR="002C2FDA" w:rsidRPr="00353F00" w:rsidRDefault="002C2FDA" w:rsidP="002C2FDA">
      <w:pPr>
        <w:pStyle w:val="SingleTxtG"/>
      </w:pPr>
      <w:r w:rsidRPr="00353F00">
        <w:t>29.</w:t>
      </w:r>
      <w:r w:rsidRPr="00353F00">
        <w:tab/>
        <w:t>The current Execution of Prison Sentences Act, unlike the previous version, does not establish a specific minimum standard of personal space in multi-occupancy cells, stating only that they need to be “sufficiently spacious”. The Subcommittee is concerned by such lack of specific standards.</w:t>
      </w:r>
    </w:p>
    <w:p w14:paraId="34182E53" w14:textId="77777777" w:rsidR="002C2FDA" w:rsidRPr="00353F00" w:rsidRDefault="002C2FDA" w:rsidP="002C2FDA">
      <w:pPr>
        <w:pStyle w:val="SingleTxtG"/>
      </w:pPr>
      <w:r w:rsidRPr="00353F00">
        <w:t>30.</w:t>
      </w:r>
      <w:r w:rsidRPr="00353F00">
        <w:tab/>
        <w:t xml:space="preserve">The Subcommittee welcomes deinstitutionalization efforts related to social care homes, including the implementation of legislative and policy reforms such as the development of individual care plans, the provision of in-community support, the monitoring of service providers by government authorities and the introduction of provisions limiting the use of coercive measures to last resort. </w:t>
      </w:r>
    </w:p>
    <w:p w14:paraId="1EB5FF65" w14:textId="77777777" w:rsidR="002C2FDA" w:rsidRPr="00353F00" w:rsidRDefault="002C2FDA" w:rsidP="002C2FDA">
      <w:pPr>
        <w:pStyle w:val="SingleTxtG"/>
        <w:rPr>
          <w:b/>
          <w:bCs/>
        </w:rPr>
      </w:pPr>
      <w:r w:rsidRPr="00353F00">
        <w:t>31.</w:t>
      </w:r>
      <w:r w:rsidRPr="00353F00">
        <w:tab/>
      </w:r>
      <w:r w:rsidRPr="00353F00">
        <w:rPr>
          <w:b/>
          <w:bCs/>
        </w:rPr>
        <w:t xml:space="preserve">The Subcommittee recommends that the State </w:t>
      </w:r>
      <w:r>
        <w:rPr>
          <w:b/>
          <w:bCs/>
        </w:rPr>
        <w:t>Party</w:t>
      </w:r>
      <w:r w:rsidRPr="00353F00">
        <w:rPr>
          <w:b/>
          <w:bCs/>
        </w:rPr>
        <w:t xml:space="preserve"> provide capacity-building training to judges and prosecutors on the provisions of the Convention against Torture, including on the absolute prohibition of torture and on the obligation to prosecute and sanction perpetrators of acts of torture in accordance with the gravity of the acts, in line with article 4 of the Convention.</w:t>
      </w:r>
    </w:p>
    <w:p w14:paraId="471385FB" w14:textId="77777777" w:rsidR="002C2FDA" w:rsidRPr="00353F00" w:rsidRDefault="002C2FDA" w:rsidP="002C2FDA">
      <w:pPr>
        <w:pStyle w:val="SingleTxtG"/>
        <w:rPr>
          <w:b/>
          <w:bCs/>
        </w:rPr>
      </w:pPr>
      <w:r w:rsidRPr="00353F00">
        <w:t>32.</w:t>
      </w:r>
      <w:r w:rsidRPr="00353F00">
        <w:tab/>
      </w:r>
      <w:r w:rsidRPr="00353F00">
        <w:rPr>
          <w:b/>
          <w:bCs/>
        </w:rPr>
        <w:t xml:space="preserve">The Subcommittee also recommends that the State </w:t>
      </w:r>
      <w:r>
        <w:rPr>
          <w:b/>
          <w:bCs/>
        </w:rPr>
        <w:t>Party</w:t>
      </w:r>
      <w:r w:rsidRPr="00353F00">
        <w:rPr>
          <w:b/>
          <w:bCs/>
        </w:rPr>
        <w:t xml:space="preserve"> encourage practices addressing the root causes of overcrowding. Such practices could include refraining from imposing prison sentences for minor offences, handing down a single sentence for multiple concurrent or consecutive minor offences and allowing those who receive such sentences to be subject to conditional release. </w:t>
      </w:r>
    </w:p>
    <w:p w14:paraId="5307C22D" w14:textId="77777777" w:rsidR="002C2FDA" w:rsidRPr="00353F00" w:rsidRDefault="002C2FDA" w:rsidP="002C2FDA">
      <w:pPr>
        <w:pStyle w:val="SingleTxtG"/>
        <w:rPr>
          <w:b/>
          <w:bCs/>
        </w:rPr>
      </w:pPr>
      <w:r w:rsidRPr="00353F00">
        <w:t>33.</w:t>
      </w:r>
      <w:r w:rsidRPr="00353F00">
        <w:tab/>
      </w:r>
      <w:r w:rsidRPr="00353F00">
        <w:rPr>
          <w:b/>
          <w:bCs/>
        </w:rPr>
        <w:t>The Subcommittee further recommends that the judicial authorities organize seminars, counselling and other form of consultations and prepare guidelines aimed at promoting the greater implementation of alternative sanctions, in accordance with the conditions established by law, as well as other measures to reduce and prevent prison overcrowding.</w:t>
      </w:r>
    </w:p>
    <w:p w14:paraId="6BB129F0" w14:textId="77777777" w:rsidR="002C2FDA" w:rsidRPr="00353F00" w:rsidRDefault="002C2FDA" w:rsidP="002C2FDA">
      <w:pPr>
        <w:pStyle w:val="SingleTxtG"/>
        <w:rPr>
          <w:b/>
          <w:bCs/>
        </w:rPr>
      </w:pPr>
      <w:r w:rsidRPr="00353F00">
        <w:t>34.</w:t>
      </w:r>
      <w:r w:rsidRPr="00353F00">
        <w:tab/>
      </w:r>
      <w:r w:rsidRPr="00353F00">
        <w:rPr>
          <w:b/>
          <w:bCs/>
        </w:rPr>
        <w:t xml:space="preserve">The Subcommittee recommends that the State </w:t>
      </w:r>
      <w:r>
        <w:rPr>
          <w:b/>
          <w:bCs/>
        </w:rPr>
        <w:t>Party</w:t>
      </w:r>
      <w:r w:rsidRPr="00353F00">
        <w:rPr>
          <w:b/>
          <w:bCs/>
        </w:rPr>
        <w:t xml:space="preserve"> amend its legislation to ensure that the assessment of capacity in places of deprivation of liberty is based on specific norms that are aligned with applicable international standards. </w:t>
      </w:r>
    </w:p>
    <w:p w14:paraId="06A2C41E" w14:textId="77777777" w:rsidR="002C2FDA" w:rsidRPr="00353F00" w:rsidRDefault="002C2FDA" w:rsidP="002C2FDA">
      <w:pPr>
        <w:pStyle w:val="H1G"/>
      </w:pPr>
      <w:bookmarkStart w:id="27" w:name="_Toc156227361"/>
      <w:r w:rsidRPr="00353F00">
        <w:tab/>
      </w:r>
      <w:bookmarkStart w:id="28" w:name="_Toc211864417"/>
      <w:r w:rsidRPr="00353F00">
        <w:t>B.</w:t>
      </w:r>
      <w:r w:rsidRPr="00353F00">
        <w:tab/>
        <w:t>Institutional framework (administrative/structural)</w:t>
      </w:r>
      <w:bookmarkEnd w:id="27"/>
      <w:bookmarkEnd w:id="28"/>
    </w:p>
    <w:p w14:paraId="2D4A63FA" w14:textId="77777777" w:rsidR="002C2FDA" w:rsidRPr="00353F00" w:rsidRDefault="002C2FDA" w:rsidP="002C2FDA">
      <w:pPr>
        <w:pStyle w:val="SingleTxtG"/>
      </w:pPr>
      <w:r w:rsidRPr="00353F00">
        <w:t>35.</w:t>
      </w:r>
      <w:r w:rsidRPr="00353F00">
        <w:tab/>
        <w:t>The Subcommittee notes that, in principle, complaint mechanisms for torture or other forms of cruel, inhuman or degrading treatment or punishment allow for complaints to be filed at different times and with different authorities. For instance, there is a space reserved for complaints on intake interview forms filled in by arrested individuals, and options for lodging complaints through lawyers or with the Office of the Ombudsperson. However, it is unclear how complaints are lodged by lawyers, how they are processed and, more broadly, who oversees investigations and what their outcome is.</w:t>
      </w:r>
    </w:p>
    <w:p w14:paraId="19EA46B0" w14:textId="77777777" w:rsidR="002C2FDA" w:rsidRPr="00353F00" w:rsidRDefault="002C2FDA" w:rsidP="002C2FDA">
      <w:pPr>
        <w:pStyle w:val="SingleTxtG"/>
      </w:pPr>
      <w:r w:rsidRPr="00353F00">
        <w:t>36.</w:t>
      </w:r>
      <w:r w:rsidRPr="00353F00">
        <w:tab/>
        <w:t xml:space="preserve">The delegation received information indicating that, in practice, complaint mechanisms had no power and were not effective, except when they dealt with inter-prisoner violence. The Subcommittee is concerned that not all allegations of violations are fully investigated and, therefore, sanctions are not applied where they are required. While noting that there were four ongoing criminal procedures relating to torture in 2022, the Subcommittee notes that, in 2022, out of 39 complaints for torture and ill-treatment filed with authorities, only 3 led to disciplinary proceedings, all of which resulted in a “warning and training” sanction. </w:t>
      </w:r>
    </w:p>
    <w:p w14:paraId="4BA691BF" w14:textId="77777777" w:rsidR="002C2FDA" w:rsidRPr="00353F00" w:rsidRDefault="002C2FDA" w:rsidP="002C2FDA">
      <w:pPr>
        <w:pStyle w:val="SingleTxtG"/>
      </w:pPr>
      <w:r w:rsidRPr="00353F00">
        <w:t>37.</w:t>
      </w:r>
      <w:r w:rsidRPr="00353F00">
        <w:tab/>
        <w:t>The Subcommittee is concerned that, when sanctions are handed down, they are applied conditionally and implemented only in cases of reoffending. Such a practice fails to hold perpetrators to account, which is inadequate in terms of the deterrence value of the sanctions.</w:t>
      </w:r>
    </w:p>
    <w:p w14:paraId="503234FC" w14:textId="77777777" w:rsidR="002C2FDA" w:rsidRPr="00353F00" w:rsidRDefault="002C2FDA" w:rsidP="002C2FDA">
      <w:pPr>
        <w:pStyle w:val="SingleTxtG"/>
        <w:rPr>
          <w:b/>
          <w:bCs/>
        </w:rPr>
      </w:pPr>
      <w:r w:rsidRPr="00353F00">
        <w:lastRenderedPageBreak/>
        <w:t>38.</w:t>
      </w:r>
      <w:r w:rsidRPr="00353F00">
        <w:tab/>
      </w:r>
      <w:r w:rsidRPr="00353F00">
        <w:rPr>
          <w:b/>
          <w:bCs/>
        </w:rPr>
        <w:t xml:space="preserve">The Subcommittee recommends that the State </w:t>
      </w:r>
      <w:r>
        <w:rPr>
          <w:b/>
          <w:bCs/>
        </w:rPr>
        <w:t>Party</w:t>
      </w:r>
      <w:r w:rsidRPr="00353F00">
        <w:rPr>
          <w:b/>
          <w:bCs/>
        </w:rPr>
        <w:t xml:space="preserve"> ensure that the investigation of complaints against law enforcement authorities be conducted by an oversight body that is genuinely independent and adequately resourced to carry out effective investigations into such complaints. </w:t>
      </w:r>
    </w:p>
    <w:p w14:paraId="31279744" w14:textId="77777777" w:rsidR="002C2FDA" w:rsidRPr="00353F00" w:rsidRDefault="002C2FDA" w:rsidP="002C2FDA">
      <w:pPr>
        <w:pStyle w:val="SingleTxtG"/>
        <w:rPr>
          <w:b/>
          <w:bCs/>
        </w:rPr>
      </w:pPr>
      <w:r w:rsidRPr="00353F00">
        <w:t>39.</w:t>
      </w:r>
      <w:r w:rsidRPr="00353F00">
        <w:tab/>
      </w:r>
      <w:r w:rsidRPr="00353F00">
        <w:rPr>
          <w:b/>
          <w:bCs/>
        </w:rPr>
        <w:t xml:space="preserve">The Subcommittee also recommends that all persons deprived of their liberty be informed in a language they understand (for instance, through leaflets and posters) of their right to submit direct and confidential complaints to administrators in places of detention and to higher-level authorities, such as an independent oversight body, as mentioned in the previous paragraph. Persons deprived of their liberty should also be informed on how to lodge complaints in a secure and confidential fashion. </w:t>
      </w:r>
    </w:p>
    <w:p w14:paraId="56E2DEDF" w14:textId="77777777" w:rsidR="002C2FDA" w:rsidRPr="00353F00" w:rsidRDefault="002C2FDA" w:rsidP="002C2FDA">
      <w:pPr>
        <w:pStyle w:val="HChG"/>
      </w:pPr>
      <w:bookmarkStart w:id="29" w:name="_Toc156227362"/>
      <w:r w:rsidRPr="00353F00">
        <w:tab/>
      </w:r>
      <w:bookmarkStart w:id="30" w:name="_Toc211864418"/>
      <w:r w:rsidRPr="00353F00">
        <w:t>IV.</w:t>
      </w:r>
      <w:r w:rsidRPr="00353F00">
        <w:tab/>
        <w:t>Overarching issues</w:t>
      </w:r>
      <w:bookmarkEnd w:id="29"/>
      <w:bookmarkEnd w:id="30"/>
      <w:r w:rsidRPr="00353F00">
        <w:t xml:space="preserve"> </w:t>
      </w:r>
    </w:p>
    <w:p w14:paraId="588D02AD" w14:textId="77777777" w:rsidR="002C2FDA" w:rsidRPr="00353F00" w:rsidRDefault="002C2FDA" w:rsidP="002C2FDA">
      <w:pPr>
        <w:pStyle w:val="H1G"/>
      </w:pPr>
      <w:r w:rsidRPr="00353F00">
        <w:tab/>
      </w:r>
      <w:bookmarkStart w:id="31" w:name="_Toc211864419"/>
      <w:r w:rsidRPr="00353F00">
        <w:t>A.</w:t>
      </w:r>
      <w:r w:rsidRPr="00353F00">
        <w:tab/>
        <w:t>Judicial delays</w:t>
      </w:r>
      <w:bookmarkEnd w:id="31"/>
    </w:p>
    <w:p w14:paraId="34AC95BE" w14:textId="77777777" w:rsidR="002C2FDA" w:rsidRPr="00353F00" w:rsidRDefault="002C2FDA" w:rsidP="002C2FDA">
      <w:pPr>
        <w:pStyle w:val="SingleTxtG"/>
      </w:pPr>
      <w:r w:rsidRPr="00353F00">
        <w:t>40.</w:t>
      </w:r>
      <w:r w:rsidRPr="00353F00">
        <w:tab/>
        <w:t>The Subcommittee is concerned that judicial procedures are subject to significant delays, causing detainees to remain in pretrial detention for excessively long periods of time. During the delegation’s visit, this issue was compounded by strikes by members of the judiciary, leaving many detainees uninformed about upcoming court dates.</w:t>
      </w:r>
    </w:p>
    <w:p w14:paraId="5BF96D44" w14:textId="77777777" w:rsidR="002C2FDA" w:rsidRPr="00353F00" w:rsidRDefault="002C2FDA" w:rsidP="002C2FDA">
      <w:pPr>
        <w:pStyle w:val="SingleTxtG"/>
        <w:rPr>
          <w:b/>
          <w:bCs/>
        </w:rPr>
      </w:pPr>
      <w:r w:rsidRPr="00353F00">
        <w:t>41.</w:t>
      </w:r>
      <w:r w:rsidRPr="00353F00">
        <w:tab/>
        <w:t xml:space="preserve">The Subcommittee recalls that the remanding in custody of persons awaiting trial should be the exception rather than the rule, in conformity with article 9 of the International Covenant on Civil and Political Rights. The Subcommittee also recalls the need to uphold the presumption of innocence, with due regard to the need for the investigation into the alleged offence and for the protection of society and the victim, as required in paragraph 6.1 of the United Nations Standard Minimum Rules for Non-Custodial Measures (the Tokyo Rules). </w:t>
      </w:r>
      <w:r w:rsidRPr="00353F00">
        <w:rPr>
          <w:b/>
          <w:bCs/>
        </w:rPr>
        <w:t xml:space="preserve">The Subcommittee recommends that further efforts be made to ensure that the maximum period of pretrial detention provided for by law be strictly respected and that this be rigorously monitored by the relevant authorities, including through effective periodic judicial review of detention. </w:t>
      </w:r>
    </w:p>
    <w:p w14:paraId="0AE1C257" w14:textId="77777777" w:rsidR="002C2FDA" w:rsidRPr="00353F00" w:rsidRDefault="002C2FDA" w:rsidP="002C2FDA">
      <w:pPr>
        <w:pStyle w:val="H1G"/>
      </w:pPr>
      <w:r w:rsidRPr="00353F00">
        <w:tab/>
      </w:r>
      <w:bookmarkStart w:id="32" w:name="_Toc211864420"/>
      <w:r w:rsidRPr="00353F00">
        <w:t>B.</w:t>
      </w:r>
      <w:r w:rsidRPr="00353F00">
        <w:tab/>
        <w:t>Manual on the Effective Investigation and Documentation of Torture and Other Cruel, Inhuman or Degrading Treatment or Punishment (Istanbul Protocol)</w:t>
      </w:r>
      <w:bookmarkEnd w:id="32"/>
    </w:p>
    <w:p w14:paraId="11E94805" w14:textId="77777777" w:rsidR="002C2FDA" w:rsidRPr="00353F00" w:rsidRDefault="002C2FDA" w:rsidP="002C2FDA">
      <w:pPr>
        <w:pStyle w:val="SingleTxtG"/>
      </w:pPr>
      <w:r w:rsidRPr="00353F00">
        <w:t>42.</w:t>
      </w:r>
      <w:r w:rsidRPr="00353F00">
        <w:tab/>
        <w:t xml:space="preserve">The Subcommittee is concerned that not all medical personnel interviewed displayed even a basic knowledge of the purpose and content of the Manual on the Effective Investigation and Documentation of Torture and Other Cruel, Inhuman or Degrading Treatment or Punishment (Istanbul Protocol). </w:t>
      </w:r>
    </w:p>
    <w:p w14:paraId="3D7C9513" w14:textId="77777777" w:rsidR="002C2FDA" w:rsidRPr="00353F00" w:rsidRDefault="002C2FDA" w:rsidP="002C2FDA">
      <w:pPr>
        <w:pStyle w:val="SingleTxtG"/>
      </w:pPr>
      <w:r w:rsidRPr="00353F00">
        <w:t>43.</w:t>
      </w:r>
      <w:r w:rsidRPr="00353F00">
        <w:tab/>
        <w:t>The Subcommittee is also concerned that the recording of injuries in prisons is not performed in a systematic and thorough manner. In some prisons, the delegation observed that doctors were unaware of, or misunderstood, their role in that regard. Some of them told the delegation, for instance, that their role was limited to treating injuries and that data</w:t>
      </w:r>
      <w:r>
        <w:noBreakHyphen/>
      </w:r>
      <w:r w:rsidRPr="00353F00">
        <w:t xml:space="preserve">protection rules precluded any form of reporting on their part. </w:t>
      </w:r>
    </w:p>
    <w:p w14:paraId="6F6FC8A6" w14:textId="77777777" w:rsidR="002C2FDA" w:rsidRPr="00353F00" w:rsidRDefault="002C2FDA" w:rsidP="002C2FDA">
      <w:pPr>
        <w:pStyle w:val="SingleTxtG"/>
        <w:rPr>
          <w:b/>
          <w:bCs/>
        </w:rPr>
      </w:pPr>
      <w:r w:rsidRPr="00353F00">
        <w:t>44.</w:t>
      </w:r>
      <w:r w:rsidRPr="00353F00">
        <w:tab/>
      </w:r>
      <w:r w:rsidRPr="00353F00">
        <w:rPr>
          <w:b/>
          <w:bCs/>
        </w:rPr>
        <w:t xml:space="preserve">The State </w:t>
      </w:r>
      <w:r>
        <w:rPr>
          <w:b/>
          <w:bCs/>
        </w:rPr>
        <w:t>Party</w:t>
      </w:r>
      <w:r w:rsidRPr="00353F00">
        <w:rPr>
          <w:b/>
          <w:bCs/>
        </w:rPr>
        <w:t xml:space="preserve"> should ensure that judges, prosecutors, health workers and others working in spheres relating to the documentation and investigation of torture and ill-treatment receive adequate training on the Istanbul Protocol and international standards relating to torture and ill-treatment.</w:t>
      </w:r>
      <w:r w:rsidRPr="0099637A">
        <w:rPr>
          <w:rStyle w:val="FootnoteReference"/>
        </w:rPr>
        <w:footnoteReference w:id="8"/>
      </w:r>
    </w:p>
    <w:p w14:paraId="2E7184D6" w14:textId="77777777" w:rsidR="002C2FDA" w:rsidRPr="00353F00" w:rsidRDefault="002C2FDA" w:rsidP="002C2FDA">
      <w:pPr>
        <w:pStyle w:val="SingleTxtG"/>
        <w:rPr>
          <w:b/>
          <w:bCs/>
        </w:rPr>
      </w:pPr>
      <w:r w:rsidRPr="00353F00">
        <w:t>45.</w:t>
      </w:r>
      <w:r w:rsidRPr="00353F00">
        <w:tab/>
      </w:r>
      <w:r w:rsidRPr="00353F00">
        <w:rPr>
          <w:b/>
          <w:bCs/>
        </w:rPr>
        <w:t xml:space="preserve">While noting that the State </w:t>
      </w:r>
      <w:r>
        <w:rPr>
          <w:b/>
          <w:bCs/>
        </w:rPr>
        <w:t>Party</w:t>
      </w:r>
      <w:r w:rsidRPr="00353F00">
        <w:rPr>
          <w:b/>
          <w:bCs/>
        </w:rPr>
        <w:t xml:space="preserve"> has taken steps to improve the recording of injuries, such as the preparation of a compendium to be distributed to health professionals working in places of deprivation of liberty, the Subcommittee recommends that it ensure that protocols and procedures are in place to guarantee that </w:t>
      </w:r>
      <w:r w:rsidRPr="00353F00">
        <w:rPr>
          <w:b/>
          <w:bCs/>
        </w:rPr>
        <w:lastRenderedPageBreak/>
        <w:t xml:space="preserve">health professionals immediately report suspicions of torture and ill-treatment to the appropriate authorities so that an independent examination may be conducted, in accordance with the Istanbul Protocol. The Subcommittee also recommends that the State </w:t>
      </w:r>
      <w:r>
        <w:rPr>
          <w:b/>
          <w:bCs/>
        </w:rPr>
        <w:t>Party</w:t>
      </w:r>
      <w:r w:rsidRPr="00353F00">
        <w:rPr>
          <w:b/>
          <w:bCs/>
        </w:rPr>
        <w:t xml:space="preserve"> provide training to medical personnel working in places of detention on the duty to detect and report torture and ill-treatment.</w:t>
      </w:r>
    </w:p>
    <w:p w14:paraId="5401DB62" w14:textId="77777777" w:rsidR="002C2FDA" w:rsidRPr="00353F00" w:rsidRDefault="002C2FDA" w:rsidP="002C2FDA">
      <w:pPr>
        <w:pStyle w:val="HChG"/>
      </w:pPr>
      <w:bookmarkStart w:id="33" w:name="_Toc156227363"/>
      <w:r w:rsidRPr="00353F00">
        <w:tab/>
      </w:r>
      <w:bookmarkStart w:id="34" w:name="_Toc211864421"/>
      <w:r w:rsidRPr="00353F00">
        <w:t>V.</w:t>
      </w:r>
      <w:r w:rsidRPr="00353F00">
        <w:tab/>
        <w:t>Situation of persons deprived of their liberty</w:t>
      </w:r>
      <w:bookmarkEnd w:id="33"/>
      <w:bookmarkEnd w:id="34"/>
    </w:p>
    <w:p w14:paraId="664A300A" w14:textId="77777777" w:rsidR="002C2FDA" w:rsidRPr="00353F00" w:rsidRDefault="002C2FDA" w:rsidP="002C2FDA">
      <w:pPr>
        <w:pStyle w:val="H1G"/>
      </w:pPr>
      <w:r w:rsidRPr="00353F00">
        <w:tab/>
      </w:r>
      <w:bookmarkStart w:id="35" w:name="_Toc211864422"/>
      <w:bookmarkStart w:id="36" w:name="_Toc156227364"/>
      <w:r w:rsidRPr="00353F00">
        <w:t>A.</w:t>
      </w:r>
      <w:r w:rsidRPr="00353F00">
        <w:tab/>
        <w:t>Police</w:t>
      </w:r>
      <w:bookmarkEnd w:id="35"/>
      <w:r w:rsidRPr="00353F00">
        <w:t xml:space="preserve"> </w:t>
      </w:r>
      <w:bookmarkEnd w:id="36"/>
    </w:p>
    <w:p w14:paraId="4721EFFC" w14:textId="77777777" w:rsidR="002C2FDA" w:rsidRPr="00353F00" w:rsidRDefault="002C2FDA" w:rsidP="002C2FDA">
      <w:pPr>
        <w:pStyle w:val="H23G"/>
      </w:pPr>
      <w:r w:rsidRPr="00353F00">
        <w:tab/>
      </w:r>
      <w:r w:rsidRPr="00353F00">
        <w:tab/>
        <w:t>Allegations of torture and ill-treatment</w:t>
      </w:r>
    </w:p>
    <w:p w14:paraId="7C007627" w14:textId="77777777" w:rsidR="002C2FDA" w:rsidRPr="00353F00" w:rsidRDefault="002C2FDA" w:rsidP="002C2FDA">
      <w:pPr>
        <w:pStyle w:val="SingleTxtG"/>
      </w:pPr>
      <w:r w:rsidRPr="00353F00">
        <w:t>46.</w:t>
      </w:r>
      <w:r w:rsidRPr="00353F00">
        <w:tab/>
        <w:t xml:space="preserve">In interviews with the delegation, several prisoners complained about excessive use of force at the time of arrest. However, and while noting that there were four ongoing criminal procedures relating to torture in 2022, the Subcommittee is concerned that investigations into allegations of ill-treatment and related punishment may be too few and too lenient. </w:t>
      </w:r>
    </w:p>
    <w:p w14:paraId="38C1ADAE" w14:textId="77777777" w:rsidR="002C2FDA" w:rsidRPr="00353F00" w:rsidRDefault="002C2FDA" w:rsidP="002C2FDA">
      <w:pPr>
        <w:pStyle w:val="SingleTxtG"/>
        <w:rPr>
          <w:b/>
          <w:bCs/>
        </w:rPr>
      </w:pPr>
      <w:r w:rsidRPr="00353F00">
        <w:t>47.</w:t>
      </w:r>
      <w:r w:rsidRPr="00353F00">
        <w:tab/>
      </w:r>
      <w:r w:rsidRPr="00353F00">
        <w:rPr>
          <w:b/>
          <w:bCs/>
        </w:rPr>
        <w:t xml:space="preserve">The Subcommittee recommends that the State </w:t>
      </w:r>
      <w:r>
        <w:rPr>
          <w:b/>
          <w:bCs/>
        </w:rPr>
        <w:t>Party</w:t>
      </w:r>
      <w:r w:rsidRPr="00353F00">
        <w:rPr>
          <w:b/>
          <w:bCs/>
        </w:rPr>
        <w:t xml:space="preserve"> ensure that all allegations of ill-treatment are investigated in a prompt, independent, impartial and effective manner, and that those responsible for ill-treatment receive sanctions that are commensurate with the gravity of the crime.</w:t>
      </w:r>
    </w:p>
    <w:p w14:paraId="7930BB42" w14:textId="77777777" w:rsidR="002C2FDA" w:rsidRPr="00353F00" w:rsidRDefault="002C2FDA" w:rsidP="002C2FDA">
      <w:pPr>
        <w:pStyle w:val="H23G"/>
      </w:pPr>
      <w:r w:rsidRPr="00353F00">
        <w:tab/>
      </w:r>
      <w:r w:rsidRPr="00353F00">
        <w:tab/>
        <w:t>Fundamental legal safeguards</w:t>
      </w:r>
    </w:p>
    <w:p w14:paraId="5D8CC504" w14:textId="77777777" w:rsidR="002C2FDA" w:rsidRPr="00353F00" w:rsidRDefault="002C2FDA" w:rsidP="002C2FDA">
      <w:pPr>
        <w:pStyle w:val="SingleTxtG"/>
      </w:pPr>
      <w:r w:rsidRPr="00353F00">
        <w:t>48.</w:t>
      </w:r>
      <w:r w:rsidRPr="00353F00">
        <w:tab/>
        <w:t xml:space="preserve">The delegation did not receive any allegations of breaches in terms of the prescribed length of custody. </w:t>
      </w:r>
    </w:p>
    <w:p w14:paraId="7C6F15F9" w14:textId="77777777" w:rsidR="002C2FDA" w:rsidRPr="00353F00" w:rsidRDefault="002C2FDA" w:rsidP="002C2FDA">
      <w:pPr>
        <w:pStyle w:val="SingleTxtG"/>
      </w:pPr>
      <w:r w:rsidRPr="00353F00">
        <w:t>49.</w:t>
      </w:r>
      <w:r w:rsidRPr="00353F00">
        <w:tab/>
        <w:t>The delegation observed that information on most fundamental rights was available in various languages at police stations. A notable exception was information about the right to request and receive a medical examination. Persons deprived of their liberty were required to sign a document attesting that they had been informed of their rights. However, the delegation received reports from detainees that they were unaware of what they signed. Some even said they had been compelled to sign documents outlining their rights, but were not given any time to read them. Access to interpretation was inconsistent across the police stations visited by the delegation, with some police stations failing to provide interpretation services to detainees who did not speak Croatian, English or other languages spoken by law enforcement authorities, even though they were located near the border and frequently housed migrants.</w:t>
      </w:r>
    </w:p>
    <w:p w14:paraId="4CAAE466" w14:textId="77777777" w:rsidR="002C2FDA" w:rsidRPr="00353F00" w:rsidRDefault="002C2FDA" w:rsidP="002C2FDA">
      <w:pPr>
        <w:pStyle w:val="SingleTxtG"/>
      </w:pPr>
      <w:r w:rsidRPr="00353F00">
        <w:t>50.</w:t>
      </w:r>
      <w:r w:rsidRPr="00353F00">
        <w:tab/>
        <w:t>Although access to a lawyer is guaranteed in law, the delegation received complaints that that right was not upheld in practice during the first hours of custody for persons who were invited to participate in “informative talks”. Thus, allegedly, persons are formally only considered deprived of their liberty after such “informative talks” have taken place. This practice not only de facto circumvents the legally prescribed limits for initial detention but may also lead to the violation of the right to legal assistance and the right not to testify against oneself, as set out in article 14 (d) and (g) of the International Covenant on Civil and Political Rights.</w:t>
      </w:r>
    </w:p>
    <w:p w14:paraId="5308E91B" w14:textId="77777777" w:rsidR="002C2FDA" w:rsidRPr="00353F00" w:rsidRDefault="002C2FDA" w:rsidP="002C2FDA">
      <w:pPr>
        <w:pStyle w:val="SingleTxtG"/>
      </w:pPr>
      <w:r w:rsidRPr="00353F00">
        <w:t>51.</w:t>
      </w:r>
      <w:r w:rsidRPr="00353F00">
        <w:tab/>
        <w:t>Laws provide that those requiring legal aid must have access to legal counsel. However, interviews conducted by the delegation revealed that those laws were applied</w:t>
      </w:r>
      <w:r w:rsidRPr="00353F00" w:rsidDel="006D754B">
        <w:t xml:space="preserve"> </w:t>
      </w:r>
      <w:r w:rsidRPr="00353F00">
        <w:t xml:space="preserve">inconsistently. Where legal aid is provided, communication with State-provided lawyers is often problematic, leading them to be present in court but without meaningful prior consultation with the detainee they are representing. This appears to be more common for non-Croatian citizens. </w:t>
      </w:r>
    </w:p>
    <w:p w14:paraId="17E398A9" w14:textId="77777777" w:rsidR="002C2FDA" w:rsidRPr="00353F00" w:rsidRDefault="002C2FDA" w:rsidP="002C2FDA">
      <w:pPr>
        <w:pStyle w:val="SingleTxtG"/>
      </w:pPr>
      <w:r w:rsidRPr="00353F00">
        <w:t>52.</w:t>
      </w:r>
      <w:r w:rsidRPr="00353F00">
        <w:tab/>
        <w:t xml:space="preserve">The Subcommittee notes that, in principle, all detainees undergo a standardized medical assessment, which is also mandatory following any recourse to coercive measures. The Subcommittee is concerned that police officers are systematically stationed in the corridor adjacent to detention cells where medical examinations are conducted, allegedly for security reasons. The Subcommittee is also concerned that the right to see a doctor is not </w:t>
      </w:r>
      <w:r w:rsidRPr="00353F00">
        <w:lastRenderedPageBreak/>
        <w:t>upheld consistently in police stations and that detained persons are not systematically informed about the right to see a doctor.</w:t>
      </w:r>
    </w:p>
    <w:p w14:paraId="11645BCC" w14:textId="77777777" w:rsidR="002C2FDA" w:rsidRPr="00353F00" w:rsidRDefault="002C2FDA" w:rsidP="002C2FDA">
      <w:pPr>
        <w:pStyle w:val="SingleTxtG"/>
      </w:pPr>
      <w:r w:rsidRPr="00353F00">
        <w:t>53.</w:t>
      </w:r>
      <w:r w:rsidRPr="00353F00">
        <w:tab/>
        <w:t xml:space="preserve">The delegation received allegations during interviews that detainees’ right to inform their family or a third party of their detention was not guaranteed in practice. </w:t>
      </w:r>
    </w:p>
    <w:p w14:paraId="522250C3" w14:textId="77777777" w:rsidR="002C2FDA" w:rsidRPr="00353F00" w:rsidRDefault="002C2FDA" w:rsidP="002C2FDA">
      <w:pPr>
        <w:pStyle w:val="SingleTxtG"/>
      </w:pPr>
      <w:r w:rsidRPr="00353F00">
        <w:t>54.</w:t>
      </w:r>
      <w:r w:rsidRPr="00353F00">
        <w:tab/>
        <w:t xml:space="preserve">The delegation observed that closed-circuit television (CCTV) monitoring was not used systematically in places of deprivation of liberty. </w:t>
      </w:r>
    </w:p>
    <w:p w14:paraId="098136C3" w14:textId="77777777" w:rsidR="002C2FDA" w:rsidRPr="00353F00" w:rsidRDefault="002C2FDA" w:rsidP="002C2FDA">
      <w:pPr>
        <w:pStyle w:val="SingleTxtG"/>
      </w:pPr>
      <w:r w:rsidRPr="00353F00">
        <w:t>55.</w:t>
      </w:r>
      <w:r w:rsidRPr="00353F00">
        <w:tab/>
        <w:t xml:space="preserve">While noting that most fundamental legal safeguards are guaranteed in law, the Subcommittee is concerned about the inconsistent application of policies and about the application of such policies being viewed as a box-ticking exercise. Such practices may cause rights to be neglected in practice. The State </w:t>
      </w:r>
      <w:r>
        <w:t>Party</w:t>
      </w:r>
      <w:r w:rsidRPr="00353F00">
        <w:t xml:space="preserve"> should make law enforcement authorities aware of the obligation to give effect to fundamental legal safeguards in a manner that ensures that detainees are able to enjoy their rights fully and effectively.</w:t>
      </w:r>
    </w:p>
    <w:p w14:paraId="3D1E9C39" w14:textId="77777777" w:rsidR="002C2FDA" w:rsidRPr="00353F00" w:rsidRDefault="002C2FDA" w:rsidP="002C2FDA">
      <w:pPr>
        <w:pStyle w:val="SingleTxtG"/>
      </w:pPr>
      <w:r w:rsidRPr="00353F00">
        <w:t>56.</w:t>
      </w:r>
      <w:r w:rsidRPr="00353F00">
        <w:tab/>
        <w:t>While guaranteed in law, the right to interpretation and translation is not always respected in practice, hindering access to legal aid. All detained persons should be fully informed of the reasons for their arrest or placement in pretrial detention, as well as of their other rights as detainees, from the first moment of deprivation of liberty. Information on rights should be communicated in a manner that allows detainees to fully understand it, through interpretation where required. Detainees should be provided with sufficient time to read documents outlining their rights before signing them.</w:t>
      </w:r>
    </w:p>
    <w:p w14:paraId="5A5C1830" w14:textId="77777777" w:rsidR="002C2FDA" w:rsidRPr="00353F00" w:rsidRDefault="002C2FDA" w:rsidP="002C2FDA">
      <w:pPr>
        <w:pStyle w:val="SingleTxtG"/>
      </w:pPr>
      <w:r w:rsidRPr="00353F00">
        <w:t>57.</w:t>
      </w:r>
      <w:r w:rsidRPr="00353F00">
        <w:tab/>
        <w:t>All detained persons should have access to independent and competent legal counsel of their choice and, if needed, legal aid from the outset of detention, as required under article</w:t>
      </w:r>
      <w:r>
        <w:t> </w:t>
      </w:r>
      <w:r w:rsidRPr="00353F00">
        <w:t>14 of the International Covenant on Civil and Political Rights</w:t>
      </w:r>
      <w:r w:rsidRPr="00353F00" w:rsidDel="00C54C24">
        <w:t xml:space="preserve"> </w:t>
      </w:r>
      <w:r w:rsidRPr="00353F00">
        <w:t>and in line with the United Nations Principles and Guidelines on Access to Legal Aid in Criminal Justice Systems.</w:t>
      </w:r>
    </w:p>
    <w:p w14:paraId="1A18CF58" w14:textId="77777777" w:rsidR="002C2FDA" w:rsidRPr="00353F00" w:rsidRDefault="002C2FDA" w:rsidP="002C2FDA">
      <w:pPr>
        <w:pStyle w:val="SingleTxtG"/>
      </w:pPr>
      <w:r w:rsidRPr="00353F00">
        <w:t>58.</w:t>
      </w:r>
      <w:r w:rsidRPr="00353F00">
        <w:tab/>
        <w:t>All detained persons in police custody should be able to request and receive a thorough medical examination by a competent independent medical doctor upon admission, in order to, inter alia, register any possible signs of injuries, in line with the Istanbul Protocol.</w:t>
      </w:r>
      <w:r w:rsidRPr="00353F00" w:rsidDel="00962830">
        <w:t xml:space="preserve"> </w:t>
      </w:r>
      <w:r w:rsidRPr="00353F00">
        <w:t>Confidential medical reports should be made available to detainees and their counsel. Medical examinations should be conducted out of the hearing and sight of police officers and guards, unless the medical doctor concerned explicitly requests otherwise. In such cases, the doctor should record in writing the reasons for this decision and the identity of the police officer present.</w:t>
      </w:r>
    </w:p>
    <w:p w14:paraId="44D717A5" w14:textId="77777777" w:rsidR="002C2FDA" w:rsidRPr="00353F00" w:rsidRDefault="002C2FDA" w:rsidP="002C2FDA">
      <w:pPr>
        <w:pStyle w:val="SingleTxtG"/>
        <w:rPr>
          <w:b/>
          <w:bCs/>
        </w:rPr>
      </w:pPr>
      <w:r w:rsidRPr="00353F00">
        <w:t>59.</w:t>
      </w:r>
      <w:r w:rsidRPr="00353F00">
        <w:tab/>
      </w:r>
      <w:r w:rsidRPr="00353F00">
        <w:rPr>
          <w:b/>
          <w:bCs/>
        </w:rPr>
        <w:t xml:space="preserve">The Subcommittee recommends that CCTV monitoring be systematically used in places of deprivation of liberty, notably in rooms where individuals are detained, questioned and/or interviewed. The State </w:t>
      </w:r>
      <w:r>
        <w:rPr>
          <w:b/>
          <w:bCs/>
        </w:rPr>
        <w:t>Party</w:t>
      </w:r>
      <w:r w:rsidRPr="00353F00">
        <w:rPr>
          <w:b/>
          <w:bCs/>
        </w:rPr>
        <w:t xml:space="preserve"> should ensure that records are adequately kept for future reference and used solely for purposes that align with legal standards and human rights principles. To protect privacy,</w:t>
      </w:r>
      <w:r w:rsidRPr="00353F00" w:rsidDel="00AB3339">
        <w:rPr>
          <w:b/>
          <w:bCs/>
        </w:rPr>
        <w:t xml:space="preserve"> </w:t>
      </w:r>
      <w:r w:rsidRPr="00353F00">
        <w:rPr>
          <w:b/>
          <w:bCs/>
        </w:rPr>
        <w:t>bathrooms should not be monitored by CCTV.</w:t>
      </w:r>
    </w:p>
    <w:p w14:paraId="0AB2E305" w14:textId="77777777" w:rsidR="002C2FDA" w:rsidRPr="00353F00" w:rsidRDefault="002C2FDA" w:rsidP="002C2FDA">
      <w:pPr>
        <w:pStyle w:val="H23G"/>
      </w:pPr>
      <w:r w:rsidRPr="00353F00">
        <w:tab/>
      </w:r>
      <w:r w:rsidRPr="00353F00">
        <w:tab/>
        <w:t>Registries</w:t>
      </w:r>
    </w:p>
    <w:p w14:paraId="0BBBF4A3" w14:textId="77777777" w:rsidR="002C2FDA" w:rsidRPr="00353F00" w:rsidRDefault="002C2FDA" w:rsidP="002C2FDA">
      <w:pPr>
        <w:pStyle w:val="SingleTxtG"/>
      </w:pPr>
      <w:r w:rsidRPr="00353F00">
        <w:t>60.</w:t>
      </w:r>
      <w:r w:rsidRPr="00353F00">
        <w:tab/>
        <w:t xml:space="preserve">The delegation observed that there was an electronic national register collating all police detention-related information, except information on rights and medical information, which was still recorded on paper. While noting efforts to regularly assess the quality of entries made in the electronic register, the delegation observed a lack of systematic recording of information. In some cases, comprehensive files were kept on paper. The Subcommittee is concerned that the electronic register may be used mainly for statistical purposes and not also to monitor detention conditions. In most cases observed by the delegation, data were entered from physical records and not in real time. </w:t>
      </w:r>
    </w:p>
    <w:p w14:paraId="44A4BF12" w14:textId="77777777" w:rsidR="002C2FDA" w:rsidRPr="00353F00" w:rsidRDefault="002C2FDA" w:rsidP="002C2FDA">
      <w:pPr>
        <w:pStyle w:val="SingleTxtG"/>
      </w:pPr>
      <w:r w:rsidRPr="00353F00">
        <w:t>61.</w:t>
      </w:r>
      <w:r w:rsidRPr="00353F00">
        <w:tab/>
        <w:t xml:space="preserve">The delegation observed that registry documents concerning injuries only included tick boxes about whether any bodily injury had been suffered during arrest or from restraints, and whether the person had been seen by a doctor. </w:t>
      </w:r>
    </w:p>
    <w:p w14:paraId="7F42F5AB" w14:textId="77777777" w:rsidR="002C2FDA" w:rsidRPr="00353F00" w:rsidRDefault="002C2FDA" w:rsidP="002C2FDA">
      <w:pPr>
        <w:pStyle w:val="SingleTxtG"/>
        <w:rPr>
          <w:b/>
          <w:bCs/>
        </w:rPr>
      </w:pPr>
      <w:r w:rsidRPr="00353F00">
        <w:t>62.</w:t>
      </w:r>
      <w:r w:rsidRPr="00353F00">
        <w:tab/>
      </w:r>
      <w:r w:rsidRPr="00353F00">
        <w:rPr>
          <w:b/>
          <w:bCs/>
        </w:rPr>
        <w:t xml:space="preserve">The Subcommittee recommends that the State </w:t>
      </w:r>
      <w:r>
        <w:rPr>
          <w:b/>
          <w:bCs/>
        </w:rPr>
        <w:t>Party</w:t>
      </w:r>
      <w:r w:rsidRPr="00353F00">
        <w:rPr>
          <w:b/>
          <w:bCs/>
        </w:rPr>
        <w:t xml:space="preserve"> ensure that key information about all individuals who are deprived of their liberty is entered in its entirety without delay into the electronic national register, with due respect for the confidentiality of </w:t>
      </w:r>
      <w:r w:rsidRPr="00353F00">
        <w:rPr>
          <w:b/>
          <w:bCs/>
        </w:rPr>
        <w:lastRenderedPageBreak/>
        <w:t>medical information. There should be no discrepancy between paper files kept at police stations and the electronic register.</w:t>
      </w:r>
    </w:p>
    <w:p w14:paraId="46D7A30C" w14:textId="77777777" w:rsidR="002C2FDA" w:rsidRPr="00353F00" w:rsidRDefault="002C2FDA" w:rsidP="002C2FDA">
      <w:pPr>
        <w:pStyle w:val="SingleTxtG"/>
        <w:rPr>
          <w:b/>
          <w:bCs/>
        </w:rPr>
      </w:pPr>
      <w:r w:rsidRPr="00353F00">
        <w:t>63.</w:t>
      </w:r>
      <w:r w:rsidRPr="00353F00">
        <w:tab/>
      </w:r>
      <w:r w:rsidRPr="00353F00">
        <w:rPr>
          <w:b/>
          <w:bCs/>
        </w:rPr>
        <w:t xml:space="preserve">The Subcommittee also recommends that forms used to record medical issues be revised to allow for a complete and detailed assessment of the medical condition, including injuries, of detainees, the latter in line with Istanbul Protocol, and notes that tick boxes alone are unsuitable for that purpose. </w:t>
      </w:r>
    </w:p>
    <w:p w14:paraId="5996DC00" w14:textId="77777777" w:rsidR="002C2FDA" w:rsidRPr="00353F00" w:rsidRDefault="002C2FDA" w:rsidP="002C2FDA">
      <w:pPr>
        <w:pStyle w:val="H23G"/>
      </w:pPr>
      <w:r w:rsidRPr="00353F00">
        <w:tab/>
      </w:r>
      <w:r w:rsidRPr="00353F00">
        <w:tab/>
        <w:t xml:space="preserve">Conditions of detention </w:t>
      </w:r>
    </w:p>
    <w:p w14:paraId="0B82C146" w14:textId="77777777" w:rsidR="002C2FDA" w:rsidRPr="00353F00" w:rsidRDefault="002C2FDA" w:rsidP="002C2FDA">
      <w:pPr>
        <w:pStyle w:val="SingleTxtG"/>
      </w:pPr>
      <w:r w:rsidRPr="00353F00">
        <w:t>64.</w:t>
      </w:r>
      <w:r w:rsidRPr="00353F00">
        <w:tab/>
        <w:t xml:space="preserve">The Subcommittee notes that the State </w:t>
      </w:r>
      <w:r>
        <w:t>Party</w:t>
      </w:r>
      <w:r w:rsidRPr="00353F00">
        <w:t xml:space="preserve"> has recently taken steps to retrofit cells in police stations; most of the detention cells visited by the delegation were in line with international standards. The delegation observed that some detainees had been transferred to larger and better-equipped police stations, which is a good practice. However, the Subcommittee is concerned that, in some police stations, the infrastructure was dilapidated and the cells were devoid of any natural light. In some cells, the beds had no sheets; in others, there was no running water, no chairs and/or no bells, depriving detainees of any means of calling or otherwise drawing the attention of police officers. </w:t>
      </w:r>
    </w:p>
    <w:p w14:paraId="323D42AB" w14:textId="77777777" w:rsidR="002C2FDA" w:rsidRPr="00353F00" w:rsidRDefault="002C2FDA" w:rsidP="002C2FDA">
      <w:pPr>
        <w:pStyle w:val="SingleTxtG"/>
        <w:rPr>
          <w:b/>
          <w:bCs/>
        </w:rPr>
      </w:pPr>
      <w:r w:rsidRPr="00353F00">
        <w:t>65.</w:t>
      </w:r>
      <w:r w:rsidRPr="00353F00">
        <w:tab/>
      </w:r>
      <w:r w:rsidRPr="00353F00">
        <w:rPr>
          <w:b/>
          <w:bCs/>
        </w:rPr>
        <w:t xml:space="preserve">The Subcommittee recommends that, in all police stations, the State </w:t>
      </w:r>
      <w:r>
        <w:rPr>
          <w:b/>
          <w:bCs/>
        </w:rPr>
        <w:t>Party</w:t>
      </w:r>
      <w:r w:rsidRPr="00353F00">
        <w:rPr>
          <w:b/>
          <w:bCs/>
        </w:rPr>
        <w:t>:</w:t>
      </w:r>
    </w:p>
    <w:p w14:paraId="73336259" w14:textId="77777777" w:rsidR="002C2FDA" w:rsidRPr="00353F00" w:rsidRDefault="002C2FDA" w:rsidP="002C2FDA">
      <w:pPr>
        <w:pStyle w:val="SingleTxtG"/>
        <w:rPr>
          <w:b/>
          <w:bCs/>
        </w:rPr>
      </w:pPr>
      <w:r w:rsidRPr="00353F00">
        <w:rPr>
          <w:b/>
          <w:bCs/>
        </w:rPr>
        <w:tab/>
      </w:r>
      <w:r w:rsidRPr="00C65760">
        <w:t>(a)</w:t>
      </w:r>
      <w:r w:rsidRPr="00353F00">
        <w:rPr>
          <w:b/>
          <w:bCs/>
        </w:rPr>
        <w:tab/>
        <w:t xml:space="preserve">Ensure that all detention cells are equipped with windows that let in natural light, running water and bedding; </w:t>
      </w:r>
    </w:p>
    <w:p w14:paraId="1550F46F" w14:textId="77777777" w:rsidR="002C2FDA" w:rsidRPr="00353F00" w:rsidRDefault="002C2FDA" w:rsidP="002C2FDA">
      <w:pPr>
        <w:pStyle w:val="SingleTxtG"/>
        <w:rPr>
          <w:b/>
          <w:bCs/>
        </w:rPr>
      </w:pPr>
      <w:r w:rsidRPr="00353F00">
        <w:rPr>
          <w:b/>
          <w:bCs/>
        </w:rPr>
        <w:tab/>
      </w:r>
      <w:r w:rsidRPr="00C65760">
        <w:t>(b)</w:t>
      </w:r>
      <w:r w:rsidRPr="00353F00">
        <w:rPr>
          <w:b/>
          <w:bCs/>
        </w:rPr>
        <w:tab/>
        <w:t xml:space="preserve">Ensure that all detention cells are equipped with infrastructure or otherwise designed in a way that allows detainees to easily initiate communication with, or draw the attention of, police officers; </w:t>
      </w:r>
    </w:p>
    <w:p w14:paraId="5DBE02CA" w14:textId="77777777" w:rsidR="002C2FDA" w:rsidRPr="00353F00" w:rsidRDefault="002C2FDA" w:rsidP="002C2FDA">
      <w:pPr>
        <w:pStyle w:val="SingleTxtG"/>
        <w:rPr>
          <w:b/>
          <w:bCs/>
        </w:rPr>
      </w:pPr>
      <w:r w:rsidRPr="00353F00">
        <w:rPr>
          <w:b/>
          <w:bCs/>
        </w:rPr>
        <w:tab/>
      </w:r>
      <w:r w:rsidRPr="00C65760">
        <w:t>(c)</w:t>
      </w:r>
      <w:r w:rsidRPr="00353F00">
        <w:rPr>
          <w:b/>
          <w:bCs/>
        </w:rPr>
        <w:tab/>
        <w:t xml:space="preserve">Ensure that all institutions with dilapidated infrastructure undergo renovations, including by retrofitting any cells that fails to meet the above requirements to meet international standards. </w:t>
      </w:r>
    </w:p>
    <w:p w14:paraId="5D7DEFA0" w14:textId="77777777" w:rsidR="002C2FDA" w:rsidRPr="00353F00" w:rsidRDefault="002C2FDA" w:rsidP="002C2FDA">
      <w:pPr>
        <w:pStyle w:val="SingleTxtG"/>
      </w:pPr>
      <w:r w:rsidRPr="00353F00">
        <w:t>66.</w:t>
      </w:r>
      <w:r w:rsidRPr="00353F00">
        <w:tab/>
        <w:t>The delegation observed that some detainees were provided with food procured from the police station staff kitchen; others told the delegation during interviews that they had not been offered breakfast after refusing dinner the night before. The Subcommittee is concerned about a lack of clear policies and procedures regarding detainees’ access to food. The Subcommittee believes that vague policies on access to food, or a lack thereof, may be conducive to discrimination and/or arbitrary practices that violate international standards and may lead to ill-treatment.</w:t>
      </w:r>
    </w:p>
    <w:p w14:paraId="435EAAB6" w14:textId="77777777" w:rsidR="002C2FDA" w:rsidRPr="00353F00" w:rsidRDefault="002C2FDA" w:rsidP="002C2FDA">
      <w:pPr>
        <w:pStyle w:val="SingleTxtG"/>
        <w:rPr>
          <w:b/>
          <w:bCs/>
        </w:rPr>
      </w:pPr>
      <w:r w:rsidRPr="00353F00">
        <w:t>67.</w:t>
      </w:r>
      <w:r w:rsidRPr="00353F00">
        <w:tab/>
      </w:r>
      <w:r w:rsidRPr="00353F00">
        <w:rPr>
          <w:b/>
          <w:bCs/>
        </w:rPr>
        <w:t xml:space="preserve">The Subcommittee recommends that, in all police stations, the State </w:t>
      </w:r>
      <w:r>
        <w:rPr>
          <w:b/>
          <w:bCs/>
        </w:rPr>
        <w:t>Party</w:t>
      </w:r>
      <w:r w:rsidRPr="00353F00">
        <w:rPr>
          <w:b/>
          <w:bCs/>
        </w:rPr>
        <w:t>:</w:t>
      </w:r>
    </w:p>
    <w:p w14:paraId="21C7DCF0" w14:textId="77777777" w:rsidR="002C2FDA" w:rsidRPr="00353F00" w:rsidRDefault="002C2FDA" w:rsidP="002C2FDA">
      <w:pPr>
        <w:pStyle w:val="SingleTxtG"/>
        <w:rPr>
          <w:b/>
          <w:bCs/>
        </w:rPr>
      </w:pPr>
      <w:r w:rsidRPr="00353F00">
        <w:rPr>
          <w:b/>
          <w:bCs/>
        </w:rPr>
        <w:tab/>
      </w:r>
      <w:r w:rsidRPr="00C65760">
        <w:t>(a)</w:t>
      </w:r>
      <w:r w:rsidRPr="00353F00">
        <w:rPr>
          <w:b/>
          <w:bCs/>
        </w:rPr>
        <w:tab/>
        <w:t>Establish and provide adequate funding to develop and implement clear policies and procedures ensuring that all detainees are regularly provided with sufficient food of adequate quality, including at least one warm meal every day, and that such access is guaranteed for all detainees on an equal basis and not subject to arbitrary decision by police officers;</w:t>
      </w:r>
    </w:p>
    <w:p w14:paraId="0B73AE58" w14:textId="77777777" w:rsidR="002C2FDA" w:rsidRPr="00353F00" w:rsidRDefault="002C2FDA" w:rsidP="002C2FDA">
      <w:pPr>
        <w:pStyle w:val="SingleTxtG"/>
        <w:rPr>
          <w:b/>
          <w:bCs/>
        </w:rPr>
      </w:pPr>
      <w:r w:rsidRPr="00353F00">
        <w:rPr>
          <w:b/>
          <w:bCs/>
        </w:rPr>
        <w:tab/>
      </w:r>
      <w:r w:rsidRPr="00C65760">
        <w:t>(b)</w:t>
      </w:r>
      <w:r w:rsidRPr="00353F00">
        <w:rPr>
          <w:b/>
          <w:bCs/>
        </w:rPr>
        <w:tab/>
        <w:t>Ensure that such policies and related procedures are regularly communicated to all persons deprived of their liberty, as well as to staff members, including police officers.</w:t>
      </w:r>
    </w:p>
    <w:p w14:paraId="6FF4208F" w14:textId="77777777" w:rsidR="002C2FDA" w:rsidRPr="00353F00" w:rsidRDefault="002C2FDA" w:rsidP="002C2FDA">
      <w:pPr>
        <w:pStyle w:val="SingleTxtG"/>
      </w:pPr>
      <w:r w:rsidRPr="00353F00">
        <w:t>68.</w:t>
      </w:r>
      <w:r w:rsidRPr="00353F00">
        <w:tab/>
        <w:t>The Subcommittee is concerned that some vehicles used by police officers for the transportation of detainees are ill-equipped to ensure their safety. The delegation observed that the area at the back of the vehicles, where detainees are seated, lacked daylight and proper ventilation, potentially exposing them to overheating during transportation. Furthermore, there were no seatbelts, and some of vehicles were fitted with chains. This creates serious risks of injury not only in cases of accidents but also if there are sudden turns or stops while the vehicle is in motion. Chains are not an alternative to seatbelts; if used without seatbelts, they can aggravate the risk of injury.</w:t>
      </w:r>
    </w:p>
    <w:p w14:paraId="03920FCE" w14:textId="77777777" w:rsidR="002C2FDA" w:rsidRPr="00353F00" w:rsidRDefault="002C2FDA" w:rsidP="002C2FDA">
      <w:pPr>
        <w:pStyle w:val="SingleTxtG"/>
        <w:rPr>
          <w:b/>
          <w:bCs/>
        </w:rPr>
      </w:pPr>
      <w:r w:rsidRPr="00353F00">
        <w:t>69.</w:t>
      </w:r>
      <w:r w:rsidRPr="00353F00">
        <w:tab/>
      </w:r>
      <w:r w:rsidRPr="00353F00">
        <w:rPr>
          <w:b/>
          <w:bCs/>
        </w:rPr>
        <w:t xml:space="preserve">The Subcommittee recommends that the State </w:t>
      </w:r>
      <w:r>
        <w:rPr>
          <w:b/>
          <w:bCs/>
        </w:rPr>
        <w:t>Party</w:t>
      </w:r>
      <w:r w:rsidRPr="00353F00">
        <w:rPr>
          <w:b/>
          <w:bCs/>
        </w:rPr>
        <w:t>:</w:t>
      </w:r>
    </w:p>
    <w:p w14:paraId="1574FD13" w14:textId="77777777" w:rsidR="002C2FDA" w:rsidRPr="00353F00" w:rsidRDefault="002C2FDA" w:rsidP="002C2FDA">
      <w:pPr>
        <w:pStyle w:val="SingleTxtG"/>
        <w:rPr>
          <w:b/>
          <w:bCs/>
        </w:rPr>
      </w:pPr>
      <w:r w:rsidRPr="00353F00">
        <w:rPr>
          <w:b/>
          <w:bCs/>
        </w:rPr>
        <w:tab/>
      </w:r>
      <w:r w:rsidRPr="00C65760">
        <w:t>(a)</w:t>
      </w:r>
      <w:r w:rsidRPr="00353F00">
        <w:rPr>
          <w:b/>
          <w:bCs/>
        </w:rPr>
        <w:tab/>
        <w:t>Ensure that areas at the back of police stations’ vehicles, where prisoners are seated during transportation, be adequately ventilated and lit;</w:t>
      </w:r>
    </w:p>
    <w:p w14:paraId="441D6DF6" w14:textId="77777777" w:rsidR="002C2FDA" w:rsidRPr="00353F00" w:rsidRDefault="002C2FDA" w:rsidP="002C2FDA">
      <w:pPr>
        <w:pStyle w:val="SingleTxtG"/>
        <w:rPr>
          <w:b/>
          <w:bCs/>
        </w:rPr>
      </w:pPr>
      <w:r w:rsidRPr="00353F00">
        <w:rPr>
          <w:b/>
          <w:bCs/>
        </w:rPr>
        <w:lastRenderedPageBreak/>
        <w:tab/>
      </w:r>
      <w:r w:rsidRPr="00C65760">
        <w:t>(b)</w:t>
      </w:r>
      <w:r w:rsidRPr="00353F00">
        <w:rPr>
          <w:b/>
          <w:bCs/>
        </w:rPr>
        <w:tab/>
        <w:t>Ensure that all vehicles used in police stations are equipped with seatbelts, and that they are effectively used to ensure prisoners’ safety during transportation;</w:t>
      </w:r>
    </w:p>
    <w:p w14:paraId="381048B7" w14:textId="77777777" w:rsidR="002C2FDA" w:rsidRPr="00353F00" w:rsidRDefault="002C2FDA" w:rsidP="002C2FDA">
      <w:pPr>
        <w:pStyle w:val="SingleTxtG"/>
        <w:rPr>
          <w:b/>
          <w:bCs/>
        </w:rPr>
      </w:pPr>
      <w:r w:rsidRPr="00353F00">
        <w:rPr>
          <w:b/>
          <w:bCs/>
        </w:rPr>
        <w:tab/>
      </w:r>
      <w:r w:rsidRPr="00C65760">
        <w:t>(c)</w:t>
      </w:r>
      <w:r w:rsidRPr="00353F00">
        <w:rPr>
          <w:b/>
          <w:bCs/>
        </w:rPr>
        <w:tab/>
        <w:t>Ensure that no prisoners are chained to the floor.</w:t>
      </w:r>
    </w:p>
    <w:p w14:paraId="63C25FDB" w14:textId="77777777" w:rsidR="002C2FDA" w:rsidRPr="00353F00" w:rsidRDefault="002C2FDA" w:rsidP="002C2FDA">
      <w:pPr>
        <w:pStyle w:val="H23G"/>
      </w:pPr>
      <w:r w:rsidRPr="00353F00">
        <w:tab/>
      </w:r>
      <w:r w:rsidRPr="00353F00">
        <w:tab/>
        <w:t>Training in human rights</w:t>
      </w:r>
    </w:p>
    <w:p w14:paraId="32E44A6C" w14:textId="77777777" w:rsidR="002C2FDA" w:rsidRPr="00353F00" w:rsidRDefault="002C2FDA" w:rsidP="002C2FDA">
      <w:pPr>
        <w:pStyle w:val="SingleTxtG"/>
      </w:pPr>
      <w:r w:rsidRPr="00353F00">
        <w:t>70.</w:t>
      </w:r>
      <w:r w:rsidRPr="00353F00">
        <w:tab/>
        <w:t xml:space="preserve">The Subcommittee notes that the State </w:t>
      </w:r>
      <w:r>
        <w:t>Party</w:t>
      </w:r>
      <w:r w:rsidRPr="00353F00">
        <w:t xml:space="preserve"> collaborates with various international organizations and Croatian civil society organizations to train police officers on human rights. It also notes, according to the State </w:t>
      </w:r>
      <w:r>
        <w:t>Party</w:t>
      </w:r>
      <w:r w:rsidRPr="00353F00">
        <w:t>’s policies, that all police officers must receive such training. However, during interviews, the delegation observed that several police officers had little knowledge of how to identify torture and did not understand their role in preventing it.</w:t>
      </w:r>
    </w:p>
    <w:p w14:paraId="7B07E05B" w14:textId="77777777" w:rsidR="002C2FDA" w:rsidRPr="00353F00" w:rsidRDefault="002C2FDA" w:rsidP="002C2FDA">
      <w:pPr>
        <w:pStyle w:val="SingleTxtG"/>
        <w:rPr>
          <w:b/>
          <w:bCs/>
        </w:rPr>
      </w:pPr>
      <w:r w:rsidRPr="00353F00">
        <w:t>71.</w:t>
      </w:r>
      <w:r w:rsidRPr="00353F00">
        <w:tab/>
      </w:r>
      <w:r w:rsidRPr="00353F00">
        <w:rPr>
          <w:b/>
          <w:bCs/>
        </w:rPr>
        <w:t xml:space="preserve">The Subcommittee encourages the State </w:t>
      </w:r>
      <w:r>
        <w:rPr>
          <w:b/>
          <w:bCs/>
        </w:rPr>
        <w:t>Party</w:t>
      </w:r>
      <w:r w:rsidRPr="00353F00">
        <w:rPr>
          <w:b/>
          <w:bCs/>
        </w:rPr>
        <w:t xml:space="preserve"> to ensure that the educational programmes for police officers cover international standards relating to the prevention and prohibition of torture and ill-treatment and that all personnel involved in documenting and investigating torture and ill-treatment receive adequate training on the Istanbul Protocol.</w:t>
      </w:r>
    </w:p>
    <w:p w14:paraId="7836FC11" w14:textId="77777777" w:rsidR="002C2FDA" w:rsidRPr="00353F00" w:rsidRDefault="002C2FDA" w:rsidP="002C2FDA">
      <w:pPr>
        <w:pStyle w:val="H1G"/>
      </w:pPr>
      <w:r w:rsidRPr="00353F00">
        <w:tab/>
      </w:r>
      <w:bookmarkStart w:id="37" w:name="_Toc211864423"/>
      <w:bookmarkStart w:id="38" w:name="_Toc156227365"/>
      <w:r w:rsidRPr="00353F00">
        <w:t>B.</w:t>
      </w:r>
      <w:r w:rsidRPr="00353F00">
        <w:tab/>
        <w:t>Prisons</w:t>
      </w:r>
      <w:bookmarkEnd w:id="37"/>
      <w:r w:rsidRPr="00353F00">
        <w:t xml:space="preserve"> </w:t>
      </w:r>
      <w:bookmarkEnd w:id="38"/>
    </w:p>
    <w:p w14:paraId="7070FF80" w14:textId="77777777" w:rsidR="002C2FDA" w:rsidRPr="00353F00" w:rsidRDefault="002C2FDA" w:rsidP="002C2FDA">
      <w:pPr>
        <w:pStyle w:val="H23G"/>
      </w:pPr>
      <w:r w:rsidRPr="00353F00">
        <w:tab/>
      </w:r>
      <w:r w:rsidRPr="00353F00">
        <w:tab/>
        <w:t>Overcrowding</w:t>
      </w:r>
    </w:p>
    <w:p w14:paraId="3A06BDEC" w14:textId="77777777" w:rsidR="002C2FDA" w:rsidRPr="00353F00" w:rsidRDefault="002C2FDA" w:rsidP="002C2FDA">
      <w:pPr>
        <w:pStyle w:val="SingleTxtG"/>
      </w:pPr>
      <w:r w:rsidRPr="00353F00">
        <w:t>72.</w:t>
      </w:r>
      <w:r w:rsidRPr="00353F00">
        <w:tab/>
        <w:t xml:space="preserve">The delegation observed severe overcrowding in various prisons, parts of prisons and cells across the country, with the occupancy rate reaching 150 per cent in some cases. </w:t>
      </w:r>
    </w:p>
    <w:p w14:paraId="2FB0DA48" w14:textId="77777777" w:rsidR="002C2FDA" w:rsidRPr="00353F00" w:rsidRDefault="002C2FDA" w:rsidP="002C2FDA">
      <w:pPr>
        <w:pStyle w:val="SingleTxtG"/>
      </w:pPr>
      <w:r w:rsidRPr="00353F00">
        <w:t>73.</w:t>
      </w:r>
      <w:r w:rsidRPr="00353F00">
        <w:tab/>
        <w:t xml:space="preserve">The Subcommittee notes that overcrowding is in part due to the fact that remand prisoners, who represent about 40 per cent of the persons deprived of their liberty, are sometimes held in prisons and the pretrial detention departments of closed penitentiaries. </w:t>
      </w:r>
    </w:p>
    <w:p w14:paraId="2EB2C3F0" w14:textId="77777777" w:rsidR="002C2FDA" w:rsidRPr="00353F00" w:rsidRDefault="002C2FDA" w:rsidP="002C2FDA">
      <w:pPr>
        <w:pStyle w:val="SingleTxtG"/>
      </w:pPr>
      <w:r w:rsidRPr="00353F00">
        <w:t>74.</w:t>
      </w:r>
      <w:r w:rsidRPr="00353F00">
        <w:tab/>
        <w:t xml:space="preserve">The delegation observed that open facilities, such as the </w:t>
      </w:r>
      <w:proofErr w:type="spellStart"/>
      <w:r w:rsidRPr="00353F00">
        <w:t>Valtura</w:t>
      </w:r>
      <w:proofErr w:type="spellEnd"/>
      <w:r w:rsidRPr="00353F00">
        <w:t xml:space="preserve"> Penitentiary, were functioning under capacity despite the overcrowding affecting other prison establishments.</w:t>
      </w:r>
    </w:p>
    <w:p w14:paraId="1B13A87B" w14:textId="77777777" w:rsidR="002C2FDA" w:rsidRPr="00353F00" w:rsidRDefault="002C2FDA" w:rsidP="002C2FDA">
      <w:pPr>
        <w:pStyle w:val="SingleTxtG"/>
      </w:pPr>
      <w:r w:rsidRPr="00353F00">
        <w:t>75.</w:t>
      </w:r>
      <w:r w:rsidRPr="00353F00">
        <w:tab/>
        <w:t xml:space="preserve">Overcrowding has a detrimental effect on material conditions, inevitably creating inhuman or degrading living conditions. For example, in various prisons, some inmates had to sleep on mattresses on the floor, and some prisons only allowed detainees to have two showers per week due to the high number of persons present. In one establishment, there were only two toilets for 24 prisoners. </w:t>
      </w:r>
    </w:p>
    <w:p w14:paraId="5C332570" w14:textId="77777777" w:rsidR="002C2FDA" w:rsidRPr="00353F00" w:rsidRDefault="002C2FDA" w:rsidP="002C2FDA">
      <w:pPr>
        <w:pStyle w:val="SingleTxtG"/>
      </w:pPr>
      <w:r w:rsidRPr="00353F00">
        <w:t>76.</w:t>
      </w:r>
      <w:r w:rsidRPr="00353F00">
        <w:tab/>
        <w:t>The delegation observed several instances of multiple-occupancy cells holding an excessively high number of prisoners, causing the living space per prisoner to be inferior to 2.5 m², well below the European standard of 4 m</w:t>
      </w:r>
      <w:r w:rsidRPr="003241AD">
        <w:rPr>
          <w:vertAlign w:val="superscript"/>
        </w:rPr>
        <w:t>2</w:t>
      </w:r>
      <w:r w:rsidRPr="00353F00">
        <w:t xml:space="preserve"> for multi-occupancy cells.</w:t>
      </w:r>
      <w:r w:rsidRPr="00353F00">
        <w:rPr>
          <w:rStyle w:val="FootnoteReference"/>
        </w:rPr>
        <w:footnoteReference w:id="9"/>
      </w:r>
      <w:r w:rsidRPr="00353F00">
        <w:t xml:space="preserve"> Such overcrowding raises the temperature, compounding the effects of poor ventilation, in a context in which the State </w:t>
      </w:r>
      <w:r>
        <w:t>Party</w:t>
      </w:r>
      <w:r w:rsidRPr="00353F00">
        <w:t xml:space="preserve"> has suffered heatwaves and some prisoners are confined to their cells for up to 22 hours per day.</w:t>
      </w:r>
    </w:p>
    <w:p w14:paraId="313020B7" w14:textId="77777777" w:rsidR="002C2FDA" w:rsidRPr="00353F00" w:rsidRDefault="002C2FDA" w:rsidP="002C2FDA">
      <w:pPr>
        <w:pStyle w:val="SingleTxtG"/>
      </w:pPr>
      <w:r w:rsidRPr="00353F00">
        <w:t>77.</w:t>
      </w:r>
      <w:r w:rsidRPr="00353F00">
        <w:tab/>
        <w:t>The Subcommittee is concerned that overcrowding also affects the detention regime, security, discipline and other aspects of prison functioning, including by worsening other issues related to prison understaffing. The delegation received allegations of ill-treatment resulting from tensions stemming from overcrowding, for instance when prisoners attempted to circumvent the rule limiting showers to twice per week. In some prisons, overcrowding causes different categories of prisoners to be mixed, and/or prevents prisoners from effectively enjoying the two hours of outdoor exercise to which they are entitled under the Execution of Prison Sentences Act.</w:t>
      </w:r>
    </w:p>
    <w:p w14:paraId="1E63DCF5" w14:textId="77777777" w:rsidR="002C2FDA" w:rsidRPr="00353F00" w:rsidRDefault="002C2FDA" w:rsidP="002C2FDA">
      <w:pPr>
        <w:pStyle w:val="SingleTxtG"/>
      </w:pPr>
      <w:r w:rsidRPr="00353F00">
        <w:t>78.</w:t>
      </w:r>
      <w:r w:rsidRPr="00353F00">
        <w:tab/>
        <w:t xml:space="preserve">The Subcommittee takes note of the State </w:t>
      </w:r>
      <w:r>
        <w:t>Party</w:t>
      </w:r>
      <w:r w:rsidRPr="00353F00">
        <w:t>’s plans to build a new facility that will have a capacity of 400 prisoners and is foreseen to be a high-security establishment, as well as to build a prison for women. It also takes note of efforts to repair damage caused to prison facilities by the earthquake in 2020.</w:t>
      </w:r>
    </w:p>
    <w:p w14:paraId="782059A0" w14:textId="77777777" w:rsidR="002C2FDA" w:rsidRPr="00353F00" w:rsidRDefault="002C2FDA" w:rsidP="002C2FDA">
      <w:pPr>
        <w:pStyle w:val="SingleTxtG"/>
        <w:rPr>
          <w:b/>
          <w:bCs/>
        </w:rPr>
      </w:pPr>
      <w:r w:rsidRPr="00353F00">
        <w:t>79.</w:t>
      </w:r>
      <w:r w:rsidRPr="00353F00">
        <w:tab/>
      </w:r>
      <w:r w:rsidRPr="00353F00">
        <w:rPr>
          <w:b/>
          <w:bCs/>
        </w:rPr>
        <w:t xml:space="preserve">The Subcommittee reiterates that additional efforts are required to improve the application of the legal framework pertaining to alternatives to detention, reduced </w:t>
      </w:r>
      <w:r w:rsidRPr="00353F00">
        <w:rPr>
          <w:b/>
          <w:bCs/>
        </w:rPr>
        <w:lastRenderedPageBreak/>
        <w:t xml:space="preserve">sentencing, compassionate and conditional releases and the joint treatment of criminal accusations, and the promotion of their use among the judiciary. </w:t>
      </w:r>
    </w:p>
    <w:p w14:paraId="0C1B38ED" w14:textId="77777777" w:rsidR="002C2FDA" w:rsidRPr="00353F00" w:rsidRDefault="002C2FDA" w:rsidP="002C2FDA">
      <w:pPr>
        <w:pStyle w:val="SingleTxtG"/>
        <w:rPr>
          <w:b/>
          <w:bCs/>
        </w:rPr>
      </w:pPr>
      <w:r w:rsidRPr="00353F00">
        <w:t>80.</w:t>
      </w:r>
      <w:r w:rsidRPr="00353F00">
        <w:tab/>
      </w:r>
      <w:r w:rsidRPr="00353F00">
        <w:rPr>
          <w:b/>
          <w:bCs/>
        </w:rPr>
        <w:t xml:space="preserve">The Subcommittee recommends that the State </w:t>
      </w:r>
      <w:r>
        <w:rPr>
          <w:b/>
          <w:bCs/>
        </w:rPr>
        <w:t>Party</w:t>
      </w:r>
      <w:r w:rsidRPr="00353F00">
        <w:rPr>
          <w:b/>
          <w:bCs/>
        </w:rPr>
        <w:t xml:space="preserve"> increase the use of open facilities to mitigate overcrowding in closed establishments and ensure higher levels of rehabilitative efforts within the prison system.</w:t>
      </w:r>
    </w:p>
    <w:p w14:paraId="0B63A1DC" w14:textId="77777777" w:rsidR="002C2FDA" w:rsidRPr="00353F00" w:rsidRDefault="002C2FDA" w:rsidP="002C2FDA">
      <w:pPr>
        <w:pStyle w:val="H23G"/>
      </w:pPr>
      <w:r w:rsidRPr="00353F00">
        <w:tab/>
      </w:r>
      <w:r w:rsidRPr="00353F00">
        <w:tab/>
        <w:t>Allegations of torture and ill-treatment</w:t>
      </w:r>
    </w:p>
    <w:p w14:paraId="08452C86" w14:textId="77777777" w:rsidR="002C2FDA" w:rsidRPr="00353F00" w:rsidRDefault="002C2FDA" w:rsidP="002C2FDA">
      <w:pPr>
        <w:pStyle w:val="SingleTxtG"/>
      </w:pPr>
      <w:r w:rsidRPr="00353F00">
        <w:t>81.</w:t>
      </w:r>
      <w:r w:rsidRPr="00353F00">
        <w:tab/>
        <w:t>The delegation received allegations of ill-treatment meted out to prisoners in the form of physical violence, such as slaps, kicks, punches and other blows, by prison staff. Several prisoners said that such treatment was inflicted as a punishment, for instance when they refused to take medication. Some detainees had filed complaints, which, according to their statements, were left unaddressed by prison authorities. The Subcommittee notes with concern that, according to information received, individuals suffering from mental health issues and/or psychosocial disabilities are at particular risk of ill-treatment.</w:t>
      </w:r>
    </w:p>
    <w:p w14:paraId="60C9BB9D" w14:textId="77777777" w:rsidR="002C2FDA" w:rsidRPr="00353F00" w:rsidRDefault="002C2FDA" w:rsidP="002C2FDA">
      <w:pPr>
        <w:pStyle w:val="SingleTxtG"/>
      </w:pPr>
      <w:r w:rsidRPr="00353F00">
        <w:t>82.</w:t>
      </w:r>
      <w:r w:rsidRPr="00353F00">
        <w:tab/>
        <w:t xml:space="preserve">In several interviews, the delegation was told about guards routinely resorting to violent threats to compel detainees to comply with rules, unduly exerting psychological pressure on detainees by inducing stress and fear. Detainees at various prison establishments also complained about insults, threats and harassment on the basis of race or ethnic origin. </w:t>
      </w:r>
    </w:p>
    <w:p w14:paraId="362F52F2" w14:textId="77777777" w:rsidR="002C2FDA" w:rsidRPr="00353F00" w:rsidRDefault="002C2FDA" w:rsidP="002C2FDA">
      <w:pPr>
        <w:pStyle w:val="SingleTxtG"/>
      </w:pPr>
      <w:r w:rsidRPr="00353F00">
        <w:t>83.</w:t>
      </w:r>
      <w:r w:rsidRPr="00353F00">
        <w:tab/>
        <w:t>The Subcommittee is concerned about allegations that attempts to file complaints or seek redress through legal means for ill-treatment suffered have led to threats of retaliation.</w:t>
      </w:r>
    </w:p>
    <w:p w14:paraId="508DF0BE" w14:textId="77777777" w:rsidR="002C2FDA" w:rsidRPr="00353F00" w:rsidRDefault="002C2FDA" w:rsidP="002C2FDA">
      <w:pPr>
        <w:pStyle w:val="SingleTxtG"/>
      </w:pPr>
      <w:r w:rsidRPr="00353F00">
        <w:t>84.</w:t>
      </w:r>
      <w:r w:rsidRPr="00353F00">
        <w:tab/>
        <w:t xml:space="preserve">The Subcommittee is also concerned about allegations of ill-treatment and the lack of investigations into those allegations. The Subcommittee wishes to bring to the attention of the State </w:t>
      </w:r>
      <w:r>
        <w:t>Party</w:t>
      </w:r>
      <w:r w:rsidRPr="00353F00">
        <w:t xml:space="preserve"> that it has obligations under article 12 of the Convention against Torture that are not conditional on detainees’ behaviour and recalls that the fight against impunity is an important means of preventing torture and ill-treatment. While noting the State </w:t>
      </w:r>
      <w:r>
        <w:t>Party</w:t>
      </w:r>
      <w:r w:rsidRPr="00353F00">
        <w:t>’s policy requiring that reports on complaints of ill-treatment be drafted within 48 hours, the Subcommittee stresses that pro forma measures are not sufficient to meet obligations under the Convention against Torture; the preparation of such reports must be part of an effective and impartial investigation procedure.</w:t>
      </w:r>
    </w:p>
    <w:p w14:paraId="70599943" w14:textId="77777777" w:rsidR="002C2FDA" w:rsidRPr="00353F00" w:rsidRDefault="002C2FDA" w:rsidP="002C2FDA">
      <w:pPr>
        <w:pStyle w:val="SingleTxtG"/>
        <w:rPr>
          <w:b/>
          <w:bCs/>
        </w:rPr>
      </w:pPr>
      <w:r w:rsidRPr="00353F00">
        <w:t>85.</w:t>
      </w:r>
      <w:r w:rsidRPr="00353F00">
        <w:tab/>
      </w:r>
      <w:r w:rsidRPr="00353F00">
        <w:rPr>
          <w:b/>
          <w:bCs/>
        </w:rPr>
        <w:t>The Subcommittee recommends that:</w:t>
      </w:r>
    </w:p>
    <w:p w14:paraId="3859A34A" w14:textId="77777777" w:rsidR="002C2FDA" w:rsidRPr="00353F00" w:rsidRDefault="002C2FDA" w:rsidP="002C2FDA">
      <w:pPr>
        <w:pStyle w:val="SingleTxtG"/>
        <w:rPr>
          <w:b/>
          <w:bCs/>
        </w:rPr>
      </w:pPr>
      <w:r w:rsidRPr="00353F00">
        <w:rPr>
          <w:b/>
          <w:bCs/>
        </w:rPr>
        <w:tab/>
      </w:r>
      <w:r w:rsidRPr="008B2544">
        <w:t>(a)</w:t>
      </w:r>
      <w:r w:rsidRPr="00353F00">
        <w:rPr>
          <w:b/>
          <w:bCs/>
        </w:rPr>
        <w:tab/>
        <w:t xml:space="preserve">The State </w:t>
      </w:r>
      <w:r>
        <w:rPr>
          <w:b/>
          <w:bCs/>
        </w:rPr>
        <w:t>Party</w:t>
      </w:r>
      <w:r w:rsidRPr="00353F00">
        <w:rPr>
          <w:b/>
          <w:bCs/>
        </w:rPr>
        <w:t xml:space="preserve"> ensure that all allegations or complaints of torture or ill</w:t>
      </w:r>
      <w:r>
        <w:rPr>
          <w:b/>
          <w:bCs/>
        </w:rPr>
        <w:noBreakHyphen/>
      </w:r>
      <w:r w:rsidRPr="00353F00">
        <w:rPr>
          <w:b/>
          <w:bCs/>
        </w:rPr>
        <w:t xml:space="preserve">treatment are investigated promptly, impartially and effectively, in accordance with articles 12 and 13 of the Convention against Torture; </w:t>
      </w:r>
    </w:p>
    <w:p w14:paraId="61DA22C6" w14:textId="77777777" w:rsidR="002C2FDA" w:rsidRPr="00353F00" w:rsidRDefault="002C2FDA" w:rsidP="002C2FDA">
      <w:pPr>
        <w:pStyle w:val="SingleTxtG"/>
        <w:rPr>
          <w:b/>
          <w:bCs/>
        </w:rPr>
      </w:pPr>
      <w:r w:rsidRPr="00353F00">
        <w:rPr>
          <w:b/>
          <w:bCs/>
        </w:rPr>
        <w:tab/>
      </w:r>
      <w:r w:rsidRPr="008B2544">
        <w:t>(b)</w:t>
      </w:r>
      <w:r w:rsidRPr="00353F00">
        <w:rPr>
          <w:b/>
          <w:bCs/>
        </w:rPr>
        <w:tab/>
        <w:t xml:space="preserve">Prison staff are made aware that those responsible for the infliction of any acts of ill-treatment or torture, including psychological torture in the form of threats, and complicity or participation in acts of torture, will be punished with penalties that are commensurate with the gravity of such acts. Adequate measures should also be implemented to prevent and shield detainees from any form of retaliation for filing complaints related to ill-treatment; </w:t>
      </w:r>
    </w:p>
    <w:p w14:paraId="0874FE6B" w14:textId="77777777" w:rsidR="002C2FDA" w:rsidRPr="00353F00" w:rsidRDefault="002C2FDA" w:rsidP="002C2FDA">
      <w:pPr>
        <w:pStyle w:val="SingleTxtG"/>
        <w:rPr>
          <w:b/>
          <w:bCs/>
        </w:rPr>
      </w:pPr>
      <w:r w:rsidRPr="00353F00">
        <w:rPr>
          <w:b/>
          <w:bCs/>
        </w:rPr>
        <w:tab/>
      </w:r>
      <w:r w:rsidRPr="008B2544">
        <w:t>(c)</w:t>
      </w:r>
      <w:r w:rsidRPr="00353F00">
        <w:rPr>
          <w:b/>
          <w:bCs/>
        </w:rPr>
        <w:tab/>
        <w:t>Training programmes for police, investigators and prison staff emphasize the prohibition of torture and ill-treatment, including verbal abuse;</w:t>
      </w:r>
    </w:p>
    <w:p w14:paraId="0B510559" w14:textId="77777777" w:rsidR="002C2FDA" w:rsidRPr="00353F00" w:rsidRDefault="002C2FDA" w:rsidP="002C2FDA">
      <w:pPr>
        <w:pStyle w:val="SingleTxtG"/>
        <w:rPr>
          <w:b/>
          <w:bCs/>
        </w:rPr>
      </w:pPr>
      <w:r w:rsidRPr="00353F00">
        <w:rPr>
          <w:b/>
          <w:bCs/>
        </w:rPr>
        <w:tab/>
      </w:r>
      <w:r w:rsidRPr="008B2544">
        <w:t>(d)</w:t>
      </w:r>
      <w:r w:rsidRPr="00353F00">
        <w:rPr>
          <w:b/>
          <w:bCs/>
        </w:rPr>
        <w:tab/>
        <w:t xml:space="preserve">The State </w:t>
      </w:r>
      <w:r>
        <w:rPr>
          <w:b/>
          <w:bCs/>
        </w:rPr>
        <w:t>Party</w:t>
      </w:r>
      <w:r w:rsidRPr="00353F00">
        <w:rPr>
          <w:b/>
          <w:bCs/>
        </w:rPr>
        <w:t xml:space="preserve"> ensure that complaints and allegations put forward by persons with mental health issues and/or psychosocial disabilities be treated in a sensitive manner and always given due consideration, and therefore never dismissed or ignored on the sole basis of the mental health condition or psychosocial disabilities of the person making the complaint.</w:t>
      </w:r>
    </w:p>
    <w:p w14:paraId="3E46DCD5" w14:textId="77777777" w:rsidR="002C2FDA" w:rsidRPr="00353F00" w:rsidRDefault="002C2FDA" w:rsidP="002C2FDA">
      <w:pPr>
        <w:pStyle w:val="H23G"/>
      </w:pPr>
      <w:r w:rsidRPr="00353F00">
        <w:tab/>
      </w:r>
      <w:r w:rsidRPr="00353F00">
        <w:tab/>
        <w:t>Safeguards</w:t>
      </w:r>
    </w:p>
    <w:p w14:paraId="3F92A561" w14:textId="77777777" w:rsidR="002C2FDA" w:rsidRPr="00353F00" w:rsidRDefault="002C2FDA" w:rsidP="002C2FDA">
      <w:pPr>
        <w:pStyle w:val="SingleTxtG"/>
      </w:pPr>
      <w:r w:rsidRPr="00353F00">
        <w:t>86.</w:t>
      </w:r>
      <w:r w:rsidRPr="00353F00">
        <w:tab/>
        <w:t xml:space="preserve">The Subcommittee is concerned about the inconsistent application of policies, leading to the neglect of rights in practice. </w:t>
      </w:r>
    </w:p>
    <w:p w14:paraId="77DF5772" w14:textId="77777777" w:rsidR="002C2FDA" w:rsidRPr="00353F00" w:rsidRDefault="002C2FDA" w:rsidP="002C2FDA">
      <w:pPr>
        <w:pStyle w:val="SingleTxtG"/>
      </w:pPr>
      <w:r w:rsidRPr="00353F00">
        <w:t>87.</w:t>
      </w:r>
      <w:r w:rsidRPr="00353F00">
        <w:tab/>
        <w:t xml:space="preserve">The delegation received information from detainees who had been unable to speak privately with their lawyers because a prison staff member was always stationed within hearing distance during such discussions. </w:t>
      </w:r>
    </w:p>
    <w:p w14:paraId="4E2AAF1E" w14:textId="77777777" w:rsidR="002C2FDA" w:rsidRPr="00353F00" w:rsidRDefault="002C2FDA" w:rsidP="002C2FDA">
      <w:pPr>
        <w:pStyle w:val="SingleTxtG"/>
      </w:pPr>
      <w:r w:rsidRPr="00353F00">
        <w:lastRenderedPageBreak/>
        <w:t>88.</w:t>
      </w:r>
      <w:r w:rsidRPr="00353F00">
        <w:tab/>
        <w:t xml:space="preserve">The Subcommittee is concerned about prisoners being left in a state of limbo, with little to no information about the length of their detention, upcoming court dates, subsequent meetings with lawyers or the possibility to contact their families. This is incompatible with rule 119 of the United Nations Standard Minimum Rules for the Treatment of Prisoners (the Nelson Mandela Rules) and with the State </w:t>
      </w:r>
      <w:r>
        <w:t>Party</w:t>
      </w:r>
      <w:r w:rsidRPr="00353F00">
        <w:t xml:space="preserve">’s obligations to ensure fundamental legal safeguards. </w:t>
      </w:r>
    </w:p>
    <w:p w14:paraId="568CF1BB" w14:textId="77777777" w:rsidR="002C2FDA" w:rsidRPr="00353F00" w:rsidRDefault="002C2FDA" w:rsidP="002C2FDA">
      <w:pPr>
        <w:pStyle w:val="SingleTxtG"/>
        <w:rPr>
          <w:b/>
          <w:bCs/>
        </w:rPr>
      </w:pPr>
      <w:r w:rsidRPr="00353F00">
        <w:t>89.</w:t>
      </w:r>
      <w:r w:rsidRPr="00353F00">
        <w:tab/>
      </w:r>
      <w:r w:rsidRPr="00353F00">
        <w:rPr>
          <w:b/>
          <w:bCs/>
        </w:rPr>
        <w:t xml:space="preserve">The State </w:t>
      </w:r>
      <w:r>
        <w:rPr>
          <w:b/>
          <w:bCs/>
        </w:rPr>
        <w:t>Party</w:t>
      </w:r>
      <w:r w:rsidRPr="00353F00">
        <w:rPr>
          <w:b/>
          <w:bCs/>
        </w:rPr>
        <w:t xml:space="preserve"> should make prison staff aware of their obligation to uphold fundamental legal safeguards in practice, that is, in a manner that ensures that detainees are able to enjoy their rights effectively and fully.</w:t>
      </w:r>
    </w:p>
    <w:p w14:paraId="782278FC" w14:textId="77777777" w:rsidR="002C2FDA" w:rsidRPr="00353F00" w:rsidRDefault="002C2FDA" w:rsidP="002C2FDA">
      <w:pPr>
        <w:pStyle w:val="H23G"/>
      </w:pPr>
      <w:r w:rsidRPr="00353F00">
        <w:tab/>
      </w:r>
      <w:r w:rsidRPr="00353F00">
        <w:tab/>
        <w:t>Material conditions</w:t>
      </w:r>
    </w:p>
    <w:p w14:paraId="5D884485" w14:textId="77777777" w:rsidR="002C2FDA" w:rsidRPr="00353F00" w:rsidRDefault="002C2FDA" w:rsidP="002C2FDA">
      <w:pPr>
        <w:pStyle w:val="SingleTxtG"/>
      </w:pPr>
      <w:r w:rsidRPr="00353F00">
        <w:t>90.</w:t>
      </w:r>
      <w:r w:rsidRPr="00353F00">
        <w:tab/>
        <w:t>The Subcommittee is concerned about the lack of hygienic conditions in some cells, which is made acute by overcrowding, a lack of ventilation and detainees’ limited access to showers. The delegation observed that, in summer, the temperature in some severely overcrowded cells with little ventilation</w:t>
      </w:r>
      <w:r w:rsidRPr="00353F00" w:rsidDel="00803423">
        <w:t xml:space="preserve"> </w:t>
      </w:r>
      <w:r w:rsidRPr="00353F00">
        <w:t xml:space="preserve">reached well over 30 degrees. Some prison establishments do not have non-smoking rooms, exposing detainees who do not smoke, including some with asthma, to </w:t>
      </w:r>
      <w:proofErr w:type="spellStart"/>
      <w:r w:rsidRPr="00353F00">
        <w:t>secondhand</w:t>
      </w:r>
      <w:proofErr w:type="spellEnd"/>
      <w:r w:rsidRPr="00353F00">
        <w:t xml:space="preserve"> smoke.</w:t>
      </w:r>
    </w:p>
    <w:p w14:paraId="4FB98E96" w14:textId="77777777" w:rsidR="002C2FDA" w:rsidRPr="00353F00" w:rsidRDefault="002C2FDA" w:rsidP="002C2FDA">
      <w:pPr>
        <w:pStyle w:val="SingleTxtG"/>
      </w:pPr>
      <w:r w:rsidRPr="00353F00">
        <w:t>91.</w:t>
      </w:r>
      <w:r w:rsidRPr="00353F00">
        <w:tab/>
        <w:t>While noting that detainees were satisfied overall with the quality of food provided in prisons, the delegation received information about a lack of accommodation for those with religious dietary restrictions.</w:t>
      </w:r>
    </w:p>
    <w:p w14:paraId="1C9FFC64" w14:textId="77777777" w:rsidR="002C2FDA" w:rsidRPr="00353F00" w:rsidRDefault="002C2FDA" w:rsidP="002C2FDA">
      <w:pPr>
        <w:pStyle w:val="SingleTxtG"/>
      </w:pPr>
      <w:r w:rsidRPr="00353F00">
        <w:t>92.</w:t>
      </w:r>
      <w:r w:rsidRPr="00353F00">
        <w:tab/>
        <w:t>The delegation observed that courtyards used by detainees for outdoor walks and other physical activities offered little to no protection from the sun and precipitation.</w:t>
      </w:r>
    </w:p>
    <w:p w14:paraId="40A25162" w14:textId="77777777" w:rsidR="002C2FDA" w:rsidRPr="00353F00" w:rsidRDefault="002C2FDA" w:rsidP="002C2FDA">
      <w:pPr>
        <w:pStyle w:val="SingleTxtG"/>
        <w:rPr>
          <w:b/>
          <w:bCs/>
        </w:rPr>
      </w:pPr>
      <w:r w:rsidRPr="00353F00">
        <w:t>93.</w:t>
      </w:r>
      <w:r w:rsidRPr="00353F00">
        <w:tab/>
      </w:r>
      <w:r w:rsidRPr="00353F00">
        <w:rPr>
          <w:b/>
          <w:bCs/>
        </w:rPr>
        <w:t xml:space="preserve">While noting that these issues must be addressed jointly with the overcrowding, the Subcommittee recommends that, in all prisons, the State </w:t>
      </w:r>
      <w:r>
        <w:rPr>
          <w:b/>
          <w:bCs/>
        </w:rPr>
        <w:t>Party</w:t>
      </w:r>
      <w:r w:rsidRPr="00353F00">
        <w:rPr>
          <w:b/>
          <w:bCs/>
        </w:rPr>
        <w:t>:</w:t>
      </w:r>
    </w:p>
    <w:p w14:paraId="2E18FA43" w14:textId="77777777" w:rsidR="002C2FDA" w:rsidRPr="00353F00" w:rsidRDefault="002C2FDA" w:rsidP="002C2FDA">
      <w:pPr>
        <w:pStyle w:val="SingleTxtG"/>
        <w:rPr>
          <w:b/>
          <w:bCs/>
        </w:rPr>
      </w:pPr>
      <w:r w:rsidRPr="00353F00">
        <w:rPr>
          <w:b/>
          <w:bCs/>
        </w:rPr>
        <w:tab/>
      </w:r>
      <w:r w:rsidRPr="008B2544">
        <w:t>(a)</w:t>
      </w:r>
      <w:r w:rsidRPr="00353F00">
        <w:rPr>
          <w:b/>
          <w:bCs/>
        </w:rPr>
        <w:tab/>
        <w:t>Ensure that there is an adequate level of cleanliness that fosters personal hygiene in all detention cells, including frequency of showers, considering the weather conditions;</w:t>
      </w:r>
    </w:p>
    <w:p w14:paraId="0F45B821" w14:textId="77777777" w:rsidR="002C2FDA" w:rsidRPr="00353F00" w:rsidRDefault="002C2FDA" w:rsidP="002C2FDA">
      <w:pPr>
        <w:pStyle w:val="SingleTxtG"/>
        <w:rPr>
          <w:b/>
          <w:bCs/>
        </w:rPr>
      </w:pPr>
      <w:r w:rsidRPr="00353F00">
        <w:rPr>
          <w:b/>
          <w:bCs/>
        </w:rPr>
        <w:tab/>
      </w:r>
      <w:r w:rsidRPr="008B2544">
        <w:t>(b)</w:t>
      </w:r>
      <w:r w:rsidRPr="00353F00">
        <w:rPr>
          <w:b/>
          <w:bCs/>
        </w:rPr>
        <w:tab/>
        <w:t xml:space="preserve">Ensure that the temperature in cells is adequate and that cells are properly ventilated; </w:t>
      </w:r>
    </w:p>
    <w:p w14:paraId="00B59106" w14:textId="77777777" w:rsidR="002C2FDA" w:rsidRPr="00353F00" w:rsidRDefault="002C2FDA" w:rsidP="002C2FDA">
      <w:pPr>
        <w:pStyle w:val="SingleTxtG"/>
        <w:rPr>
          <w:b/>
          <w:bCs/>
        </w:rPr>
      </w:pPr>
      <w:r w:rsidRPr="00353F00">
        <w:rPr>
          <w:b/>
          <w:bCs/>
        </w:rPr>
        <w:tab/>
      </w:r>
      <w:r w:rsidRPr="008B2544">
        <w:t>(c)</w:t>
      </w:r>
      <w:r w:rsidRPr="00353F00">
        <w:rPr>
          <w:b/>
          <w:bCs/>
        </w:rPr>
        <w:tab/>
        <w:t>Ensure that the food provided includes options that meet cultural, religious and dietary needs;</w:t>
      </w:r>
    </w:p>
    <w:p w14:paraId="50894E26" w14:textId="77777777" w:rsidR="002C2FDA" w:rsidRPr="00353F00" w:rsidRDefault="002C2FDA" w:rsidP="002C2FDA">
      <w:pPr>
        <w:pStyle w:val="SingleTxtG"/>
        <w:rPr>
          <w:b/>
          <w:bCs/>
        </w:rPr>
      </w:pPr>
      <w:r w:rsidRPr="00353F00">
        <w:rPr>
          <w:b/>
          <w:bCs/>
        </w:rPr>
        <w:tab/>
      </w:r>
      <w:r w:rsidRPr="008B2544">
        <w:t>(d)</w:t>
      </w:r>
      <w:r w:rsidRPr="00353F00">
        <w:rPr>
          <w:b/>
          <w:bCs/>
        </w:rPr>
        <w:tab/>
        <w:t>Ensure that detainees can be accommodated in non-smoking rooms when they so wish;</w:t>
      </w:r>
    </w:p>
    <w:p w14:paraId="3E87DFC6" w14:textId="77777777" w:rsidR="002C2FDA" w:rsidRPr="00353F00" w:rsidRDefault="002C2FDA" w:rsidP="002C2FDA">
      <w:pPr>
        <w:pStyle w:val="SingleTxtG"/>
        <w:rPr>
          <w:b/>
          <w:bCs/>
        </w:rPr>
      </w:pPr>
      <w:r w:rsidRPr="00353F00">
        <w:rPr>
          <w:b/>
          <w:bCs/>
        </w:rPr>
        <w:tab/>
      </w:r>
      <w:r w:rsidRPr="008B2544">
        <w:t>(e)</w:t>
      </w:r>
      <w:r w:rsidRPr="00353F00">
        <w:rPr>
          <w:b/>
          <w:bCs/>
        </w:rPr>
        <w:tab/>
        <w:t>Improve prisons’ outdoor infrastructure to ensure that prisoners are adequately shielded from the sun and precipitation when using them.</w:t>
      </w:r>
    </w:p>
    <w:p w14:paraId="7DA0774F" w14:textId="77777777" w:rsidR="002C2FDA" w:rsidRPr="00353F00" w:rsidRDefault="002C2FDA" w:rsidP="002C2FDA">
      <w:pPr>
        <w:pStyle w:val="H23G"/>
      </w:pPr>
      <w:r w:rsidRPr="00353F00">
        <w:tab/>
      </w:r>
      <w:r w:rsidRPr="00353F00">
        <w:tab/>
        <w:t>Regime</w:t>
      </w:r>
    </w:p>
    <w:p w14:paraId="100DFD60" w14:textId="77777777" w:rsidR="002C2FDA" w:rsidRPr="00353F00" w:rsidRDefault="002C2FDA" w:rsidP="002C2FDA">
      <w:pPr>
        <w:pStyle w:val="SingleTxtG"/>
      </w:pPr>
      <w:r w:rsidRPr="00353F00">
        <w:t>94.</w:t>
      </w:r>
      <w:r w:rsidRPr="00353F00">
        <w:tab/>
        <w:t xml:space="preserve">The Subcommittee welcomes efforts to give all detainees 2 hours of outdoor exercise daily but remains concerned that several detainees are confined to their cells with no access to purposeful activities for the remaining 22 hours. </w:t>
      </w:r>
    </w:p>
    <w:p w14:paraId="03BE001B" w14:textId="77777777" w:rsidR="002C2FDA" w:rsidRPr="00353F00" w:rsidRDefault="002C2FDA" w:rsidP="002C2FDA">
      <w:pPr>
        <w:pStyle w:val="SingleTxtG"/>
      </w:pPr>
      <w:r w:rsidRPr="00353F00">
        <w:t>95.</w:t>
      </w:r>
      <w:r w:rsidRPr="00353F00">
        <w:tab/>
        <w:t>While noting that 30 per cent of sentenced detainees can work, according to authorities, the Subcommittee received information and is concerned about the overall lack of work and training opportunities offered in prisons. The Subcommittee is also concerned that remand prisoners in particular have little to no access to these activities, despite the length of their pretrial detention.</w:t>
      </w:r>
    </w:p>
    <w:p w14:paraId="2B16B013" w14:textId="77777777" w:rsidR="002C2FDA" w:rsidRPr="00353F00" w:rsidRDefault="002C2FDA" w:rsidP="002C2FDA">
      <w:pPr>
        <w:pStyle w:val="SingleTxtG"/>
      </w:pPr>
      <w:r w:rsidRPr="00353F00">
        <w:t>96.</w:t>
      </w:r>
      <w:r w:rsidRPr="00353F00">
        <w:tab/>
        <w:t>The delegation received complaints about detainees’ limited access to phone calls and conjugal visits, for which some establishments had no dedicated space. Some detainees alleged that they were prevented from accessing intimate and family rooms because they were not married.</w:t>
      </w:r>
    </w:p>
    <w:p w14:paraId="206D9F72" w14:textId="77777777" w:rsidR="002C2FDA" w:rsidRPr="00353F00" w:rsidRDefault="002C2FDA" w:rsidP="002C2FDA">
      <w:pPr>
        <w:pStyle w:val="SingleTxtG"/>
        <w:rPr>
          <w:b/>
          <w:bCs/>
        </w:rPr>
      </w:pPr>
      <w:r w:rsidRPr="00353F00">
        <w:t>97.</w:t>
      </w:r>
      <w:r w:rsidRPr="00353F00">
        <w:tab/>
      </w:r>
      <w:r w:rsidRPr="00353F00">
        <w:rPr>
          <w:b/>
          <w:bCs/>
        </w:rPr>
        <w:t xml:space="preserve">The Subcommittee recommends that the State </w:t>
      </w:r>
      <w:r>
        <w:rPr>
          <w:b/>
          <w:bCs/>
        </w:rPr>
        <w:t>Party</w:t>
      </w:r>
      <w:r w:rsidRPr="00353F00">
        <w:rPr>
          <w:b/>
          <w:bCs/>
        </w:rPr>
        <w:t xml:space="preserve"> ensure that prisoners are permitted to go out of their cells into common areas and courtyards, in line with established outdoor activity schedules, with the possibility of engaging in purposeful </w:t>
      </w:r>
      <w:r w:rsidRPr="00353F00">
        <w:rPr>
          <w:b/>
          <w:bCs/>
        </w:rPr>
        <w:lastRenderedPageBreak/>
        <w:t>and communal activities, should they wish to do so. The Subcommittee stresses the importance of such access to areas located outside cells being granted to detainees on a fair and equitable basis, irrespective of the detention regime applicable to them.</w:t>
      </w:r>
    </w:p>
    <w:p w14:paraId="288AAA63" w14:textId="77777777" w:rsidR="002C2FDA" w:rsidRPr="00353F00" w:rsidRDefault="002C2FDA" w:rsidP="002C2FDA">
      <w:pPr>
        <w:pStyle w:val="SingleTxtG"/>
        <w:rPr>
          <w:b/>
          <w:bCs/>
        </w:rPr>
      </w:pPr>
      <w:r w:rsidRPr="00353F00">
        <w:t>98.</w:t>
      </w:r>
      <w:r w:rsidRPr="00353F00">
        <w:tab/>
      </w:r>
      <w:r w:rsidRPr="00353F00">
        <w:rPr>
          <w:b/>
          <w:bCs/>
        </w:rPr>
        <w:t xml:space="preserve">The Subcommittee also recommends that the State </w:t>
      </w:r>
      <w:r>
        <w:rPr>
          <w:b/>
          <w:bCs/>
        </w:rPr>
        <w:t>Party</w:t>
      </w:r>
      <w:r w:rsidRPr="00353F00">
        <w:rPr>
          <w:b/>
          <w:bCs/>
        </w:rPr>
        <w:t xml:space="preserve"> broaden the work, educational, vocational and recreational opportunities for all prisoners, as these activities facilitate the rehabilitation of prisoners and their future reintegration into society. The Subcommittee further recommends that work opportunities that are fairly remunerated be made available to all detainees. Considering their lengthy detention, particular efforts must be made to ensure that remand prisoners also have access to these opportunities. </w:t>
      </w:r>
    </w:p>
    <w:p w14:paraId="6AB766DD" w14:textId="77777777" w:rsidR="002C2FDA" w:rsidRPr="00353F00" w:rsidRDefault="002C2FDA" w:rsidP="002C2FDA">
      <w:pPr>
        <w:pStyle w:val="SingleTxtG"/>
        <w:rPr>
          <w:b/>
          <w:bCs/>
        </w:rPr>
      </w:pPr>
      <w:r w:rsidRPr="00353F00">
        <w:t>99.</w:t>
      </w:r>
      <w:r w:rsidRPr="00353F00">
        <w:tab/>
      </w:r>
      <w:r w:rsidRPr="00353F00">
        <w:rPr>
          <w:b/>
          <w:bCs/>
        </w:rPr>
        <w:t xml:space="preserve">The Subcommittee further recommends that the State </w:t>
      </w:r>
      <w:r>
        <w:rPr>
          <w:b/>
          <w:bCs/>
        </w:rPr>
        <w:t>Party</w:t>
      </w:r>
      <w:r w:rsidRPr="00353F00">
        <w:rPr>
          <w:b/>
          <w:bCs/>
        </w:rPr>
        <w:t xml:space="preserve"> allow detainees to make phone calls to family members and other persons. The Subcommittee recommends that the State </w:t>
      </w:r>
      <w:r>
        <w:rPr>
          <w:b/>
          <w:bCs/>
        </w:rPr>
        <w:t>Party</w:t>
      </w:r>
      <w:r w:rsidRPr="00353F00">
        <w:rPr>
          <w:b/>
          <w:bCs/>
        </w:rPr>
        <w:t xml:space="preserve"> provide dedicated spaces for family and conjugal visits and ensure that intimate and family rooms are accessible to all detainees and their families on request, where relevant, regardless of their sexual orientation, gender identity or marital status. Restrictions on such contacts may be imposed only in exceptional circumstances.</w:t>
      </w:r>
    </w:p>
    <w:p w14:paraId="18F21064" w14:textId="77777777" w:rsidR="002C2FDA" w:rsidRPr="00353F00" w:rsidRDefault="002C2FDA" w:rsidP="002C2FDA">
      <w:pPr>
        <w:pStyle w:val="H23G"/>
      </w:pPr>
      <w:r w:rsidRPr="00353F00">
        <w:tab/>
      </w:r>
      <w:r w:rsidRPr="00353F00">
        <w:tab/>
        <w:t>Health care</w:t>
      </w:r>
    </w:p>
    <w:p w14:paraId="196B9995" w14:textId="77777777" w:rsidR="002C2FDA" w:rsidRPr="00353F00" w:rsidRDefault="002C2FDA" w:rsidP="002C2FDA">
      <w:pPr>
        <w:pStyle w:val="SingleTxtG"/>
      </w:pPr>
      <w:r w:rsidRPr="00353F00">
        <w:t>100.</w:t>
      </w:r>
      <w:r w:rsidRPr="00353F00">
        <w:tab/>
        <w:t xml:space="preserve">The delegation observed that the institutions it visited employed, or otherwise had available, health-care staff, and had procedures in place for assessing the health of newly arriving prisoners. However, it was also informed that more than 40 per cent of health-care staff positions were vacant. </w:t>
      </w:r>
    </w:p>
    <w:p w14:paraId="4FEFA705" w14:textId="77777777" w:rsidR="002C2FDA" w:rsidRPr="00353F00" w:rsidRDefault="002C2FDA" w:rsidP="002C2FDA">
      <w:pPr>
        <w:pStyle w:val="SingleTxtG"/>
      </w:pPr>
      <w:r w:rsidRPr="00353F00">
        <w:t>101.</w:t>
      </w:r>
      <w:r w:rsidRPr="00353F00">
        <w:tab/>
        <w:t>Some detainees have their own health insurance and remain under the care of their general practitioner. For those who do not have their own, the State provides a minimum level of insurance.</w:t>
      </w:r>
      <w:r w:rsidRPr="00353F00" w:rsidDel="006860F1">
        <w:t xml:space="preserve"> </w:t>
      </w:r>
      <w:r w:rsidRPr="00353F00">
        <w:t xml:space="preserve">This distribution of tasks between prison health-care services and general practitioners seems to result in a very high administrative workload for the prison health-care services, which may take away resources from clinical tasks. In addition, some procedures related to contact with outside doctors involved relatives or lawyers. </w:t>
      </w:r>
    </w:p>
    <w:p w14:paraId="37E74601" w14:textId="77777777" w:rsidR="002C2FDA" w:rsidRPr="00353F00" w:rsidRDefault="002C2FDA" w:rsidP="002C2FDA">
      <w:pPr>
        <w:pStyle w:val="SingleTxtG"/>
      </w:pPr>
      <w:r w:rsidRPr="00353F00">
        <w:t>102.</w:t>
      </w:r>
      <w:r w:rsidRPr="00353F00">
        <w:tab/>
        <w:t xml:space="preserve">In interviews, prisoners complained about delayed or inadequate health-care services, both medical and dental. Several of them alleged that, despite repeated requests for medical assistance, care had only been provided after their situation had deteriorated and become critical, or after months-long delays. Women, in particular, complained that they had had access to health-care services only after having pressured prison guards. </w:t>
      </w:r>
    </w:p>
    <w:p w14:paraId="3E757060" w14:textId="77777777" w:rsidR="002C2FDA" w:rsidRPr="00353F00" w:rsidRDefault="002C2FDA" w:rsidP="002C2FDA">
      <w:pPr>
        <w:pStyle w:val="SingleTxtG"/>
      </w:pPr>
      <w:r w:rsidRPr="00353F00">
        <w:t>103.</w:t>
      </w:r>
      <w:r w:rsidRPr="00353F00">
        <w:tab/>
        <w:t>The prison health-care services do not have a uniform system of electronic medical files, which could ease communication within the sector.</w:t>
      </w:r>
    </w:p>
    <w:p w14:paraId="3A64EED0" w14:textId="77777777" w:rsidR="002C2FDA" w:rsidRPr="00353F00" w:rsidRDefault="002C2FDA" w:rsidP="002C2FDA">
      <w:pPr>
        <w:pStyle w:val="SingleTxtG"/>
        <w:rPr>
          <w:b/>
          <w:bCs/>
        </w:rPr>
      </w:pPr>
      <w:r w:rsidRPr="00353F00">
        <w:t>104.</w:t>
      </w:r>
      <w:r w:rsidRPr="00353F00">
        <w:tab/>
      </w:r>
      <w:r w:rsidRPr="00353F00">
        <w:rPr>
          <w:b/>
          <w:bCs/>
        </w:rPr>
        <w:t>The Subcommittee recommends that procedures be put in place, and sufficient human and financial resources be allocated, to ensure that penitentiary institutions have well-functioning health-care services, that prisoners can enjoy the same standards of health care that are available in the community without undue delays and that prisoners have access to necessary health-care services free of charge, as stipulated in rule 24 (1) of the Nelson Mandela Rules. This includes preventive health-care services, including mental health care and suicide prevention services, and services that consider the needs of particularly vulnerable prison populations.</w:t>
      </w:r>
    </w:p>
    <w:p w14:paraId="4D2A7688" w14:textId="77777777" w:rsidR="002C2FDA" w:rsidRPr="00353F00" w:rsidRDefault="002C2FDA" w:rsidP="002C2FDA">
      <w:pPr>
        <w:pStyle w:val="H23G"/>
      </w:pPr>
      <w:r w:rsidRPr="00353F00">
        <w:tab/>
      </w:r>
      <w:r w:rsidRPr="00353F00">
        <w:tab/>
        <w:t>Disciplinary measures/regimes</w:t>
      </w:r>
    </w:p>
    <w:p w14:paraId="7112187E" w14:textId="77777777" w:rsidR="002C2FDA" w:rsidRPr="00353F00" w:rsidRDefault="002C2FDA" w:rsidP="002C2FDA">
      <w:pPr>
        <w:pStyle w:val="SingleTxtG"/>
      </w:pPr>
      <w:r w:rsidRPr="00353F00">
        <w:t>105.</w:t>
      </w:r>
      <w:r w:rsidRPr="00353F00">
        <w:tab/>
        <w:t>The delegation saw “rubber rooms”, but was told that they were not used. The delegation observed the absence of registries for isolation cells, observation cells and “rubber rooms”, and other disciplinary measures. The decrepit state of some of the isolation cells and the fact that some of them were fitted with window coverings that could be used as ligature points was concerning. One of the prisoners interviewed reported that there was no light inside the isolation cell.</w:t>
      </w:r>
    </w:p>
    <w:p w14:paraId="5E4298DA" w14:textId="77777777" w:rsidR="002C2FDA" w:rsidRPr="00353F00" w:rsidRDefault="002C2FDA" w:rsidP="002C2FDA">
      <w:pPr>
        <w:pStyle w:val="SingleTxtG"/>
        <w:rPr>
          <w:b/>
          <w:bCs/>
        </w:rPr>
      </w:pPr>
      <w:r w:rsidRPr="00353F00">
        <w:t>106.</w:t>
      </w:r>
      <w:r w:rsidRPr="00353F00">
        <w:tab/>
      </w:r>
      <w:r w:rsidRPr="00353F00">
        <w:rPr>
          <w:b/>
          <w:bCs/>
        </w:rPr>
        <w:t xml:space="preserve">The Subcommittee wishes to stress that solitary confinement, isolation and administrative segregation should only be used as a last resort, under exceptional </w:t>
      </w:r>
      <w:r w:rsidRPr="00353F00">
        <w:rPr>
          <w:b/>
          <w:bCs/>
        </w:rPr>
        <w:lastRenderedPageBreak/>
        <w:t>circumstances, for the shortest possible time and with adequate procedural safeguards, in line with the Nelson Mandela Rules, in particular rules 36–46.</w:t>
      </w:r>
    </w:p>
    <w:p w14:paraId="3BEEBF6F" w14:textId="77777777" w:rsidR="002C2FDA" w:rsidRPr="00353F00" w:rsidRDefault="002C2FDA" w:rsidP="002C2FDA">
      <w:pPr>
        <w:pStyle w:val="SingleTxtG"/>
        <w:rPr>
          <w:b/>
          <w:bCs/>
        </w:rPr>
      </w:pPr>
      <w:r w:rsidRPr="00353F00">
        <w:t>107.</w:t>
      </w:r>
      <w:r w:rsidRPr="00353F00">
        <w:tab/>
      </w:r>
      <w:r w:rsidRPr="00353F00">
        <w:rPr>
          <w:b/>
          <w:bCs/>
        </w:rPr>
        <w:t xml:space="preserve">To facilitate oversight, the Subcommittee recommends that record-keeping be improved to ensure that an independent third </w:t>
      </w:r>
      <w:r>
        <w:rPr>
          <w:b/>
          <w:bCs/>
        </w:rPr>
        <w:t>Party</w:t>
      </w:r>
      <w:r w:rsidRPr="00353F00">
        <w:rPr>
          <w:b/>
          <w:bCs/>
        </w:rPr>
        <w:t xml:space="preserve"> can review all cases of solitary confinement from a single file or registry. Information entered in records should include the nature of the sanction, the name of the person who decided it, the official who enforced it and the start and end dates and times.</w:t>
      </w:r>
    </w:p>
    <w:p w14:paraId="5132CFCD" w14:textId="77777777" w:rsidR="002C2FDA" w:rsidRPr="00353F00" w:rsidRDefault="002C2FDA" w:rsidP="002C2FDA">
      <w:pPr>
        <w:pStyle w:val="SingleTxtG"/>
        <w:rPr>
          <w:b/>
          <w:bCs/>
        </w:rPr>
      </w:pPr>
      <w:r w:rsidRPr="00353F00">
        <w:t>108.</w:t>
      </w:r>
      <w:r w:rsidRPr="00353F00">
        <w:tab/>
      </w:r>
      <w:r w:rsidRPr="00353F00">
        <w:rPr>
          <w:b/>
          <w:bCs/>
        </w:rPr>
        <w:t xml:space="preserve">The Subcommittee also recommends that, in the meanwhile, registers of disciplinary measures be harmonized and information about detainees be collected and made available centrally, in a comprehensive and systematic manner. </w:t>
      </w:r>
    </w:p>
    <w:p w14:paraId="255ADA72" w14:textId="77777777" w:rsidR="002C2FDA" w:rsidRPr="00353F00" w:rsidRDefault="002C2FDA" w:rsidP="002C2FDA">
      <w:pPr>
        <w:pStyle w:val="H23G"/>
      </w:pPr>
      <w:r w:rsidRPr="00353F00">
        <w:tab/>
      </w:r>
      <w:r w:rsidRPr="00353F00">
        <w:tab/>
        <w:t xml:space="preserve">Prison personnel and their training </w:t>
      </w:r>
    </w:p>
    <w:p w14:paraId="297AFB44" w14:textId="77777777" w:rsidR="002C2FDA" w:rsidRPr="00353F00" w:rsidRDefault="002C2FDA" w:rsidP="002C2FDA">
      <w:pPr>
        <w:pStyle w:val="SingleTxtG"/>
      </w:pPr>
      <w:r w:rsidRPr="00353F00">
        <w:t>109.</w:t>
      </w:r>
      <w:r w:rsidRPr="00353F00">
        <w:tab/>
        <w:t xml:space="preserve">The Subcommittee takes note of the existence of a training centre in the prison in Zagreb, where basic training, including on international regulations, is offered to prison personnel. The Subcommittee welcomes the fact that senior staff are trained on collaboration with the national preventive mechanism and the Office of the Ombudsperson. </w:t>
      </w:r>
    </w:p>
    <w:p w14:paraId="6E062DDA" w14:textId="77777777" w:rsidR="002C2FDA" w:rsidRPr="00353F00" w:rsidRDefault="002C2FDA" w:rsidP="002C2FDA">
      <w:pPr>
        <w:pStyle w:val="SingleTxtG"/>
        <w:rPr>
          <w:b/>
          <w:bCs/>
        </w:rPr>
      </w:pPr>
      <w:r w:rsidRPr="00353F00">
        <w:t>110.</w:t>
      </w:r>
      <w:r w:rsidRPr="00353F00">
        <w:tab/>
      </w:r>
      <w:r w:rsidRPr="00353F00">
        <w:rPr>
          <w:b/>
          <w:bCs/>
        </w:rPr>
        <w:t xml:space="preserve">The Subcommittee encourages the State </w:t>
      </w:r>
      <w:r>
        <w:rPr>
          <w:b/>
          <w:bCs/>
        </w:rPr>
        <w:t>Party</w:t>
      </w:r>
      <w:r w:rsidRPr="00353F00">
        <w:rPr>
          <w:b/>
          <w:bCs/>
        </w:rPr>
        <w:t xml:space="preserve"> to ensure that the educational programmes for prison personnel cover international standards relating to the prevention and prohibition of torture and ill-treatment and that all prison personnel involved in documenting and investigating torture and ill-treatment receive adequate training on the Istanbul Protocol.</w:t>
      </w:r>
    </w:p>
    <w:p w14:paraId="7E19EF57" w14:textId="77777777" w:rsidR="002C2FDA" w:rsidRPr="00353F00" w:rsidRDefault="002C2FDA" w:rsidP="002C2FDA">
      <w:pPr>
        <w:pStyle w:val="H1G"/>
      </w:pPr>
      <w:r w:rsidRPr="00353F00">
        <w:tab/>
      </w:r>
      <w:bookmarkStart w:id="39" w:name="_Toc156227366"/>
      <w:bookmarkStart w:id="40" w:name="_Toc211864424"/>
      <w:r w:rsidRPr="00353F00">
        <w:t>C.</w:t>
      </w:r>
      <w:r w:rsidRPr="00353F00">
        <w:tab/>
        <w:t>Situation of vulnerable groups and groups in particular situations of vulnerability</w:t>
      </w:r>
      <w:bookmarkEnd w:id="39"/>
      <w:bookmarkEnd w:id="40"/>
    </w:p>
    <w:p w14:paraId="43FFD338" w14:textId="77777777" w:rsidR="002C2FDA" w:rsidRPr="00353F00" w:rsidRDefault="002C2FDA" w:rsidP="002C2FDA">
      <w:pPr>
        <w:pStyle w:val="H23G"/>
      </w:pPr>
      <w:r w:rsidRPr="00353F00">
        <w:tab/>
      </w:r>
      <w:r w:rsidRPr="00353F00">
        <w:tab/>
        <w:t>Women</w:t>
      </w:r>
    </w:p>
    <w:p w14:paraId="4856D380" w14:textId="77777777" w:rsidR="002C2FDA" w:rsidRPr="00353F00" w:rsidRDefault="002C2FDA" w:rsidP="002C2FDA">
      <w:pPr>
        <w:pStyle w:val="SingleTxtG"/>
      </w:pPr>
      <w:r w:rsidRPr="00353F00">
        <w:t>111.</w:t>
      </w:r>
      <w:r w:rsidRPr="00353F00">
        <w:tab/>
        <w:t>The Subcommittee is concerned that, in comparison with men, women have access to fewer work opportunities and face longer waiting periods before being able to see a doctor or a dentist.</w:t>
      </w:r>
    </w:p>
    <w:p w14:paraId="45FCAC44" w14:textId="77777777" w:rsidR="002C2FDA" w:rsidRPr="00353F00" w:rsidRDefault="002C2FDA" w:rsidP="002C2FDA">
      <w:pPr>
        <w:pStyle w:val="SingleTxtG"/>
        <w:rPr>
          <w:b/>
          <w:bCs/>
        </w:rPr>
      </w:pPr>
      <w:r w:rsidRPr="00353F00">
        <w:t>112.</w:t>
      </w:r>
      <w:r w:rsidRPr="00353F00">
        <w:tab/>
      </w:r>
      <w:r w:rsidRPr="00353F00">
        <w:rPr>
          <w:b/>
          <w:bCs/>
        </w:rPr>
        <w:t xml:space="preserve">The Subcommittee recommends that the State </w:t>
      </w:r>
      <w:r>
        <w:rPr>
          <w:b/>
          <w:bCs/>
        </w:rPr>
        <w:t>Party</w:t>
      </w:r>
      <w:r w:rsidRPr="00353F00">
        <w:rPr>
          <w:b/>
          <w:bCs/>
        </w:rPr>
        <w:t xml:space="preserve"> broaden the work, educational, vocational and recreational opportunities for women. Efforts must be made to ensure that women have access to equal opportunities in comparison with men, in line with the United Nations Rules for the Treatment of Women Prisoners and Non</w:t>
      </w:r>
      <w:r>
        <w:rPr>
          <w:b/>
          <w:bCs/>
        </w:rPr>
        <w:noBreakHyphen/>
      </w:r>
      <w:r w:rsidRPr="00353F00">
        <w:rPr>
          <w:b/>
          <w:bCs/>
        </w:rPr>
        <w:t>custodial Measures for Women Offenders (the Bangkok Rules).</w:t>
      </w:r>
    </w:p>
    <w:p w14:paraId="09699395" w14:textId="77777777" w:rsidR="002C2FDA" w:rsidRPr="00353F00" w:rsidRDefault="002C2FDA" w:rsidP="002C2FDA">
      <w:pPr>
        <w:pStyle w:val="H23G"/>
      </w:pPr>
      <w:r w:rsidRPr="00353F00">
        <w:tab/>
      </w:r>
      <w:r w:rsidRPr="00353F00">
        <w:tab/>
        <w:t>Roma</w:t>
      </w:r>
    </w:p>
    <w:p w14:paraId="324F7DAB" w14:textId="77777777" w:rsidR="002C2FDA" w:rsidRPr="00353F00" w:rsidRDefault="002C2FDA" w:rsidP="002C2FDA">
      <w:pPr>
        <w:pStyle w:val="SingleTxtG"/>
      </w:pPr>
      <w:r w:rsidRPr="00353F00">
        <w:t>113.</w:t>
      </w:r>
      <w:r w:rsidRPr="00353F00">
        <w:tab/>
        <w:t xml:space="preserve">The delegation interviewed prisoners who alleged that they had experienced verbal abuse, physical violence and discrimination in accessing services at the hands of prison personnel, as well as inter-prisoner violence, because of their Roma origin. </w:t>
      </w:r>
    </w:p>
    <w:p w14:paraId="2E94C7FD" w14:textId="77777777" w:rsidR="002C2FDA" w:rsidRPr="00353F00" w:rsidRDefault="002C2FDA" w:rsidP="002C2FDA">
      <w:pPr>
        <w:pStyle w:val="SingleTxtG"/>
        <w:rPr>
          <w:b/>
          <w:bCs/>
        </w:rPr>
      </w:pPr>
      <w:r w:rsidRPr="00353F00">
        <w:t>114.</w:t>
      </w:r>
      <w:r w:rsidRPr="00353F00">
        <w:tab/>
      </w:r>
      <w:r w:rsidRPr="00353F00">
        <w:rPr>
          <w:b/>
          <w:bCs/>
        </w:rPr>
        <w:t xml:space="preserve">The Subcommittee recommends that the State </w:t>
      </w:r>
      <w:r>
        <w:rPr>
          <w:b/>
          <w:bCs/>
        </w:rPr>
        <w:t>Party</w:t>
      </w:r>
      <w:r w:rsidRPr="00353F00">
        <w:rPr>
          <w:b/>
          <w:bCs/>
        </w:rPr>
        <w:t>:</w:t>
      </w:r>
    </w:p>
    <w:p w14:paraId="1CC8F799" w14:textId="77777777" w:rsidR="002C2FDA" w:rsidRPr="00353F00" w:rsidRDefault="002C2FDA" w:rsidP="002C2FDA">
      <w:pPr>
        <w:pStyle w:val="SingleTxtG"/>
        <w:rPr>
          <w:b/>
          <w:bCs/>
        </w:rPr>
      </w:pPr>
      <w:r w:rsidRPr="00353F00">
        <w:rPr>
          <w:b/>
          <w:bCs/>
        </w:rPr>
        <w:tab/>
      </w:r>
      <w:r w:rsidRPr="00D66213">
        <w:t>(a)</w:t>
      </w:r>
      <w:r w:rsidRPr="00353F00">
        <w:rPr>
          <w:b/>
          <w:bCs/>
        </w:rPr>
        <w:tab/>
        <w:t>Take the measures necessary to protect the physical and psychological integrity of detainees of Roma and other minority ethnic origin;</w:t>
      </w:r>
    </w:p>
    <w:p w14:paraId="64CF7562" w14:textId="77777777" w:rsidR="002C2FDA" w:rsidRPr="00353F00" w:rsidRDefault="002C2FDA" w:rsidP="002C2FDA">
      <w:pPr>
        <w:pStyle w:val="SingleTxtG"/>
        <w:rPr>
          <w:b/>
          <w:bCs/>
        </w:rPr>
      </w:pPr>
      <w:r w:rsidRPr="00353F00">
        <w:rPr>
          <w:b/>
          <w:bCs/>
        </w:rPr>
        <w:tab/>
      </w:r>
      <w:r w:rsidRPr="00D66213">
        <w:t>(b)</w:t>
      </w:r>
      <w:r w:rsidRPr="00353F00">
        <w:rPr>
          <w:b/>
          <w:bCs/>
        </w:rPr>
        <w:tab/>
        <w:t>Train law enforcement officials and custodial staff on international rules and principles regarding equality and non-discrimination in relation to ethnicity.</w:t>
      </w:r>
    </w:p>
    <w:p w14:paraId="05D7116A" w14:textId="77777777" w:rsidR="002C2FDA" w:rsidRPr="00353F00" w:rsidRDefault="002C2FDA" w:rsidP="002C2FDA">
      <w:pPr>
        <w:pStyle w:val="H23G"/>
      </w:pPr>
      <w:r w:rsidRPr="00353F00">
        <w:tab/>
      </w:r>
      <w:r w:rsidRPr="00353F00">
        <w:tab/>
        <w:t>Non-Croatian prisoners</w:t>
      </w:r>
    </w:p>
    <w:p w14:paraId="26C3B6B2" w14:textId="77777777" w:rsidR="002C2FDA" w:rsidRPr="00353F00" w:rsidRDefault="002C2FDA" w:rsidP="002C2FDA">
      <w:pPr>
        <w:pStyle w:val="SingleTxtG"/>
      </w:pPr>
      <w:r w:rsidRPr="00353F00">
        <w:t>115.</w:t>
      </w:r>
      <w:r w:rsidRPr="00353F00">
        <w:tab/>
        <w:t>The Subcommittee is concerned that non-Croatian prisoners’ access to information in a language that they can understand is lacking. It is also concerned that, in some establishments, prisoners are asked to provide interpretation for other prisoners.</w:t>
      </w:r>
    </w:p>
    <w:p w14:paraId="3D44A46E" w14:textId="77777777" w:rsidR="002C2FDA" w:rsidRPr="00353F00" w:rsidRDefault="002C2FDA" w:rsidP="002C2FDA">
      <w:pPr>
        <w:pStyle w:val="SingleTxtG"/>
        <w:rPr>
          <w:b/>
          <w:bCs/>
        </w:rPr>
      </w:pPr>
      <w:r w:rsidRPr="00353F00">
        <w:t>116.</w:t>
      </w:r>
      <w:r w:rsidRPr="00353F00">
        <w:tab/>
      </w:r>
      <w:r w:rsidRPr="00353F00">
        <w:rPr>
          <w:b/>
          <w:bCs/>
        </w:rPr>
        <w:t xml:space="preserve">The Subcommittee recommends that the State </w:t>
      </w:r>
      <w:r>
        <w:rPr>
          <w:b/>
          <w:bCs/>
        </w:rPr>
        <w:t>Party</w:t>
      </w:r>
      <w:r w:rsidRPr="00353F00">
        <w:rPr>
          <w:b/>
          <w:bCs/>
        </w:rPr>
        <w:t xml:space="preserve"> ensure that non-Croatian prisoners can access all the information related to their detention in a language that they can understand and with professional interpretation when needed.</w:t>
      </w:r>
    </w:p>
    <w:p w14:paraId="0D64DAAB" w14:textId="77777777" w:rsidR="002C2FDA" w:rsidRPr="00353F00" w:rsidRDefault="002C2FDA" w:rsidP="002C2FDA">
      <w:pPr>
        <w:pStyle w:val="H23G"/>
      </w:pPr>
      <w:r w:rsidRPr="00353F00">
        <w:lastRenderedPageBreak/>
        <w:tab/>
      </w:r>
      <w:r w:rsidRPr="00353F00">
        <w:tab/>
        <w:t>Persons with disabilities</w:t>
      </w:r>
    </w:p>
    <w:p w14:paraId="71258944" w14:textId="77777777" w:rsidR="002C2FDA" w:rsidRPr="00353F00" w:rsidRDefault="002C2FDA" w:rsidP="002C2FDA">
      <w:pPr>
        <w:pStyle w:val="SingleTxtG"/>
      </w:pPr>
      <w:r w:rsidRPr="00353F00">
        <w:t>117.</w:t>
      </w:r>
      <w:r w:rsidRPr="00353F00">
        <w:tab/>
        <w:t xml:space="preserve">The delegation observed that prisoners with disabilities, including some with psychosocial disabilities, had insufficient access to rehabilitation and specialized care. The Subcommittee draws the State </w:t>
      </w:r>
      <w:r>
        <w:t>Party</w:t>
      </w:r>
      <w:r w:rsidRPr="00353F00">
        <w:t>’s attention to rule 109 of the Nelson Mandela Rules, which states that persons who are diagnosed with severe mental disabilities and/or health conditions for whom staying in prison would mean an exacerbation of their condition are not to be detained in prisons and that arrangements are to be made to transfer them to mental health or other appropriate health facilities as soon as possible.</w:t>
      </w:r>
    </w:p>
    <w:p w14:paraId="480FE9EB" w14:textId="77777777" w:rsidR="002C2FDA" w:rsidRPr="00353F00" w:rsidRDefault="002C2FDA" w:rsidP="002C2FDA">
      <w:pPr>
        <w:pStyle w:val="SingleTxtG"/>
        <w:rPr>
          <w:b/>
          <w:bCs/>
        </w:rPr>
      </w:pPr>
      <w:r w:rsidRPr="00353F00">
        <w:t>118.</w:t>
      </w:r>
      <w:r w:rsidRPr="00353F00">
        <w:tab/>
      </w:r>
      <w:r w:rsidRPr="00353F00">
        <w:rPr>
          <w:b/>
          <w:bCs/>
        </w:rPr>
        <w:t xml:space="preserve">The Subcommittee recommends that guidelines be developed in line with these principles, notably rule 109 of the Nelson Mandela Rules, and that the State </w:t>
      </w:r>
      <w:r>
        <w:rPr>
          <w:b/>
          <w:bCs/>
        </w:rPr>
        <w:t>Party</w:t>
      </w:r>
      <w:r w:rsidRPr="00353F00">
        <w:rPr>
          <w:b/>
          <w:bCs/>
        </w:rPr>
        <w:t xml:space="preserve"> ensure that all the rights of prisoners with disabilities are upheld.</w:t>
      </w:r>
    </w:p>
    <w:p w14:paraId="258DABB9" w14:textId="77777777" w:rsidR="002C2FDA" w:rsidRPr="00353F00" w:rsidRDefault="002C2FDA" w:rsidP="002C2FDA">
      <w:pPr>
        <w:pStyle w:val="H23G"/>
      </w:pPr>
      <w:r w:rsidRPr="00353F00">
        <w:tab/>
      </w:r>
      <w:r w:rsidRPr="00353F00">
        <w:tab/>
        <w:t>Older persons</w:t>
      </w:r>
    </w:p>
    <w:p w14:paraId="47019965" w14:textId="77777777" w:rsidR="002C2FDA" w:rsidRPr="00353F00" w:rsidRDefault="002C2FDA" w:rsidP="002C2FDA">
      <w:pPr>
        <w:pStyle w:val="SingleTxtG"/>
      </w:pPr>
      <w:r w:rsidRPr="00353F00">
        <w:t>119.</w:t>
      </w:r>
      <w:r w:rsidRPr="00353F00">
        <w:tab/>
        <w:t>The delegation observed that older prisoners requiring care because of their age did not receive it from the institution. Other prisoners were therefore put in a situation where they were de facto entrusted with the care of prisoners in need.</w:t>
      </w:r>
    </w:p>
    <w:p w14:paraId="23669295" w14:textId="77777777" w:rsidR="002C2FDA" w:rsidRPr="00353F00" w:rsidRDefault="002C2FDA" w:rsidP="002C2FDA">
      <w:pPr>
        <w:pStyle w:val="SingleTxtG"/>
        <w:rPr>
          <w:b/>
          <w:bCs/>
        </w:rPr>
      </w:pPr>
      <w:r w:rsidRPr="00353F00">
        <w:t>120.</w:t>
      </w:r>
      <w:r w:rsidRPr="00353F00">
        <w:tab/>
      </w:r>
      <w:r w:rsidRPr="00353F00">
        <w:rPr>
          <w:b/>
          <w:bCs/>
        </w:rPr>
        <w:t xml:space="preserve">The Subcommittee recommends that the State </w:t>
      </w:r>
      <w:r>
        <w:rPr>
          <w:b/>
          <w:bCs/>
        </w:rPr>
        <w:t>Party</w:t>
      </w:r>
      <w:r w:rsidRPr="00353F00">
        <w:rPr>
          <w:b/>
          <w:bCs/>
        </w:rPr>
        <w:t xml:space="preserve"> develop measures to monitor the well-being of older prisoners more closely and ensure that they have access to adequate care. </w:t>
      </w:r>
    </w:p>
    <w:p w14:paraId="31121E45" w14:textId="77777777" w:rsidR="002C2FDA" w:rsidRPr="00353F00" w:rsidRDefault="002C2FDA" w:rsidP="002C2FDA">
      <w:pPr>
        <w:pStyle w:val="H1G"/>
      </w:pPr>
      <w:bookmarkStart w:id="41" w:name="_Toc156227367"/>
      <w:r w:rsidRPr="00353F00">
        <w:tab/>
      </w:r>
      <w:bookmarkStart w:id="42" w:name="_Toc211864425"/>
      <w:r w:rsidRPr="005B74B8">
        <w:t>D.</w:t>
      </w:r>
      <w:r w:rsidRPr="005B74B8">
        <w:tab/>
        <w:t>Migration centre</w:t>
      </w:r>
      <w:bookmarkEnd w:id="41"/>
      <w:bookmarkEnd w:id="42"/>
    </w:p>
    <w:p w14:paraId="1F200320" w14:textId="77777777" w:rsidR="002C2FDA" w:rsidRPr="00353F00" w:rsidRDefault="002C2FDA" w:rsidP="002C2FDA">
      <w:pPr>
        <w:pStyle w:val="SingleTxtG"/>
      </w:pPr>
      <w:r w:rsidRPr="00353F00">
        <w:t>121.</w:t>
      </w:r>
      <w:r w:rsidRPr="00353F00">
        <w:tab/>
        <w:t xml:space="preserve">The delegation was only able to visit one place of deprivation of liberty for migrants, the Transit Reception Centre for Foreigners in </w:t>
      </w:r>
      <w:proofErr w:type="spellStart"/>
      <w:r w:rsidRPr="00353F00">
        <w:t>Tovarnik</w:t>
      </w:r>
      <w:proofErr w:type="spellEnd"/>
      <w:r w:rsidRPr="00353F00">
        <w:t>.</w:t>
      </w:r>
    </w:p>
    <w:p w14:paraId="2A24B619" w14:textId="77777777" w:rsidR="002C2FDA" w:rsidRPr="00353F00" w:rsidRDefault="002C2FDA" w:rsidP="002C2FDA">
      <w:pPr>
        <w:pStyle w:val="SingleTxtG"/>
      </w:pPr>
      <w:r w:rsidRPr="00353F00">
        <w:t>122.</w:t>
      </w:r>
      <w:r w:rsidRPr="00353F00">
        <w:tab/>
        <w:t xml:space="preserve">The Subcommittee is concerned that measures relating to fundamental legal safeguards, while stated to be formally in place, were absent in practice. For instance, some detained individuals complained that they had not been effectively provided with legal assistance or information about their detention. Moreover, the Centre did not have a room dedicated to detainees’ meetings with lawyers. </w:t>
      </w:r>
    </w:p>
    <w:p w14:paraId="5D6A9DE5" w14:textId="77777777" w:rsidR="002C2FDA" w:rsidRPr="00353F00" w:rsidRDefault="002C2FDA" w:rsidP="002C2FDA">
      <w:pPr>
        <w:pStyle w:val="SingleTxtG"/>
      </w:pPr>
      <w:r w:rsidRPr="00353F00">
        <w:t>123.</w:t>
      </w:r>
      <w:r w:rsidRPr="00353F00">
        <w:tab/>
        <w:t>The Subcommittee is particularly concerned about access to information that is understood by persons held in migration centres. While some information was made available in several languages, it was generic, and no interpretation services were available, forcing detainees to use translation services that were available free of charge online. Several migrants complained about their inability to obtain key information from custodial staff, for instance about their status and the length of their detention.</w:t>
      </w:r>
    </w:p>
    <w:p w14:paraId="5E383899" w14:textId="77777777" w:rsidR="002C2FDA" w:rsidRPr="00353F00" w:rsidRDefault="002C2FDA" w:rsidP="002C2FDA">
      <w:pPr>
        <w:pStyle w:val="SingleTxtG"/>
      </w:pPr>
      <w:r w:rsidRPr="00353F00">
        <w:t>124.</w:t>
      </w:r>
      <w:r w:rsidRPr="00353F00">
        <w:tab/>
        <w:t>The delegation was told that a police officer was present during medical examinations.</w:t>
      </w:r>
    </w:p>
    <w:p w14:paraId="2DE040B1" w14:textId="77777777" w:rsidR="002C2FDA" w:rsidRPr="00353F00" w:rsidRDefault="002C2FDA" w:rsidP="002C2FDA">
      <w:pPr>
        <w:pStyle w:val="SingleTxtG"/>
        <w:rPr>
          <w:b/>
          <w:bCs/>
        </w:rPr>
      </w:pPr>
      <w:r w:rsidRPr="00353F00">
        <w:t>125.</w:t>
      </w:r>
      <w:r w:rsidRPr="00353F00">
        <w:tab/>
      </w:r>
      <w:r w:rsidRPr="00353F00">
        <w:rPr>
          <w:b/>
          <w:bCs/>
        </w:rPr>
        <w:t xml:space="preserve">The Subcommittee recommends that the State </w:t>
      </w:r>
      <w:r>
        <w:rPr>
          <w:b/>
          <w:bCs/>
        </w:rPr>
        <w:t>Party</w:t>
      </w:r>
      <w:r w:rsidRPr="00353F00">
        <w:rPr>
          <w:b/>
          <w:bCs/>
        </w:rPr>
        <w:t xml:space="preserve"> detain migrants only as a measure of last resort. The Subcommittee reminds the State </w:t>
      </w:r>
      <w:r>
        <w:rPr>
          <w:b/>
          <w:bCs/>
        </w:rPr>
        <w:t>Party</w:t>
      </w:r>
      <w:r w:rsidRPr="00353F00">
        <w:rPr>
          <w:b/>
          <w:bCs/>
        </w:rPr>
        <w:t xml:space="preserve"> that the detention of migrant children is prohibited under any circumstances.</w:t>
      </w:r>
    </w:p>
    <w:p w14:paraId="0F1E8A7D" w14:textId="77777777" w:rsidR="002C2FDA" w:rsidRPr="00353F00" w:rsidRDefault="002C2FDA" w:rsidP="002C2FDA">
      <w:pPr>
        <w:pStyle w:val="SingleTxtG"/>
        <w:rPr>
          <w:b/>
          <w:bCs/>
        </w:rPr>
      </w:pPr>
      <w:r w:rsidRPr="00353F00">
        <w:t>126.</w:t>
      </w:r>
      <w:r w:rsidRPr="00353F00">
        <w:tab/>
      </w:r>
      <w:r w:rsidRPr="00353F00">
        <w:rPr>
          <w:b/>
          <w:bCs/>
        </w:rPr>
        <w:t xml:space="preserve">The Subcommittee also recommends that the State </w:t>
      </w:r>
      <w:r>
        <w:rPr>
          <w:b/>
          <w:bCs/>
        </w:rPr>
        <w:t>Party</w:t>
      </w:r>
      <w:r w:rsidRPr="00353F00">
        <w:rPr>
          <w:b/>
          <w:bCs/>
        </w:rPr>
        <w:t xml:space="preserve"> establish procedures to ensure that migrants are provided with information concerning their personal situation, including their personal legal situation, promptly, in an accessible manner and in a language that they understand. Migrants should also be effectively informed about support and other services available to them, ways of accessing them, their rights and obligations during the relevant legal processes and procedures, the possible consequences of non-compliance or non-cooperation and any remedies available to them. Information provided should cover both general applicable norms, as well as the specific situation of the individuals concerned. In particular, the Subcommittee recommends that the State </w:t>
      </w:r>
      <w:r>
        <w:rPr>
          <w:b/>
          <w:bCs/>
        </w:rPr>
        <w:t>Party</w:t>
      </w:r>
      <w:r w:rsidRPr="00353F00">
        <w:rPr>
          <w:b/>
          <w:bCs/>
        </w:rPr>
        <w:t xml:space="preserve"> allocate the financial and human resources necessary to ensure that qualified interpreters are hired to work with the authorities and migrants in the facility.</w:t>
      </w:r>
    </w:p>
    <w:p w14:paraId="21B39C21" w14:textId="77777777" w:rsidR="002C2FDA" w:rsidRPr="00353F00" w:rsidRDefault="002C2FDA" w:rsidP="002C2FDA">
      <w:pPr>
        <w:pStyle w:val="SingleTxtG"/>
      </w:pPr>
      <w:r w:rsidRPr="00353F00">
        <w:t>127.</w:t>
      </w:r>
      <w:r w:rsidRPr="00353F00">
        <w:tab/>
        <w:t xml:space="preserve">Medical examinations should be conducted out of the hearing and sight of police officers and guards, unless the doctor concerned explicitly requests otherwise. In such cases, </w:t>
      </w:r>
      <w:r w:rsidRPr="00353F00">
        <w:lastRenderedPageBreak/>
        <w:t>the doctor should record in writing the reasons for this decision and the identity of the police officer present.</w:t>
      </w:r>
    </w:p>
    <w:p w14:paraId="027952BE" w14:textId="77777777" w:rsidR="002C2FDA" w:rsidRPr="00353F00" w:rsidRDefault="002C2FDA" w:rsidP="002C2FDA">
      <w:pPr>
        <w:pStyle w:val="H1G"/>
      </w:pPr>
      <w:bookmarkStart w:id="43" w:name="_Toc156227368"/>
      <w:r w:rsidRPr="00353F00">
        <w:tab/>
      </w:r>
      <w:bookmarkStart w:id="44" w:name="_Toc211864426"/>
      <w:r w:rsidRPr="00353F00">
        <w:t>E.</w:t>
      </w:r>
      <w:r w:rsidRPr="00353F00">
        <w:tab/>
        <w:t>Social care homes</w:t>
      </w:r>
      <w:bookmarkEnd w:id="43"/>
      <w:bookmarkEnd w:id="44"/>
    </w:p>
    <w:p w14:paraId="0367F1B5" w14:textId="77777777" w:rsidR="002C2FDA" w:rsidRPr="00353F00" w:rsidRDefault="002C2FDA" w:rsidP="002C2FDA">
      <w:pPr>
        <w:pStyle w:val="SingleTxtG"/>
      </w:pPr>
      <w:r w:rsidRPr="00353F00">
        <w:t>128.</w:t>
      </w:r>
      <w:r w:rsidRPr="00353F00">
        <w:tab/>
        <w:t xml:space="preserve">The delegation was only able to visit two social care homes. It received no allegations of ill-treatment in either. </w:t>
      </w:r>
    </w:p>
    <w:p w14:paraId="45B06673" w14:textId="77777777" w:rsidR="002C2FDA" w:rsidRPr="00353F00" w:rsidRDefault="002C2FDA" w:rsidP="002C2FDA">
      <w:pPr>
        <w:pStyle w:val="SingleTxtG"/>
      </w:pPr>
      <w:r w:rsidRPr="00353F00">
        <w:t>129.</w:t>
      </w:r>
      <w:r w:rsidRPr="00353F00">
        <w:tab/>
        <w:t xml:space="preserve">The delegation noted practices and policies aiming at fostering de-institutionalization and limiting institutionalization to cases that strictly required it. </w:t>
      </w:r>
    </w:p>
    <w:p w14:paraId="1B57355E" w14:textId="77777777" w:rsidR="002C2FDA" w:rsidRPr="00353F00" w:rsidRDefault="002C2FDA" w:rsidP="002C2FDA">
      <w:pPr>
        <w:pStyle w:val="SingleTxtG"/>
      </w:pPr>
      <w:r w:rsidRPr="00353F00">
        <w:t>130.</w:t>
      </w:r>
      <w:r w:rsidRPr="00353F00">
        <w:tab/>
        <w:t>The Subcommittee welcomes various good practices, such as laws banning the use of force to address personal hygiene issues, protocols for emergency situations and the requirement of consent to placement in social care homes, to the place of residence and to the level of service to be provided. The fact that social care homes are open institutions (i.e. users can leave them at will) and that some have residents on their boards are also good practices, which the Subcommittee welcomes.</w:t>
      </w:r>
    </w:p>
    <w:p w14:paraId="7BA71B68" w14:textId="77777777" w:rsidR="002C2FDA" w:rsidRPr="00353F00" w:rsidRDefault="002C2FDA" w:rsidP="002C2FDA">
      <w:pPr>
        <w:pStyle w:val="SingleTxtG"/>
      </w:pPr>
      <w:r w:rsidRPr="00353F00">
        <w:t>131.</w:t>
      </w:r>
      <w:r w:rsidRPr="00353F00">
        <w:tab/>
        <w:t>The Subcommittee is concerned that, in some institutions, no record is kept of complaints made by residents or of the decision made by the commission in charge of considering them. While noting information from the authorities that commissions’ decisions can be appealed, the Subcommittee is concerned about the lack of provisions specifically providing for such appeals.</w:t>
      </w:r>
    </w:p>
    <w:p w14:paraId="54D350D4" w14:textId="77777777" w:rsidR="002C2FDA" w:rsidRPr="00353F00" w:rsidRDefault="002C2FDA" w:rsidP="002C2FDA">
      <w:pPr>
        <w:pStyle w:val="SingleTxtG"/>
        <w:rPr>
          <w:b/>
          <w:bCs/>
        </w:rPr>
      </w:pPr>
      <w:r w:rsidRPr="00353F00">
        <w:t>132.</w:t>
      </w:r>
      <w:r w:rsidRPr="00353F00">
        <w:tab/>
      </w:r>
      <w:r w:rsidRPr="00353F00">
        <w:rPr>
          <w:b/>
          <w:bCs/>
        </w:rPr>
        <w:t xml:space="preserve">The Subcommittee encourages the State </w:t>
      </w:r>
      <w:r>
        <w:rPr>
          <w:b/>
          <w:bCs/>
        </w:rPr>
        <w:t>Party</w:t>
      </w:r>
      <w:r w:rsidRPr="00353F00">
        <w:rPr>
          <w:b/>
          <w:bCs/>
        </w:rPr>
        <w:t xml:space="preserve"> to continue implementing and consider expanding policies fostering de-institutionalization.</w:t>
      </w:r>
    </w:p>
    <w:p w14:paraId="49D0AC28" w14:textId="77777777" w:rsidR="002C2FDA" w:rsidRPr="00353F00" w:rsidRDefault="002C2FDA" w:rsidP="002C2FDA">
      <w:pPr>
        <w:pStyle w:val="SingleTxtG"/>
        <w:rPr>
          <w:b/>
          <w:bCs/>
        </w:rPr>
      </w:pPr>
      <w:r w:rsidRPr="00353F00">
        <w:t>133.</w:t>
      </w:r>
      <w:r w:rsidRPr="00353F00">
        <w:tab/>
      </w:r>
      <w:r w:rsidRPr="00353F00">
        <w:rPr>
          <w:b/>
          <w:bCs/>
        </w:rPr>
        <w:t xml:space="preserve">While noting some institutions’ efforts to “maintain dignity” when resorting to force, the Subcommittee recommends that the State </w:t>
      </w:r>
      <w:r>
        <w:rPr>
          <w:b/>
          <w:bCs/>
        </w:rPr>
        <w:t>Party</w:t>
      </w:r>
      <w:r w:rsidRPr="00353F00">
        <w:rPr>
          <w:b/>
          <w:bCs/>
        </w:rPr>
        <w:t xml:space="preserve"> develop clear policies on physical restraint practices, including so-called humane tying. Such policies should provide for adequate recording and monitoring to ensure compliance with international law.</w:t>
      </w:r>
    </w:p>
    <w:p w14:paraId="65695DE2" w14:textId="77777777" w:rsidR="002C2FDA" w:rsidRPr="00353F00" w:rsidRDefault="002C2FDA" w:rsidP="002C2FDA">
      <w:pPr>
        <w:pStyle w:val="SingleTxtG"/>
        <w:rPr>
          <w:b/>
          <w:bCs/>
        </w:rPr>
      </w:pPr>
      <w:r w:rsidRPr="00353F00">
        <w:t>134.</w:t>
      </w:r>
      <w:r w:rsidRPr="00353F00">
        <w:tab/>
      </w:r>
      <w:r w:rsidRPr="00353F00">
        <w:rPr>
          <w:b/>
          <w:bCs/>
        </w:rPr>
        <w:t xml:space="preserve">The Subcommittee also recommends that the State </w:t>
      </w:r>
      <w:r>
        <w:rPr>
          <w:b/>
          <w:bCs/>
        </w:rPr>
        <w:t>Party</w:t>
      </w:r>
      <w:r w:rsidRPr="00353F00">
        <w:rPr>
          <w:b/>
          <w:bCs/>
        </w:rPr>
        <w:t xml:space="preserve"> ensure that the handling of complaints in social care homes is carried out promptly, confidentially, impartially and effectively by bodies with the power to investigate complaints and trigger appropriate protective and remedial action, subject to independent review. The Subcommittee further recommends that the State </w:t>
      </w:r>
      <w:r>
        <w:rPr>
          <w:b/>
          <w:bCs/>
        </w:rPr>
        <w:t>Party</w:t>
      </w:r>
      <w:r w:rsidRPr="00353F00">
        <w:rPr>
          <w:b/>
          <w:bCs/>
        </w:rPr>
        <w:t xml:space="preserve"> ensure that those submitting such complaints are not subjected to any form of reprisal or sanctions, including physical, disciplinary or administrative sanctions. The Subcommittee recommends that the State </w:t>
      </w:r>
      <w:r>
        <w:rPr>
          <w:b/>
          <w:bCs/>
        </w:rPr>
        <w:t>Party</w:t>
      </w:r>
      <w:r w:rsidRPr="00353F00">
        <w:rPr>
          <w:b/>
          <w:bCs/>
        </w:rPr>
        <w:t xml:space="preserve"> ensure that the educational and training programmes for social care home personnel includes proper documentation and complaint-processing methods. Records of all complaints received and related decisions must be kept.</w:t>
      </w:r>
    </w:p>
    <w:p w14:paraId="1643A1C3" w14:textId="77777777" w:rsidR="002C2FDA" w:rsidRPr="00353F00" w:rsidRDefault="002C2FDA" w:rsidP="002C2FDA">
      <w:pPr>
        <w:pStyle w:val="HChG"/>
      </w:pPr>
      <w:bookmarkStart w:id="45" w:name="_Toc156227369"/>
      <w:r w:rsidRPr="00353F00">
        <w:tab/>
      </w:r>
      <w:bookmarkStart w:id="46" w:name="_Toc211864427"/>
      <w:r w:rsidRPr="00353F00">
        <w:t>VI.</w:t>
      </w:r>
      <w:r w:rsidRPr="00353F00">
        <w:tab/>
        <w:t>Next steps</w:t>
      </w:r>
      <w:bookmarkEnd w:id="45"/>
      <w:bookmarkEnd w:id="46"/>
    </w:p>
    <w:p w14:paraId="3BA17694" w14:textId="77777777" w:rsidR="002C2FDA" w:rsidRPr="00353F00" w:rsidRDefault="002C2FDA" w:rsidP="002C2FDA">
      <w:pPr>
        <w:pStyle w:val="SingleTxtG"/>
      </w:pPr>
      <w:r w:rsidRPr="00353F00">
        <w:t>135.</w:t>
      </w:r>
      <w:r w:rsidRPr="00353F00">
        <w:tab/>
        <w:t xml:space="preserve">The Subcommittee requests that the State </w:t>
      </w:r>
      <w:r>
        <w:t>Party</w:t>
      </w:r>
      <w:r w:rsidRPr="00353F00">
        <w:t xml:space="preserve"> reply to the present report within six months of the date of its transmittal to the Permanent Mission of Croatia to the United Nations Office and other international organizations in Geneva. The reply should respond directly to all the recommendations made in the present report, giving a full account of action that has already been taken or is planned, including timescales, in order to implement the recommendations. The reply should include details concerning both the implementation of institution-specific recommendations and general policy and practice.</w:t>
      </w:r>
    </w:p>
    <w:p w14:paraId="3C4EE335" w14:textId="77777777" w:rsidR="002C2FDA" w:rsidRPr="00353F00" w:rsidRDefault="002C2FDA" w:rsidP="002C2FDA">
      <w:pPr>
        <w:pStyle w:val="SingleTxtG"/>
      </w:pPr>
      <w:r w:rsidRPr="00353F00">
        <w:t>136.</w:t>
      </w:r>
      <w:r w:rsidRPr="00353F00">
        <w:tab/>
        <w:t xml:space="preserve">Article 15 of the Optional Protocol prohibits all forms of sanction or reprisal, from all sources, against anyone who has been, or who has sought to be, in contact with the Subcommittee. The Subcommittee reminds the State </w:t>
      </w:r>
      <w:r>
        <w:t>Party</w:t>
      </w:r>
      <w:r w:rsidRPr="00353F00">
        <w:t xml:space="preserve"> of its obligation to ensure that no such sanctions or reprisals occur and requests that, in the State </w:t>
      </w:r>
      <w:r>
        <w:t>Party</w:t>
      </w:r>
      <w:r w:rsidRPr="00353F00">
        <w:t>’s reply, it provide detailed information concerning the steps that it has taken to ensure that it has fulfilled that obligation.</w:t>
      </w:r>
    </w:p>
    <w:p w14:paraId="396F411F" w14:textId="77777777" w:rsidR="002C2FDA" w:rsidRPr="00353F00" w:rsidRDefault="002C2FDA" w:rsidP="002C2FDA">
      <w:pPr>
        <w:pStyle w:val="SingleTxtG"/>
      </w:pPr>
      <w:r w:rsidRPr="00353F00">
        <w:lastRenderedPageBreak/>
        <w:t>137.</w:t>
      </w:r>
      <w:r w:rsidRPr="00353F00">
        <w:tab/>
        <w:t xml:space="preserve">The Subcommittee recalls that prevention of torture and ill-treatment is a continuing and wide-ranging obligation. It therefore requests that the State </w:t>
      </w:r>
      <w:r>
        <w:t>Party</w:t>
      </w:r>
      <w:r w:rsidRPr="00353F00">
        <w:t xml:space="preserve"> inform it of any legislative, regulatory, policy or other relevant developments relating to the treatment of persons deprived of their liberty and regarding the work of the national preventive mechanism.</w:t>
      </w:r>
    </w:p>
    <w:p w14:paraId="7C220612" w14:textId="77777777" w:rsidR="002C2FDA" w:rsidRPr="00353F00" w:rsidRDefault="002C2FDA" w:rsidP="002C2FDA">
      <w:pPr>
        <w:pStyle w:val="SingleTxtG"/>
      </w:pPr>
      <w:r w:rsidRPr="00353F00">
        <w:t>138.</w:t>
      </w:r>
      <w:r w:rsidRPr="00353F00">
        <w:tab/>
        <w:t>The Subcommittee considers both its visit and the present report to form part of an ongoing process of dialogue. The Subcommittee looks forward to assisting Croatia in fulfilling its obligations under the Optional Protocol by providing further advice and technical assistance in order to achieve the common goal of prevention of torture and ill-treatment in places of deprivation of liberty. The Subcommittee believes that the most efficient and effective way of developing the dialogue would be for it to meet with the national authorities responsible for the implementation of the Subcommittee’s recommendations within six months of receiving the reply to the present report.</w:t>
      </w:r>
    </w:p>
    <w:p w14:paraId="404FC924" w14:textId="77777777" w:rsidR="002C2FDA" w:rsidRPr="00353F00" w:rsidRDefault="002C2FDA" w:rsidP="002C2FDA">
      <w:pPr>
        <w:pStyle w:val="SingleTxtG"/>
        <w:rPr>
          <w:b/>
          <w:bCs/>
        </w:rPr>
      </w:pPr>
      <w:r w:rsidRPr="00353F00">
        <w:t>139.</w:t>
      </w:r>
      <w:r w:rsidRPr="00353F00">
        <w:tab/>
      </w:r>
      <w:r w:rsidRPr="00353F00">
        <w:rPr>
          <w:b/>
          <w:bCs/>
        </w:rPr>
        <w:t>The Subcommittee recommends that, in accordance with article 12 (d) of the Optional Protocol, the national authorities of Croatia enter into dialogue with the Subcommittee on the implementation of the Subcommittee’s recommendations within six months of the Subcommittee’</w:t>
      </w:r>
      <w:r>
        <w:rPr>
          <w:b/>
          <w:bCs/>
        </w:rPr>
        <w:t>s</w:t>
      </w:r>
      <w:r w:rsidRPr="00353F00">
        <w:rPr>
          <w:b/>
          <w:bCs/>
        </w:rPr>
        <w:t xml:space="preserve"> receipt of the reply to the present report. The Subcommittee also recommends that Croatia initiate discussions with the Subcommittee on the arrangements for such a dialogue at the time of the submission of its reply to the present report.</w:t>
      </w:r>
    </w:p>
    <w:p w14:paraId="4FE4336F" w14:textId="77777777" w:rsidR="002C2FDA" w:rsidRPr="00353F00" w:rsidRDefault="002C2FDA" w:rsidP="002C2FDA">
      <w:pPr>
        <w:pStyle w:val="SingleTxtG"/>
      </w:pPr>
      <w:r w:rsidRPr="00353F00">
        <w:br w:type="page"/>
      </w:r>
    </w:p>
    <w:p w14:paraId="0095FC80" w14:textId="77777777" w:rsidR="002C2FDA" w:rsidRPr="00353F00" w:rsidRDefault="002C2FDA" w:rsidP="002C2FDA">
      <w:pPr>
        <w:pStyle w:val="HChG"/>
      </w:pPr>
      <w:r w:rsidRPr="00353F00">
        <w:lastRenderedPageBreak/>
        <w:tab/>
      </w:r>
      <w:bookmarkStart w:id="47" w:name="_Toc211864428"/>
      <w:r w:rsidRPr="00353F00">
        <w:t>Annex I</w:t>
      </w:r>
      <w:bookmarkEnd w:id="47"/>
    </w:p>
    <w:p w14:paraId="15045F71" w14:textId="77777777" w:rsidR="002C2FDA" w:rsidRPr="00353F00" w:rsidRDefault="002C2FDA" w:rsidP="002C2FDA">
      <w:pPr>
        <w:pStyle w:val="HChG"/>
      </w:pPr>
      <w:r w:rsidRPr="00353F00">
        <w:tab/>
      </w:r>
      <w:r w:rsidRPr="00353F00">
        <w:tab/>
      </w:r>
      <w:bookmarkStart w:id="48" w:name="_Toc211864429"/>
      <w:r w:rsidRPr="00353F00">
        <w:t xml:space="preserve">List of places of deprivation of liberty visited </w:t>
      </w:r>
      <w:r w:rsidRPr="00353F00">
        <w:br/>
        <w:t>by the Subcommittee</w:t>
      </w:r>
      <w:bookmarkEnd w:id="48"/>
    </w:p>
    <w:p w14:paraId="63CE3A95" w14:textId="77777777" w:rsidR="002C2FDA" w:rsidRPr="00353F00" w:rsidRDefault="002C2FDA" w:rsidP="002C2FDA">
      <w:pPr>
        <w:pStyle w:val="SingleTxtG"/>
      </w:pPr>
      <w:r w:rsidRPr="00353F00">
        <w:t xml:space="preserve">Police station, Karlovac </w:t>
      </w:r>
    </w:p>
    <w:p w14:paraId="79AA44DF" w14:textId="77777777" w:rsidR="002C2FDA" w:rsidRPr="00353F00" w:rsidRDefault="002C2FDA" w:rsidP="002C2FDA">
      <w:pPr>
        <w:pStyle w:val="SingleTxtG"/>
      </w:pPr>
      <w:r w:rsidRPr="00353F00">
        <w:t xml:space="preserve">Police station, </w:t>
      </w:r>
      <w:proofErr w:type="spellStart"/>
      <w:r w:rsidRPr="00353F00">
        <w:t>Jastrebarsko</w:t>
      </w:r>
      <w:proofErr w:type="spellEnd"/>
      <w:r w:rsidRPr="00353F00">
        <w:t xml:space="preserve"> </w:t>
      </w:r>
    </w:p>
    <w:p w14:paraId="14212656" w14:textId="77777777" w:rsidR="002C2FDA" w:rsidRPr="00353F00" w:rsidRDefault="002C2FDA" w:rsidP="002C2FDA">
      <w:pPr>
        <w:pStyle w:val="SingleTxtG"/>
      </w:pPr>
      <w:r w:rsidRPr="00353F00">
        <w:t>Operations and Communications Centre of the Police Department of Osijek</w:t>
      </w:r>
    </w:p>
    <w:p w14:paraId="56C86684" w14:textId="77777777" w:rsidR="002C2FDA" w:rsidRPr="00353F00" w:rsidRDefault="002C2FDA" w:rsidP="002C2FDA">
      <w:pPr>
        <w:pStyle w:val="SingleTxtG"/>
      </w:pPr>
      <w:r w:rsidRPr="00353F00">
        <w:t xml:space="preserve">Police station, </w:t>
      </w:r>
      <w:proofErr w:type="spellStart"/>
      <w:r w:rsidRPr="00353F00">
        <w:t>Dakovo</w:t>
      </w:r>
      <w:proofErr w:type="spellEnd"/>
    </w:p>
    <w:p w14:paraId="6111B569" w14:textId="77777777" w:rsidR="002C2FDA" w:rsidRPr="00353F00" w:rsidRDefault="002C2FDA" w:rsidP="002C2FDA">
      <w:pPr>
        <w:pStyle w:val="SingleTxtG"/>
      </w:pPr>
      <w:proofErr w:type="spellStart"/>
      <w:r w:rsidRPr="00353F00">
        <w:t>Valtura</w:t>
      </w:r>
      <w:proofErr w:type="spellEnd"/>
      <w:r w:rsidRPr="00353F00">
        <w:t xml:space="preserve"> Penitentiary </w:t>
      </w:r>
    </w:p>
    <w:p w14:paraId="7F6966B7" w14:textId="77777777" w:rsidR="002C2FDA" w:rsidRPr="00353F00" w:rsidRDefault="002C2FDA" w:rsidP="002C2FDA">
      <w:pPr>
        <w:pStyle w:val="SingleTxtG"/>
      </w:pPr>
      <w:r w:rsidRPr="00353F00">
        <w:t xml:space="preserve">Pula Prison </w:t>
      </w:r>
    </w:p>
    <w:p w14:paraId="09967810" w14:textId="77777777" w:rsidR="002C2FDA" w:rsidRPr="00353F00" w:rsidRDefault="002C2FDA" w:rsidP="002C2FDA">
      <w:pPr>
        <w:pStyle w:val="SingleTxtG"/>
      </w:pPr>
      <w:r w:rsidRPr="00353F00">
        <w:t xml:space="preserve">Rijeka Prison </w:t>
      </w:r>
    </w:p>
    <w:p w14:paraId="6C88C1C5" w14:textId="77777777" w:rsidR="002C2FDA" w:rsidRPr="00353F00" w:rsidRDefault="002C2FDA" w:rsidP="002C2FDA">
      <w:pPr>
        <w:pStyle w:val="SingleTxtG"/>
      </w:pPr>
      <w:r w:rsidRPr="00353F00">
        <w:t>Osijek Prison</w:t>
      </w:r>
    </w:p>
    <w:p w14:paraId="557E991A" w14:textId="77777777" w:rsidR="002C2FDA" w:rsidRPr="00353F00" w:rsidRDefault="002C2FDA" w:rsidP="002C2FDA">
      <w:pPr>
        <w:pStyle w:val="SingleTxtG"/>
      </w:pPr>
      <w:proofErr w:type="spellStart"/>
      <w:r w:rsidRPr="00353F00">
        <w:t>Požega</w:t>
      </w:r>
      <w:proofErr w:type="spellEnd"/>
      <w:r w:rsidRPr="00353F00">
        <w:t xml:space="preserve"> Penitentiary (men) </w:t>
      </w:r>
    </w:p>
    <w:p w14:paraId="74C46211" w14:textId="77777777" w:rsidR="002C2FDA" w:rsidRPr="00353F00" w:rsidRDefault="002C2FDA" w:rsidP="002C2FDA">
      <w:pPr>
        <w:pStyle w:val="SingleTxtG"/>
      </w:pPr>
      <w:proofErr w:type="spellStart"/>
      <w:r w:rsidRPr="00353F00">
        <w:t>Požega</w:t>
      </w:r>
      <w:proofErr w:type="spellEnd"/>
      <w:r w:rsidRPr="00353F00">
        <w:t xml:space="preserve"> Penitentiary (women) </w:t>
      </w:r>
    </w:p>
    <w:p w14:paraId="2CF32E66" w14:textId="77777777" w:rsidR="002C2FDA" w:rsidRPr="00353F00" w:rsidRDefault="002C2FDA" w:rsidP="002C2FDA">
      <w:pPr>
        <w:pStyle w:val="SingleTxtG"/>
      </w:pPr>
      <w:r w:rsidRPr="00353F00">
        <w:t xml:space="preserve">Transit Reception Centre for Foreigners, </w:t>
      </w:r>
      <w:proofErr w:type="spellStart"/>
      <w:r w:rsidRPr="00353F00">
        <w:t>Tovarnik</w:t>
      </w:r>
      <w:proofErr w:type="spellEnd"/>
    </w:p>
    <w:p w14:paraId="0847BB3A" w14:textId="77777777" w:rsidR="002C2FDA" w:rsidRPr="00353F00" w:rsidRDefault="002C2FDA" w:rsidP="002C2FDA">
      <w:pPr>
        <w:pStyle w:val="SingleTxtG"/>
      </w:pPr>
      <w:r w:rsidRPr="00353F00">
        <w:t xml:space="preserve">Home for adults, </w:t>
      </w:r>
      <w:proofErr w:type="spellStart"/>
      <w:r w:rsidRPr="00353F00">
        <w:t>Turnić</w:t>
      </w:r>
      <w:proofErr w:type="spellEnd"/>
    </w:p>
    <w:p w14:paraId="42E64E14" w14:textId="77777777" w:rsidR="002C2FDA" w:rsidRPr="00353F00" w:rsidRDefault="002C2FDA" w:rsidP="002C2FDA">
      <w:pPr>
        <w:pStyle w:val="SingleTxtG"/>
      </w:pPr>
      <w:r w:rsidRPr="00353F00">
        <w:t>Osijek Centre for Provision of Services in the Community</w:t>
      </w:r>
    </w:p>
    <w:p w14:paraId="184E1CFA" w14:textId="77777777" w:rsidR="002C2FDA" w:rsidRPr="00353F00" w:rsidRDefault="002C2FDA" w:rsidP="002C2FDA">
      <w:pPr>
        <w:pStyle w:val="H23G"/>
      </w:pPr>
      <w:r w:rsidRPr="00353F00">
        <w:tab/>
      </w:r>
      <w:r w:rsidRPr="00353F00">
        <w:tab/>
        <w:t xml:space="preserve">Visits carried out with the national preventive mechanism </w:t>
      </w:r>
    </w:p>
    <w:p w14:paraId="07BA4FC8" w14:textId="77777777" w:rsidR="002C2FDA" w:rsidRPr="00353F00" w:rsidRDefault="002C2FDA" w:rsidP="002C2FDA">
      <w:pPr>
        <w:pStyle w:val="SingleTxtG"/>
      </w:pPr>
      <w:r w:rsidRPr="00353F00">
        <w:t xml:space="preserve">Karlovac Prison </w:t>
      </w:r>
    </w:p>
    <w:p w14:paraId="5D9E6E0E" w14:textId="4A6336D1" w:rsidR="002C2FDA" w:rsidRDefault="002C2FDA" w:rsidP="00A16AD8">
      <w:pPr>
        <w:pStyle w:val="SingleTxtG"/>
      </w:pPr>
      <w:r w:rsidRPr="00353F00">
        <w:t xml:space="preserve">Border police station, </w:t>
      </w:r>
      <w:proofErr w:type="spellStart"/>
      <w:r w:rsidRPr="00353F00">
        <w:t>Tovarnik</w:t>
      </w:r>
      <w:proofErr w:type="spellEnd"/>
    </w:p>
    <w:p w14:paraId="33F887B9" w14:textId="77777777" w:rsidR="00A16AD8" w:rsidRDefault="00A16AD8" w:rsidP="002C2FDA">
      <w:pPr>
        <w:suppressAutoHyphens w:val="0"/>
        <w:spacing w:after="200" w:line="276" w:lineRule="auto"/>
        <w:rPr>
          <w:b/>
          <w:sz w:val="28"/>
        </w:rPr>
        <w:sectPr w:rsidR="00A16AD8" w:rsidSect="00554F8A">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370425A5" w14:textId="77777777" w:rsidR="002C2FDA" w:rsidRPr="00353F00" w:rsidRDefault="002C2FDA" w:rsidP="002C2FDA">
      <w:pPr>
        <w:pStyle w:val="HChG"/>
      </w:pPr>
      <w:r w:rsidRPr="00353F00">
        <w:lastRenderedPageBreak/>
        <w:tab/>
      </w:r>
      <w:bookmarkStart w:id="49" w:name="_Toc211864430"/>
      <w:r w:rsidRPr="00353F00">
        <w:t>Annex II</w:t>
      </w:r>
      <w:bookmarkEnd w:id="49"/>
    </w:p>
    <w:p w14:paraId="3524EC81" w14:textId="37F54E61" w:rsidR="002C2FDA" w:rsidRPr="00353F00" w:rsidRDefault="002C2FDA" w:rsidP="002C2FDA">
      <w:pPr>
        <w:pStyle w:val="HChG"/>
      </w:pPr>
      <w:r w:rsidRPr="00353F00">
        <w:tab/>
      </w:r>
      <w:r w:rsidRPr="00353F00">
        <w:tab/>
      </w:r>
      <w:bookmarkStart w:id="50" w:name="_Toc211864431"/>
      <w:r w:rsidRPr="00353F00">
        <w:t>List of government officials and other interlocutors with whom the Subcommittee met</w:t>
      </w:r>
      <w:r w:rsidR="00EA6B0F" w:rsidRPr="002C4862">
        <w:rPr>
          <w:rStyle w:val="FootnoteReference"/>
          <w:b w:val="0"/>
          <w:bCs/>
        </w:rPr>
        <w:footnoteReference w:id="10"/>
      </w:r>
      <w:bookmarkEnd w:id="50"/>
    </w:p>
    <w:p w14:paraId="6491E83A" w14:textId="77777777" w:rsidR="002C2FDA" w:rsidRPr="00353F00" w:rsidRDefault="002C2FDA" w:rsidP="002C2FDA">
      <w:pPr>
        <w:pStyle w:val="SingleTxtG"/>
      </w:pPr>
      <w:r w:rsidRPr="00353F00">
        <w:t>Ministry of Foreign and European Affairs</w:t>
      </w:r>
    </w:p>
    <w:p w14:paraId="4C86F154" w14:textId="77777777" w:rsidR="002C2FDA" w:rsidRPr="00353F00" w:rsidRDefault="002C2FDA" w:rsidP="002C2FDA">
      <w:pPr>
        <w:pStyle w:val="SingleTxtG"/>
      </w:pPr>
      <w:r w:rsidRPr="00353F00">
        <w:t>Ministry of Justice, Public Administration and Digital Transformation</w:t>
      </w:r>
    </w:p>
    <w:p w14:paraId="6FE511CF" w14:textId="77777777" w:rsidR="002C2FDA" w:rsidRPr="00353F00" w:rsidRDefault="002C2FDA" w:rsidP="002C2FDA">
      <w:pPr>
        <w:pStyle w:val="SingleTxtG"/>
      </w:pPr>
      <w:r w:rsidRPr="00353F00">
        <w:t>Ministry of the Interior</w:t>
      </w:r>
    </w:p>
    <w:p w14:paraId="41E91A6D" w14:textId="77777777" w:rsidR="002C2FDA" w:rsidRPr="00353F00" w:rsidRDefault="002C2FDA" w:rsidP="002C2FDA">
      <w:pPr>
        <w:pStyle w:val="SingleTxtG"/>
      </w:pPr>
      <w:r w:rsidRPr="00353F00">
        <w:t>Ministry of Defence</w:t>
      </w:r>
    </w:p>
    <w:p w14:paraId="26A7948D" w14:textId="77777777" w:rsidR="002C2FDA" w:rsidRPr="00353F00" w:rsidRDefault="002C2FDA" w:rsidP="002C2FDA">
      <w:pPr>
        <w:pStyle w:val="SingleTxtG"/>
      </w:pPr>
      <w:r w:rsidRPr="00353F00">
        <w:t>Ministry of Health</w:t>
      </w:r>
    </w:p>
    <w:p w14:paraId="05FAAD9B" w14:textId="77777777" w:rsidR="002C2FDA" w:rsidRPr="00353F00" w:rsidRDefault="002C2FDA" w:rsidP="002C2FDA">
      <w:pPr>
        <w:pStyle w:val="SingleTxtG"/>
      </w:pPr>
      <w:r w:rsidRPr="00353F00">
        <w:t>Ministry of Labour, Pension System, Family and Social Policy</w:t>
      </w:r>
    </w:p>
    <w:p w14:paraId="7CE2D89D" w14:textId="77777777" w:rsidR="002C2FDA" w:rsidRPr="00353F00" w:rsidRDefault="002C2FDA" w:rsidP="002C2FDA">
      <w:pPr>
        <w:pStyle w:val="SingleTxtG"/>
      </w:pPr>
      <w:r w:rsidRPr="00353F00">
        <w:t xml:space="preserve">Office of the Ombudsperson </w:t>
      </w:r>
    </w:p>
    <w:p w14:paraId="259CFFEA" w14:textId="77777777" w:rsidR="002C2FDA" w:rsidRPr="00353F00" w:rsidRDefault="002C2FDA" w:rsidP="002C2FDA">
      <w:pPr>
        <w:pStyle w:val="SingleTxtG"/>
      </w:pPr>
      <w:r w:rsidRPr="00353F00">
        <w:t>National preventive mechanism</w:t>
      </w:r>
    </w:p>
    <w:p w14:paraId="131277AC" w14:textId="77777777" w:rsidR="002C2FDA" w:rsidRPr="00353F00" w:rsidRDefault="002C2FDA" w:rsidP="002C2FDA">
      <w:pPr>
        <w:spacing w:before="240"/>
        <w:jc w:val="center"/>
        <w:rPr>
          <w:u w:val="single"/>
        </w:rPr>
      </w:pPr>
      <w:r w:rsidRPr="00353F00">
        <w:rPr>
          <w:u w:val="single"/>
        </w:rPr>
        <w:tab/>
      </w:r>
      <w:r w:rsidRPr="00353F00">
        <w:rPr>
          <w:u w:val="single"/>
        </w:rPr>
        <w:tab/>
      </w:r>
      <w:r w:rsidRPr="00353F00">
        <w:rPr>
          <w:u w:val="single"/>
        </w:rPr>
        <w:tab/>
      </w:r>
      <w:bookmarkEnd w:id="0"/>
    </w:p>
    <w:sectPr w:rsidR="002C2FDA" w:rsidRPr="00353F00" w:rsidSect="00554F8A">
      <w:headerReference w:type="first" r:id="rId14"/>
      <w:footerReference w:type="first" r:id="rId15"/>
      <w:footnotePr>
        <w:numRestart w:val="eachSect"/>
      </w:footnotePr>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78CA4B" w14:textId="77777777" w:rsidR="00FE16EF" w:rsidRPr="00FD7E0E" w:rsidRDefault="00FE16EF" w:rsidP="00FD7E0E">
      <w:pPr>
        <w:pStyle w:val="Footer"/>
      </w:pPr>
    </w:p>
  </w:endnote>
  <w:endnote w:type="continuationSeparator" w:id="0">
    <w:p w14:paraId="2C6F4471" w14:textId="77777777" w:rsidR="00FE16EF" w:rsidRPr="00FD7E0E" w:rsidRDefault="00FE16EF" w:rsidP="00FD7E0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D33D3" w14:textId="77777777" w:rsidR="002C2FDA" w:rsidRDefault="002C2FDA" w:rsidP="002C2FDA">
    <w:pPr>
      <w:pStyle w:val="Footer"/>
      <w:tabs>
        <w:tab w:val="right" w:pos="9638"/>
      </w:tabs>
    </w:pPr>
    <w:r w:rsidRPr="002C2FDA">
      <w:rPr>
        <w:b/>
        <w:bCs/>
        <w:sz w:val="18"/>
      </w:rPr>
      <w:fldChar w:fldCharType="begin"/>
    </w:r>
    <w:r w:rsidRPr="002C2FDA">
      <w:rPr>
        <w:b/>
        <w:bCs/>
        <w:sz w:val="18"/>
      </w:rPr>
      <w:instrText xml:space="preserve"> PAGE  \* MERGEFORMAT </w:instrText>
    </w:r>
    <w:r w:rsidRPr="002C2FDA">
      <w:rPr>
        <w:b/>
        <w:bCs/>
        <w:sz w:val="18"/>
      </w:rPr>
      <w:fldChar w:fldCharType="separate"/>
    </w:r>
    <w:r w:rsidRPr="002C2FDA">
      <w:rPr>
        <w:b/>
        <w:bCs/>
        <w:noProof/>
        <w:sz w:val="18"/>
      </w:rPr>
      <w:t>2</w:t>
    </w:r>
    <w:r w:rsidRPr="002C2FDA">
      <w:rPr>
        <w:b/>
        <w:bCs/>
        <w:sz w:val="18"/>
      </w:rPr>
      <w:fldChar w:fldCharType="end"/>
    </w:r>
    <w:r>
      <w:tab/>
      <w:t>GE.25-16782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9CAC1" w14:textId="77777777" w:rsidR="002C2FDA" w:rsidRDefault="002C2FDA" w:rsidP="002C2FDA">
    <w:pPr>
      <w:pStyle w:val="Footer"/>
      <w:tabs>
        <w:tab w:val="right" w:pos="9638"/>
      </w:tabs>
    </w:pPr>
    <w:r>
      <w:t>GE.25-16782</w:t>
    </w:r>
    <w:r>
      <w:tab/>
    </w:r>
    <w:r w:rsidRPr="002C2FDA">
      <w:rPr>
        <w:b/>
        <w:bCs/>
        <w:sz w:val="18"/>
      </w:rPr>
      <w:fldChar w:fldCharType="begin"/>
    </w:r>
    <w:r w:rsidRPr="002C2FDA">
      <w:rPr>
        <w:b/>
        <w:bCs/>
        <w:sz w:val="18"/>
      </w:rPr>
      <w:instrText xml:space="preserve"> PAGE  \* MERGEFORMAT </w:instrText>
    </w:r>
    <w:r w:rsidRPr="002C2FDA">
      <w:rPr>
        <w:b/>
        <w:bCs/>
        <w:sz w:val="18"/>
      </w:rPr>
      <w:fldChar w:fldCharType="separate"/>
    </w:r>
    <w:r w:rsidRPr="002C2FDA">
      <w:rPr>
        <w:b/>
        <w:bCs/>
        <w:noProof/>
        <w:sz w:val="18"/>
      </w:rPr>
      <w:t>3</w:t>
    </w:r>
    <w:r w:rsidRPr="002C2FD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F8DCF" w14:textId="77777777" w:rsidR="00A16AD8" w:rsidRDefault="00A16AD8" w:rsidP="00A16AD8">
    <w:pPr>
      <w:pStyle w:val="Footer"/>
      <w:rPr>
        <w:sz w:val="20"/>
      </w:rPr>
    </w:pPr>
    <w:r w:rsidRPr="0027112F">
      <w:rPr>
        <w:noProof/>
        <w:lang w:val="en-US"/>
      </w:rPr>
      <w:drawing>
        <wp:anchor distT="0" distB="0" distL="114300" distR="114300" simplePos="0" relativeHeight="251659264" behindDoc="0" locked="1" layoutInCell="1" allowOverlap="1" wp14:anchorId="0577ED43" wp14:editId="64D5D11E">
          <wp:simplePos x="0" y="0"/>
          <wp:positionH relativeFrom="column">
            <wp:posOffset>4558030</wp:posOffset>
          </wp:positionH>
          <wp:positionV relativeFrom="page">
            <wp:posOffset>10128250</wp:posOffset>
          </wp:positionV>
          <wp:extent cx="932400" cy="230400"/>
          <wp:effectExtent l="0" t="0" r="1270" b="0"/>
          <wp:wrapNone/>
          <wp:docPr id="594544390"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2B00336" w14:textId="00DB9E92" w:rsidR="00A16AD8" w:rsidRPr="002C2FDA" w:rsidRDefault="00A16AD8" w:rsidP="00A16AD8">
    <w:pPr>
      <w:pStyle w:val="Footer"/>
      <w:rPr>
        <w:sz w:val="20"/>
      </w:rPr>
    </w:pPr>
    <w:r>
      <w:rPr>
        <w:sz w:val="20"/>
      </w:rPr>
      <w:t>GE.25-16782  (E)</w:t>
    </w:r>
    <w:r>
      <w:rPr>
        <w:noProof/>
        <w:sz w:val="20"/>
      </w:rPr>
      <w:drawing>
        <wp:anchor distT="0" distB="0" distL="114300" distR="114300" simplePos="0" relativeHeight="251660288" behindDoc="0" locked="0" layoutInCell="1" allowOverlap="1" wp14:anchorId="79C46B6C" wp14:editId="3DC8E659">
          <wp:simplePos x="0" y="0"/>
          <wp:positionH relativeFrom="margin">
            <wp:posOffset>5583555</wp:posOffset>
          </wp:positionH>
          <wp:positionV relativeFrom="margin">
            <wp:posOffset>8981440</wp:posOffset>
          </wp:positionV>
          <wp:extent cx="571500" cy="571500"/>
          <wp:effectExtent l="0" t="0" r="0" b="0"/>
          <wp:wrapNone/>
          <wp:docPr id="153301036"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237223" name="Picture 1" descr="A qr code on a white background&#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201025    </w:t>
    </w:r>
    <w:r w:rsidR="005B74B8">
      <w:rPr>
        <w:sz w:val="20"/>
      </w:rPr>
      <w:t>21</w:t>
    </w:r>
    <w:r>
      <w:rPr>
        <w:sz w:val="20"/>
      </w:rPr>
      <w:t>1025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7EFA4" w14:textId="77777777" w:rsidR="008A56E2" w:rsidRDefault="008A56E2" w:rsidP="008A56E2">
    <w:pPr>
      <w:pStyle w:val="Footer"/>
      <w:tabs>
        <w:tab w:val="right" w:pos="9638"/>
      </w:tabs>
    </w:pPr>
    <w:r>
      <w:t>GE.25-16782</w:t>
    </w:r>
    <w:r>
      <w:tab/>
    </w:r>
    <w:r w:rsidRPr="002C2FDA">
      <w:rPr>
        <w:b/>
        <w:bCs/>
        <w:sz w:val="18"/>
      </w:rPr>
      <w:fldChar w:fldCharType="begin"/>
    </w:r>
    <w:r w:rsidRPr="002C2FDA">
      <w:rPr>
        <w:b/>
        <w:bCs/>
        <w:sz w:val="18"/>
      </w:rPr>
      <w:instrText xml:space="preserve"> PAGE  \* MERGEFORMAT </w:instrText>
    </w:r>
    <w:r w:rsidRPr="002C2FDA">
      <w:rPr>
        <w:b/>
        <w:bCs/>
        <w:sz w:val="18"/>
      </w:rPr>
      <w:fldChar w:fldCharType="separate"/>
    </w:r>
    <w:r>
      <w:rPr>
        <w:b/>
        <w:bCs/>
        <w:sz w:val="18"/>
      </w:rPr>
      <w:t>19</w:t>
    </w:r>
    <w:r w:rsidRPr="002C2FDA">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4295F" w14:textId="77777777" w:rsidR="00FE16EF" w:rsidRPr="00FD7E0E" w:rsidRDefault="00FE16EF" w:rsidP="00FD7E0E">
      <w:pPr>
        <w:tabs>
          <w:tab w:val="right" w:pos="2155"/>
        </w:tabs>
        <w:spacing w:after="80" w:line="240" w:lineRule="auto"/>
        <w:ind w:left="680"/>
      </w:pPr>
      <w:r>
        <w:rPr>
          <w:u w:val="single"/>
        </w:rPr>
        <w:tab/>
      </w:r>
    </w:p>
  </w:footnote>
  <w:footnote w:type="continuationSeparator" w:id="0">
    <w:p w14:paraId="2C2B1AF8" w14:textId="77777777" w:rsidR="00FE16EF" w:rsidRPr="00FD7E0E" w:rsidRDefault="00FE16EF" w:rsidP="00FD7E0E">
      <w:pPr>
        <w:tabs>
          <w:tab w:val="right" w:pos="2155"/>
        </w:tabs>
        <w:spacing w:after="80" w:line="240" w:lineRule="auto"/>
        <w:ind w:left="680"/>
      </w:pPr>
      <w:r>
        <w:rPr>
          <w:u w:val="single"/>
        </w:rPr>
        <w:tab/>
      </w:r>
    </w:p>
  </w:footnote>
  <w:footnote w:id="1">
    <w:p w14:paraId="4685B5C9" w14:textId="77777777" w:rsidR="002C2FDA" w:rsidRPr="001E4F51" w:rsidRDefault="002C2FDA" w:rsidP="002C2FDA">
      <w:pPr>
        <w:pStyle w:val="FootnoteText"/>
      </w:pPr>
      <w:r w:rsidRPr="00483CA3">
        <w:rPr>
          <w:rStyle w:val="FootnoteReference"/>
          <w:sz w:val="20"/>
          <w:szCs w:val="22"/>
          <w:vertAlign w:val="baseline"/>
        </w:rPr>
        <w:tab/>
        <w:t>*</w:t>
      </w:r>
      <w:r w:rsidRPr="00483CA3">
        <w:rPr>
          <w:rStyle w:val="FootnoteReference"/>
          <w:sz w:val="20"/>
          <w:szCs w:val="22"/>
          <w:vertAlign w:val="baseline"/>
        </w:rPr>
        <w:tab/>
      </w:r>
      <w:r w:rsidRPr="001E4F51">
        <w:t xml:space="preserve">In accordance with article 16 (1) of the Optional Protocol, the present report was transmitted confidentially to the State </w:t>
      </w:r>
      <w:r>
        <w:t>Party</w:t>
      </w:r>
      <w:r w:rsidRPr="001E4F51">
        <w:t xml:space="preserve"> on 5 July 2024.</w:t>
      </w:r>
      <w:r w:rsidRPr="00881492">
        <w:rPr>
          <w:rStyle w:val="FootnoteReference"/>
          <w:szCs w:val="18"/>
          <w:vertAlign w:val="baseline"/>
        </w:rPr>
        <w:t xml:space="preserve"> </w:t>
      </w:r>
      <w:r w:rsidRPr="00013256">
        <w:rPr>
          <w:rStyle w:val="FootnoteReference"/>
          <w:szCs w:val="18"/>
          <w:vertAlign w:val="baseline"/>
        </w:rPr>
        <w:t xml:space="preserve">On </w:t>
      </w:r>
      <w:r w:rsidRPr="0031451E">
        <w:rPr>
          <w:rStyle w:val="FootnoteReference"/>
          <w:szCs w:val="18"/>
          <w:vertAlign w:val="baseline"/>
        </w:rPr>
        <w:t>2</w:t>
      </w:r>
      <w:r w:rsidRPr="0031451E">
        <w:rPr>
          <w:szCs w:val="18"/>
        </w:rPr>
        <w:t>0</w:t>
      </w:r>
      <w:r w:rsidRPr="00013256">
        <w:rPr>
          <w:rStyle w:val="FootnoteReference"/>
          <w:szCs w:val="18"/>
          <w:vertAlign w:val="baseline"/>
        </w:rPr>
        <w:t xml:space="preserve"> January 2025</w:t>
      </w:r>
      <w:r>
        <w:rPr>
          <w:szCs w:val="18"/>
        </w:rPr>
        <w:t>,</w:t>
      </w:r>
      <w:r w:rsidRPr="00013256">
        <w:rPr>
          <w:rStyle w:val="FootnoteReference"/>
          <w:szCs w:val="18"/>
          <w:vertAlign w:val="baseline"/>
        </w:rPr>
        <w:t xml:space="preserve"> the </w:t>
      </w:r>
      <w:r>
        <w:rPr>
          <w:szCs w:val="18"/>
        </w:rPr>
        <w:t>S</w:t>
      </w:r>
      <w:r w:rsidRPr="00013256">
        <w:rPr>
          <w:rStyle w:val="FootnoteReference"/>
          <w:szCs w:val="18"/>
          <w:vertAlign w:val="baseline"/>
        </w:rPr>
        <w:t xml:space="preserve">tate </w:t>
      </w:r>
      <w:r>
        <w:rPr>
          <w:rStyle w:val="FootnoteReference"/>
          <w:szCs w:val="18"/>
          <w:vertAlign w:val="baseline"/>
        </w:rPr>
        <w:t>Party</w:t>
      </w:r>
      <w:r w:rsidRPr="00013256">
        <w:rPr>
          <w:rStyle w:val="FootnoteReference"/>
          <w:szCs w:val="18"/>
          <w:vertAlign w:val="baseline"/>
        </w:rPr>
        <w:t xml:space="preserve"> requested the Subcommittee to publish</w:t>
      </w:r>
      <w:r>
        <w:rPr>
          <w:szCs w:val="18"/>
        </w:rPr>
        <w:t xml:space="preserve"> the report</w:t>
      </w:r>
      <w:r w:rsidRPr="00013256">
        <w:rPr>
          <w:rStyle w:val="FootnoteReference"/>
          <w:szCs w:val="18"/>
          <w:vertAlign w:val="baseline"/>
        </w:rPr>
        <w:t>, in accordance with article 16 (2) of the Optional Protocol.</w:t>
      </w:r>
    </w:p>
  </w:footnote>
  <w:footnote w:id="2">
    <w:p w14:paraId="129BB19F" w14:textId="77777777" w:rsidR="002C2FDA" w:rsidRPr="001E4F51" w:rsidRDefault="002C2FDA" w:rsidP="002C2FDA">
      <w:pPr>
        <w:pStyle w:val="FootnoteText"/>
      </w:pPr>
      <w:r w:rsidRPr="00483CA3">
        <w:rPr>
          <w:rStyle w:val="FootnoteReference"/>
          <w:sz w:val="20"/>
          <w:szCs w:val="22"/>
          <w:vertAlign w:val="baseline"/>
        </w:rPr>
        <w:tab/>
        <w:t>**</w:t>
      </w:r>
      <w:r w:rsidRPr="001E4F51">
        <w:rPr>
          <w:sz w:val="20"/>
        </w:rPr>
        <w:tab/>
      </w:r>
      <w:r w:rsidRPr="001E4F51">
        <w:t>The annexes</w:t>
      </w:r>
      <w:r w:rsidRPr="001E4F51">
        <w:rPr>
          <w:color w:val="FF0000"/>
        </w:rPr>
        <w:t xml:space="preserve"> </w:t>
      </w:r>
      <w:r w:rsidRPr="001E4F51">
        <w:t>to the present document are being circulated in the language of submission only.</w:t>
      </w:r>
    </w:p>
  </w:footnote>
  <w:footnote w:id="3">
    <w:p w14:paraId="79F9CCD1" w14:textId="48BA013C" w:rsidR="002C2FDA" w:rsidRPr="001E4F51" w:rsidRDefault="002C2FDA" w:rsidP="002C2FDA">
      <w:pPr>
        <w:pStyle w:val="FootnoteText"/>
      </w:pPr>
      <w:r w:rsidRPr="001E4F51">
        <w:tab/>
      </w:r>
      <w:r w:rsidRPr="001E4F51">
        <w:rPr>
          <w:rStyle w:val="FootnoteReference"/>
        </w:rPr>
        <w:footnoteRef/>
      </w:r>
      <w:r w:rsidRPr="001E4F51">
        <w:tab/>
      </w:r>
      <w:hyperlink r:id="rId1" w:history="1">
        <w:r w:rsidRPr="00E9229A">
          <w:rPr>
            <w:rStyle w:val="Hyperlink"/>
          </w:rPr>
          <w:t>CAT/OP/12/5</w:t>
        </w:r>
      </w:hyperlink>
      <w:r w:rsidRPr="001E4F51">
        <w:t>.</w:t>
      </w:r>
    </w:p>
  </w:footnote>
  <w:footnote w:id="4">
    <w:p w14:paraId="7F3366A2" w14:textId="77777777" w:rsidR="002C2FDA" w:rsidRPr="001E4F51" w:rsidRDefault="002C2FDA" w:rsidP="002C2FDA">
      <w:pPr>
        <w:pStyle w:val="FootnoteText"/>
      </w:pPr>
      <w:r w:rsidRPr="001E4F51">
        <w:tab/>
      </w:r>
      <w:r w:rsidRPr="001E4F51">
        <w:rPr>
          <w:rStyle w:val="FootnoteReference"/>
        </w:rPr>
        <w:footnoteRef/>
      </w:r>
      <w:r w:rsidRPr="001E4F51">
        <w:tab/>
      </w:r>
      <w:bookmarkStart w:id="17" w:name="_Hlk173140821"/>
      <w:r w:rsidRPr="0099637A">
        <w:t>See</w:t>
      </w:r>
      <w:r w:rsidRPr="001E4F51">
        <w:t xml:space="preserve"> </w:t>
      </w:r>
      <w:hyperlink r:id="rId2" w:history="1">
        <w:r w:rsidRPr="002435B2">
          <w:rPr>
            <w:rStyle w:val="Hyperlink"/>
          </w:rPr>
          <w:t>https://www.ohchr.org/sites/default/files/Documents/HRBodies/OPCAT/NPM/NVPM_Croatia08.02.2012.pdf</w:t>
        </w:r>
      </w:hyperlink>
      <w:r w:rsidRPr="001E4F51">
        <w:t>.</w:t>
      </w:r>
      <w:bookmarkEnd w:id="17"/>
    </w:p>
  </w:footnote>
  <w:footnote w:id="5">
    <w:p w14:paraId="71F546AA" w14:textId="77777777" w:rsidR="002C2FDA" w:rsidRPr="001E4F51" w:rsidRDefault="002C2FDA" w:rsidP="002C2FDA">
      <w:pPr>
        <w:pStyle w:val="FootnoteText"/>
      </w:pPr>
      <w:r w:rsidRPr="001E4F51">
        <w:tab/>
      </w:r>
      <w:r w:rsidRPr="001E4F51">
        <w:rPr>
          <w:rStyle w:val="FootnoteReference"/>
        </w:rPr>
        <w:footnoteRef/>
      </w:r>
      <w:r w:rsidRPr="001E4F51">
        <w:tab/>
        <w:t>See https://www.ombudsman.hr/wp-content/uploads/2020/06/Act-on-the-National-Preventive-Mechanism-1.pdf.</w:t>
      </w:r>
    </w:p>
  </w:footnote>
  <w:footnote w:id="6">
    <w:p w14:paraId="69A4E4A9" w14:textId="34623C8E" w:rsidR="002C2FDA" w:rsidRPr="008A28AB" w:rsidRDefault="002C2FDA" w:rsidP="002C2FDA">
      <w:pPr>
        <w:pStyle w:val="FootnoteText"/>
        <w:rPr>
          <w:lang w:val="es-ES"/>
        </w:rPr>
      </w:pPr>
      <w:r w:rsidRPr="001E4F51">
        <w:tab/>
      </w:r>
      <w:r w:rsidRPr="001E4F51">
        <w:rPr>
          <w:rStyle w:val="FootnoteReference"/>
        </w:rPr>
        <w:footnoteRef/>
      </w:r>
      <w:r w:rsidRPr="008A28AB">
        <w:rPr>
          <w:lang w:val="es-ES"/>
        </w:rPr>
        <w:tab/>
      </w:r>
      <w:hyperlink r:id="rId3" w:history="1">
        <w:r w:rsidRPr="00E9229A">
          <w:rPr>
            <w:rStyle w:val="Hyperlink"/>
            <w:lang w:val="es-ES"/>
          </w:rPr>
          <w:t>CAT/OP/12/5</w:t>
        </w:r>
      </w:hyperlink>
      <w:r w:rsidRPr="008A28AB">
        <w:rPr>
          <w:bCs/>
          <w:lang w:val="es-ES"/>
        </w:rPr>
        <w:t>, para. 11.</w:t>
      </w:r>
    </w:p>
  </w:footnote>
  <w:footnote w:id="7">
    <w:p w14:paraId="75E51FCD" w14:textId="20BAADC4" w:rsidR="002C2FDA" w:rsidRPr="002C2FDA" w:rsidRDefault="002C2FDA" w:rsidP="002C2FDA">
      <w:pPr>
        <w:pStyle w:val="FootnoteText"/>
      </w:pPr>
      <w:r w:rsidRPr="008A28AB">
        <w:rPr>
          <w:lang w:val="es-ES"/>
        </w:rPr>
        <w:tab/>
      </w:r>
      <w:r w:rsidRPr="001E4F51">
        <w:rPr>
          <w:rStyle w:val="FootnoteReference"/>
        </w:rPr>
        <w:footnoteRef/>
      </w:r>
      <w:r w:rsidRPr="008A28AB">
        <w:rPr>
          <w:lang w:val="es-ES"/>
        </w:rPr>
        <w:tab/>
      </w:r>
      <w:hyperlink r:id="rId4" w:history="1">
        <w:r w:rsidRPr="00E9229A">
          <w:rPr>
            <w:rStyle w:val="Hyperlink"/>
            <w:lang w:val="es-ES"/>
          </w:rPr>
          <w:t>CAT/C/57/4</w:t>
        </w:r>
      </w:hyperlink>
      <w:r w:rsidRPr="008A28AB">
        <w:rPr>
          <w:rFonts w:eastAsia="Cambria"/>
          <w:lang w:val="es-ES"/>
        </w:rPr>
        <w:t xml:space="preserve">, </w:t>
      </w:r>
      <w:proofErr w:type="spellStart"/>
      <w:r w:rsidRPr="008A28AB">
        <w:rPr>
          <w:rFonts w:eastAsia="Cambria"/>
          <w:lang w:val="es-ES"/>
        </w:rPr>
        <w:t>annex</w:t>
      </w:r>
      <w:proofErr w:type="spellEnd"/>
      <w:r w:rsidRPr="008A28AB">
        <w:rPr>
          <w:rFonts w:eastAsia="Cambria"/>
          <w:lang w:val="es-ES"/>
        </w:rPr>
        <w:t xml:space="preserve">, para. </w:t>
      </w:r>
      <w:r w:rsidRPr="002C2FDA">
        <w:t>12.</w:t>
      </w:r>
    </w:p>
  </w:footnote>
  <w:footnote w:id="8">
    <w:p w14:paraId="7201F7B3" w14:textId="77777777" w:rsidR="002C2FDA" w:rsidRPr="001E4F51" w:rsidRDefault="002C2FDA" w:rsidP="002C2FDA">
      <w:pPr>
        <w:pStyle w:val="FootnoteText"/>
        <w:rPr>
          <w:szCs w:val="18"/>
        </w:rPr>
      </w:pPr>
      <w:r w:rsidRPr="002C2FDA">
        <w:rPr>
          <w:sz w:val="16"/>
          <w:szCs w:val="16"/>
        </w:rPr>
        <w:tab/>
      </w:r>
      <w:r w:rsidRPr="001E4F51">
        <w:rPr>
          <w:rStyle w:val="FootnoteReference"/>
        </w:rPr>
        <w:footnoteRef/>
      </w:r>
      <w:r w:rsidRPr="001E4F51">
        <w:rPr>
          <w:szCs w:val="18"/>
        </w:rPr>
        <w:tab/>
      </w:r>
      <w:r w:rsidRPr="001E4F51">
        <w:t>Committee</w:t>
      </w:r>
      <w:r w:rsidRPr="001E4F51">
        <w:rPr>
          <w:szCs w:val="18"/>
        </w:rPr>
        <w:t xml:space="preserve"> against Torture, general comment No. 3 (2012) on the implementation of article 14, para. 35.</w:t>
      </w:r>
    </w:p>
  </w:footnote>
  <w:footnote w:id="9">
    <w:p w14:paraId="50889486" w14:textId="77777777" w:rsidR="002C2FDA" w:rsidRPr="001E4F51" w:rsidRDefault="002C2FDA" w:rsidP="002C2FDA">
      <w:pPr>
        <w:pStyle w:val="FootnoteText"/>
      </w:pPr>
      <w:r w:rsidRPr="001E4F51">
        <w:tab/>
      </w:r>
      <w:r w:rsidRPr="001E4F51">
        <w:rPr>
          <w:rStyle w:val="FootnoteReference"/>
        </w:rPr>
        <w:footnoteRef/>
      </w:r>
      <w:r w:rsidRPr="001E4F51">
        <w:tab/>
        <w:t>See https://rm.coe.int/cpt-standard-combating-prison-overcrowding/1680a64461.</w:t>
      </w:r>
    </w:p>
  </w:footnote>
  <w:footnote w:id="10">
    <w:p w14:paraId="58CCBA46" w14:textId="76E15DD1" w:rsidR="00EA6B0F" w:rsidRPr="00EA6B0F" w:rsidRDefault="00EA6B0F">
      <w:pPr>
        <w:pStyle w:val="FootnoteText"/>
      </w:pPr>
      <w:r>
        <w:tab/>
      </w:r>
      <w:r>
        <w:rPr>
          <w:rStyle w:val="FootnoteReference"/>
        </w:rPr>
        <w:footnoteRef/>
      </w:r>
      <w:r>
        <w:tab/>
      </w:r>
      <w:r w:rsidRPr="001E4F51">
        <w:t>The interlocutors are listed only by their respective institutions and/or organizations.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E3F56" w14:textId="77777777" w:rsidR="002C2FDA" w:rsidRDefault="002C2FDA" w:rsidP="002C2FDA">
    <w:pPr>
      <w:pStyle w:val="Header"/>
    </w:pPr>
    <w:r>
      <w:t>CAT/OP/HRV/ROSP/1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DF614" w14:textId="77777777" w:rsidR="002C2FDA" w:rsidRDefault="002C2FDA" w:rsidP="002C2FDA">
    <w:pPr>
      <w:pStyle w:val="Header"/>
      <w:jc w:val="right"/>
    </w:pPr>
    <w:r>
      <w:t>CAT/OP/HRV/ROSP/1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55786" w14:textId="77777777" w:rsidR="008A56E2" w:rsidRDefault="008A56E2" w:rsidP="008A56E2">
    <w:pPr>
      <w:pStyle w:val="Header"/>
      <w:jc w:val="right"/>
    </w:pPr>
    <w:r>
      <w:t>CAT/OP/HRV/ROSP/1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09593089">
    <w:abstractNumId w:val="3"/>
  </w:num>
  <w:num w:numId="2" w16cid:durableId="1303929854">
    <w:abstractNumId w:val="2"/>
  </w:num>
  <w:num w:numId="3" w16cid:durableId="1974434771">
    <w:abstractNumId w:val="0"/>
  </w:num>
  <w:num w:numId="4" w16cid:durableId="1840608570">
    <w:abstractNumId w:val="4"/>
  </w:num>
  <w:num w:numId="5" w16cid:durableId="584455465">
    <w:abstractNumId w:val="5"/>
  </w:num>
  <w:num w:numId="6" w16cid:durableId="940992556">
    <w:abstractNumId w:val="6"/>
  </w:num>
  <w:num w:numId="7" w16cid:durableId="6104023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6EF"/>
    <w:rsid w:val="000175F8"/>
    <w:rsid w:val="00046E92"/>
    <w:rsid w:val="0011588F"/>
    <w:rsid w:val="00140870"/>
    <w:rsid w:val="001C0146"/>
    <w:rsid w:val="00204D94"/>
    <w:rsid w:val="00247E2C"/>
    <w:rsid w:val="00285E90"/>
    <w:rsid w:val="00292B90"/>
    <w:rsid w:val="002A3BE3"/>
    <w:rsid w:val="002C2FDA"/>
    <w:rsid w:val="002C4862"/>
    <w:rsid w:val="002D6C53"/>
    <w:rsid w:val="002F5595"/>
    <w:rsid w:val="00303EA6"/>
    <w:rsid w:val="00324D4A"/>
    <w:rsid w:val="003308C7"/>
    <w:rsid w:val="00334F6A"/>
    <w:rsid w:val="00342AC8"/>
    <w:rsid w:val="00364A1B"/>
    <w:rsid w:val="00377C6E"/>
    <w:rsid w:val="003A444F"/>
    <w:rsid w:val="003B4550"/>
    <w:rsid w:val="00437ABC"/>
    <w:rsid w:val="00461253"/>
    <w:rsid w:val="00467B10"/>
    <w:rsid w:val="00483CA3"/>
    <w:rsid w:val="004A3283"/>
    <w:rsid w:val="004A345E"/>
    <w:rsid w:val="004B3903"/>
    <w:rsid w:val="004F6617"/>
    <w:rsid w:val="005042C2"/>
    <w:rsid w:val="00554F8A"/>
    <w:rsid w:val="00560781"/>
    <w:rsid w:val="00577115"/>
    <w:rsid w:val="005B74B8"/>
    <w:rsid w:val="005F2E0B"/>
    <w:rsid w:val="00612A83"/>
    <w:rsid w:val="00671529"/>
    <w:rsid w:val="007268F9"/>
    <w:rsid w:val="007B306F"/>
    <w:rsid w:val="007C52B0"/>
    <w:rsid w:val="008250B9"/>
    <w:rsid w:val="008A56E2"/>
    <w:rsid w:val="008C6371"/>
    <w:rsid w:val="009165F9"/>
    <w:rsid w:val="009411B4"/>
    <w:rsid w:val="009D0139"/>
    <w:rsid w:val="009F3D1E"/>
    <w:rsid w:val="009F5CDC"/>
    <w:rsid w:val="00A16AD8"/>
    <w:rsid w:val="00A30D64"/>
    <w:rsid w:val="00A775CF"/>
    <w:rsid w:val="00B06045"/>
    <w:rsid w:val="00B42E7A"/>
    <w:rsid w:val="00B93F10"/>
    <w:rsid w:val="00C212A2"/>
    <w:rsid w:val="00C245FA"/>
    <w:rsid w:val="00C35A27"/>
    <w:rsid w:val="00E02C2B"/>
    <w:rsid w:val="00E47463"/>
    <w:rsid w:val="00E9229A"/>
    <w:rsid w:val="00EA6B0F"/>
    <w:rsid w:val="00EB46E1"/>
    <w:rsid w:val="00ED2854"/>
    <w:rsid w:val="00ED47C0"/>
    <w:rsid w:val="00ED6C48"/>
    <w:rsid w:val="00F0121C"/>
    <w:rsid w:val="00F56E76"/>
    <w:rsid w:val="00F65F5D"/>
    <w:rsid w:val="00F82598"/>
    <w:rsid w:val="00F86A3A"/>
    <w:rsid w:val="00FA6DD4"/>
    <w:rsid w:val="00FD7E0E"/>
    <w:rsid w:val="00FE16E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14BA25"/>
  <w15:docId w15:val="{8DC577CF-0D49-4829-83FD-E3C6DD3C9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45E"/>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B42E7A"/>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 w:type="character" w:styleId="Hyperlink">
    <w:name w:val="Hyperlink"/>
    <w:basedOn w:val="DefaultParagraphFont"/>
    <w:uiPriority w:val="99"/>
    <w:unhideWhenUsed/>
    <w:rsid w:val="002C2FDA"/>
    <w:rPr>
      <w:color w:val="0000FF"/>
    </w:rPr>
  </w:style>
  <w:style w:type="character" w:styleId="FollowedHyperlink">
    <w:name w:val="FollowedHyperlink"/>
    <w:basedOn w:val="DefaultParagraphFont"/>
    <w:uiPriority w:val="99"/>
    <w:semiHidden/>
    <w:unhideWhenUsed/>
    <w:rsid w:val="00E9229A"/>
    <w:rPr>
      <w:color w:val="0000FF"/>
      <w:u w:val="single"/>
    </w:rPr>
  </w:style>
  <w:style w:type="character" w:styleId="UnresolvedMention">
    <w:name w:val="Unresolved Mention"/>
    <w:basedOn w:val="DefaultParagraphFont"/>
    <w:uiPriority w:val="99"/>
    <w:semiHidden/>
    <w:unhideWhenUsed/>
    <w:rsid w:val="00E9229A"/>
    <w:rPr>
      <w:color w:val="605E5C"/>
      <w:shd w:val="clear" w:color="auto" w:fill="E1DFDD"/>
    </w:rPr>
  </w:style>
  <w:style w:type="paragraph" w:styleId="TOC1">
    <w:name w:val="toc 1"/>
    <w:basedOn w:val="Normal"/>
    <w:next w:val="Normal"/>
    <w:autoRedefine/>
    <w:uiPriority w:val="39"/>
    <w:semiHidden/>
    <w:unhideWhenUsed/>
    <w:rsid w:val="004A3283"/>
    <w:pPr>
      <w:spacing w:after="100"/>
    </w:pPr>
  </w:style>
  <w:style w:type="paragraph" w:styleId="TOC2">
    <w:name w:val="toc 2"/>
    <w:basedOn w:val="Normal"/>
    <w:next w:val="Normal"/>
    <w:autoRedefine/>
    <w:uiPriority w:val="39"/>
    <w:unhideWhenUsed/>
    <w:rsid w:val="004A3283"/>
    <w:pPr>
      <w:spacing w:after="100"/>
      <w:ind w:left="200"/>
    </w:pPr>
  </w:style>
  <w:style w:type="paragraph" w:styleId="TOC3">
    <w:name w:val="toc 3"/>
    <w:basedOn w:val="Normal"/>
    <w:next w:val="Normal"/>
    <w:autoRedefine/>
    <w:uiPriority w:val="39"/>
    <w:unhideWhenUsed/>
    <w:rsid w:val="004A3283"/>
    <w:pPr>
      <w:spacing w:after="100"/>
      <w:ind w:left="400"/>
    </w:pPr>
  </w:style>
  <w:style w:type="character" w:styleId="CommentReference">
    <w:name w:val="annotation reference"/>
    <w:basedOn w:val="DefaultParagraphFont"/>
    <w:uiPriority w:val="99"/>
    <w:semiHidden/>
    <w:unhideWhenUsed/>
    <w:rsid w:val="007B306F"/>
    <w:rPr>
      <w:sz w:val="16"/>
      <w:szCs w:val="16"/>
    </w:rPr>
  </w:style>
  <w:style w:type="paragraph" w:styleId="CommentText">
    <w:name w:val="annotation text"/>
    <w:basedOn w:val="Normal"/>
    <w:link w:val="CommentTextChar"/>
    <w:uiPriority w:val="99"/>
    <w:unhideWhenUsed/>
    <w:rsid w:val="007B306F"/>
    <w:pPr>
      <w:spacing w:line="240" w:lineRule="auto"/>
    </w:pPr>
  </w:style>
  <w:style w:type="character" w:customStyle="1" w:styleId="CommentTextChar">
    <w:name w:val="Comment Text Char"/>
    <w:basedOn w:val="DefaultParagraphFont"/>
    <w:link w:val="CommentText"/>
    <w:uiPriority w:val="99"/>
    <w:rsid w:val="007B306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B306F"/>
    <w:rPr>
      <w:b/>
      <w:bCs/>
    </w:rPr>
  </w:style>
  <w:style w:type="character" w:customStyle="1" w:styleId="CommentSubjectChar">
    <w:name w:val="Comment Subject Char"/>
    <w:basedOn w:val="CommentTextChar"/>
    <w:link w:val="CommentSubject"/>
    <w:uiPriority w:val="99"/>
    <w:semiHidden/>
    <w:rsid w:val="007B306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421032">
      <w:bodyDiv w:val="1"/>
      <w:marLeft w:val="0"/>
      <w:marRight w:val="0"/>
      <w:marTop w:val="0"/>
      <w:marBottom w:val="0"/>
      <w:divBdr>
        <w:top w:val="none" w:sz="0" w:space="0" w:color="auto"/>
        <w:left w:val="none" w:sz="0" w:space="0" w:color="auto"/>
        <w:bottom w:val="none" w:sz="0" w:space="0" w:color="auto"/>
        <w:right w:val="none" w:sz="0" w:space="0" w:color="auto"/>
      </w:divBdr>
    </w:div>
    <w:div w:id="621225738">
      <w:bodyDiv w:val="1"/>
      <w:marLeft w:val="0"/>
      <w:marRight w:val="0"/>
      <w:marTop w:val="0"/>
      <w:marBottom w:val="0"/>
      <w:divBdr>
        <w:top w:val="none" w:sz="0" w:space="0" w:color="auto"/>
        <w:left w:val="none" w:sz="0" w:space="0" w:color="auto"/>
        <w:bottom w:val="none" w:sz="0" w:space="0" w:color="auto"/>
        <w:right w:val="none" w:sz="0" w:space="0" w:color="auto"/>
      </w:divBdr>
    </w:div>
    <w:div w:id="853803165">
      <w:bodyDiv w:val="1"/>
      <w:marLeft w:val="0"/>
      <w:marRight w:val="0"/>
      <w:marTop w:val="0"/>
      <w:marBottom w:val="0"/>
      <w:divBdr>
        <w:top w:val="none" w:sz="0" w:space="0" w:color="auto"/>
        <w:left w:val="none" w:sz="0" w:space="0" w:color="auto"/>
        <w:bottom w:val="none" w:sz="0" w:space="0" w:color="auto"/>
        <w:right w:val="none" w:sz="0" w:space="0" w:color="auto"/>
      </w:divBdr>
    </w:div>
    <w:div w:id="985167353">
      <w:bodyDiv w:val="1"/>
      <w:marLeft w:val="0"/>
      <w:marRight w:val="0"/>
      <w:marTop w:val="0"/>
      <w:marBottom w:val="0"/>
      <w:divBdr>
        <w:top w:val="none" w:sz="0" w:space="0" w:color="auto"/>
        <w:left w:val="none" w:sz="0" w:space="0" w:color="auto"/>
        <w:bottom w:val="none" w:sz="0" w:space="0" w:color="auto"/>
        <w:right w:val="none" w:sz="0" w:space="0" w:color="auto"/>
      </w:divBdr>
    </w:div>
    <w:div w:id="1093628953">
      <w:bodyDiv w:val="1"/>
      <w:marLeft w:val="0"/>
      <w:marRight w:val="0"/>
      <w:marTop w:val="0"/>
      <w:marBottom w:val="0"/>
      <w:divBdr>
        <w:top w:val="none" w:sz="0" w:space="0" w:color="auto"/>
        <w:left w:val="none" w:sz="0" w:space="0" w:color="auto"/>
        <w:bottom w:val="none" w:sz="0" w:space="0" w:color="auto"/>
        <w:right w:val="none" w:sz="0" w:space="0" w:color="auto"/>
      </w:divBdr>
    </w:div>
    <w:div w:id="1164276262">
      <w:bodyDiv w:val="1"/>
      <w:marLeft w:val="0"/>
      <w:marRight w:val="0"/>
      <w:marTop w:val="0"/>
      <w:marBottom w:val="0"/>
      <w:divBdr>
        <w:top w:val="none" w:sz="0" w:space="0" w:color="auto"/>
        <w:left w:val="none" w:sz="0" w:space="0" w:color="auto"/>
        <w:bottom w:val="none" w:sz="0" w:space="0" w:color="auto"/>
        <w:right w:val="none" w:sz="0" w:space="0" w:color="auto"/>
      </w:divBdr>
    </w:div>
    <w:div w:id="1447314120">
      <w:bodyDiv w:val="1"/>
      <w:marLeft w:val="0"/>
      <w:marRight w:val="0"/>
      <w:marTop w:val="0"/>
      <w:marBottom w:val="0"/>
      <w:divBdr>
        <w:top w:val="none" w:sz="0" w:space="0" w:color="auto"/>
        <w:left w:val="none" w:sz="0" w:space="0" w:color="auto"/>
        <w:bottom w:val="none" w:sz="0" w:space="0" w:color="auto"/>
        <w:right w:val="none" w:sz="0" w:space="0" w:color="auto"/>
      </w:divBdr>
    </w:div>
    <w:div w:id="146292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CAT/OP/12/5" TargetMode="External"/><Relationship Id="rId2" Type="http://schemas.openxmlformats.org/officeDocument/2006/relationships/hyperlink" Target="https://www.ohchr.org/sites/default/files/Documents/HRBodies/OPCAT/NPM/NVPM_Croatia08.02.2012.pdf" TargetMode="External"/><Relationship Id="rId1" Type="http://schemas.openxmlformats.org/officeDocument/2006/relationships/hyperlink" Target="https://docs.un.org/en/CAT/OP/12/5" TargetMode="External"/><Relationship Id="rId4" Type="http://schemas.openxmlformats.org/officeDocument/2006/relationships/hyperlink" Target="https://docs.un.org/en/CAT/C/57/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973B7F-24B4-4BCD-8AA3-463456035A85}">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CATOP.dotm</Template>
  <TotalTime>0</TotalTime>
  <Pages>21</Pages>
  <Words>9725</Words>
  <Characters>55467</Characters>
  <Application>Microsoft Office Word</Application>
  <DocSecurity>0</DocSecurity>
  <Lines>893</Lines>
  <Paragraphs>255</Paragraphs>
  <ScaleCrop>false</ScaleCrop>
  <HeadingPairs>
    <vt:vector size="2" baseType="variant">
      <vt:variant>
        <vt:lpstr>Title</vt:lpstr>
      </vt:variant>
      <vt:variant>
        <vt:i4>1</vt:i4>
      </vt:variant>
    </vt:vector>
  </HeadingPairs>
  <TitlesOfParts>
    <vt:vector size="1" baseType="lpstr">
      <vt:lpstr>CAT/OP/HRV/ROSP/1</vt:lpstr>
    </vt:vector>
  </TitlesOfParts>
  <Company>DCM</Company>
  <LinksUpToDate>false</LinksUpToDate>
  <CharactersWithSpaces>65152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CAT/OP/HRV/ROSP/1</dc:title>
  <dc:subject>2516782</dc:subject>
  <dc:creator>cg</dc:creator>
  <cp:keywords/>
  <dc:description/>
  <cp:lastModifiedBy>Maria Rosario Corazon Gatmaytan</cp:lastModifiedBy>
  <cp:revision>2</cp:revision>
  <dcterms:created xsi:type="dcterms:W3CDTF">2025-10-21T06:24:00Z</dcterms:created>
  <dcterms:modified xsi:type="dcterms:W3CDTF">2025-10-21T06:24:00Z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20fac035ea79c48c7f29768b9e3d2317b911dd0ee74a82b0ddc2ebbb1257b5f5</vt:lpwstr>
  </property>
</Properties>
</file>