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C39" w:rsidRDefault="00202C39" w:rsidP="00202C39">
      <w:pPr>
        <w:spacing w:line="240" w:lineRule="auto"/>
        <w:jc w:val="left"/>
        <w:rPr>
          <w:szCs w:val="6"/>
          <w:lang w:bidi="ar-EG"/>
        </w:rPr>
        <w:sectPr w:rsidR="00202C39" w:rsidSect="00202C3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25253E" w:rsidP="0025253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لجنة القضاء على جميع أشكال التمييز ضد المرأة</w:t>
      </w:r>
    </w:p>
    <w:p w:rsidR="0025253E" w:rsidRPr="0025253E" w:rsidRDefault="0025253E" w:rsidP="0025253E">
      <w:pPr>
        <w:pStyle w:val="SingleTxt"/>
        <w:spacing w:after="0" w:line="120" w:lineRule="exact"/>
        <w:rPr>
          <w:rFonts w:hint="cs"/>
          <w:sz w:val="10"/>
          <w:rtl/>
          <w:lang w:bidi="ar-EG"/>
        </w:rPr>
      </w:pPr>
    </w:p>
    <w:p w:rsidR="0025253E" w:rsidRPr="0025253E" w:rsidRDefault="0025253E" w:rsidP="0025253E">
      <w:pPr>
        <w:pStyle w:val="SingleTxt"/>
        <w:spacing w:after="0" w:line="120" w:lineRule="exact"/>
        <w:rPr>
          <w:rFonts w:hint="cs"/>
          <w:sz w:val="10"/>
          <w:rtl/>
          <w:lang w:bidi="ar-EG"/>
        </w:rPr>
      </w:pPr>
    </w:p>
    <w:p w:rsidR="0025253E" w:rsidRPr="0025253E" w:rsidRDefault="0025253E" w:rsidP="0025253E">
      <w:pPr>
        <w:pStyle w:val="SingleTxt"/>
        <w:spacing w:after="0" w:line="120" w:lineRule="exact"/>
        <w:rPr>
          <w:rFonts w:hint="cs"/>
          <w:sz w:val="10"/>
          <w:rtl/>
          <w:lang w:bidi="ar-EG"/>
        </w:rPr>
      </w:pPr>
    </w:p>
    <w:p w:rsidR="0025253E" w:rsidRDefault="0025253E" w:rsidP="0025253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25253E" w:rsidRPr="00326389" w:rsidRDefault="0025253E" w:rsidP="0025253E">
      <w:pPr>
        <w:pStyle w:val="SingleTxt"/>
        <w:spacing w:after="0" w:line="120" w:lineRule="exact"/>
        <w:rPr>
          <w:sz w:val="10"/>
          <w:rtl/>
        </w:rPr>
      </w:pPr>
    </w:p>
    <w:p w:rsidR="0025253E" w:rsidRDefault="0025253E" w:rsidP="00DF56B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80"/>
        <w:ind w:left="1267" w:right="1267" w:hanging="1267"/>
        <w:rPr>
          <w:rtl/>
        </w:rPr>
      </w:pPr>
      <w:r>
        <w:rPr>
          <w:rtl/>
        </w:rPr>
        <w:tab/>
      </w:r>
      <w:r>
        <w:rPr>
          <w:rFonts w:hint="cs"/>
          <w:rtl/>
          <w:lang w:bidi="ar-EG"/>
        </w:rPr>
        <w:tab/>
        <w:t>التقرير الدوري السادس</w:t>
      </w:r>
      <w:r>
        <w:rPr>
          <w:rtl/>
        </w:rPr>
        <w:t xml:space="preserve"> </w:t>
      </w:r>
      <w:r w:rsidR="00DF56BE">
        <w:rPr>
          <w:rFonts w:hint="cs"/>
          <w:rtl/>
          <w:lang w:bidi="ar-EG"/>
        </w:rPr>
        <w:t>المقدم من ا</w:t>
      </w:r>
      <w:r>
        <w:rPr>
          <w:rtl/>
        </w:rPr>
        <w:t>لدول الأطراف</w:t>
      </w:r>
    </w:p>
    <w:p w:rsidR="0025253E" w:rsidRDefault="0025253E" w:rsidP="0025253E">
      <w:pPr>
        <w:pStyle w:val="SingleTxt"/>
        <w:spacing w:after="0" w:line="120" w:lineRule="exact"/>
        <w:rPr>
          <w:sz w:val="12"/>
          <w:rtl/>
        </w:rPr>
      </w:pPr>
    </w:p>
    <w:p w:rsidR="0025253E" w:rsidRDefault="0025253E" w:rsidP="0025253E">
      <w:pPr>
        <w:framePr w:w="9792" w:h="432" w:hSpace="180" w:wrap="around" w:hAnchor="page" w:x="1210" w:yAlign="bottom"/>
        <w:spacing w:line="240" w:lineRule="auto"/>
        <w:rPr>
          <w:szCs w:val="10"/>
          <w:rtl/>
        </w:rPr>
      </w:pPr>
    </w:p>
    <w:p w:rsidR="0025253E" w:rsidRDefault="0025253E" w:rsidP="00E92872">
      <w:pPr>
        <w:framePr w:w="9792" w:h="432" w:hSpace="180" w:wrap="around" w:hAnchor="page" w:x="1210" w:yAlign="bottom"/>
        <w:tabs>
          <w:tab w:val="right" w:pos="1195"/>
          <w:tab w:val="left" w:pos="1267"/>
        </w:tabs>
        <w:spacing w:after="60" w:line="280" w:lineRule="exact"/>
        <w:ind w:left="1267" w:right="1267" w:hanging="576"/>
        <w:rPr>
          <w:rFonts w:hint="cs"/>
          <w:sz w:val="17"/>
          <w:szCs w:val="26"/>
          <w:rtl/>
        </w:rPr>
      </w:pPr>
      <w:r>
        <w:rPr>
          <w:w w:val="100"/>
          <w:rtl/>
        </w:rPr>
        <w:pict>
          <v:line id="_x0000_s1026" style="position:absolute;left:0;text-align:left;z-index:1;mso-position-horizontal-relative:page" from="442.1pt,-1pt" to="514.1pt,-1pt" o:allowincell="f">
            <w10:wrap anchorx="page"/>
          </v:line>
        </w:pict>
      </w:r>
      <w:r>
        <w:rPr>
          <w:sz w:val="17"/>
          <w:szCs w:val="26"/>
          <w:rtl/>
        </w:rPr>
        <w:tab/>
        <w:t>*</w:t>
      </w:r>
      <w:r>
        <w:rPr>
          <w:sz w:val="17"/>
          <w:szCs w:val="26"/>
          <w:rtl/>
        </w:rPr>
        <w:tab/>
      </w:r>
      <w:r w:rsidR="00E92872">
        <w:rPr>
          <w:rFonts w:hint="cs"/>
          <w:sz w:val="17"/>
          <w:szCs w:val="26"/>
          <w:rtl/>
          <w:lang w:bidi="ar-EG"/>
        </w:rPr>
        <w:t>يصدر هذا التقرير دون تحرير رسمي</w:t>
      </w:r>
      <w:r>
        <w:rPr>
          <w:rFonts w:hint="cs"/>
          <w:sz w:val="17"/>
          <w:szCs w:val="26"/>
          <w:rtl/>
        </w:rPr>
        <w:t>.</w:t>
      </w:r>
    </w:p>
    <w:p w:rsidR="0025253E" w:rsidRDefault="0025253E" w:rsidP="00645C7B">
      <w:pPr>
        <w:framePr w:w="9792" w:h="432" w:hSpace="180" w:wrap="around" w:hAnchor="page" w:x="1210" w:yAlign="bottom"/>
        <w:tabs>
          <w:tab w:val="right" w:pos="1195"/>
          <w:tab w:val="left" w:pos="1267"/>
        </w:tabs>
        <w:spacing w:after="60" w:line="280" w:lineRule="exact"/>
        <w:ind w:left="1267" w:right="1267" w:hanging="576"/>
        <w:rPr>
          <w:rFonts w:hint="cs"/>
          <w:sz w:val="17"/>
          <w:szCs w:val="26"/>
          <w:rtl/>
          <w:lang w:bidi="ar-EG"/>
        </w:rPr>
      </w:pPr>
      <w:r>
        <w:rPr>
          <w:rFonts w:hint="cs"/>
          <w:sz w:val="17"/>
          <w:szCs w:val="26"/>
          <w:rtl/>
        </w:rPr>
        <w:tab/>
      </w:r>
      <w:r>
        <w:rPr>
          <w:rFonts w:hint="cs"/>
          <w:sz w:val="17"/>
          <w:szCs w:val="26"/>
          <w:rtl/>
        </w:rPr>
        <w:tab/>
        <w:t xml:space="preserve">للاطلاع على </w:t>
      </w:r>
      <w:r>
        <w:rPr>
          <w:sz w:val="17"/>
          <w:szCs w:val="26"/>
          <w:rtl/>
        </w:rPr>
        <w:t>التق</w:t>
      </w:r>
      <w:r w:rsidR="00645C7B">
        <w:rPr>
          <w:rFonts w:hint="cs"/>
          <w:sz w:val="17"/>
          <w:szCs w:val="26"/>
          <w:rtl/>
        </w:rPr>
        <w:t>ا</w:t>
      </w:r>
      <w:r>
        <w:rPr>
          <w:sz w:val="17"/>
          <w:szCs w:val="26"/>
          <w:rtl/>
        </w:rPr>
        <w:t>ر</w:t>
      </w:r>
      <w:r w:rsidR="00645C7B">
        <w:rPr>
          <w:rFonts w:hint="cs"/>
          <w:sz w:val="17"/>
          <w:szCs w:val="26"/>
          <w:rtl/>
        </w:rPr>
        <w:t xml:space="preserve">ير </w:t>
      </w:r>
      <w:r w:rsidR="00DF56BE">
        <w:rPr>
          <w:rFonts w:hint="cs"/>
          <w:sz w:val="17"/>
          <w:szCs w:val="26"/>
          <w:rtl/>
        </w:rPr>
        <w:t xml:space="preserve">الدورية </w:t>
      </w:r>
      <w:r w:rsidR="00645C7B">
        <w:rPr>
          <w:rFonts w:hint="cs"/>
          <w:sz w:val="17"/>
          <w:szCs w:val="26"/>
          <w:rtl/>
        </w:rPr>
        <w:t>المجمعة</w:t>
      </w:r>
      <w:r>
        <w:rPr>
          <w:sz w:val="17"/>
          <w:szCs w:val="26"/>
          <w:rtl/>
        </w:rPr>
        <w:t xml:space="preserve"> الأول </w:t>
      </w:r>
      <w:r w:rsidR="00645C7B">
        <w:rPr>
          <w:rFonts w:hint="cs"/>
          <w:sz w:val="17"/>
          <w:szCs w:val="26"/>
          <w:rtl/>
        </w:rPr>
        <w:t xml:space="preserve">والثاني والثالث والرابع والخامس </w:t>
      </w:r>
      <w:r>
        <w:rPr>
          <w:sz w:val="17"/>
          <w:szCs w:val="26"/>
          <w:rtl/>
        </w:rPr>
        <w:t>المقدم</w:t>
      </w:r>
      <w:r w:rsidR="00645C7B">
        <w:rPr>
          <w:rFonts w:hint="cs"/>
          <w:sz w:val="17"/>
          <w:szCs w:val="26"/>
          <w:rtl/>
        </w:rPr>
        <w:t>ة</w:t>
      </w:r>
      <w:r>
        <w:rPr>
          <w:sz w:val="17"/>
          <w:szCs w:val="26"/>
          <w:rtl/>
        </w:rPr>
        <w:t xml:space="preserve"> من حكومة </w:t>
      </w:r>
      <w:r>
        <w:rPr>
          <w:rFonts w:hint="cs"/>
          <w:sz w:val="17"/>
          <w:szCs w:val="26"/>
          <w:rtl/>
          <w:lang w:bidi="ar-EG"/>
        </w:rPr>
        <w:t>ال</w:t>
      </w:r>
      <w:r w:rsidR="00645C7B">
        <w:rPr>
          <w:rFonts w:hint="cs"/>
          <w:sz w:val="17"/>
          <w:szCs w:val="26"/>
          <w:rtl/>
          <w:lang w:bidi="ar-EG"/>
        </w:rPr>
        <w:t>برازيل</w:t>
      </w:r>
      <w:r>
        <w:rPr>
          <w:sz w:val="17"/>
          <w:szCs w:val="26"/>
          <w:rtl/>
        </w:rPr>
        <w:t xml:space="preserve">، انظر </w:t>
      </w:r>
      <w:r>
        <w:rPr>
          <w:sz w:val="17"/>
          <w:szCs w:val="26"/>
        </w:rPr>
        <w:t>CEDAW/C/</w:t>
      </w:r>
      <w:r w:rsidR="00645C7B">
        <w:rPr>
          <w:sz w:val="17"/>
          <w:szCs w:val="26"/>
        </w:rPr>
        <w:t>BRA</w:t>
      </w:r>
      <w:r>
        <w:rPr>
          <w:sz w:val="17"/>
          <w:szCs w:val="26"/>
        </w:rPr>
        <w:t>/</w:t>
      </w:r>
      <w:r w:rsidR="00645C7B">
        <w:rPr>
          <w:sz w:val="17"/>
          <w:szCs w:val="26"/>
        </w:rPr>
        <w:t>1-5</w:t>
      </w:r>
      <w:r w:rsidR="00645C7B">
        <w:rPr>
          <w:sz w:val="17"/>
          <w:szCs w:val="26"/>
          <w:rtl/>
        </w:rPr>
        <w:t>، ال</w:t>
      </w:r>
      <w:r w:rsidR="00645C7B">
        <w:rPr>
          <w:rFonts w:hint="cs"/>
          <w:sz w:val="17"/>
          <w:szCs w:val="26"/>
          <w:rtl/>
        </w:rPr>
        <w:t>ت</w:t>
      </w:r>
      <w:r>
        <w:rPr>
          <w:sz w:val="17"/>
          <w:szCs w:val="26"/>
          <w:rtl/>
        </w:rPr>
        <w:t>ي نظرت فيه</w:t>
      </w:r>
      <w:r w:rsidR="00645C7B">
        <w:rPr>
          <w:rFonts w:hint="cs"/>
          <w:sz w:val="17"/>
          <w:szCs w:val="26"/>
          <w:rtl/>
        </w:rPr>
        <w:t>ا</w:t>
      </w:r>
      <w:r>
        <w:rPr>
          <w:sz w:val="17"/>
          <w:szCs w:val="26"/>
          <w:rtl/>
        </w:rPr>
        <w:t xml:space="preserve"> اللجنة في دورتها </w:t>
      </w:r>
      <w:r w:rsidR="00645C7B">
        <w:rPr>
          <w:rFonts w:hint="cs"/>
          <w:sz w:val="17"/>
          <w:szCs w:val="26"/>
          <w:rtl/>
          <w:lang w:bidi="ar-EG"/>
        </w:rPr>
        <w:t>التاسعة والعشرين</w:t>
      </w:r>
      <w:r>
        <w:rPr>
          <w:sz w:val="17"/>
          <w:szCs w:val="26"/>
          <w:rtl/>
        </w:rPr>
        <w:t>.</w:t>
      </w:r>
    </w:p>
    <w:p w:rsidR="0025253E" w:rsidRDefault="0025253E" w:rsidP="004D20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60"/>
        <w:ind w:left="1267" w:right="1267" w:hanging="1267"/>
        <w:rPr>
          <w:rtl/>
        </w:rPr>
      </w:pPr>
      <w:r>
        <w:rPr>
          <w:rtl/>
        </w:rPr>
        <w:tab/>
      </w:r>
      <w:r>
        <w:rPr>
          <w:rtl/>
        </w:rPr>
        <w:tab/>
      </w:r>
      <w:r>
        <w:rPr>
          <w:rFonts w:hint="cs"/>
          <w:rtl/>
        </w:rPr>
        <w:t>ال</w:t>
      </w:r>
      <w:r w:rsidR="004D2078">
        <w:rPr>
          <w:rFonts w:hint="cs"/>
          <w:rtl/>
        </w:rPr>
        <w:t>برازيل</w:t>
      </w:r>
      <w:r w:rsidRPr="00326389">
        <w:rPr>
          <w:sz w:val="20"/>
          <w:szCs w:val="30"/>
          <w:rtl/>
        </w:rPr>
        <w:t>*</w:t>
      </w:r>
    </w:p>
    <w:p w:rsidR="008D26BD" w:rsidRDefault="008D26BD" w:rsidP="00202C39">
      <w:pPr>
        <w:pStyle w:val="SingleTxt"/>
        <w:rPr>
          <w:rFonts w:hint="cs"/>
          <w:rtl/>
          <w:lang w:bidi="ar-EG"/>
        </w:rPr>
      </w:pPr>
    </w:p>
    <w:p w:rsidR="00EB01BB" w:rsidRPr="00EB01BB" w:rsidRDefault="008D26BD" w:rsidP="00EB01BB">
      <w:pPr>
        <w:pStyle w:val="HCh"/>
        <w:spacing w:after="120"/>
        <w:rPr>
          <w:rtl/>
          <w:lang w:bidi="ar-EG"/>
        </w:rPr>
      </w:pPr>
      <w:r>
        <w:rPr>
          <w:rtl/>
        </w:rPr>
        <w:br w:type="page"/>
      </w:r>
      <w:r w:rsidR="00EB01BB">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7627"/>
        <w:gridCol w:w="105"/>
        <w:gridCol w:w="806"/>
      </w:tblGrid>
      <w:tr w:rsidR="00EB01BB" w:rsidRPr="00EB01BB">
        <w:tblPrEx>
          <w:tblCellMar>
            <w:top w:w="0" w:type="dxa"/>
            <w:bottom w:w="0" w:type="dxa"/>
          </w:tblCellMar>
        </w:tblPrEx>
        <w:tc>
          <w:tcPr>
            <w:tcW w:w="1296" w:type="dxa"/>
            <w:shd w:val="clear" w:color="auto" w:fill="auto"/>
          </w:tcPr>
          <w:p w:rsidR="00EB01BB" w:rsidRPr="00EB01BB" w:rsidRDefault="00EB01BB" w:rsidP="00EB01BB">
            <w:pPr>
              <w:spacing w:after="120" w:line="240" w:lineRule="auto"/>
              <w:jc w:val="right"/>
              <w:rPr>
                <w:rFonts w:hint="cs"/>
                <w:iCs/>
                <w:sz w:val="14"/>
                <w:rtl/>
                <w:lang w:bidi="ar-EG"/>
              </w:rPr>
            </w:pPr>
          </w:p>
        </w:tc>
        <w:tc>
          <w:tcPr>
            <w:tcW w:w="7627" w:type="dxa"/>
            <w:shd w:val="clear" w:color="auto" w:fill="auto"/>
          </w:tcPr>
          <w:p w:rsidR="00EB01BB" w:rsidRPr="00EB01BB" w:rsidRDefault="00EB01BB" w:rsidP="00EB01BB">
            <w:pPr>
              <w:spacing w:after="120" w:line="240" w:lineRule="auto"/>
              <w:rPr>
                <w:rFonts w:hint="cs"/>
                <w:iCs/>
                <w:sz w:val="14"/>
                <w:rtl/>
                <w:lang w:bidi="ar-EG"/>
              </w:rPr>
            </w:pPr>
          </w:p>
        </w:tc>
        <w:tc>
          <w:tcPr>
            <w:tcW w:w="105" w:type="dxa"/>
            <w:shd w:val="clear" w:color="auto" w:fill="auto"/>
          </w:tcPr>
          <w:p w:rsidR="00EB01BB" w:rsidRPr="00EB01BB" w:rsidRDefault="00EB01BB" w:rsidP="00EB01BB">
            <w:pPr>
              <w:spacing w:after="120" w:line="240" w:lineRule="auto"/>
              <w:jc w:val="right"/>
              <w:rPr>
                <w:rFonts w:hint="cs"/>
                <w:iCs/>
                <w:sz w:val="14"/>
                <w:rtl/>
                <w:lang w:bidi="ar-EG"/>
              </w:rPr>
            </w:pPr>
          </w:p>
        </w:tc>
        <w:tc>
          <w:tcPr>
            <w:tcW w:w="806" w:type="dxa"/>
            <w:shd w:val="clear" w:color="auto" w:fill="auto"/>
          </w:tcPr>
          <w:p w:rsidR="00EB01BB" w:rsidRPr="00EB01BB" w:rsidRDefault="00EB01BB" w:rsidP="00EB01BB">
            <w:pPr>
              <w:spacing w:after="120" w:line="240" w:lineRule="auto"/>
              <w:jc w:val="right"/>
              <w:rPr>
                <w:rFonts w:hint="cs"/>
                <w:iCs/>
                <w:sz w:val="14"/>
                <w:rtl/>
                <w:lang w:bidi="ar-EG"/>
              </w:rPr>
            </w:pPr>
            <w:r>
              <w:rPr>
                <w:rFonts w:hint="eastAsia"/>
                <w:iCs/>
                <w:sz w:val="14"/>
                <w:rtl/>
                <w:lang w:bidi="ar-EG"/>
              </w:rPr>
              <w:t>الصفحة</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left" w:pos="1728"/>
                <w:tab w:val="right" w:leader="dot" w:pos="8923"/>
              </w:tabs>
              <w:spacing w:after="120" w:line="360" w:lineRule="exact"/>
              <w:jc w:val="left"/>
              <w:rPr>
                <w:rFonts w:hint="cs"/>
                <w:spacing w:val="60"/>
                <w:sz w:val="17"/>
                <w:rtl/>
                <w:lang w:bidi="ar-EG"/>
              </w:rPr>
            </w:pPr>
            <w:r>
              <w:rPr>
                <w:rtl/>
                <w:lang w:bidi="ar-EG"/>
              </w:rPr>
              <w:tab/>
            </w:r>
            <w:r>
              <w:rPr>
                <w:rFonts w:hint="cs"/>
                <w:rtl/>
                <w:lang w:bidi="ar-EG"/>
              </w:rPr>
              <w:tab/>
              <w:t>تصدير</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566278" w:rsidP="00AD391D">
            <w:pPr>
              <w:spacing w:after="120" w:line="360" w:lineRule="exact"/>
              <w:jc w:val="right"/>
              <w:rPr>
                <w:rFonts w:hint="cs"/>
                <w:rtl/>
                <w:lang w:bidi="ar-EG"/>
              </w:rPr>
            </w:pPr>
            <w:r>
              <w:rPr>
                <w:rFonts w:hint="cs"/>
                <w:rtl/>
                <w:lang w:bidi="ar-EG"/>
              </w:rPr>
              <w:t>3</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left" w:pos="1728"/>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مقدمة</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566278" w:rsidP="00AD391D">
            <w:pPr>
              <w:spacing w:after="120" w:line="360" w:lineRule="exact"/>
              <w:jc w:val="right"/>
              <w:rPr>
                <w:rFonts w:hint="cs"/>
                <w:rtl/>
                <w:lang w:bidi="ar-EG"/>
              </w:rPr>
            </w:pPr>
            <w:r>
              <w:rPr>
                <w:rFonts w:hint="cs"/>
                <w:rtl/>
                <w:lang w:bidi="ar-EG"/>
              </w:rPr>
              <w:t>4</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left" w:pos="1728"/>
                <w:tab w:val="left" w:pos="2160"/>
                <w:tab w:val="right" w:leader="dot" w:pos="8923"/>
              </w:tabs>
              <w:spacing w:after="120" w:line="360" w:lineRule="exact"/>
              <w:jc w:val="left"/>
              <w:rPr>
                <w:rFonts w:hint="cs"/>
                <w:spacing w:val="60"/>
                <w:sz w:val="17"/>
                <w:rtl/>
                <w:lang w:bidi="ar-EG"/>
              </w:rPr>
            </w:pPr>
            <w:r>
              <w:rPr>
                <w:rtl/>
                <w:lang w:bidi="ar-EG"/>
              </w:rPr>
              <w:tab/>
            </w:r>
            <w:r>
              <w:rPr>
                <w:rFonts w:hint="cs"/>
                <w:rtl/>
                <w:lang w:bidi="ar-EG"/>
              </w:rPr>
              <w:tab/>
              <w:t>المادتان 1 و 2</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566278" w:rsidP="00AD391D">
            <w:pPr>
              <w:spacing w:after="120" w:line="360" w:lineRule="exact"/>
              <w:jc w:val="right"/>
              <w:rPr>
                <w:rFonts w:hint="cs"/>
                <w:rtl/>
                <w:lang w:bidi="ar-EG"/>
              </w:rPr>
            </w:pPr>
            <w:r>
              <w:rPr>
                <w:rFonts w:hint="cs"/>
                <w:rtl/>
                <w:lang w:bidi="ar-EG"/>
              </w:rPr>
              <w:t>8</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Pr>
                <w:rFonts w:hint="cs"/>
                <w:rtl/>
                <w:lang w:bidi="ar-EG"/>
              </w:rPr>
              <w:t>المادة 3</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566278" w:rsidP="00AD391D">
            <w:pPr>
              <w:spacing w:after="120" w:line="360" w:lineRule="exact"/>
              <w:jc w:val="right"/>
              <w:rPr>
                <w:rFonts w:hint="cs"/>
                <w:rtl/>
                <w:lang w:bidi="ar-EG"/>
              </w:rPr>
            </w:pPr>
            <w:r>
              <w:rPr>
                <w:rFonts w:hint="cs"/>
                <w:rtl/>
                <w:lang w:bidi="ar-EG"/>
              </w:rPr>
              <w:t>17</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right" w:leader="dot" w:pos="8923"/>
              </w:tabs>
              <w:spacing w:after="120" w:line="360" w:lineRule="exact"/>
              <w:jc w:val="left"/>
              <w:rPr>
                <w:rFonts w:hint="cs"/>
                <w:spacing w:val="60"/>
                <w:sz w:val="17"/>
                <w:rtl/>
                <w:lang w:bidi="ar-EG"/>
              </w:rPr>
            </w:pPr>
            <w:r>
              <w:rPr>
                <w:rtl/>
                <w:lang w:bidi="ar-EG"/>
              </w:rPr>
              <w:tab/>
            </w:r>
            <w:r>
              <w:rPr>
                <w:rFonts w:hint="cs"/>
                <w:rtl/>
                <w:lang w:bidi="ar-EG"/>
              </w:rPr>
              <w:tab/>
              <w:t>المادة 4</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566278" w:rsidP="00AD391D">
            <w:pPr>
              <w:spacing w:after="120" w:line="360" w:lineRule="exact"/>
              <w:jc w:val="right"/>
              <w:rPr>
                <w:rFonts w:hint="cs"/>
                <w:rtl/>
                <w:lang w:bidi="ar-EG"/>
              </w:rPr>
            </w:pPr>
            <w:r>
              <w:rPr>
                <w:rFonts w:hint="cs"/>
                <w:rtl/>
                <w:lang w:bidi="ar-EG"/>
              </w:rPr>
              <w:t>23</w:t>
            </w:r>
          </w:p>
        </w:tc>
      </w:tr>
      <w:tr w:rsidR="00F61DFD" w:rsidRPr="00EB01BB">
        <w:tblPrEx>
          <w:tblCellMar>
            <w:top w:w="0" w:type="dxa"/>
            <w:bottom w:w="0" w:type="dxa"/>
          </w:tblCellMar>
        </w:tblPrEx>
        <w:tc>
          <w:tcPr>
            <w:tcW w:w="8923" w:type="dxa"/>
            <w:gridSpan w:val="2"/>
            <w:shd w:val="clear" w:color="auto" w:fill="auto"/>
          </w:tcPr>
          <w:p w:rsidR="00F61DFD" w:rsidRPr="004C21FC" w:rsidRDefault="00F61DFD" w:rsidP="00AD391D">
            <w:pPr>
              <w:tabs>
                <w:tab w:val="right" w:pos="1080"/>
                <w:tab w:val="left" w:pos="1296"/>
                <w:tab w:val="right" w:leader="dot" w:pos="8923"/>
              </w:tabs>
              <w:spacing w:after="120" w:line="360" w:lineRule="exact"/>
              <w:jc w:val="left"/>
              <w:rPr>
                <w:rFonts w:hint="cs"/>
                <w:spacing w:val="60"/>
                <w:sz w:val="17"/>
                <w:rtl/>
                <w:lang w:bidi="ar-EG"/>
              </w:rPr>
            </w:pPr>
            <w:r>
              <w:rPr>
                <w:rFonts w:hint="cs"/>
                <w:rtl/>
                <w:lang w:bidi="ar-EG"/>
              </w:rPr>
              <w:tab/>
            </w:r>
            <w:r>
              <w:rPr>
                <w:rtl/>
                <w:lang w:bidi="ar-EG"/>
              </w:rPr>
              <w:tab/>
            </w:r>
            <w:r w:rsidR="004C21FC">
              <w:rPr>
                <w:rFonts w:hint="cs"/>
                <w:rtl/>
                <w:lang w:bidi="ar-EG"/>
              </w:rPr>
              <w:t>المادة 5</w:t>
            </w:r>
            <w:r w:rsidR="004C21FC">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7C18B4" w:rsidP="00AD391D">
            <w:pPr>
              <w:spacing w:after="120" w:line="360" w:lineRule="exact"/>
              <w:jc w:val="right"/>
              <w:rPr>
                <w:rFonts w:hint="cs"/>
                <w:rtl/>
                <w:lang w:bidi="ar-EG"/>
              </w:rPr>
            </w:pPr>
            <w:r>
              <w:rPr>
                <w:rFonts w:hint="cs"/>
                <w:rtl/>
                <w:lang w:bidi="ar-EG"/>
              </w:rPr>
              <w:t>27</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6</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7C18B4" w:rsidP="00AD391D">
            <w:pPr>
              <w:spacing w:after="120" w:line="360" w:lineRule="exact"/>
              <w:jc w:val="right"/>
              <w:rPr>
                <w:rFonts w:hint="cs"/>
                <w:rtl/>
                <w:lang w:bidi="ar-EG"/>
              </w:rPr>
            </w:pPr>
            <w:r>
              <w:rPr>
                <w:rFonts w:hint="cs"/>
                <w:rtl/>
                <w:lang w:bidi="ar-EG"/>
              </w:rPr>
              <w:t>30</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7</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7C18B4" w:rsidP="00AD391D">
            <w:pPr>
              <w:spacing w:after="120" w:line="360" w:lineRule="exact"/>
              <w:jc w:val="right"/>
              <w:rPr>
                <w:rFonts w:hint="cs"/>
                <w:rtl/>
                <w:lang w:bidi="ar-EG"/>
              </w:rPr>
            </w:pPr>
            <w:r>
              <w:rPr>
                <w:rFonts w:hint="cs"/>
                <w:rtl/>
                <w:lang w:bidi="ar-EG"/>
              </w:rPr>
              <w:t>47</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8</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7C18B4" w:rsidP="00AD391D">
            <w:pPr>
              <w:spacing w:after="120" w:line="360" w:lineRule="exact"/>
              <w:jc w:val="right"/>
              <w:rPr>
                <w:rFonts w:hint="cs"/>
                <w:rtl/>
                <w:lang w:bidi="ar-EG"/>
              </w:rPr>
            </w:pPr>
            <w:r>
              <w:rPr>
                <w:rFonts w:hint="cs"/>
                <w:rtl/>
                <w:lang w:bidi="ar-EG"/>
              </w:rPr>
              <w:t>54</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المادتان 9 و 10</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58</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11</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69</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12</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79</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13</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90</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المادة 14</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92</w:t>
            </w:r>
          </w:p>
        </w:tc>
      </w:tr>
      <w:tr w:rsidR="004C21FC" w:rsidRPr="00EB01BB">
        <w:tblPrEx>
          <w:tblCellMar>
            <w:top w:w="0" w:type="dxa"/>
            <w:bottom w:w="0" w:type="dxa"/>
          </w:tblCellMar>
        </w:tblPrEx>
        <w:tc>
          <w:tcPr>
            <w:tcW w:w="8923" w:type="dxa"/>
            <w:gridSpan w:val="2"/>
            <w:shd w:val="clear" w:color="auto" w:fill="auto"/>
          </w:tcPr>
          <w:p w:rsidR="004C21FC" w:rsidRDefault="004C21FC" w:rsidP="00AD391D">
            <w:pPr>
              <w:tabs>
                <w:tab w:val="right" w:pos="1080"/>
                <w:tab w:val="left" w:pos="1296"/>
                <w:tab w:val="right" w:leader="dot" w:pos="8923"/>
              </w:tabs>
              <w:spacing w:after="120" w:line="360" w:lineRule="exact"/>
              <w:jc w:val="left"/>
              <w:rPr>
                <w:rFonts w:hint="cs"/>
                <w:rtl/>
                <w:lang w:bidi="ar-EG"/>
              </w:rPr>
            </w:pPr>
            <w:r>
              <w:rPr>
                <w:rFonts w:hint="cs"/>
                <w:rtl/>
                <w:lang w:bidi="ar-EG"/>
              </w:rPr>
              <w:tab/>
            </w:r>
            <w:r>
              <w:rPr>
                <w:rtl/>
                <w:lang w:bidi="ar-EG"/>
              </w:rPr>
              <w:tab/>
            </w:r>
            <w:r>
              <w:rPr>
                <w:rFonts w:hint="cs"/>
                <w:rtl/>
                <w:lang w:bidi="ar-EG"/>
              </w:rPr>
              <w:t>المادتان 15 و 16</w:t>
            </w:r>
            <w:r>
              <w:rPr>
                <w:spacing w:val="60"/>
                <w:sz w:val="17"/>
                <w:rtl/>
                <w:lang w:bidi="ar-EG"/>
              </w:rPr>
              <w:tab/>
            </w:r>
          </w:p>
        </w:tc>
        <w:tc>
          <w:tcPr>
            <w:tcW w:w="105" w:type="dxa"/>
            <w:shd w:val="clear" w:color="auto" w:fill="auto"/>
            <w:vAlign w:val="bottom"/>
          </w:tcPr>
          <w:p w:rsidR="004C21FC" w:rsidRPr="00EB01BB" w:rsidRDefault="004C21FC" w:rsidP="00AD391D">
            <w:pPr>
              <w:spacing w:after="120" w:line="360" w:lineRule="exact"/>
              <w:jc w:val="right"/>
              <w:rPr>
                <w:rFonts w:hint="eastAsia"/>
                <w:rtl/>
                <w:lang w:bidi="ar-EG"/>
              </w:rPr>
            </w:pPr>
          </w:p>
        </w:tc>
        <w:tc>
          <w:tcPr>
            <w:tcW w:w="806" w:type="dxa"/>
            <w:shd w:val="clear" w:color="auto" w:fill="auto"/>
            <w:vAlign w:val="bottom"/>
          </w:tcPr>
          <w:p w:rsidR="004C21FC" w:rsidRPr="00EB01BB" w:rsidRDefault="00D474AB" w:rsidP="00AD391D">
            <w:pPr>
              <w:spacing w:after="120" w:line="360" w:lineRule="exact"/>
              <w:jc w:val="right"/>
              <w:rPr>
                <w:rFonts w:hint="cs"/>
                <w:rtl/>
                <w:lang w:bidi="ar-EG"/>
              </w:rPr>
            </w:pPr>
            <w:r>
              <w:rPr>
                <w:rFonts w:hint="cs"/>
                <w:rtl/>
                <w:lang w:bidi="ar-EG"/>
              </w:rPr>
              <w:t>108</w:t>
            </w:r>
          </w:p>
        </w:tc>
      </w:tr>
      <w:tr w:rsidR="00F61DFD" w:rsidRPr="00EB01BB">
        <w:tblPrEx>
          <w:tblCellMar>
            <w:top w:w="0" w:type="dxa"/>
            <w:bottom w:w="0" w:type="dxa"/>
          </w:tblCellMar>
        </w:tblPrEx>
        <w:tc>
          <w:tcPr>
            <w:tcW w:w="8923" w:type="dxa"/>
            <w:gridSpan w:val="2"/>
            <w:shd w:val="clear" w:color="auto" w:fill="auto"/>
          </w:tcPr>
          <w:p w:rsidR="00F61DFD" w:rsidRPr="00F61DFD" w:rsidRDefault="00F61DFD" w:rsidP="00AD391D">
            <w:pPr>
              <w:tabs>
                <w:tab w:val="right" w:pos="1080"/>
                <w:tab w:val="left" w:pos="1296"/>
                <w:tab w:val="left" w:pos="1728"/>
                <w:tab w:val="left" w:pos="2160"/>
                <w:tab w:val="left" w:pos="2592"/>
                <w:tab w:val="right" w:leader="dot" w:pos="8923"/>
              </w:tabs>
              <w:spacing w:after="120" w:line="360" w:lineRule="exact"/>
              <w:jc w:val="left"/>
              <w:rPr>
                <w:rFonts w:hint="cs"/>
                <w:spacing w:val="60"/>
                <w:sz w:val="17"/>
                <w:rtl/>
                <w:lang w:bidi="ar-EG"/>
              </w:rPr>
            </w:pPr>
            <w:r>
              <w:rPr>
                <w:rtl/>
                <w:lang w:bidi="ar-EG"/>
              </w:rPr>
              <w:tab/>
            </w:r>
            <w:r>
              <w:rPr>
                <w:rFonts w:hint="cs"/>
                <w:rtl/>
                <w:lang w:bidi="ar-EG"/>
              </w:rPr>
              <w:tab/>
              <w:t>أعضاء الفريق العامل</w:t>
            </w:r>
            <w:r>
              <w:rPr>
                <w:spacing w:val="60"/>
                <w:sz w:val="17"/>
                <w:rtl/>
                <w:lang w:bidi="ar-EG"/>
              </w:rPr>
              <w:tab/>
            </w:r>
          </w:p>
        </w:tc>
        <w:tc>
          <w:tcPr>
            <w:tcW w:w="105" w:type="dxa"/>
            <w:shd w:val="clear" w:color="auto" w:fill="auto"/>
            <w:vAlign w:val="bottom"/>
          </w:tcPr>
          <w:p w:rsidR="00F61DFD" w:rsidRPr="00EB01BB" w:rsidRDefault="00F61DFD" w:rsidP="00AD391D">
            <w:pPr>
              <w:spacing w:after="120" w:line="360" w:lineRule="exact"/>
              <w:jc w:val="right"/>
              <w:rPr>
                <w:rFonts w:hint="eastAsia"/>
                <w:rtl/>
                <w:lang w:bidi="ar-EG"/>
              </w:rPr>
            </w:pPr>
          </w:p>
        </w:tc>
        <w:tc>
          <w:tcPr>
            <w:tcW w:w="806" w:type="dxa"/>
            <w:shd w:val="clear" w:color="auto" w:fill="auto"/>
            <w:vAlign w:val="bottom"/>
          </w:tcPr>
          <w:p w:rsidR="00F61DFD" w:rsidRPr="00EB01BB" w:rsidRDefault="00D474AB" w:rsidP="00AD391D">
            <w:pPr>
              <w:spacing w:after="120" w:line="360" w:lineRule="exact"/>
              <w:jc w:val="right"/>
              <w:rPr>
                <w:rFonts w:hint="cs"/>
                <w:rtl/>
                <w:lang w:bidi="ar-EG"/>
              </w:rPr>
            </w:pPr>
            <w:r>
              <w:rPr>
                <w:rFonts w:hint="cs"/>
                <w:rtl/>
                <w:lang w:bidi="ar-EG"/>
              </w:rPr>
              <w:t>11</w:t>
            </w:r>
            <w:r w:rsidR="00E2419F">
              <w:rPr>
                <w:rFonts w:hint="cs"/>
                <w:rtl/>
                <w:lang w:bidi="ar-EG"/>
              </w:rPr>
              <w:t>4</w:t>
            </w:r>
          </w:p>
        </w:tc>
      </w:tr>
    </w:tbl>
    <w:p w:rsidR="00645C7B" w:rsidRDefault="00645C7B" w:rsidP="00202C39">
      <w:pPr>
        <w:pStyle w:val="SingleTxt"/>
        <w:rPr>
          <w:rFonts w:hint="cs"/>
          <w:rtl/>
        </w:rPr>
      </w:pPr>
    </w:p>
    <w:p w:rsidR="00645C7B" w:rsidRDefault="00645C7B" w:rsidP="00CB70D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rPr>
        <w:br w:type="page"/>
      </w:r>
      <w:r w:rsidR="00CB70D9">
        <w:rPr>
          <w:rFonts w:hint="cs"/>
          <w:rtl/>
          <w:lang w:bidi="ar-EG"/>
        </w:rPr>
        <w:tab/>
      </w:r>
      <w:r w:rsidR="00CB70D9">
        <w:rPr>
          <w:rFonts w:hint="cs"/>
          <w:rtl/>
          <w:lang w:bidi="ar-EG"/>
        </w:rPr>
        <w:tab/>
      </w:r>
      <w:r w:rsidR="00077284">
        <w:rPr>
          <w:rFonts w:hint="cs"/>
          <w:rtl/>
          <w:lang w:bidi="ar-EG"/>
        </w:rPr>
        <w:t>تقرير البرازيل السادس المقدم إلى اتفاقية القضاء ع</w:t>
      </w:r>
      <w:r w:rsidR="00CB70D9">
        <w:rPr>
          <w:rFonts w:hint="cs"/>
          <w:rtl/>
          <w:lang w:bidi="ar-EG"/>
        </w:rPr>
        <w:t>لى جميع أشكال التمييز ضد</w:t>
      </w:r>
      <w:r w:rsidR="00CB70D9">
        <w:rPr>
          <w:rFonts w:hint="eastAsia"/>
          <w:rtl/>
          <w:lang w:bidi="ar-EG"/>
        </w:rPr>
        <w:t> </w:t>
      </w:r>
      <w:r w:rsidR="00CB70D9">
        <w:rPr>
          <w:rFonts w:hint="cs"/>
          <w:rtl/>
          <w:lang w:bidi="ar-EG"/>
        </w:rPr>
        <w:t>المرأة</w:t>
      </w:r>
    </w:p>
    <w:p w:rsidR="00CB70D9" w:rsidRDefault="00CB70D9" w:rsidP="00CB70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الفترة 2001-2005</w:t>
      </w:r>
    </w:p>
    <w:p w:rsidR="00CB70D9" w:rsidRPr="00CB70D9" w:rsidRDefault="00CB70D9" w:rsidP="00CB70D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CB70D9" w:rsidRDefault="00CB70D9" w:rsidP="00CB70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تصدير</w:t>
      </w:r>
    </w:p>
    <w:p w:rsidR="00CB70D9" w:rsidRDefault="00CB70D9" w:rsidP="00077284">
      <w:pPr>
        <w:pStyle w:val="SingleTxt"/>
        <w:rPr>
          <w:rFonts w:hint="cs"/>
          <w:rtl/>
          <w:lang w:bidi="ar-EG"/>
        </w:rPr>
      </w:pPr>
      <w:r>
        <w:rPr>
          <w:rFonts w:hint="cs"/>
          <w:rtl/>
          <w:lang w:bidi="ar-EG"/>
        </w:rPr>
        <w:tab/>
        <w:t>في الفترة الواقعة بين 1 و 7 تموز/يوليه 2003، اضطلعت الحكومة البرازيلية، التي مثلها وفد برئاسة الأمانة الخاصة لسياسات المرأة، بالاشتراك في الدورة التاسعة والعشرين للجنة المعنية بالقضاء على التمييز ضد المرأة لكي تقدم تقرير البرازيل إلى اتفاقية القضاء على جميع أشكال التمييز ضد المرأة.</w:t>
      </w:r>
    </w:p>
    <w:p w:rsidR="00CB70D9" w:rsidRPr="00CB70D9" w:rsidRDefault="00CB70D9" w:rsidP="00CB70D9">
      <w:pPr>
        <w:pStyle w:val="SingleTxt"/>
        <w:spacing w:after="0" w:line="120" w:lineRule="exact"/>
        <w:rPr>
          <w:rFonts w:hint="cs"/>
          <w:sz w:val="10"/>
          <w:rtl/>
          <w:lang w:bidi="ar-EG"/>
        </w:rPr>
      </w:pPr>
    </w:p>
    <w:p w:rsidR="00CB70D9" w:rsidRDefault="00CB70D9" w:rsidP="00DF56BE">
      <w:pPr>
        <w:pStyle w:val="SingleTxt"/>
        <w:rPr>
          <w:rFonts w:hint="cs"/>
          <w:rtl/>
          <w:lang w:eastAsia="ja-JP" w:bidi="ar-EG"/>
        </w:rPr>
      </w:pPr>
      <w:r>
        <w:rPr>
          <w:rFonts w:hint="cs"/>
          <w:rtl/>
          <w:lang w:bidi="ar-EG"/>
        </w:rPr>
        <w:tab/>
        <w:t xml:space="preserve">وشمل التقرير فترة 17 عاما، من 1985 إلى 2002 (تقابل </w:t>
      </w:r>
      <w:r w:rsidR="00DF56BE">
        <w:rPr>
          <w:rFonts w:hint="cs"/>
          <w:rtl/>
          <w:lang w:bidi="ar-EG"/>
        </w:rPr>
        <w:t>الفترات المجمعة للتقارير</w:t>
      </w:r>
      <w:r>
        <w:rPr>
          <w:rFonts w:hint="cs"/>
          <w:rtl/>
          <w:lang w:bidi="ar-EG"/>
        </w:rPr>
        <w:t xml:space="preserve"> الأول والثاني والثالث والرابع والخامس </w:t>
      </w:r>
      <w:r>
        <w:rPr>
          <w:rFonts w:hint="eastAsia"/>
          <w:lang w:eastAsia="ja-JP" w:bidi="ar-EG"/>
        </w:rPr>
        <w:t>CEDAW</w:t>
      </w:r>
      <w:r w:rsidR="00BE2BC7">
        <w:rPr>
          <w:rFonts w:hint="eastAsia"/>
          <w:lang w:eastAsia="ja-JP" w:bidi="ar-EG"/>
        </w:rPr>
        <w:t>/C/BRA/1-5</w:t>
      </w:r>
      <w:r w:rsidR="00BE2BC7">
        <w:rPr>
          <w:rFonts w:hint="cs"/>
          <w:rtl/>
          <w:lang w:eastAsia="ja-JP" w:bidi="ar-EG"/>
        </w:rPr>
        <w:t>). واشتركت كيانات المجتمع المدني والباحثون في إعداد التقرير الذي جرى فيه تفصيل جوانب التقدم الذي أحرزته المرأة البرازيلية والعقبات التي واجهتها في سبيل تحقيق المشاركة المدنية الكاملة.</w:t>
      </w:r>
    </w:p>
    <w:p w:rsidR="00BE2BC7" w:rsidRPr="00BE2BC7" w:rsidRDefault="00BE2BC7" w:rsidP="00BE2BC7">
      <w:pPr>
        <w:pStyle w:val="SingleTxt"/>
        <w:spacing w:after="0" w:line="120" w:lineRule="exact"/>
        <w:rPr>
          <w:rFonts w:hint="cs"/>
          <w:sz w:val="10"/>
          <w:rtl/>
          <w:lang w:eastAsia="ja-JP" w:bidi="ar-EG"/>
        </w:rPr>
      </w:pPr>
    </w:p>
    <w:p w:rsidR="00BE2BC7" w:rsidRDefault="00BE2BC7" w:rsidP="00077284">
      <w:pPr>
        <w:pStyle w:val="SingleTxt"/>
        <w:rPr>
          <w:rFonts w:hint="cs"/>
          <w:rtl/>
          <w:lang w:eastAsia="ja-JP" w:bidi="ar-EG"/>
        </w:rPr>
      </w:pPr>
      <w:r>
        <w:rPr>
          <w:rFonts w:hint="cs"/>
          <w:rtl/>
          <w:lang w:eastAsia="ja-JP" w:bidi="ar-EG"/>
        </w:rPr>
        <w:tab/>
        <w:t>وفي عام 2005، تقدم البرازيل إلى اللجنة تقريرها الدوري السادس الذي يغطي الفترة 2001-2005. وجرى تشكيل فريق عامل بتنسيق من الأمانة الخاصة لسياسات المرأة ووزارة الخارجية/إدارة حقوق الإنسان والقضايا الاجتماعية. واشتركت في الفريق العامل أيضا: وزارات الصحة، والعمل والعمالة، والتعليم، والعدل، والتخطيط والميزانية والإدارة/معهد البحوث الاقتصادية التطبيقية، فضلا عن الأمانة الخاصة لسياسات تعزيز المساواة العنصرية، وأمانة الدولة لشؤون حقوق الإنسان، والمجلس الوطني لحقوق المرأة الذي مثله ائتلاف المرأة البرازيلية والأمانة النسائية الوطنية لاتحاد نقابات العمال واتحاد المرأة البرازيلية.</w:t>
      </w:r>
    </w:p>
    <w:p w:rsidR="00BE2BC7" w:rsidRDefault="00BE2BC7" w:rsidP="00077284">
      <w:pPr>
        <w:pStyle w:val="SingleTxt"/>
        <w:rPr>
          <w:rFonts w:hint="cs"/>
          <w:rtl/>
          <w:lang w:eastAsia="ja-JP" w:bidi="ar-EG"/>
        </w:rPr>
      </w:pPr>
      <w:r>
        <w:rPr>
          <w:rFonts w:hint="cs"/>
          <w:rtl/>
          <w:lang w:eastAsia="ja-JP" w:bidi="ar-EG"/>
        </w:rPr>
        <w:tab/>
        <w:t>وتتركز المعلومات المقدمة في التقرير الدوري السادس على السنتين 2003 و</w:t>
      </w:r>
      <w:r>
        <w:rPr>
          <w:rFonts w:hint="eastAsia"/>
          <w:rtl/>
          <w:lang w:eastAsia="ja-JP" w:bidi="ar-EG"/>
        </w:rPr>
        <w:t> </w:t>
      </w:r>
      <w:r>
        <w:rPr>
          <w:rFonts w:hint="cs"/>
          <w:rtl/>
          <w:lang w:eastAsia="ja-JP" w:bidi="ar-EG"/>
        </w:rPr>
        <w:t>2004، أما المعلومات المتعلقة بالسنوات السابقة وحتى حزيران/يونيه 2003 فقد قدمت كتابة أثناء العرض الشفوي للتقرير السابق. ويتضمن هذا التقرير تفاصيل عن السياسات والبرامج والإجراءات التي نفذت امتثالا لأحكام الاتفاقية والتوصيات الـ 21 التي قدمتها إلى البرازيل اللجنة المعنية بالقضاء على التمييز ضد المرأة بناء على التقرير السابق.</w:t>
      </w:r>
    </w:p>
    <w:p w:rsidR="00BE2BC7" w:rsidRPr="00BE2BC7" w:rsidRDefault="00BE2BC7" w:rsidP="00BE2BC7">
      <w:pPr>
        <w:pStyle w:val="SingleTxt"/>
        <w:spacing w:after="0" w:line="120" w:lineRule="exact"/>
        <w:rPr>
          <w:rFonts w:hint="cs"/>
          <w:sz w:val="10"/>
          <w:rtl/>
          <w:lang w:eastAsia="ja-JP" w:bidi="ar-EG"/>
        </w:rPr>
      </w:pPr>
    </w:p>
    <w:p w:rsidR="00BE2BC7" w:rsidRDefault="00BE2BC7" w:rsidP="00DF56BE">
      <w:pPr>
        <w:pStyle w:val="SingleTxt"/>
        <w:rPr>
          <w:rFonts w:hint="cs"/>
          <w:rtl/>
          <w:lang w:eastAsia="ja-JP" w:bidi="ar-EG"/>
        </w:rPr>
      </w:pPr>
      <w:r>
        <w:rPr>
          <w:rFonts w:hint="cs"/>
          <w:rtl/>
          <w:lang w:eastAsia="ja-JP" w:bidi="ar-EG"/>
        </w:rPr>
        <w:tab/>
        <w:t xml:space="preserve">وارتكز إعداد هذا التقرير على النظر في المعلومات التي قدمها أعضاء الفريق العامل والمعلومات الواردة في تقرير الرصد البرازيلي عن الأهداف الإنمائية للألفية، الصادر في أيلول/سبتمبر 2004؛ والاستجابة البرازيلية للاستبيان بشأن تطبيق منهاج عمل بيجين (1995) ولنتائج الفترة الثالثة والعشرين للدورات الاستثنائية للجمعية العامة (2000)، المرسلة إلى لجنة وضع المرأة في نيسان/أبريل 2004؛ وحولية المؤتمر </w:t>
      </w:r>
      <w:r w:rsidR="00BC2A7D">
        <w:rPr>
          <w:rFonts w:hint="cs"/>
          <w:rtl/>
          <w:lang w:eastAsia="ja-JP" w:bidi="ar-EG"/>
        </w:rPr>
        <w:t xml:space="preserve">الوطني الأول المعني بسياسات المرأة، التي نشرت في كانون الأول/ديسمبر 2004؛ والخطة الوطنية بشأن سياسات المرأة، المقدمة إلى مواطني البرازيل في كانون الأول/ديسمبر 2004. وينظر هذا التقرير أيضا في الإسهام الناتج عن اجتماع </w:t>
      </w:r>
      <w:r w:rsidR="00DF56BE">
        <w:rPr>
          <w:rFonts w:hint="cs"/>
          <w:rtl/>
          <w:lang w:eastAsia="ja-JP" w:bidi="ar-EG"/>
        </w:rPr>
        <w:t>ا</w:t>
      </w:r>
      <w:r w:rsidR="00BC2A7D">
        <w:rPr>
          <w:rFonts w:hint="cs"/>
          <w:rtl/>
          <w:lang w:eastAsia="ja-JP" w:bidi="ar-EG"/>
        </w:rPr>
        <w:t>لمجلس الوطني لحقوق المرأة، الذي عقد في 16</w:t>
      </w:r>
      <w:r w:rsidR="00BC2A7D">
        <w:rPr>
          <w:rFonts w:hint="eastAsia"/>
          <w:rtl/>
          <w:lang w:eastAsia="ja-JP" w:bidi="ar-EG"/>
        </w:rPr>
        <w:t> </w:t>
      </w:r>
      <w:r w:rsidR="00BC2A7D">
        <w:rPr>
          <w:rFonts w:hint="cs"/>
          <w:rtl/>
          <w:lang w:eastAsia="ja-JP" w:bidi="ar-EG"/>
        </w:rPr>
        <w:t>شباط/فبراير 2005.</w:t>
      </w:r>
    </w:p>
    <w:p w:rsidR="00BC2A7D" w:rsidRDefault="00BC2A7D" w:rsidP="00DF56BE">
      <w:pPr>
        <w:pStyle w:val="SingleTxt"/>
        <w:rPr>
          <w:rFonts w:hint="cs"/>
          <w:rtl/>
          <w:lang w:eastAsia="ja-JP" w:bidi="ar-EG"/>
        </w:rPr>
      </w:pPr>
      <w:r>
        <w:rPr>
          <w:rFonts w:hint="cs"/>
          <w:rtl/>
          <w:lang w:eastAsia="ja-JP" w:bidi="ar-EG"/>
        </w:rPr>
        <w:tab/>
        <w:t>ونص الخطة الوطنية بشأن سياسات المرأة أحد مرفقات هذا التقرير</w:t>
      </w:r>
      <w:r w:rsidR="00DF56BE">
        <w:rPr>
          <w:rFonts w:hint="cs"/>
          <w:rtl/>
          <w:lang w:eastAsia="ja-JP" w:bidi="ar-EG"/>
        </w:rPr>
        <w:t>،</w:t>
      </w:r>
      <w:r>
        <w:rPr>
          <w:rFonts w:hint="cs"/>
          <w:rtl/>
          <w:lang w:eastAsia="ja-JP" w:bidi="ar-EG"/>
        </w:rPr>
        <w:t xml:space="preserve"> والخطة موضوعة في شكل إعلان للافتراضات والمبادئ والخطوط الإرشادية للسياسات الوطنية للمرأة. وتتضمن </w:t>
      </w:r>
      <w:r w:rsidR="00DF56BE">
        <w:rPr>
          <w:rFonts w:hint="cs"/>
          <w:rtl/>
          <w:lang w:eastAsia="ja-JP" w:bidi="ar-EG"/>
        </w:rPr>
        <w:t xml:space="preserve">الخطة </w:t>
      </w:r>
      <w:r>
        <w:rPr>
          <w:rFonts w:hint="cs"/>
          <w:rtl/>
          <w:lang w:eastAsia="ja-JP" w:bidi="ar-EG"/>
        </w:rPr>
        <w:t>خمسة أجزاء: (1) الاستقلال الذاتي، والمساواة في العمل والمشاركة المد</w:t>
      </w:r>
      <w:r w:rsidR="00DF56BE">
        <w:rPr>
          <w:rFonts w:hint="cs"/>
          <w:rtl/>
          <w:lang w:eastAsia="ja-JP" w:bidi="ar-EG"/>
        </w:rPr>
        <w:t>ن</w:t>
      </w:r>
      <w:r>
        <w:rPr>
          <w:rFonts w:hint="cs"/>
          <w:rtl/>
          <w:lang w:eastAsia="ja-JP" w:bidi="ar-EG"/>
        </w:rPr>
        <w:t>ية؛ و</w:t>
      </w:r>
      <w:r>
        <w:rPr>
          <w:rFonts w:hint="eastAsia"/>
          <w:rtl/>
          <w:lang w:eastAsia="ja-JP" w:bidi="ar-EG"/>
        </w:rPr>
        <w:t> </w:t>
      </w:r>
      <w:r>
        <w:rPr>
          <w:rFonts w:hint="cs"/>
          <w:rtl/>
          <w:lang w:eastAsia="ja-JP" w:bidi="ar-EG"/>
        </w:rPr>
        <w:t>(2)</w:t>
      </w:r>
      <w:r>
        <w:rPr>
          <w:rFonts w:hint="eastAsia"/>
          <w:rtl/>
          <w:lang w:eastAsia="ja-JP" w:bidi="ar-EG"/>
        </w:rPr>
        <w:t> </w:t>
      </w:r>
      <w:r>
        <w:rPr>
          <w:rFonts w:hint="cs"/>
          <w:rtl/>
          <w:lang w:eastAsia="ja-JP" w:bidi="ar-EG"/>
        </w:rPr>
        <w:t>التعليم الشامل وغير المتحيز جنسيا؛ و (3) الرعاية الصحية للمرأة، وحقوقها الجنسية والإنجابية؛ و (4) مكافحة العنف ضد المرأة؛ و (5) الإدارة والرصد. وتتيح الخطة لمحة عامة سريعة لحالة المرأة في هذه المجالات، كما توضح سياسات الحكومة والإجراءات التي تتخذها للتغلب على التحديات.</w:t>
      </w:r>
    </w:p>
    <w:p w:rsidR="00BC2A7D" w:rsidRPr="00BC2A7D" w:rsidRDefault="00BC2A7D" w:rsidP="00BC2A7D">
      <w:pPr>
        <w:pStyle w:val="SingleTxt"/>
        <w:spacing w:after="0" w:line="120" w:lineRule="exact"/>
        <w:rPr>
          <w:rFonts w:hint="cs"/>
          <w:sz w:val="10"/>
          <w:rtl/>
          <w:lang w:eastAsia="ja-JP" w:bidi="ar-EG"/>
        </w:rPr>
      </w:pPr>
    </w:p>
    <w:p w:rsidR="00BC2A7D" w:rsidRDefault="00BC2A7D" w:rsidP="00BC2A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eastAsia="ja-JP" w:bidi="ar-EG"/>
        </w:rPr>
      </w:pPr>
      <w:r>
        <w:rPr>
          <w:rFonts w:hint="cs"/>
          <w:rtl/>
          <w:lang w:eastAsia="ja-JP" w:bidi="ar-EG"/>
        </w:rPr>
        <w:tab/>
      </w:r>
      <w:r>
        <w:rPr>
          <w:rFonts w:hint="cs"/>
          <w:rtl/>
          <w:lang w:eastAsia="ja-JP" w:bidi="ar-EG"/>
        </w:rPr>
        <w:tab/>
        <w:t>مقدمة</w:t>
      </w:r>
    </w:p>
    <w:p w:rsidR="00BC2A7D" w:rsidRDefault="00BC2A7D" w:rsidP="00BC2A7D">
      <w:pPr>
        <w:pStyle w:val="SingleTxt"/>
        <w:rPr>
          <w:rFonts w:hint="cs"/>
          <w:rtl/>
          <w:lang w:eastAsia="ja-JP" w:bidi="ar-EG"/>
        </w:rPr>
      </w:pPr>
      <w:r>
        <w:rPr>
          <w:rFonts w:hint="cs"/>
          <w:rtl/>
          <w:lang w:eastAsia="ja-JP" w:bidi="ar-EG"/>
        </w:rPr>
        <w:tab/>
        <w:t xml:space="preserve">بذلت </w:t>
      </w:r>
      <w:r w:rsidR="00B370BD">
        <w:rPr>
          <w:rFonts w:hint="cs"/>
          <w:rtl/>
          <w:lang w:eastAsia="ja-JP" w:bidi="ar-EG"/>
        </w:rPr>
        <w:t>الحكومة البرازيلية خلال العامين الماضيين جهودا واضحة أكثر من أي وقت مضى بغية تنفيذ سياسات عامة تؤثر تأثيرا إيجابيا على حالة عدم المساواة الموجودة في البلد. وإلى جانب اهتمام الحكومة بوضع سياسات اقتصادية، فقد اهتمت أيضا برسم سياسات اجتماعية ذات أثر ملموس تشجع على المشاركة المدنية من جانب النساء والرجال البرازيليين.</w:t>
      </w:r>
    </w:p>
    <w:p w:rsidR="00B370BD" w:rsidRDefault="00544B92" w:rsidP="00DF56BE">
      <w:pPr>
        <w:pStyle w:val="SingleTxt"/>
        <w:rPr>
          <w:rFonts w:hint="cs"/>
          <w:rtl/>
          <w:lang w:eastAsia="ja-JP" w:bidi="ar-EG"/>
        </w:rPr>
      </w:pPr>
      <w:r>
        <w:rPr>
          <w:rFonts w:hint="cs"/>
          <w:rtl/>
          <w:lang w:eastAsia="ja-JP" w:bidi="ar-EG"/>
        </w:rPr>
        <w:tab/>
        <w:t>وثبت أن</w:t>
      </w:r>
      <w:r w:rsidR="00B370BD">
        <w:rPr>
          <w:rFonts w:hint="cs"/>
          <w:rtl/>
          <w:lang w:eastAsia="ja-JP" w:bidi="ar-EG"/>
        </w:rPr>
        <w:t xml:space="preserve"> هناك مسألة جوهرية في جميع السياسات التي جرى تنفيذها في البلد، وهي مسألة محاربة الجوع. ولا يوجد أدنى شك في أن المرأة قد انتفعت انتفاعا هائلا من هذه السياسات. و</w:t>
      </w:r>
      <w:r w:rsidR="00DF56BE">
        <w:rPr>
          <w:rFonts w:hint="cs"/>
          <w:rtl/>
          <w:lang w:eastAsia="ja-JP" w:bidi="ar-EG"/>
        </w:rPr>
        <w:t xml:space="preserve">تحصل </w:t>
      </w:r>
      <w:r w:rsidR="00B370BD">
        <w:rPr>
          <w:rFonts w:hint="cs"/>
          <w:rtl/>
          <w:lang w:eastAsia="ja-JP" w:bidi="ar-EG"/>
        </w:rPr>
        <w:t>اليوم أكثر من ستة ملايين امرأة على بطاقات الأغذية. وتتيح هذه البطاقات مساعدات مالية شهرية للأسر التي تواجه انعدام الأمن الغذائي.</w:t>
      </w:r>
    </w:p>
    <w:p w:rsidR="00B370BD" w:rsidRDefault="00B370BD" w:rsidP="00BC2A7D">
      <w:pPr>
        <w:pStyle w:val="SingleTxt"/>
        <w:rPr>
          <w:rFonts w:hint="cs"/>
          <w:rtl/>
          <w:lang w:eastAsia="ja-JP" w:bidi="ar-EG"/>
        </w:rPr>
      </w:pPr>
      <w:r>
        <w:rPr>
          <w:rFonts w:hint="cs"/>
          <w:rtl/>
          <w:lang w:eastAsia="ja-JP" w:bidi="ar-EG"/>
        </w:rPr>
        <w:tab/>
        <w:t>ومع ذلك، تتعدى قضية الجوع حدود البرازيل، وبالتالي تتخذ الحكومة المبادرة لتعبئة ذوي السلطة والأمم والمجتمعات المدنية في جميع أنحاء العالم بغية استئصال شأفة الجوع. وتحمل البرازيل المناقشة حول هذه القضية إلى أكثر المحافل الدولية تنوعا وأهمية.</w:t>
      </w:r>
    </w:p>
    <w:p w:rsidR="00B370BD" w:rsidRDefault="00B370BD" w:rsidP="00DF56BE">
      <w:pPr>
        <w:pStyle w:val="SingleTxt"/>
        <w:rPr>
          <w:rFonts w:hint="cs"/>
          <w:rtl/>
          <w:lang w:eastAsia="ja-JP" w:bidi="ar-EG"/>
        </w:rPr>
      </w:pPr>
      <w:r>
        <w:rPr>
          <w:rFonts w:hint="cs"/>
          <w:rtl/>
          <w:lang w:eastAsia="ja-JP" w:bidi="ar-EG"/>
        </w:rPr>
        <w:tab/>
        <w:t xml:space="preserve">وفي </w:t>
      </w:r>
      <w:r w:rsidR="00DF56BE">
        <w:rPr>
          <w:rFonts w:hint="cs"/>
          <w:rtl/>
          <w:lang w:eastAsia="ja-JP" w:bidi="ar-EG"/>
        </w:rPr>
        <w:t>المنتدى</w:t>
      </w:r>
      <w:r>
        <w:rPr>
          <w:rFonts w:hint="cs"/>
          <w:rtl/>
          <w:lang w:eastAsia="ja-JP" w:bidi="ar-EG"/>
        </w:rPr>
        <w:t xml:space="preserve"> الاقتصادي العالمي الذي عقد في دافوس، سويسرا، عام 2003، اقترحت حكومة البرازيل إنشاء صندوق دولي لمكافحة الجوع والفقر. وفي عام 2004 أعلن رؤساء الدول في نفس المحفل </w:t>
      </w:r>
      <w:r>
        <w:rPr>
          <w:rFonts w:hint="eastAsia"/>
          <w:rtl/>
          <w:lang w:eastAsia="ja-JP" w:bidi="ar-EG"/>
        </w:rPr>
        <w:t>”الحرب</w:t>
      </w:r>
      <w:r>
        <w:rPr>
          <w:rFonts w:hint="cs"/>
          <w:rtl/>
          <w:lang w:eastAsia="ja-JP" w:bidi="ar-EG"/>
        </w:rPr>
        <w:t xml:space="preserve">“ على الجوع والفقر. وفي مؤتمر قمة قادة العالم المعني بالعمل من أجل مكافحة الجوع والفقر، الذي عقد في أيلول/سبتمبر 2004 بقيادة البرازيل وفرنسا وإسبانيا وشيلي والأمم المتحدة، </w:t>
      </w:r>
      <w:r w:rsidR="00D53B4E">
        <w:rPr>
          <w:rFonts w:hint="cs"/>
          <w:rtl/>
          <w:lang w:eastAsia="ja-JP" w:bidi="ar-EG"/>
        </w:rPr>
        <w:t>اجتمع حوالي 150 بلدا في مقر الأمم المتحدة في نيويورك. وكانت الحرب ضد الجوع والفقر من المواضيع الهامة التي طرحت للمناقشة أثناء المنتدى الاجتماعي العالمي الخامس الذي عقد في البرازيل في كانون الثاني/يناير 2005.</w:t>
      </w:r>
    </w:p>
    <w:p w:rsidR="00D53B4E" w:rsidRDefault="00D53B4E" w:rsidP="00BC2A7D">
      <w:pPr>
        <w:pStyle w:val="SingleTxt"/>
        <w:rPr>
          <w:rFonts w:hint="cs"/>
          <w:rtl/>
          <w:lang w:eastAsia="ja-JP" w:bidi="ar-EG"/>
        </w:rPr>
      </w:pPr>
      <w:r>
        <w:rPr>
          <w:rFonts w:hint="cs"/>
          <w:rtl/>
          <w:lang w:eastAsia="ja-JP" w:bidi="ar-EG"/>
        </w:rPr>
        <w:tab/>
        <w:t>والمسائل التي تشكل تدخلات مستمرة أيضا هي حقوق الإنسان، وعدم المساواة بين المرأة والرجل، وعدم المساواة العنصرية والإثنية، والتمييز على أساس التوجه الجنسي، والعمر (الأطفال والمراهقون، أو المسنون) أو كون الشخص معوق بشكل أو بآخر. وتحظى هذه الأعمال بتأييد وتعزيز الأمانة الخاصة لشؤون حقوق الإنسان، والأمانة الخاصة لتعزيز سياسات المساواة العرقية، والأمانة الخاصة لسياسات المرأة، وجميع الكيانات رفيعة المستوى التي أنشئت على المستوى الوزاري في بداية عام 2003. وقد أنشئت هذه الأمانات بغية تقديم النصح على نحو مباشر إلى رئيس الجمهورية بشأن تطوير هذه المواضيع الهامة.</w:t>
      </w:r>
    </w:p>
    <w:p w:rsidR="00D53B4E" w:rsidRDefault="00DF56BE" w:rsidP="004804EF">
      <w:pPr>
        <w:pStyle w:val="SingleTxt"/>
        <w:rPr>
          <w:rFonts w:hint="cs"/>
          <w:rtl/>
          <w:lang w:eastAsia="ja-JP" w:bidi="ar-EG"/>
        </w:rPr>
      </w:pPr>
      <w:r>
        <w:rPr>
          <w:rFonts w:hint="cs"/>
          <w:rtl/>
          <w:lang w:eastAsia="ja-JP" w:bidi="ar-EG"/>
        </w:rPr>
        <w:tab/>
        <w:t>وينبع</w:t>
      </w:r>
      <w:r w:rsidR="00D53B4E">
        <w:rPr>
          <w:rFonts w:hint="cs"/>
          <w:rtl/>
          <w:lang w:eastAsia="ja-JP" w:bidi="ar-EG"/>
        </w:rPr>
        <w:t xml:space="preserve"> اعتماد سياسات عامة للمساواة من إجراء حوار مع الحركات الاجتماعية. وهناك أمثلة على مؤتمرات لا حصر لها عقدتها الحكومة الاتحادية على مدى العامين الماضيين: المؤتمر الوطني الأول للمدن (تشرين الأول/أكتوبر 2003)، والمؤتمر الوطني الأول بشأن تربية المائيات وصيد السمك (تشرين الثاني/نوفمبر 2003)، والمؤتمر البيئي الوطني (تشرين الثاني/نوفمبر</w:t>
      </w:r>
      <w:r w:rsidR="00947A98">
        <w:rPr>
          <w:rFonts w:hint="cs"/>
          <w:rtl/>
          <w:lang w:eastAsia="ja-JP" w:bidi="ar-EG"/>
        </w:rPr>
        <w:t xml:space="preserve"> 2003</w:t>
      </w:r>
      <w:r w:rsidR="00D53B4E">
        <w:rPr>
          <w:rFonts w:hint="cs"/>
          <w:rtl/>
          <w:lang w:eastAsia="ja-JP" w:bidi="ar-EG"/>
        </w:rPr>
        <w:t>)، والمؤتمر الوطني الثاني بشأن الأغذية والأمن الغذائي (آذار/مارس 2</w:t>
      </w:r>
      <w:r w:rsidR="004804EF">
        <w:rPr>
          <w:rFonts w:hint="cs"/>
          <w:rtl/>
          <w:lang w:eastAsia="ja-JP" w:bidi="ar-EG"/>
        </w:rPr>
        <w:t>00</w:t>
      </w:r>
      <w:r w:rsidR="00D53B4E">
        <w:rPr>
          <w:rFonts w:hint="cs"/>
          <w:rtl/>
          <w:lang w:eastAsia="ja-JP" w:bidi="ar-EG"/>
        </w:rPr>
        <w:t xml:space="preserve">4)، والمؤتمر </w:t>
      </w:r>
      <w:r w:rsidR="004804EF">
        <w:rPr>
          <w:rFonts w:hint="cs"/>
          <w:rtl/>
          <w:lang w:eastAsia="ja-JP" w:bidi="ar-EG"/>
        </w:rPr>
        <w:t>الوطني الأول بشأن الرياضة (حزيران/يونيه 2004)، والمؤتمر الوطني الأول بشأن سياسات المرأة (تموز/يوليه 2004)، وغيرها. ويجري بالفعل تنظيم عقد المؤتمر الدولي الأول لتعزيز المساواة العنصرية عام 2005.</w:t>
      </w:r>
    </w:p>
    <w:p w:rsidR="004804EF" w:rsidRDefault="004804EF" w:rsidP="00947A98">
      <w:pPr>
        <w:pStyle w:val="SingleTxt"/>
        <w:rPr>
          <w:rFonts w:hint="cs"/>
          <w:rtl/>
          <w:lang w:eastAsia="ja-JP" w:bidi="ar-EG"/>
        </w:rPr>
      </w:pPr>
      <w:r>
        <w:rPr>
          <w:rFonts w:hint="cs"/>
          <w:rtl/>
          <w:lang w:eastAsia="ja-JP" w:bidi="ar-EG"/>
        </w:rPr>
        <w:tab/>
        <w:t>وتعزز السلطة التشريعية أيضا نفس هذا الحوار وهذه الشراكة. وعلى نحو أكثر تحديدا</w:t>
      </w:r>
      <w:r w:rsidR="00947A98">
        <w:rPr>
          <w:rFonts w:hint="cs"/>
          <w:rtl/>
          <w:lang w:eastAsia="ja-JP" w:bidi="ar-EG"/>
        </w:rPr>
        <w:t>، يجري</w:t>
      </w:r>
      <w:r>
        <w:rPr>
          <w:rFonts w:hint="cs"/>
          <w:rtl/>
          <w:lang w:eastAsia="ja-JP" w:bidi="ar-EG"/>
        </w:rPr>
        <w:t xml:space="preserve"> في مجال حقوق المرأة تدعيم شراكة المجموعة النسائية في الكونغرس الوطني، وتعمل هذه المجموعة بنشاط من أجل الموافقة على تشريع يؤكد المساواة في الحقوق بين الرجل والمرأة. وتقوم المجموعة أيضا بالضغط من أجل كفالة </w:t>
      </w:r>
      <w:r w:rsidR="00947A98">
        <w:rPr>
          <w:rFonts w:hint="cs"/>
          <w:rtl/>
          <w:lang w:eastAsia="ja-JP" w:bidi="ar-EG"/>
        </w:rPr>
        <w:t>اعتراف</w:t>
      </w:r>
      <w:r>
        <w:rPr>
          <w:rFonts w:hint="cs"/>
          <w:rtl/>
          <w:lang w:eastAsia="ja-JP" w:bidi="ar-EG"/>
        </w:rPr>
        <w:t xml:space="preserve"> المشرعين بأهمية سن قوانين تضمن المساواة بين الجنسين وتعززها.</w:t>
      </w:r>
    </w:p>
    <w:p w:rsidR="004804EF" w:rsidRDefault="004804EF" w:rsidP="00947A98">
      <w:pPr>
        <w:pStyle w:val="SingleTxt"/>
        <w:rPr>
          <w:rFonts w:hint="cs"/>
          <w:rtl/>
          <w:lang w:eastAsia="ja-JP" w:bidi="ar-EG"/>
        </w:rPr>
      </w:pPr>
      <w:r>
        <w:rPr>
          <w:rFonts w:hint="cs"/>
          <w:rtl/>
          <w:lang w:eastAsia="ja-JP" w:bidi="ar-EG"/>
        </w:rPr>
        <w:tab/>
        <w:t xml:space="preserve">والحرب التي تشنها الحكومة الاتحادية لمكافحة عدم المساواة الجنسانية أو العنصرية تبين أن هناك الكثير مما يجب القيام به من أجل الدفاع عن حقوق الإنسان وتعزيزها في البرازيل، </w:t>
      </w:r>
      <w:r w:rsidR="00947A98">
        <w:rPr>
          <w:rFonts w:hint="cs"/>
          <w:rtl/>
          <w:lang w:eastAsia="ja-JP" w:bidi="ar-EG"/>
        </w:rPr>
        <w:t>وبخاصة</w:t>
      </w:r>
      <w:r>
        <w:rPr>
          <w:rFonts w:hint="cs"/>
          <w:rtl/>
          <w:lang w:eastAsia="ja-JP" w:bidi="ar-EG"/>
        </w:rPr>
        <w:t xml:space="preserve"> في مجال حقوق الإنسان للمرأة. ومع ذلك، تدل المبادرات التي اتخذت خلال العامين الماضيين على التزام الحكومة الحالية بتعزيز المساواة. وتتضمن بعض الأمور الهامة في هذا المجال ما يلي:</w:t>
      </w:r>
    </w:p>
    <w:p w:rsidR="004804EF" w:rsidRDefault="006A11FB" w:rsidP="004804EF">
      <w:pPr>
        <w:pStyle w:val="SingleTxt"/>
        <w:rPr>
          <w:rFonts w:hint="cs"/>
          <w:rtl/>
          <w:lang w:eastAsia="ja-JP" w:bidi="ar-EG"/>
        </w:rPr>
      </w:pPr>
      <w:r>
        <w:rPr>
          <w:rFonts w:hint="cs"/>
          <w:rtl/>
          <w:lang w:eastAsia="ja-JP" w:bidi="ar-EG"/>
        </w:rPr>
        <w:t>1 -</w:t>
      </w:r>
      <w:r w:rsidR="004804EF">
        <w:rPr>
          <w:rFonts w:hint="cs"/>
          <w:rtl/>
          <w:lang w:eastAsia="ja-JP" w:bidi="ar-EG"/>
        </w:rPr>
        <w:tab/>
        <w:t>مكافحة عدم المساواة الجنسانية أو العنصرية عن طريق إدخال هذا الموضوع بصورة مستعرضة في السياسات العامة في كل من الخطة المتعددة السنوات 2004-2007 ونظام تقييم السياسات القطاعية لوزارة التخطيط والميزانية والإدارة.</w:t>
      </w:r>
    </w:p>
    <w:p w:rsidR="004804EF" w:rsidRDefault="006A11FB" w:rsidP="004804EF">
      <w:pPr>
        <w:pStyle w:val="SingleTxt"/>
        <w:rPr>
          <w:rFonts w:hint="cs"/>
          <w:rtl/>
          <w:lang w:eastAsia="ja-JP" w:bidi="ar-EG"/>
        </w:rPr>
      </w:pPr>
      <w:r>
        <w:rPr>
          <w:rFonts w:hint="cs"/>
          <w:rtl/>
          <w:lang w:eastAsia="ja-JP" w:bidi="ar-EG"/>
        </w:rPr>
        <w:t>2 -</w:t>
      </w:r>
      <w:r w:rsidR="004804EF">
        <w:rPr>
          <w:rFonts w:hint="cs"/>
          <w:rtl/>
          <w:lang w:eastAsia="ja-JP" w:bidi="ar-EG"/>
        </w:rPr>
        <w:tab/>
        <w:t xml:space="preserve">جرى عقد مؤتمرات على صعيدي البلديات والدولة قبل عقد المؤتمر الوطني الأول لسياسات المرأة في تموز/يوليه </w:t>
      </w:r>
      <w:r w:rsidR="00570228">
        <w:rPr>
          <w:rFonts w:hint="cs"/>
          <w:rtl/>
          <w:lang w:eastAsia="ja-JP" w:bidi="ar-EG"/>
        </w:rPr>
        <w:t xml:space="preserve">2004. وهناك أكثر من 000 120 امرأة من جميع مناطق البلد شاركن على نحو مباشر في عملية وضع </w:t>
      </w:r>
      <w:r w:rsidR="00570228">
        <w:rPr>
          <w:rFonts w:hint="eastAsia"/>
          <w:rtl/>
          <w:lang w:eastAsia="ja-JP" w:bidi="ar-EG"/>
        </w:rPr>
        <w:t>”مبادئ توجيهية لسياسات وطنية للمرأة من منظور المساواة بين الجنسين، مع الأخذ في الحسبان بالتنوع العنصري والعرقي</w:t>
      </w:r>
      <w:r w:rsidR="00570228">
        <w:rPr>
          <w:rFonts w:hint="cs"/>
          <w:rtl/>
          <w:lang w:eastAsia="ja-JP" w:bidi="ar-EG"/>
        </w:rPr>
        <w:t>“.</w:t>
      </w:r>
    </w:p>
    <w:p w:rsidR="00570228" w:rsidRDefault="00570228" w:rsidP="00947A98">
      <w:pPr>
        <w:pStyle w:val="SingleTxt"/>
        <w:rPr>
          <w:rFonts w:hint="cs"/>
          <w:rtl/>
          <w:lang w:eastAsia="ja-JP" w:bidi="ar-EG"/>
        </w:rPr>
      </w:pPr>
      <w:r>
        <w:rPr>
          <w:rFonts w:hint="cs"/>
          <w:rtl/>
          <w:lang w:eastAsia="ja-JP" w:bidi="ar-EG"/>
        </w:rPr>
        <w:tab/>
        <w:t>ودعا رئيس الجمهورية إلى عقد هذا المؤتمر، الذي نسقته الأمانة الخاصة لسياسات المرأة والمجلس الوطني لحقوق المرأة. وعقد المؤتمر في برازيلي</w:t>
      </w:r>
      <w:r w:rsidR="00947A98">
        <w:rPr>
          <w:rFonts w:hint="cs"/>
          <w:rtl/>
          <w:lang w:eastAsia="ja-JP" w:bidi="ar-EG"/>
        </w:rPr>
        <w:t>ا</w:t>
      </w:r>
      <w:r>
        <w:rPr>
          <w:rFonts w:hint="cs"/>
          <w:rtl/>
          <w:lang w:eastAsia="ja-JP" w:bidi="ar-EG"/>
        </w:rPr>
        <w:t>، عاصمة البلد</w:t>
      </w:r>
      <w:r w:rsidR="00947A98">
        <w:rPr>
          <w:rFonts w:hint="cs"/>
          <w:rtl/>
          <w:lang w:eastAsia="ja-JP" w:bidi="ar-EG"/>
        </w:rPr>
        <w:t>،</w:t>
      </w:r>
      <w:r>
        <w:rPr>
          <w:rFonts w:hint="cs"/>
          <w:rtl/>
          <w:lang w:eastAsia="ja-JP" w:bidi="ar-EG"/>
        </w:rPr>
        <w:t xml:space="preserve"> وحضره 787 1 وفدا وأكثر من 700 من المراقبين الوطنيين والدوليين. </w:t>
      </w:r>
    </w:p>
    <w:p w:rsidR="00570228" w:rsidRDefault="006A11FB" w:rsidP="004804EF">
      <w:pPr>
        <w:pStyle w:val="SingleTxt"/>
        <w:rPr>
          <w:rFonts w:hint="cs"/>
          <w:rtl/>
          <w:lang w:eastAsia="ja-JP" w:bidi="ar-EG"/>
        </w:rPr>
      </w:pPr>
      <w:r>
        <w:rPr>
          <w:rFonts w:hint="cs"/>
          <w:rtl/>
          <w:lang w:eastAsia="ja-JP" w:bidi="ar-EG"/>
        </w:rPr>
        <w:t>3 -</w:t>
      </w:r>
      <w:r w:rsidR="00570228">
        <w:rPr>
          <w:rFonts w:hint="cs"/>
          <w:rtl/>
          <w:lang w:eastAsia="ja-JP" w:bidi="ar-EG"/>
        </w:rPr>
        <w:tab/>
        <w:t>جرى وضع الخطة الوطنية لسياسات المرأة في كانون الأول/ديسمبر 2004، وأعلنت من خلال الشبكة الوطنية للتلفزيون والراديو. وارتكزت الخطة على القرارات التي أصدرها المؤتمر الوطني الأول بشأن سياسات المرأة. وتعرف هذه الخطة السياسات وخطوط العمل اللازمة لتعزيز المساواة بين الجنسين. وتمثل الخطة تغيرا هاما في الطريقة التي يجري بها تناول عدم المساواة بين الجنسين في البرازيل. وتعزز الخطة الأعمال المنتظمة بدلا من الإجراءات المنعزلة. وقد وضع الخطة فريق عامل شاركت فيه سبع وزارات، حيث بذلت جهود كبيرة من أجل التوصل إلى اتفاق بين الأمانة الخاصة لسياسات المرأة والوزارات الأخرى التي تعنى بالمجالات الـ 17 المتعلقة بشكل مباشر بالأعمال المقترحة في ظل الخطة.</w:t>
      </w:r>
    </w:p>
    <w:p w:rsidR="00570228" w:rsidRDefault="006A11FB" w:rsidP="00947A98">
      <w:pPr>
        <w:pStyle w:val="SingleTxt"/>
        <w:rPr>
          <w:rFonts w:hint="cs"/>
          <w:rtl/>
          <w:lang w:eastAsia="ja-JP" w:bidi="ar-EG"/>
        </w:rPr>
      </w:pPr>
      <w:r>
        <w:rPr>
          <w:rFonts w:hint="cs"/>
          <w:rtl/>
          <w:lang w:eastAsia="ja-JP" w:bidi="ar-EG"/>
        </w:rPr>
        <w:t>4 -</w:t>
      </w:r>
      <w:r w:rsidR="00570228">
        <w:rPr>
          <w:rFonts w:hint="cs"/>
          <w:rtl/>
          <w:lang w:eastAsia="ja-JP" w:bidi="ar-EG"/>
        </w:rPr>
        <w:tab/>
        <w:t xml:space="preserve">وجرى ضمن الجهود المبذولة لزيادة الاستقلال الذاتي الاقتصادي للمرأة سن صكوك تدعم السياسات التي تكفل </w:t>
      </w:r>
      <w:r w:rsidR="00E9525A">
        <w:rPr>
          <w:rFonts w:hint="cs"/>
          <w:rtl/>
          <w:lang w:eastAsia="ja-JP" w:bidi="ar-EG"/>
        </w:rPr>
        <w:t>تكافؤ الفرص والحقوق المتساوية في سوق العمل. ومن أمثلة ذلك إنشاء اللجنة الثلاثية لتكافؤ الفرص بالنسبة لنوع الجنس والعنصر في العمل، وبرنامج التدعيم المؤسسي للمساواة الجنسانية والعنصرية واستئصال شأفة الفقر وتوليد العمالة.</w:t>
      </w:r>
    </w:p>
    <w:p w:rsidR="00E9525A" w:rsidRDefault="006A11FB" w:rsidP="004804EF">
      <w:pPr>
        <w:pStyle w:val="SingleTxt"/>
        <w:rPr>
          <w:rFonts w:hint="cs"/>
          <w:rtl/>
          <w:lang w:eastAsia="ja-JP" w:bidi="ar-EG"/>
        </w:rPr>
      </w:pPr>
      <w:r>
        <w:rPr>
          <w:rFonts w:hint="cs"/>
          <w:rtl/>
          <w:lang w:eastAsia="ja-JP" w:bidi="ar-EG"/>
        </w:rPr>
        <w:t>5 -</w:t>
      </w:r>
      <w:r w:rsidR="00E9525A">
        <w:rPr>
          <w:rFonts w:hint="cs"/>
          <w:rtl/>
          <w:lang w:eastAsia="ja-JP" w:bidi="ar-EG"/>
        </w:rPr>
        <w:tab/>
        <w:t>وأسفر وضع سياسات وطنية لمكافحة العنف ضد المرأة في البلد، ضمن تدابير أخرى، عما يلي: تقديم مشروع قانون بشأن العنف المنـزلي إلى الكونغرس الوطني؛ وإصدار وزارة الصحة توجيه إداري يلزم بالإخطار في حالة حدوث عنف ضد امرأة داخل النظام الصحي؛ وشن حملات لمكافحة العنف ضد المرأة واستغلال السياحة الجنسية.</w:t>
      </w:r>
    </w:p>
    <w:p w:rsidR="00E9525A" w:rsidRDefault="006A11FB" w:rsidP="00947A98">
      <w:pPr>
        <w:pStyle w:val="SingleTxt"/>
        <w:rPr>
          <w:rFonts w:hint="cs"/>
          <w:rtl/>
          <w:lang w:eastAsia="ja-JP" w:bidi="ar-EG"/>
        </w:rPr>
      </w:pPr>
      <w:r>
        <w:rPr>
          <w:rFonts w:hint="cs"/>
          <w:rtl/>
          <w:lang w:eastAsia="ja-JP" w:bidi="ar-EG"/>
        </w:rPr>
        <w:t>6 -</w:t>
      </w:r>
      <w:r w:rsidR="00E9525A">
        <w:rPr>
          <w:rFonts w:hint="cs"/>
          <w:rtl/>
          <w:lang w:eastAsia="ja-JP" w:bidi="ar-EG"/>
        </w:rPr>
        <w:tab/>
        <w:t>يتجلى الالتزام بضمان الحقوق الصحية والجنسي</w:t>
      </w:r>
      <w:r w:rsidR="00947A98">
        <w:rPr>
          <w:rFonts w:hint="cs"/>
          <w:rtl/>
          <w:lang w:eastAsia="ja-JP" w:bidi="ar-EG"/>
        </w:rPr>
        <w:t>ة</w:t>
      </w:r>
      <w:r w:rsidR="00E9525A">
        <w:rPr>
          <w:rFonts w:hint="cs"/>
          <w:rtl/>
          <w:lang w:eastAsia="ja-JP" w:bidi="ar-EG"/>
        </w:rPr>
        <w:t xml:space="preserve"> والإنجابية في تنفيذ الميثاق الوطني لتخفيض الوفيات النفاسية ووفيات المواليد، وبرنامج البرازيل بدون كراهية المثليين. ومن المهم أيضا بالنسبة لهذا الموضوع قرار ال</w:t>
      </w:r>
      <w:r w:rsidR="00947A98">
        <w:rPr>
          <w:rFonts w:hint="cs"/>
          <w:rtl/>
          <w:lang w:eastAsia="ja-JP" w:bidi="ar-EG"/>
        </w:rPr>
        <w:t>حكومة بمواجهة المناقشة حول الوقف</w:t>
      </w:r>
      <w:r w:rsidR="00E9525A">
        <w:rPr>
          <w:rFonts w:hint="cs"/>
          <w:rtl/>
          <w:lang w:eastAsia="ja-JP" w:bidi="ar-EG"/>
        </w:rPr>
        <w:t xml:space="preserve"> الطوعي للحمل. وتحقيقا لهذا الغرض، شكلت لجنة ثلاثية تضم ممثلين عن السلطتين التنفيذية والتشريعية والمجتمع المدني، بغرض مناقشة هذا الموضوع وصياغة مشروع </w:t>
      </w:r>
      <w:r w:rsidR="00947A98">
        <w:rPr>
          <w:rFonts w:hint="cs"/>
          <w:rtl/>
          <w:lang w:eastAsia="ja-JP" w:bidi="ar-EG"/>
        </w:rPr>
        <w:t>ل</w:t>
      </w:r>
      <w:r w:rsidR="00E9525A">
        <w:rPr>
          <w:rFonts w:hint="cs"/>
          <w:rtl/>
          <w:lang w:eastAsia="ja-JP" w:bidi="ar-EG"/>
        </w:rPr>
        <w:t>مراجعة التشريع القاضي بمعاقبة الإجهاض.</w:t>
      </w:r>
    </w:p>
    <w:p w:rsidR="00E9525A" w:rsidRDefault="006A11FB" w:rsidP="004804EF">
      <w:pPr>
        <w:pStyle w:val="SingleTxt"/>
        <w:rPr>
          <w:rFonts w:hint="cs"/>
          <w:rtl/>
          <w:lang w:eastAsia="ja-JP" w:bidi="ar-EG"/>
        </w:rPr>
      </w:pPr>
      <w:r>
        <w:rPr>
          <w:rFonts w:hint="cs"/>
          <w:rtl/>
          <w:lang w:eastAsia="ja-JP" w:bidi="ar-EG"/>
        </w:rPr>
        <w:t>7 -</w:t>
      </w:r>
      <w:r w:rsidR="00E9525A">
        <w:rPr>
          <w:rFonts w:hint="cs"/>
          <w:rtl/>
          <w:lang w:eastAsia="ja-JP" w:bidi="ar-EG"/>
        </w:rPr>
        <w:tab/>
        <w:t xml:space="preserve">إنشاء إدارة التعليم المتصل ومحو الأمية والتنوع عام 2004 داخل وزارة التعليم. وولاية هذه الإدارة هي تناول المسألة ذات الشقين، </w:t>
      </w:r>
      <w:r w:rsidR="00E9525A">
        <w:rPr>
          <w:rFonts w:hint="eastAsia"/>
          <w:rtl/>
          <w:lang w:eastAsia="ja-JP" w:bidi="ar-EG"/>
        </w:rPr>
        <w:t>”حقوق الإنسان والتعليم</w:t>
      </w:r>
      <w:r w:rsidR="00E9525A">
        <w:rPr>
          <w:rFonts w:hint="cs"/>
          <w:rtl/>
          <w:lang w:eastAsia="ja-JP" w:bidi="ar-EG"/>
        </w:rPr>
        <w:t>“، وإدراج مجال التنوع في المناقشات التي تدور حول قضايا نوع الجنس والعنصر والنشاط العرقي والإعاقات والتوجه الجنسي.</w:t>
      </w:r>
    </w:p>
    <w:p w:rsidR="00E9525A" w:rsidRDefault="006A11FB" w:rsidP="00947A98">
      <w:pPr>
        <w:pStyle w:val="SingleTxt"/>
        <w:rPr>
          <w:rFonts w:hint="cs"/>
          <w:rtl/>
          <w:lang w:eastAsia="ja-JP" w:bidi="ar-EG"/>
        </w:rPr>
      </w:pPr>
      <w:r>
        <w:rPr>
          <w:rFonts w:hint="cs"/>
          <w:rtl/>
          <w:lang w:eastAsia="ja-JP" w:bidi="ar-EG"/>
        </w:rPr>
        <w:t>8 -</w:t>
      </w:r>
      <w:r w:rsidR="00E9525A">
        <w:rPr>
          <w:rFonts w:hint="cs"/>
          <w:rtl/>
          <w:lang w:eastAsia="ja-JP" w:bidi="ar-EG"/>
        </w:rPr>
        <w:tab/>
        <w:t xml:space="preserve">البدء في تنفيذ برنامج للتوثيق الوطني للعاملات الريفيات. ويستهدف هذا البرنامج </w:t>
      </w:r>
      <w:r w:rsidR="00947A98">
        <w:rPr>
          <w:rFonts w:hint="cs"/>
          <w:rtl/>
          <w:lang w:eastAsia="ja-JP" w:bidi="ar-EG"/>
        </w:rPr>
        <w:t>إتاحة</w:t>
      </w:r>
      <w:r w:rsidR="00E9525A">
        <w:rPr>
          <w:rFonts w:hint="cs"/>
          <w:rtl/>
          <w:lang w:eastAsia="ja-JP" w:bidi="ar-EG"/>
        </w:rPr>
        <w:t xml:space="preserve"> التوثيق المدني الأساسي بالمجان للنساء المنخرطات في برنامج الإصلاح الزراعي، والمزارعات </w:t>
      </w:r>
      <w:r w:rsidR="00947A98">
        <w:rPr>
          <w:rFonts w:hint="cs"/>
          <w:rtl/>
          <w:lang w:eastAsia="ja-JP" w:bidi="ar-EG"/>
        </w:rPr>
        <w:t>في مجال الزراعة الأسرية</w:t>
      </w:r>
      <w:r w:rsidR="00D24090">
        <w:rPr>
          <w:rFonts w:hint="cs"/>
          <w:rtl/>
          <w:lang w:eastAsia="ja-JP" w:bidi="ar-EG"/>
        </w:rPr>
        <w:t xml:space="preserve">. وتتضمن هذه المبادرة النساء اللاتي يسعين إلى تعزيز مواطنتهن، كما تسهم في ممارستهن الكاملة لحقوقهن، مثل إمكانية الحصول على المعاشات التقاعدية الريفية. ومن </w:t>
      </w:r>
      <w:r w:rsidR="00947A98">
        <w:rPr>
          <w:rFonts w:hint="cs"/>
          <w:rtl/>
          <w:lang w:eastAsia="ja-JP" w:bidi="ar-EG"/>
        </w:rPr>
        <w:t>الجدير بالذكر</w:t>
      </w:r>
      <w:r w:rsidR="00D24090">
        <w:rPr>
          <w:rFonts w:hint="cs"/>
          <w:rtl/>
          <w:lang w:eastAsia="ja-JP" w:bidi="ar-EG"/>
        </w:rPr>
        <w:t xml:space="preserve"> أيضا التدابير المتخذة لزيادة إدماج المرأة في البرنامج الوطني لتعزيز الزراعة الأسرية، مثل ضرورة النص في إعلان التأهيل الذي يمنحه البرنامج على </w:t>
      </w:r>
      <w:r w:rsidR="00544B92">
        <w:rPr>
          <w:rFonts w:hint="cs"/>
          <w:rtl/>
          <w:lang w:eastAsia="ja-JP" w:bidi="ar-EG"/>
        </w:rPr>
        <w:t>اسمي</w:t>
      </w:r>
      <w:r w:rsidR="00D24090">
        <w:rPr>
          <w:rFonts w:hint="cs"/>
          <w:rtl/>
          <w:lang w:eastAsia="ja-JP" w:bidi="ar-EG"/>
        </w:rPr>
        <w:t xml:space="preserve"> الزوجين، وتدعيم البرنامج الوطني النسائي لتعزيز الزراعة الأسرية من خلال إنشاء خط ائتماني خاص بالمرأة. </w:t>
      </w:r>
    </w:p>
    <w:p w:rsidR="00D24090" w:rsidRDefault="00D24090" w:rsidP="00947A98">
      <w:pPr>
        <w:pStyle w:val="SingleTxt"/>
        <w:rPr>
          <w:rFonts w:hint="cs"/>
          <w:rtl/>
          <w:lang w:eastAsia="ja-JP" w:bidi="ar-EG"/>
        </w:rPr>
      </w:pPr>
      <w:r>
        <w:rPr>
          <w:rFonts w:hint="cs"/>
          <w:rtl/>
          <w:lang w:eastAsia="ja-JP" w:bidi="ar-EG"/>
        </w:rPr>
        <w:tab/>
        <w:t xml:space="preserve">وبعد عقد المؤتمر العالمي الرابع المعني بالمرأة، اعتنقت الحكومة بوضوح وفعالية، ولأول مرة، قضية إدخال نوع الجنس بطريقة مستعرضة في السياسات العامة المعتمدة وبوصفه استراتيجية لتعزيز المساواة بين الجنسين، وقد </w:t>
      </w:r>
      <w:r w:rsidR="00947A98">
        <w:rPr>
          <w:rFonts w:hint="cs"/>
          <w:rtl/>
          <w:lang w:eastAsia="ja-JP" w:bidi="ar-EG"/>
        </w:rPr>
        <w:t>اتخذت</w:t>
      </w:r>
      <w:r>
        <w:rPr>
          <w:rFonts w:hint="cs"/>
          <w:rtl/>
          <w:lang w:eastAsia="ja-JP" w:bidi="ar-EG"/>
        </w:rPr>
        <w:t xml:space="preserve"> الحكومة هذه القضية كهدف وأولوية فعلية لها.</w:t>
      </w:r>
    </w:p>
    <w:p w:rsidR="00D24090" w:rsidRDefault="00D24090" w:rsidP="00947A98">
      <w:pPr>
        <w:pStyle w:val="SingleTxt"/>
        <w:rPr>
          <w:rFonts w:hint="cs"/>
          <w:rtl/>
          <w:lang w:eastAsia="ja-JP" w:bidi="ar-EG"/>
        </w:rPr>
      </w:pPr>
      <w:r>
        <w:rPr>
          <w:rFonts w:hint="cs"/>
          <w:rtl/>
          <w:lang w:eastAsia="ja-JP" w:bidi="ar-EG"/>
        </w:rPr>
        <w:tab/>
        <w:t xml:space="preserve">وتثير الوثائق الرسمية بوضوح قضية إدخال نوع الجنس بصورة مستعرضة في نصوصها. ويجري النص في وثيقة للأمانة الخاصة لسياسات المرأة على أن </w:t>
      </w:r>
      <w:r>
        <w:rPr>
          <w:rFonts w:hint="eastAsia"/>
          <w:rtl/>
          <w:lang w:eastAsia="ja-JP" w:bidi="ar-EG"/>
        </w:rPr>
        <w:t xml:space="preserve">”أهداف عام 2003 تتضمن (...) </w:t>
      </w:r>
      <w:r>
        <w:rPr>
          <w:rFonts w:hint="cs"/>
          <w:rtl/>
          <w:lang w:eastAsia="ja-JP" w:bidi="ar-EG"/>
        </w:rPr>
        <w:t xml:space="preserve">الإدراج النظري والعملي للموضوع في جميع مجالات الحكومة، باعتبار أن حقوق الإنسان للمرأة من الحقوق العامة التي لا يمكن تقسيمها، وبالتالي تكون المشاركة المدنية الكاملة للمرأة مبدأ </w:t>
      </w:r>
      <w:r w:rsidR="00947A98">
        <w:rPr>
          <w:rFonts w:hint="cs"/>
          <w:rtl/>
          <w:lang w:eastAsia="ja-JP" w:bidi="ar-EG"/>
        </w:rPr>
        <w:t>مستعرضا</w:t>
      </w:r>
      <w:r>
        <w:rPr>
          <w:rFonts w:hint="cs"/>
          <w:rtl/>
          <w:lang w:eastAsia="ja-JP" w:bidi="ar-EG"/>
        </w:rPr>
        <w:t xml:space="preserve"> ملزما في جميع الوزارات</w:t>
      </w:r>
      <w:r>
        <w:rPr>
          <w:rFonts w:hint="eastAsia"/>
          <w:rtl/>
          <w:lang w:eastAsia="ja-JP" w:bidi="ar-EG"/>
        </w:rPr>
        <w:t>“</w:t>
      </w:r>
      <w:r w:rsidRPr="00D24090">
        <w:rPr>
          <w:vertAlign w:val="superscript"/>
          <w:rtl/>
          <w:lang w:eastAsia="ja-JP" w:bidi="ar-EG"/>
        </w:rPr>
        <w:t>(</w:t>
      </w:r>
      <w:r>
        <w:rPr>
          <w:rStyle w:val="FootnoteReference"/>
          <w:rtl/>
          <w:lang w:eastAsia="ja-JP"/>
        </w:rPr>
        <w:footnoteReference w:id="1"/>
      </w:r>
      <w:r w:rsidRPr="00D24090">
        <w:rPr>
          <w:vertAlign w:val="superscript"/>
          <w:rtl/>
          <w:lang w:eastAsia="ja-JP" w:bidi="ar-EG"/>
        </w:rPr>
        <w:t>)</w:t>
      </w:r>
      <w:r>
        <w:rPr>
          <w:rFonts w:hint="eastAsia"/>
          <w:rtl/>
          <w:lang w:eastAsia="ja-JP" w:bidi="ar-EG"/>
        </w:rPr>
        <w:t>.</w:t>
      </w:r>
      <w:r w:rsidR="00040541">
        <w:rPr>
          <w:rFonts w:hint="cs"/>
          <w:rtl/>
          <w:lang w:eastAsia="ja-JP" w:bidi="ar-EG"/>
        </w:rPr>
        <w:t xml:space="preserve"> وتنص الخطة الوطنية لسياسات المرأة على أن </w:t>
      </w:r>
      <w:r w:rsidR="00040541">
        <w:rPr>
          <w:rFonts w:hint="eastAsia"/>
          <w:rtl/>
          <w:lang w:eastAsia="ja-JP" w:bidi="ar-EG"/>
        </w:rPr>
        <w:t xml:space="preserve">”الإدارة المستعرضة هي أحد التحديات الكبرى للإدارة العامة (...) </w:t>
      </w:r>
      <w:r w:rsidR="00040541">
        <w:rPr>
          <w:rFonts w:hint="cs"/>
          <w:rtl/>
          <w:lang w:eastAsia="ja-JP" w:bidi="ar-EG"/>
        </w:rPr>
        <w:t>وهي سياسة ذات أولوية للحكومة</w:t>
      </w:r>
      <w:r w:rsidR="00040541">
        <w:rPr>
          <w:rFonts w:hint="eastAsia"/>
          <w:rtl/>
          <w:lang w:eastAsia="ja-JP" w:bidi="ar-EG"/>
        </w:rPr>
        <w:t>“</w:t>
      </w:r>
      <w:r w:rsidR="00040541" w:rsidRPr="00040541">
        <w:rPr>
          <w:vertAlign w:val="superscript"/>
          <w:rtl/>
          <w:lang w:eastAsia="ja-JP" w:bidi="ar-EG"/>
        </w:rPr>
        <w:t>(</w:t>
      </w:r>
      <w:r w:rsidR="00040541">
        <w:rPr>
          <w:rStyle w:val="FootnoteReference"/>
          <w:rtl/>
          <w:lang w:eastAsia="ja-JP"/>
        </w:rPr>
        <w:footnoteReference w:id="2"/>
      </w:r>
      <w:r w:rsidR="00040541" w:rsidRPr="00040541">
        <w:rPr>
          <w:vertAlign w:val="superscript"/>
          <w:rtl/>
          <w:lang w:eastAsia="ja-JP" w:bidi="ar-EG"/>
        </w:rPr>
        <w:t>)</w:t>
      </w:r>
      <w:r w:rsidR="00040541">
        <w:rPr>
          <w:rFonts w:hint="eastAsia"/>
          <w:rtl/>
          <w:lang w:eastAsia="ja-JP" w:bidi="ar-EG"/>
        </w:rPr>
        <w:t>.</w:t>
      </w:r>
    </w:p>
    <w:p w:rsidR="003B7539" w:rsidRDefault="003B7539" w:rsidP="004804EF">
      <w:pPr>
        <w:pStyle w:val="SingleTxt"/>
        <w:rPr>
          <w:rFonts w:hint="cs"/>
          <w:rtl/>
          <w:lang w:eastAsia="ja-JP" w:bidi="ar-EG"/>
        </w:rPr>
      </w:pPr>
      <w:r>
        <w:rPr>
          <w:rFonts w:hint="cs"/>
          <w:rtl/>
          <w:lang w:eastAsia="ja-JP" w:bidi="ar-EG"/>
        </w:rPr>
        <w:tab/>
        <w:t>والسياسات والإجراءات التي تتخذها حكومة البرازيل، كما جاء شرحها في هذا التقرير، تشير إلى أن هذا النهج إزاء بناء المساواة بين الجنسين يعزز تهيئة بيئة جديدة وإيجابية في مجالات كثيرة.</w:t>
      </w:r>
    </w:p>
    <w:p w:rsidR="003B7539" w:rsidRPr="003B7539" w:rsidRDefault="003B7539" w:rsidP="003B7539">
      <w:pPr>
        <w:pStyle w:val="SingleTxt"/>
        <w:spacing w:after="0" w:line="120" w:lineRule="exact"/>
        <w:rPr>
          <w:rFonts w:hint="cs"/>
          <w:sz w:val="10"/>
          <w:rtl/>
          <w:lang w:eastAsia="ja-JP" w:bidi="ar-EG"/>
        </w:rPr>
      </w:pPr>
    </w:p>
    <w:p w:rsidR="003B7539" w:rsidRDefault="003B7539" w:rsidP="003B75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bidi="ar-EG"/>
        </w:rPr>
      </w:pPr>
      <w:r>
        <w:rPr>
          <w:rFonts w:hint="cs"/>
          <w:rtl/>
          <w:lang w:eastAsia="ja-JP" w:bidi="ar-EG"/>
        </w:rPr>
        <w:tab/>
      </w:r>
      <w:r>
        <w:rPr>
          <w:rFonts w:hint="cs"/>
          <w:rtl/>
          <w:lang w:eastAsia="ja-JP" w:bidi="ar-EG"/>
        </w:rPr>
        <w:tab/>
        <w:t>المادة 1 من اتفاقية القضاء على جميع أشكال التمييز ضد المرأة</w:t>
      </w:r>
    </w:p>
    <w:p w:rsidR="003E5DAE" w:rsidRPr="003E5DAE" w:rsidRDefault="00D205E6" w:rsidP="00693982">
      <w:pPr>
        <w:pStyle w:val="SingleTxt"/>
        <w:ind w:left="1930" w:hanging="663"/>
        <w:rPr>
          <w:rFonts w:hint="cs"/>
          <w:rtl/>
          <w:lang w:eastAsia="ja-JP"/>
        </w:rPr>
      </w:pPr>
      <w:r>
        <w:rPr>
          <w:rFonts w:hint="cs"/>
          <w:rtl/>
          <w:lang w:eastAsia="ja-JP"/>
        </w:rPr>
        <w:tab/>
      </w:r>
      <w:r w:rsidR="00693982">
        <w:rPr>
          <w:rFonts w:hint="cs"/>
          <w:rtl/>
          <w:lang w:eastAsia="ja-JP"/>
        </w:rPr>
        <w:tab/>
      </w:r>
      <w:r w:rsidR="003E5DAE" w:rsidRPr="003E5DAE">
        <w:rPr>
          <w:rtl/>
          <w:lang w:eastAsia="ja-JP"/>
        </w:rPr>
        <w:t>لأغراض هذه الاتفاقية يعني مصطلح ”التمييز صد المرأة“ أي تفرقة أو استبعاد أو تقييد يتم على أساس الجنس ويكون من آثاره أو أغراضه</w:t>
      </w:r>
      <w:r w:rsidR="003E5DAE">
        <w:rPr>
          <w:rFonts w:hint="cs"/>
          <w:rtl/>
          <w:lang w:eastAsia="ja-JP"/>
        </w:rPr>
        <w:t xml:space="preserve"> النيل من الاعتراف للمرأة، على أساس تساوي الرجل والمرأة، بحقوق الإنسان والحريات الأساسية في الميادين السياسية والاقتصادية والاجتماعية والثقافية والمدنية أو في أي ميدان آخر، أو إبطال الاعتراف للمرأة بهذه الحقوق أو تمتعها بها وممارستها لها بغض النظر عن حالتها الزوجية.</w:t>
      </w:r>
    </w:p>
    <w:p w:rsidR="003E5DAE" w:rsidRPr="003E5DAE" w:rsidRDefault="003E5DAE" w:rsidP="003E5DAE">
      <w:pPr>
        <w:pStyle w:val="SingleTxt"/>
        <w:spacing w:after="0" w:line="120" w:lineRule="exact"/>
        <w:rPr>
          <w:rFonts w:hint="cs"/>
          <w:sz w:val="10"/>
          <w:rtl/>
          <w:lang w:eastAsia="ja-JP"/>
        </w:rPr>
      </w:pPr>
    </w:p>
    <w:p w:rsidR="003E5DAE" w:rsidRPr="003E5DAE" w:rsidRDefault="003E5DAE" w:rsidP="003E5DA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rPr>
      </w:pPr>
      <w:r>
        <w:rPr>
          <w:rFonts w:hint="cs"/>
          <w:rtl/>
          <w:lang w:eastAsia="ja-JP"/>
        </w:rPr>
        <w:tab/>
      </w:r>
      <w:r>
        <w:rPr>
          <w:rFonts w:hint="cs"/>
          <w:rtl/>
          <w:lang w:eastAsia="ja-JP"/>
        </w:rPr>
        <w:tab/>
      </w:r>
      <w:r w:rsidRPr="003E5DAE">
        <w:rPr>
          <w:rtl/>
          <w:lang w:eastAsia="ja-JP"/>
        </w:rPr>
        <w:t>المادة 2</w:t>
      </w:r>
      <w:r>
        <w:rPr>
          <w:rFonts w:hint="cs"/>
          <w:rtl/>
          <w:lang w:eastAsia="ja-JP"/>
        </w:rPr>
        <w:t xml:space="preserve"> من اتفاقية القضاء على جميع أشكال التمييز ضد المرأة</w:t>
      </w:r>
    </w:p>
    <w:p w:rsidR="003E5DAE" w:rsidRPr="003E5DAE" w:rsidRDefault="00D205E6" w:rsidP="00693982">
      <w:pPr>
        <w:pStyle w:val="SingleTxt"/>
        <w:ind w:left="1930" w:hanging="663"/>
        <w:rPr>
          <w:rtl/>
          <w:lang w:eastAsia="ja-JP"/>
        </w:rPr>
      </w:pPr>
      <w:r>
        <w:rPr>
          <w:rFonts w:hint="cs"/>
          <w:rtl/>
          <w:lang w:eastAsia="ja-JP"/>
        </w:rPr>
        <w:tab/>
      </w:r>
      <w:r w:rsidR="00693982">
        <w:rPr>
          <w:rFonts w:hint="cs"/>
          <w:rtl/>
          <w:lang w:eastAsia="ja-JP"/>
        </w:rPr>
        <w:tab/>
      </w:r>
      <w:r w:rsidR="003E5DAE" w:rsidRPr="003E5DAE">
        <w:rPr>
          <w:rtl/>
          <w:lang w:eastAsia="ja-JP"/>
        </w:rPr>
        <w:t>تشجب الدول الأطراف جميع أشكال التمييز ضد المرأة وتوافق على أن تنتهج، بكل الوسائل المناسبة ودون إبطاء، سياسة القضاء على التمييز ضد المرأة، وتحقيقا لذلك، تتعهد بالقيام بما</w:t>
      </w:r>
      <w:r w:rsidR="003E5DAE" w:rsidRPr="003E5DAE">
        <w:rPr>
          <w:rFonts w:hint="cs"/>
          <w:rtl/>
          <w:lang w:eastAsia="ja-JP" w:bidi="ar-EG"/>
        </w:rPr>
        <w:t> </w:t>
      </w:r>
      <w:r w:rsidR="003E5DAE" w:rsidRPr="003E5DAE">
        <w:rPr>
          <w:rtl/>
          <w:lang w:eastAsia="ja-JP"/>
        </w:rPr>
        <w:t>يلي:</w:t>
      </w:r>
    </w:p>
    <w:p w:rsidR="003E5DAE" w:rsidRPr="003E5DAE" w:rsidRDefault="00693982" w:rsidP="00693982">
      <w:pPr>
        <w:pStyle w:val="SingleTxt"/>
        <w:ind w:left="1930" w:hanging="663"/>
        <w:rPr>
          <w:rtl/>
          <w:lang w:eastAsia="ja-JP"/>
        </w:rPr>
      </w:pPr>
      <w:r>
        <w:rPr>
          <w:rFonts w:hint="cs"/>
          <w:rtl/>
          <w:lang w:eastAsia="ja-JP"/>
        </w:rPr>
        <w:tab/>
      </w:r>
      <w:r w:rsidR="00D205E6">
        <w:rPr>
          <w:rFonts w:hint="cs"/>
          <w:rtl/>
          <w:lang w:eastAsia="ja-JP"/>
        </w:rPr>
        <w:tab/>
      </w:r>
      <w:r w:rsidR="003E5DAE" w:rsidRPr="003E5DAE">
        <w:rPr>
          <w:rtl/>
          <w:lang w:eastAsia="ja-JP"/>
        </w:rPr>
        <w:t>(أ)</w:t>
      </w:r>
      <w:r w:rsidR="003E5DAE" w:rsidRPr="003E5DAE">
        <w:rPr>
          <w:rtl/>
          <w:lang w:eastAsia="ja-JP"/>
        </w:rPr>
        <w:tab/>
        <w:t>تجسيد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القانون والوسائل المناسبة الأخرى؛</w:t>
      </w:r>
    </w:p>
    <w:p w:rsidR="003E5DAE" w:rsidRPr="003E5DAE" w:rsidRDefault="00D205E6" w:rsidP="00693982">
      <w:pPr>
        <w:pStyle w:val="SingleTxt"/>
        <w:ind w:left="1930" w:hanging="663"/>
        <w:rPr>
          <w:rtl/>
          <w:lang w:eastAsia="ja-JP"/>
        </w:rPr>
      </w:pPr>
      <w:r>
        <w:rPr>
          <w:rFonts w:hint="cs"/>
          <w:rtl/>
          <w:lang w:eastAsia="ja-JP"/>
        </w:rPr>
        <w:tab/>
      </w:r>
      <w:r w:rsidR="00693982">
        <w:rPr>
          <w:rFonts w:hint="cs"/>
          <w:rtl/>
          <w:lang w:eastAsia="ja-JP"/>
        </w:rPr>
        <w:tab/>
      </w:r>
      <w:r w:rsidR="003E5DAE" w:rsidRPr="003E5DAE">
        <w:rPr>
          <w:rtl/>
          <w:lang w:eastAsia="ja-JP"/>
        </w:rPr>
        <w:t>(ب)</w:t>
      </w:r>
      <w:r w:rsidR="003E5DAE" w:rsidRPr="003E5DAE">
        <w:rPr>
          <w:rtl/>
          <w:lang w:eastAsia="ja-JP"/>
        </w:rPr>
        <w:tab/>
        <w:t>اتخاذ المناسب من التدابير التشريعية وغيرها، بما في ذلك ما يقتضيه الأمر من جزاءات، لحظر كل تمييز ضد المرأة؛</w:t>
      </w:r>
    </w:p>
    <w:p w:rsidR="003E5DAE" w:rsidRPr="003E5DAE" w:rsidRDefault="00693982" w:rsidP="00693982">
      <w:pPr>
        <w:pStyle w:val="SingleTxt"/>
        <w:ind w:left="1930" w:hanging="663"/>
        <w:rPr>
          <w:rtl/>
          <w:lang w:eastAsia="ja-JP"/>
        </w:rPr>
      </w:pPr>
      <w:r>
        <w:rPr>
          <w:rFonts w:hint="cs"/>
          <w:rtl/>
          <w:lang w:eastAsia="ja-JP"/>
        </w:rPr>
        <w:tab/>
      </w:r>
      <w:r w:rsidR="00D205E6">
        <w:rPr>
          <w:rFonts w:hint="cs"/>
          <w:rtl/>
          <w:lang w:eastAsia="ja-JP"/>
        </w:rPr>
        <w:tab/>
      </w:r>
      <w:r w:rsidR="003E5DAE" w:rsidRPr="003E5DAE">
        <w:rPr>
          <w:rtl/>
          <w:lang w:eastAsia="ja-JP"/>
        </w:rPr>
        <w:t>(ج)</w:t>
      </w:r>
      <w:r w:rsidR="003E5DAE" w:rsidRPr="003E5DAE">
        <w:rPr>
          <w:rtl/>
          <w:lang w:eastAsia="ja-JP"/>
        </w:rPr>
        <w:tab/>
        <w:t>إقرار الحماية القانونية لحقوق المرأة على قدم المساواة مع الرجل وضمان الحماية الفعالة للمرأة، عن طريق المحاكم الوطنية ذات الاختصاص والمؤسسات العامة الأخرى، من أي عمل تمييزي؛</w:t>
      </w:r>
    </w:p>
    <w:p w:rsidR="003E5DAE" w:rsidRPr="003E5DAE" w:rsidRDefault="00693982" w:rsidP="00693982">
      <w:pPr>
        <w:pStyle w:val="SingleTxt"/>
        <w:ind w:left="1930" w:hanging="663"/>
        <w:rPr>
          <w:rtl/>
          <w:lang w:eastAsia="ja-JP"/>
        </w:rPr>
      </w:pPr>
      <w:r>
        <w:rPr>
          <w:rFonts w:hint="cs"/>
          <w:rtl/>
          <w:lang w:eastAsia="ja-JP"/>
        </w:rPr>
        <w:tab/>
      </w:r>
      <w:r w:rsidR="003E5DAE">
        <w:rPr>
          <w:rFonts w:hint="cs"/>
          <w:rtl/>
          <w:lang w:eastAsia="ja-JP"/>
        </w:rPr>
        <w:tab/>
      </w:r>
      <w:r w:rsidR="003E5DAE" w:rsidRPr="003E5DAE">
        <w:rPr>
          <w:rtl/>
          <w:lang w:eastAsia="ja-JP"/>
        </w:rPr>
        <w:t>(د)</w:t>
      </w:r>
      <w:r w:rsidR="003E5DAE" w:rsidRPr="003E5DAE">
        <w:rPr>
          <w:rtl/>
          <w:lang w:eastAsia="ja-JP"/>
        </w:rPr>
        <w:tab/>
        <w:t>الامتناع عن الاضطلاع بأي عمل أو ممارسة تمييزية ضد المرأة، وكفالة تصرف السلطات والمؤسسات العامة بما يتفق وهذا الالتزام؛</w:t>
      </w:r>
    </w:p>
    <w:p w:rsidR="003E5DAE" w:rsidRPr="003E5DAE" w:rsidRDefault="003E5DAE" w:rsidP="00693982">
      <w:pPr>
        <w:pStyle w:val="SingleTxt"/>
        <w:ind w:left="1930" w:hanging="663"/>
        <w:rPr>
          <w:rtl/>
          <w:lang w:eastAsia="ja-JP"/>
        </w:rPr>
      </w:pPr>
      <w:r>
        <w:rPr>
          <w:rFonts w:hint="cs"/>
          <w:rtl/>
          <w:lang w:eastAsia="ja-JP"/>
        </w:rPr>
        <w:tab/>
      </w:r>
      <w:r w:rsidR="00693982">
        <w:rPr>
          <w:rFonts w:hint="cs"/>
          <w:rtl/>
          <w:lang w:eastAsia="ja-JP"/>
        </w:rPr>
        <w:tab/>
      </w:r>
      <w:r w:rsidRPr="003E5DAE">
        <w:rPr>
          <w:rtl/>
          <w:lang w:eastAsia="ja-JP"/>
        </w:rPr>
        <w:t>(هـ)</w:t>
      </w:r>
      <w:r w:rsidRPr="003E5DAE">
        <w:rPr>
          <w:rtl/>
          <w:lang w:eastAsia="ja-JP"/>
        </w:rPr>
        <w:tab/>
        <w:t>اتخاذ جميع التدابير المناسبة للقضاء على التمييز ضد المرأة من جانب أي شخص أو منظمة أو مؤسسة؛</w:t>
      </w:r>
    </w:p>
    <w:p w:rsidR="003E5DAE" w:rsidRPr="003E5DAE" w:rsidRDefault="00693982" w:rsidP="00693982">
      <w:pPr>
        <w:pStyle w:val="SingleTxt"/>
        <w:ind w:left="1930" w:hanging="663"/>
        <w:rPr>
          <w:rtl/>
          <w:lang w:eastAsia="ja-JP"/>
        </w:rPr>
      </w:pPr>
      <w:r>
        <w:rPr>
          <w:rFonts w:hint="cs"/>
          <w:rtl/>
          <w:lang w:eastAsia="ja-JP"/>
        </w:rPr>
        <w:tab/>
      </w:r>
      <w:r w:rsidR="003E5DAE">
        <w:rPr>
          <w:rFonts w:hint="cs"/>
          <w:rtl/>
          <w:lang w:eastAsia="ja-JP"/>
        </w:rPr>
        <w:tab/>
      </w:r>
      <w:r w:rsidR="003E5DAE" w:rsidRPr="003E5DAE">
        <w:rPr>
          <w:rtl/>
          <w:lang w:eastAsia="ja-JP"/>
        </w:rPr>
        <w:t>(و)</w:t>
      </w:r>
      <w:r w:rsidR="003E5DAE" w:rsidRPr="003E5DAE">
        <w:rPr>
          <w:rtl/>
          <w:lang w:eastAsia="ja-JP"/>
        </w:rPr>
        <w:tab/>
        <w:t>اتخاذ جميع التدابير المناسبة، بما في ذلك التشريع، لتعديل أو إلغاء القوانين والأنظمة والأعراف والممارسات القائمة التي تشكِّل تمييزا ضد المرأة؛</w:t>
      </w:r>
    </w:p>
    <w:p w:rsidR="003E5DAE" w:rsidRPr="003E5DAE" w:rsidRDefault="00693982" w:rsidP="00693982">
      <w:pPr>
        <w:pStyle w:val="SingleTxt"/>
        <w:ind w:left="1930" w:hanging="663"/>
        <w:rPr>
          <w:rtl/>
          <w:lang w:eastAsia="ja-JP"/>
        </w:rPr>
      </w:pPr>
      <w:r>
        <w:rPr>
          <w:rFonts w:hint="cs"/>
          <w:rtl/>
          <w:lang w:eastAsia="ja-JP"/>
        </w:rPr>
        <w:tab/>
      </w:r>
      <w:r w:rsidR="003E5DAE">
        <w:rPr>
          <w:rFonts w:hint="cs"/>
          <w:rtl/>
          <w:lang w:eastAsia="ja-JP"/>
        </w:rPr>
        <w:tab/>
      </w:r>
      <w:r w:rsidR="003E5DAE" w:rsidRPr="003E5DAE">
        <w:rPr>
          <w:rtl/>
          <w:lang w:eastAsia="ja-JP"/>
        </w:rPr>
        <w:t>(ز)</w:t>
      </w:r>
      <w:r w:rsidR="003E5DAE" w:rsidRPr="003E5DAE">
        <w:rPr>
          <w:rtl/>
          <w:lang w:eastAsia="ja-JP"/>
        </w:rPr>
        <w:tab/>
        <w:t>إلغاء جميع أحكام قوانين العقوبات الوطنية التي تشكِّل تمييز</w:t>
      </w:r>
      <w:r w:rsidR="003E5DAE" w:rsidRPr="003E5DAE">
        <w:rPr>
          <w:rFonts w:hint="cs"/>
          <w:rtl/>
          <w:lang w:eastAsia="ja-JP" w:bidi="ar-EG"/>
        </w:rPr>
        <w:t>ا</w:t>
      </w:r>
      <w:r w:rsidR="003E5DAE" w:rsidRPr="003E5DAE">
        <w:rPr>
          <w:rtl/>
          <w:lang w:eastAsia="ja-JP"/>
        </w:rPr>
        <w:t xml:space="preserve"> ضد المرأة.</w:t>
      </w:r>
    </w:p>
    <w:p w:rsidR="00BA674D" w:rsidRPr="00BA674D" w:rsidRDefault="00BA674D" w:rsidP="00BA674D">
      <w:pPr>
        <w:pStyle w:val="SingleTxt"/>
        <w:spacing w:after="0" w:line="120" w:lineRule="exact"/>
        <w:rPr>
          <w:rFonts w:hint="cs"/>
          <w:sz w:val="10"/>
          <w:rtl/>
          <w:lang w:eastAsia="ja-JP" w:bidi="ar-EG"/>
        </w:rPr>
      </w:pPr>
    </w:p>
    <w:p w:rsidR="003E5DAE" w:rsidRDefault="00BA674D" w:rsidP="00DE11C4">
      <w:pPr>
        <w:pStyle w:val="SingleTxt"/>
        <w:rPr>
          <w:rFonts w:hint="cs"/>
          <w:rtl/>
          <w:lang w:eastAsia="ja-JP" w:bidi="ar-EG"/>
        </w:rPr>
      </w:pPr>
      <w:r>
        <w:rPr>
          <w:rFonts w:hint="cs"/>
          <w:rtl/>
          <w:lang w:eastAsia="ja-JP" w:bidi="ar-EG"/>
        </w:rPr>
        <w:tab/>
        <w:t>مبدأ المساواة مترسخ في دستور البرازيل. وقد ع</w:t>
      </w:r>
      <w:r w:rsidR="00DE11C4">
        <w:rPr>
          <w:rFonts w:hint="cs"/>
          <w:rtl/>
          <w:lang w:eastAsia="ja-JP" w:bidi="ar-EG"/>
        </w:rPr>
        <w:t>ُ</w:t>
      </w:r>
      <w:r>
        <w:rPr>
          <w:rFonts w:hint="cs"/>
          <w:rtl/>
          <w:lang w:eastAsia="ja-JP" w:bidi="ar-EG"/>
        </w:rPr>
        <w:t>د</w:t>
      </w:r>
      <w:r w:rsidR="00DE11C4">
        <w:rPr>
          <w:rFonts w:hint="cs"/>
          <w:rtl/>
          <w:lang w:eastAsia="ja-JP" w:bidi="ar-EG"/>
        </w:rPr>
        <w:t>ِّ</w:t>
      </w:r>
      <w:r>
        <w:rPr>
          <w:rFonts w:hint="cs"/>
          <w:rtl/>
          <w:lang w:eastAsia="ja-JP" w:bidi="ar-EG"/>
        </w:rPr>
        <w:t>ل الإطار القضائي البرازيلي بحيث يكفل أن يحول التشريع هذا المبدأ إلى واقع. وأثناء الفترة من 2001 إلى 2005، وافق الكونغرس الوطني على قوانين هامة تؤثر تأثيرا مباشرا على حياة المرأة.</w:t>
      </w:r>
    </w:p>
    <w:p w:rsidR="00BA674D" w:rsidRDefault="00BA674D" w:rsidP="00DE11C4">
      <w:pPr>
        <w:pStyle w:val="SingleTxt"/>
        <w:rPr>
          <w:rFonts w:hint="cs"/>
          <w:rtl/>
          <w:lang w:eastAsia="ja-JP" w:bidi="ar-EG"/>
        </w:rPr>
      </w:pPr>
      <w:r>
        <w:rPr>
          <w:rFonts w:hint="cs"/>
          <w:rtl/>
          <w:lang w:eastAsia="ja-JP" w:bidi="ar-EG"/>
        </w:rPr>
        <w:tab/>
        <w:t xml:space="preserve">وفي مجال العمل، </w:t>
      </w:r>
      <w:r w:rsidR="00891190">
        <w:rPr>
          <w:rFonts w:hint="cs"/>
          <w:rtl/>
          <w:lang w:eastAsia="ja-JP" w:bidi="ar-EG"/>
        </w:rPr>
        <w:t>جرت الموافقة على تشريعين يتناولان قضيتي العمالة والأمومة. ويفرض أحدهما من جديد التزاما على المؤسسات بدفع مرتب أمومة للحوامل المؤمن عليهن و</w:t>
      </w:r>
      <w:r w:rsidR="00DE11C4">
        <w:rPr>
          <w:rFonts w:hint="cs"/>
          <w:rtl/>
          <w:lang w:eastAsia="ja-JP" w:bidi="ar-EG"/>
        </w:rPr>
        <w:t>ل</w:t>
      </w:r>
      <w:r w:rsidR="00891190">
        <w:rPr>
          <w:rFonts w:hint="cs"/>
          <w:rtl/>
          <w:lang w:eastAsia="ja-JP" w:bidi="ar-EG"/>
        </w:rPr>
        <w:t>لعاملات لحسابهن (القانون رقم 10-710/2003). أما التشريع الآخر فيعدل النظام الداخلي والنظام الأساسي لمجلس النواب بحيث يكفل للممثلات الاتحاديات إجازة أمومة (القرار رقم 15 بتاريخ 28 تشرين الثاني/نوفمبر 2003).</w:t>
      </w:r>
    </w:p>
    <w:p w:rsidR="00891190" w:rsidRDefault="00891190" w:rsidP="003E5DAE">
      <w:pPr>
        <w:pStyle w:val="SingleTxt"/>
        <w:rPr>
          <w:rFonts w:hint="cs"/>
          <w:rtl/>
          <w:lang w:eastAsia="ja-JP" w:bidi="ar-EG"/>
        </w:rPr>
      </w:pPr>
      <w:r>
        <w:rPr>
          <w:rFonts w:hint="cs"/>
          <w:rtl/>
          <w:lang w:eastAsia="ja-JP" w:bidi="ar-EG"/>
        </w:rPr>
        <w:tab/>
        <w:t xml:space="preserve">وخلال الفترة التي يشملها هذا التقرير جرت الموافقة على ثلاثة قوانين جديدة تتعلق بالعنف. ويسمح القانون الأول للسلطة التنفيذية بإنشاء خط ساخن مجاني للعنف المنـزلي على الصعيد الوطني (القانون رقم 10-714/2003). ويفرض القانون الثاني الإخطار عن حالات العنف ضد النساء اللاتي يعالجن عن طريق خدمات الرعاية الصحية (القانون رقم 10-778/2003). أما </w:t>
      </w:r>
      <w:r w:rsidR="008F54B8">
        <w:rPr>
          <w:rFonts w:hint="cs"/>
          <w:rtl/>
          <w:lang w:eastAsia="ja-JP" w:bidi="ar-EG"/>
        </w:rPr>
        <w:t>القانون الثالث (القانون رقم 10-886/2004) فيضيف أحكاما إلى المادة 129 من قانون العقوبات لكي يصنف العنف المنـزلي كجريمة.</w:t>
      </w:r>
    </w:p>
    <w:p w:rsidR="008F54B8" w:rsidRDefault="008F54B8" w:rsidP="00E92872">
      <w:pPr>
        <w:pStyle w:val="SingleTxt"/>
        <w:rPr>
          <w:rFonts w:hint="cs"/>
          <w:rtl/>
          <w:lang w:eastAsia="ja-JP" w:bidi="ar-EG"/>
        </w:rPr>
      </w:pPr>
      <w:r>
        <w:rPr>
          <w:rFonts w:hint="cs"/>
          <w:rtl/>
          <w:lang w:eastAsia="ja-JP" w:bidi="ar-EG"/>
        </w:rPr>
        <w:tab/>
        <w:t>وتوجد في الخطة الوطنية لسياسات المرأة قائمة بالتشريعات الرئيسية المعنية بحقوق المرأة، التي أعلنت بعد إعلان دستور جمهورية البرازيل الاتحادية عام 1988.</w:t>
      </w:r>
    </w:p>
    <w:p w:rsidR="008F54B8" w:rsidRDefault="008F54B8" w:rsidP="003E5DAE">
      <w:pPr>
        <w:pStyle w:val="SingleTxt"/>
        <w:rPr>
          <w:rFonts w:hint="cs"/>
          <w:rtl/>
          <w:lang w:eastAsia="ja-JP" w:bidi="ar-EG"/>
        </w:rPr>
      </w:pPr>
      <w:r>
        <w:rPr>
          <w:rFonts w:hint="cs"/>
          <w:rtl/>
          <w:lang w:eastAsia="ja-JP" w:bidi="ar-EG"/>
        </w:rPr>
        <w:tab/>
        <w:t>وقد كان للأعمال التي اضطلعت بها المجموعة النسائية للكونغرس الوطني دور أساسي في الموافقة على هذه القوانين. وفي مناسبات عديدة، تعاونت هذه المجموعة تعاونا وثيقا مع الأمانة الخاصة لسياسات المرأة ومع مختلف منظمات الحركة الاجتماعية النسائية.</w:t>
      </w:r>
    </w:p>
    <w:p w:rsidR="008F54B8" w:rsidRDefault="008F54B8" w:rsidP="008F54B8">
      <w:pPr>
        <w:pStyle w:val="SingleTxt"/>
        <w:rPr>
          <w:rFonts w:hint="cs"/>
          <w:rtl/>
          <w:lang w:eastAsia="ja-JP" w:bidi="ar-EG"/>
        </w:rPr>
      </w:pPr>
      <w:r>
        <w:rPr>
          <w:rFonts w:hint="cs"/>
          <w:rtl/>
          <w:lang w:eastAsia="ja-JP" w:bidi="ar-EG"/>
        </w:rPr>
        <w:tab/>
        <w:t xml:space="preserve">وقد أعلنت سنة 2004 سنة المرأة في البرازيل (القانون رقم 10745 لعام 2003). وقد حفز هذا المعلم الممثلات الاتحاديات وعضوات مجلس الشيوخ على تشكيل لجان لسنة </w:t>
      </w:r>
      <w:r w:rsidR="00BC0E5C">
        <w:rPr>
          <w:rFonts w:hint="cs"/>
          <w:rtl/>
          <w:lang w:eastAsia="ja-JP" w:bidi="ar-EG"/>
        </w:rPr>
        <w:t>المرأة. ووفرت الأنشطة التي قامت بها هذه اللجان زخما لمناقشة قضايا المرأة في الكونغرس الوطني. وعقدت جلسات عامة وجرت الموافقة على تشريع يدافع عن حقوق المرأة ويعززها.</w:t>
      </w:r>
    </w:p>
    <w:p w:rsidR="00BC0E5C" w:rsidRPr="003E5DAE" w:rsidRDefault="00BC0E5C" w:rsidP="00DE11C4">
      <w:pPr>
        <w:pStyle w:val="SingleTxt"/>
        <w:rPr>
          <w:rFonts w:hint="cs"/>
          <w:rtl/>
          <w:lang w:eastAsia="ja-JP" w:bidi="ar-EG"/>
        </w:rPr>
      </w:pPr>
      <w:r>
        <w:rPr>
          <w:rFonts w:hint="cs"/>
          <w:rtl/>
          <w:lang w:eastAsia="ja-JP" w:bidi="ar-EG"/>
        </w:rPr>
        <w:tab/>
        <w:t>ونتيجة لهذه العملية، جرت الموافقة في الدورة العامة لمجلس النواب على مشاريع قرارات متنوعة، وأحيلت إلى مجلس الشيوخ الاتحادي للموافقة عليها، وهي:</w:t>
      </w:r>
      <w:r w:rsidR="00DE11C4">
        <w:rPr>
          <w:rFonts w:hint="cs"/>
          <w:rtl/>
          <w:lang w:eastAsia="ja-JP" w:bidi="ar-EG"/>
        </w:rPr>
        <w:t xml:space="preserve"> </w:t>
      </w:r>
      <w:r>
        <w:rPr>
          <w:rFonts w:hint="cs"/>
          <w:rtl/>
          <w:lang w:eastAsia="ja-JP" w:bidi="ar-EG"/>
        </w:rPr>
        <w:t>(أ)</w:t>
      </w:r>
      <w:r w:rsidR="00DE11C4">
        <w:rPr>
          <w:rFonts w:hint="cs"/>
          <w:rtl/>
          <w:lang w:eastAsia="ja-JP" w:bidi="ar-EG"/>
        </w:rPr>
        <w:t xml:space="preserve"> </w:t>
      </w:r>
      <w:r w:rsidR="006133EC">
        <w:rPr>
          <w:rFonts w:hint="cs"/>
          <w:rtl/>
          <w:lang w:eastAsia="ja-JP" w:bidi="ar-EG"/>
        </w:rPr>
        <w:t xml:space="preserve">مشروع القانون 117/03 - يلغي تعبير امرأة شريفة من مادتين في قانون العقوبات؛ و (ب) مشروع القانون </w:t>
      </w:r>
      <w:r w:rsidR="00DE11C4">
        <w:rPr>
          <w:rFonts w:hint="cs"/>
          <w:rtl/>
          <w:lang w:eastAsia="ja-JP" w:bidi="ar-EG"/>
        </w:rPr>
        <w:t>335</w:t>
      </w:r>
      <w:r w:rsidR="006133EC">
        <w:rPr>
          <w:rFonts w:hint="cs"/>
          <w:rtl/>
          <w:lang w:eastAsia="ja-JP" w:bidi="ar-EG"/>
        </w:rPr>
        <w:t xml:space="preserve">/95 - يكفل وينظم إنشاء دور للحضانة ومراكز </w:t>
      </w:r>
      <w:r w:rsidR="006133EC" w:rsidRPr="006133EC">
        <w:rPr>
          <w:rFonts w:hint="cs"/>
          <w:w w:val="100"/>
          <w:rtl/>
          <w:lang w:eastAsia="ja-JP" w:bidi="ar-EG"/>
        </w:rPr>
        <w:t>للرعاية النهارية في السجون من أجل أطفال السجينات؛ و (ج) مشروع القانون 644/03</w:t>
      </w:r>
      <w:r w:rsidR="006133EC">
        <w:rPr>
          <w:rFonts w:hint="cs"/>
          <w:rtl/>
          <w:lang w:eastAsia="ja-JP" w:bidi="ar-EG"/>
        </w:rPr>
        <w:t xml:space="preserve"> - يكفل لعضوات المجلس ولممثلات الولاية والدولة الاتحادية الحق في الحصول على إجازة أمومة. وأدرجت إجازة الأبوة للبرلمانيين في تعديل لهذا المشروع. </w:t>
      </w:r>
    </w:p>
    <w:p w:rsidR="003B7539" w:rsidRDefault="006133EC" w:rsidP="00DE11C4">
      <w:pPr>
        <w:pStyle w:val="SingleTxt"/>
        <w:rPr>
          <w:rFonts w:hint="cs"/>
          <w:rtl/>
          <w:lang w:eastAsia="ja-JP" w:bidi="ar-EG"/>
        </w:rPr>
      </w:pPr>
      <w:r>
        <w:rPr>
          <w:rFonts w:hint="cs"/>
          <w:rtl/>
          <w:lang w:eastAsia="ja-JP" w:bidi="ar-EG"/>
        </w:rPr>
        <w:tab/>
        <w:t xml:space="preserve">ويجري الأخذ بمبادرات هامة لمواجهة التمييز القائم على أساس التوجه الجنسي. وفي عام 2001 أنشأت حكومة البرازيل المجلس الوطني لمكافحة التمييز بوصفه تدبيرا من أول التدابير المعتمدة لتنفيذ توصيات مؤتمر ديربان. ومن </w:t>
      </w:r>
      <w:r w:rsidR="00DE11C4">
        <w:rPr>
          <w:rFonts w:hint="cs"/>
          <w:rtl/>
          <w:lang w:eastAsia="ja-JP" w:bidi="ar-EG"/>
        </w:rPr>
        <w:t>مهام</w:t>
      </w:r>
      <w:r>
        <w:rPr>
          <w:rFonts w:hint="cs"/>
          <w:rtl/>
          <w:lang w:eastAsia="ja-JP" w:bidi="ar-EG"/>
        </w:rPr>
        <w:t xml:space="preserve"> عمل هذا المجلس مكافحة التمييز القائم على أساس التوجه الجنسي. ويوجد في المجلس أعضاء من ممثلي المجتمع المدني وحركات المثليين والمثليات ومن يغيرون نوع جنسهم.</w:t>
      </w:r>
    </w:p>
    <w:p w:rsidR="006133EC" w:rsidRDefault="006133EC" w:rsidP="00DE11C4">
      <w:pPr>
        <w:pStyle w:val="SingleTxt"/>
        <w:rPr>
          <w:rFonts w:hint="cs"/>
          <w:rtl/>
          <w:lang w:eastAsia="ja-JP" w:bidi="ar-EG"/>
        </w:rPr>
      </w:pPr>
      <w:r>
        <w:rPr>
          <w:rFonts w:hint="cs"/>
          <w:rtl/>
          <w:lang w:eastAsia="ja-JP" w:bidi="ar-EG"/>
        </w:rPr>
        <w:tab/>
        <w:t xml:space="preserve">وفي عام 2003 شكل هذا المجلس لجنة موضوعية دائمة </w:t>
      </w:r>
      <w:r w:rsidR="00DE11C4">
        <w:rPr>
          <w:rFonts w:hint="cs"/>
          <w:rtl/>
          <w:lang w:eastAsia="ja-JP" w:bidi="ar-EG"/>
        </w:rPr>
        <w:t>للنظر في</w:t>
      </w:r>
      <w:r>
        <w:rPr>
          <w:rFonts w:hint="cs"/>
          <w:rtl/>
          <w:lang w:eastAsia="ja-JP" w:bidi="ar-EG"/>
        </w:rPr>
        <w:t xml:space="preserve"> الاتهامات المتعلقة بانتهاكات حقوق الإنسان القائمة على أساس التوجه الجنسي. وعلاوة على ذلك، شكل المجلس فريقا عاملا لكي </w:t>
      </w:r>
      <w:r w:rsidR="00DE11C4">
        <w:rPr>
          <w:rFonts w:hint="cs"/>
          <w:rtl/>
          <w:lang w:eastAsia="ja-JP" w:bidi="ar-EG"/>
        </w:rPr>
        <w:t>يضع</w:t>
      </w:r>
      <w:r>
        <w:rPr>
          <w:rFonts w:hint="cs"/>
          <w:rtl/>
          <w:lang w:eastAsia="ja-JP" w:bidi="ar-EG"/>
        </w:rPr>
        <w:t xml:space="preserve"> البرنامج البرازيلي لمكافحة العنف والتمييز ضد المثليين والمثليات ومن يرتدون ثياب الجنس الآخر ومن يغيرون نوع جنسهم وثنائي الجنس، ولتعزيز مواطنة المثليين. ويهدف هذا البرنامج إلى منع التمييز القائم </w:t>
      </w:r>
      <w:r w:rsidR="00472EAF">
        <w:rPr>
          <w:rFonts w:hint="cs"/>
          <w:rtl/>
          <w:lang w:eastAsia="ja-JP" w:bidi="ar-EG"/>
        </w:rPr>
        <w:t>على أساس التوجه الجنسي والقضاء على ذلك التمييز، مع كفالة قيام هؤلاء الأفراد بالممارسة الكاملة لحقوق الإنسان الأساسية لهم.</w:t>
      </w:r>
    </w:p>
    <w:p w:rsidR="00472EAF" w:rsidRDefault="00472EAF" w:rsidP="004804EF">
      <w:pPr>
        <w:pStyle w:val="SingleTxt"/>
        <w:rPr>
          <w:rFonts w:hint="cs"/>
          <w:rtl/>
          <w:lang w:eastAsia="ja-JP" w:bidi="ar-EG"/>
        </w:rPr>
      </w:pPr>
      <w:r>
        <w:rPr>
          <w:rFonts w:hint="cs"/>
          <w:rtl/>
          <w:lang w:eastAsia="ja-JP" w:bidi="ar-EG"/>
        </w:rPr>
        <w:tab/>
        <w:t>وتلتزم الحكومة الاتحادية بتنفيذ السياسات العامة التي تعود بالفائدة على المثليين من السكان. وبالتالي، بدأ عام 2004 تنفيذ برنامج البرازيل بدون كراهية المثليين بالشراكة مع المجتمع المدني. ويرتكز البرنامج على خطين أساسيين للعمل، وهما مكافحة العنف وتعزيز مواطنة المثليين. ومن الأهداف الرئيسية لهذا البرنامج تثقيف الإداريين العامين وتغيير سلوكهم.</w:t>
      </w:r>
    </w:p>
    <w:p w:rsidR="00472EAF" w:rsidRDefault="00472EAF" w:rsidP="00DE11C4">
      <w:pPr>
        <w:pStyle w:val="SingleTxt"/>
        <w:rPr>
          <w:rFonts w:hint="cs"/>
          <w:rtl/>
          <w:lang w:eastAsia="ja-JP" w:bidi="ar-EG"/>
        </w:rPr>
      </w:pPr>
      <w:r>
        <w:rPr>
          <w:rFonts w:hint="cs"/>
          <w:rtl/>
          <w:lang w:eastAsia="ja-JP" w:bidi="ar-EG"/>
        </w:rPr>
        <w:tab/>
        <w:t xml:space="preserve">ويشكل أيضا إنشاء الجبهة البرلمانية لحرية التعبير الجنسي </w:t>
      </w:r>
      <w:r w:rsidR="00DE11C4">
        <w:rPr>
          <w:rFonts w:hint="cs"/>
          <w:rtl/>
          <w:lang w:eastAsia="ja-JP" w:bidi="ar-EG"/>
        </w:rPr>
        <w:t>تأكيدا</w:t>
      </w:r>
      <w:r>
        <w:rPr>
          <w:rFonts w:hint="cs"/>
          <w:rtl/>
          <w:lang w:eastAsia="ja-JP" w:bidi="ar-EG"/>
        </w:rPr>
        <w:t xml:space="preserve"> للدعوة إلى حرية التوجه الجنسي، وقد أنشئت هذه الجبهة في تشرين الأول/أكتوبر 2004 في قاعة نوبل بالكونغرس الوطني. وتتكون الجبهة التي تجمع بين أعضاء مختلف الأحزاب </w:t>
      </w:r>
      <w:r w:rsidR="00DE11C4">
        <w:rPr>
          <w:rFonts w:hint="cs"/>
          <w:rtl/>
          <w:lang w:eastAsia="ja-JP" w:bidi="ar-EG"/>
        </w:rPr>
        <w:t xml:space="preserve">من </w:t>
      </w:r>
      <w:r>
        <w:rPr>
          <w:rFonts w:hint="cs"/>
          <w:rtl/>
          <w:lang w:eastAsia="ja-JP" w:bidi="ar-EG"/>
        </w:rPr>
        <w:t>53 عضوا من أعضاء البرلمان يعملون من أجل الدفاع عن حقوق الإنسان ويكافحون التمييز والتحيز. ويوجه هؤلاء البرلمانيون من النساء والرجال جهودهم صوب اقتراح القيام بأعمال لمكافحة كراهية المثليين والمساعدة على تقديم مشاريع قوانين والموافقة عليها لصالح مجتمع المثليين والمثليات وثنائي الجنس ومن يرتدون ثياب الجنس الآخر ومن يغيرون نوع جنسهم.</w:t>
      </w:r>
    </w:p>
    <w:p w:rsidR="00472EAF" w:rsidRDefault="00472EAF" w:rsidP="00DE11C4">
      <w:pPr>
        <w:pStyle w:val="SingleTxt"/>
        <w:rPr>
          <w:rFonts w:hint="cs"/>
          <w:rtl/>
          <w:lang w:eastAsia="ja-JP" w:bidi="ar-EG"/>
        </w:rPr>
      </w:pPr>
      <w:r>
        <w:rPr>
          <w:rFonts w:hint="cs"/>
          <w:rtl/>
          <w:lang w:eastAsia="ja-JP" w:bidi="ar-EG"/>
        </w:rPr>
        <w:tab/>
        <w:t>ويتنامى الوعي في البرازيل بوجود الاختلافات. ورغم أن الدلائل تشير إلى عكس ذلك، ففي 2 تموز/يوليه 2004 عقد مجلس النواب دورة مهيبة احتفالا باليوم الوطني للوعي المثلي. وجرى عقد هذه الدورة بناء على طلب ممثلين من حزب العمال، وهما ماريا دو رو</w:t>
      </w:r>
      <w:r w:rsidR="00DE11C4">
        <w:rPr>
          <w:rFonts w:hint="cs"/>
          <w:rtl/>
          <w:lang w:eastAsia="ja-JP" w:bidi="ar-EG"/>
        </w:rPr>
        <w:t>ز</w:t>
      </w:r>
      <w:r>
        <w:rPr>
          <w:rFonts w:hint="cs"/>
          <w:rtl/>
          <w:lang w:eastAsia="ja-JP" w:bidi="ar-EG"/>
        </w:rPr>
        <w:t>اريو (ولاية ريو غراندي دو سول) ومانين</w:t>
      </w:r>
      <w:r w:rsidR="00DE11C4">
        <w:rPr>
          <w:rFonts w:hint="cs"/>
          <w:rtl/>
          <w:lang w:eastAsia="ja-JP" w:bidi="ar-EG"/>
        </w:rPr>
        <w:t>ي</w:t>
      </w:r>
      <w:r>
        <w:rPr>
          <w:rFonts w:hint="cs"/>
          <w:rtl/>
          <w:lang w:eastAsia="ja-JP" w:bidi="ar-EG"/>
        </w:rPr>
        <w:t>ا (</w:t>
      </w:r>
      <w:r w:rsidR="00DE11C4">
        <w:rPr>
          <w:rFonts w:hint="cs"/>
          <w:rtl/>
          <w:lang w:eastAsia="ja-JP" w:bidi="ar-EG"/>
        </w:rPr>
        <w:t>منطقة العاصمة</w:t>
      </w:r>
      <w:r>
        <w:rPr>
          <w:rFonts w:hint="cs"/>
          <w:rtl/>
          <w:lang w:eastAsia="ja-JP" w:bidi="ar-EG"/>
        </w:rPr>
        <w:t xml:space="preserve"> ا</w:t>
      </w:r>
      <w:r w:rsidR="00F641F9">
        <w:rPr>
          <w:rFonts w:hint="cs"/>
          <w:rtl/>
          <w:lang w:eastAsia="ja-JP" w:bidi="ar-EG"/>
        </w:rPr>
        <w:t>لاتحادية). وحضر هذه الدورة ممثلون عن مجموعات من حركة المثليين والمثليات وثنائي الجنس ومن يرتدون ثياب الجنس الآخر ومن يغيرون نوع جنسهم.</w:t>
      </w:r>
    </w:p>
    <w:p w:rsidR="00F641F9" w:rsidRDefault="00F641F9" w:rsidP="00F641F9">
      <w:pPr>
        <w:pStyle w:val="SingleTxt"/>
        <w:rPr>
          <w:rFonts w:hint="cs"/>
          <w:rtl/>
          <w:lang w:eastAsia="ja-JP" w:bidi="ar-EG"/>
        </w:rPr>
      </w:pPr>
      <w:r>
        <w:rPr>
          <w:rFonts w:hint="cs"/>
          <w:rtl/>
          <w:lang w:eastAsia="ja-JP" w:bidi="ar-EG"/>
        </w:rPr>
        <w:tab/>
        <w:t>وأكد المتكلمون أهمية التسليم بالاختلافات وبحرية التعبير والتوجه الجنسي بوصفها من السمات الأساسية لاحترام حقوق الإنسان. وفي تموز/يوليه 2004 خرج أكثر من مليون فرد إلى الشوارع في مختلف مدن البرازيل للاحتفال بذكرى الاستعراض الفخري للمثليين تأييدا للحق في أن يكون الأفراد مختلفين.</w:t>
      </w:r>
    </w:p>
    <w:p w:rsidR="00F641F9" w:rsidRDefault="00F641F9" w:rsidP="00F641F9">
      <w:pPr>
        <w:pStyle w:val="SingleTxt"/>
        <w:rPr>
          <w:rFonts w:hint="cs"/>
          <w:rtl/>
          <w:lang w:eastAsia="ja-JP" w:bidi="ar-EG"/>
        </w:rPr>
      </w:pPr>
      <w:r>
        <w:rPr>
          <w:rFonts w:hint="cs"/>
          <w:rtl/>
          <w:lang w:eastAsia="ja-JP" w:bidi="ar-EG"/>
        </w:rPr>
        <w:tab/>
        <w:t>وتتخذ التدابير أيضا في مجال التعليم. ويرد ذلك بالتفصيل في المادة 10.</w:t>
      </w:r>
    </w:p>
    <w:p w:rsidR="00F641F9" w:rsidRDefault="00F641F9" w:rsidP="00DE11C4">
      <w:pPr>
        <w:pStyle w:val="SingleTxt"/>
        <w:rPr>
          <w:rFonts w:hint="cs"/>
          <w:rtl/>
          <w:lang w:eastAsia="ja-JP" w:bidi="ar-EG"/>
        </w:rPr>
      </w:pPr>
      <w:r>
        <w:rPr>
          <w:rFonts w:hint="cs"/>
          <w:rtl/>
          <w:lang w:eastAsia="ja-JP" w:bidi="ar-EG"/>
        </w:rPr>
        <w:tab/>
        <w:t xml:space="preserve">وتضطلع مختلف منظمات المجتمع المدني أيضا بالأعمال التي تستهدف ترسيخ مبدأ المساواة في الحياة اليومية للبرازيليين. وفي كانون الأول/ديسمبر 2004، شنت 40 منظمة من هذه المنظمات، بتأييد من المشاريع التجارية، حملة وطنية بعنوان </w:t>
      </w:r>
      <w:r>
        <w:rPr>
          <w:rFonts w:hint="eastAsia"/>
          <w:rtl/>
          <w:lang w:eastAsia="ja-JP" w:bidi="ar-EG"/>
        </w:rPr>
        <w:t>”أين تخبئ عنصريتك؟</w:t>
      </w:r>
      <w:r>
        <w:rPr>
          <w:rFonts w:hint="cs"/>
          <w:rtl/>
          <w:lang w:eastAsia="ja-JP" w:bidi="ar-EG"/>
        </w:rPr>
        <w:t xml:space="preserve">“ والهدف من هذه الحملة حث الأفراد على التعاطف والتخلص من تحيزاتهم. وبينت إحدى </w:t>
      </w:r>
      <w:r w:rsidR="00DE11C4">
        <w:rPr>
          <w:rFonts w:hint="cs"/>
          <w:rtl/>
          <w:lang w:eastAsia="ja-JP" w:bidi="ar-EG"/>
        </w:rPr>
        <w:t>الدراسات الاستقصائية</w:t>
      </w:r>
      <w:r>
        <w:rPr>
          <w:rFonts w:hint="cs"/>
          <w:rtl/>
          <w:lang w:eastAsia="ja-JP" w:bidi="ar-EG"/>
        </w:rPr>
        <w:t xml:space="preserve"> أن 87 في المائة من البرازيليين يقولون إن العنصرية توجد في البلد، رغم أنه لا يوجد سوى 4 في المائة ممن يعترفون بأنهم يضمرون العنصرية - وكأن البرازيل بلد عنصري </w:t>
      </w:r>
      <w:r w:rsidR="00DE11C4">
        <w:rPr>
          <w:rFonts w:hint="cs"/>
          <w:rtl/>
          <w:lang w:eastAsia="ja-JP" w:bidi="ar-EG"/>
        </w:rPr>
        <w:t>لا</w:t>
      </w:r>
      <w:r>
        <w:rPr>
          <w:rFonts w:hint="cs"/>
          <w:rtl/>
          <w:lang w:eastAsia="ja-JP" w:bidi="ar-EG"/>
        </w:rPr>
        <w:t xml:space="preserve"> يوجد فيه عنصريون.</w:t>
      </w:r>
    </w:p>
    <w:p w:rsidR="00F641F9" w:rsidRDefault="00F641F9" w:rsidP="00995866">
      <w:pPr>
        <w:pStyle w:val="SingleTxt"/>
        <w:rPr>
          <w:rFonts w:hint="cs"/>
          <w:rtl/>
          <w:lang w:eastAsia="ja-JP" w:bidi="ar-EG"/>
        </w:rPr>
      </w:pPr>
      <w:r>
        <w:rPr>
          <w:rFonts w:hint="cs"/>
          <w:rtl/>
          <w:lang w:eastAsia="ja-JP" w:bidi="ar-EG"/>
        </w:rPr>
        <w:tab/>
        <w:t xml:space="preserve">والشيء الجديد أن الأفراد البيض هم الذين يشنون هذه الحملة </w:t>
      </w:r>
      <w:r w:rsidR="00995866">
        <w:rPr>
          <w:rFonts w:hint="cs"/>
          <w:rtl/>
          <w:lang w:eastAsia="ja-JP" w:bidi="ar-EG"/>
        </w:rPr>
        <w:t xml:space="preserve">بصفة رئيسية، وهي حملة </w:t>
      </w:r>
      <w:r>
        <w:rPr>
          <w:rFonts w:hint="cs"/>
          <w:rtl/>
          <w:lang w:eastAsia="ja-JP" w:bidi="ar-EG"/>
        </w:rPr>
        <w:t xml:space="preserve">تستهدف السكان البيض. والبيض (وليس السود فقط) هم الذين يظهرون في مواقع الدعاية. وقدمت المشاريع التجارية أفلاما تلفزيونية، ولافتات خارجية، ومساحات إعلانية على أبواب الحافلات وفي القطارات. وجرى تصميم الحملة - وهي حملة طوعية - منذ ثلاث سنوات عن طريق مجموعة من الكيانات العاملة معا بشأن مبادرة </w:t>
      </w:r>
      <w:r>
        <w:rPr>
          <w:rFonts w:hint="eastAsia"/>
          <w:rtl/>
          <w:lang w:eastAsia="ja-JP" w:bidi="ar-EG"/>
        </w:rPr>
        <w:t>”حوارات ضد العنصرية</w:t>
      </w:r>
      <w:r>
        <w:rPr>
          <w:rFonts w:hint="cs"/>
          <w:rtl/>
          <w:lang w:eastAsia="ja-JP" w:bidi="ar-EG"/>
        </w:rPr>
        <w:t>“</w:t>
      </w:r>
      <w:r w:rsidR="009A1E62">
        <w:rPr>
          <w:rFonts w:hint="cs"/>
          <w:rtl/>
          <w:lang w:eastAsia="ja-JP" w:bidi="ar-EG"/>
        </w:rPr>
        <w:t xml:space="preserve"> </w:t>
      </w:r>
      <w:hyperlink r:id="rId13" w:history="1">
        <w:r w:rsidR="009A1E62" w:rsidRPr="009A1E62">
          <w:rPr>
            <w:rStyle w:val="Hyperlink"/>
            <w:rFonts w:cs="Times New Roman"/>
            <w:color w:val="000000"/>
          </w:rPr>
          <w:t>www.dialogoscontraoracismo.org.br</w:t>
        </w:r>
      </w:hyperlink>
      <w:r w:rsidR="009E1CD4">
        <w:rPr>
          <w:rFonts w:hint="cs"/>
          <w:rtl/>
          <w:lang w:eastAsia="ja-JP" w:bidi="ar-EG"/>
        </w:rPr>
        <w:t>.</w:t>
      </w:r>
    </w:p>
    <w:p w:rsidR="009E1CD4" w:rsidRDefault="009A1E62" w:rsidP="00995866">
      <w:pPr>
        <w:pStyle w:val="SingleTxt"/>
        <w:rPr>
          <w:rFonts w:hint="cs"/>
          <w:rtl/>
          <w:lang w:eastAsia="ja-JP" w:bidi="ar-EG"/>
        </w:rPr>
      </w:pPr>
      <w:r>
        <w:rPr>
          <w:rFonts w:hint="cs"/>
          <w:rtl/>
          <w:lang w:eastAsia="ja-JP" w:bidi="ar-EG"/>
        </w:rPr>
        <w:tab/>
        <w:t>وكانت الموافقة على النظام الأساسي للمسنين خطوة هامة أخرى صوب ترسيخ مبدأ المساواة. ويكفل النظام الأساسي الذي جرت الموافقة عليه في تشرين ال</w:t>
      </w:r>
      <w:r w:rsidR="0041178D">
        <w:rPr>
          <w:rFonts w:hint="cs"/>
          <w:rtl/>
          <w:lang w:eastAsia="ja-JP" w:bidi="ar-EG"/>
        </w:rPr>
        <w:t>أول/أكتوبر 2003 حقوق من يتج</w:t>
      </w:r>
      <w:r>
        <w:rPr>
          <w:rFonts w:hint="cs"/>
          <w:rtl/>
          <w:lang w:eastAsia="ja-JP" w:bidi="ar-EG"/>
        </w:rPr>
        <w:t>اوز عمرهم 60 سنة في البلد، كما ينص على واجبات بغية تحسين حياتهم. ويتضمن ذلك أحكاما للعمل الإيجابي للمسنين، مثل ضرورة تخصيص 3 في المائة من وحدات برامج الإسكان الحكومي للمسنين.</w:t>
      </w:r>
    </w:p>
    <w:p w:rsidR="009A1E62" w:rsidRDefault="009A1E62" w:rsidP="00995866">
      <w:pPr>
        <w:pStyle w:val="SingleTxt"/>
        <w:rPr>
          <w:rFonts w:hint="cs"/>
          <w:rtl/>
          <w:lang w:eastAsia="ja-JP" w:bidi="ar-EG"/>
        </w:rPr>
      </w:pPr>
      <w:r>
        <w:rPr>
          <w:rFonts w:hint="cs"/>
          <w:rtl/>
          <w:lang w:eastAsia="ja-JP" w:bidi="ar-EG"/>
        </w:rPr>
        <w:tab/>
        <w:t xml:space="preserve">وبعد سبع سنوات من النظر في النظام الأساسي للمسنين في الكونغرس، جرت الموافقة عليه في أيلول/سبتمبر 2003، كما صدق عليه رئيس الجمهورية في الشهر التالي. ويوسع هذا النظام الأساسي من نطاق حقوق المواطنين الذين يتجاوزون 60 سنة. والنظام الأساسي </w:t>
      </w:r>
      <w:r w:rsidR="00995866">
        <w:rPr>
          <w:rFonts w:hint="cs"/>
          <w:rtl/>
          <w:lang w:eastAsia="ja-JP" w:bidi="ar-EG"/>
        </w:rPr>
        <w:t>أفضل</w:t>
      </w:r>
      <w:r>
        <w:rPr>
          <w:rFonts w:hint="cs"/>
          <w:rtl/>
          <w:lang w:eastAsia="ja-JP" w:bidi="ar-EG"/>
        </w:rPr>
        <w:t xml:space="preserve"> من السياسة الوطنية للمسنين، وهي قانون </w:t>
      </w:r>
      <w:r w:rsidR="00995866">
        <w:rPr>
          <w:rFonts w:hint="cs"/>
          <w:rtl/>
          <w:lang w:eastAsia="ja-JP" w:bidi="ar-EG"/>
        </w:rPr>
        <w:t xml:space="preserve">صدر </w:t>
      </w:r>
      <w:r>
        <w:rPr>
          <w:rFonts w:hint="cs"/>
          <w:rtl/>
          <w:lang w:eastAsia="ja-JP" w:bidi="ar-EG"/>
        </w:rPr>
        <w:t>عام 1994 و</w:t>
      </w:r>
      <w:r w:rsidR="00995866">
        <w:rPr>
          <w:rFonts w:hint="cs"/>
          <w:rtl/>
          <w:lang w:eastAsia="ja-JP" w:bidi="ar-EG"/>
        </w:rPr>
        <w:t>و</w:t>
      </w:r>
      <w:r>
        <w:rPr>
          <w:rFonts w:hint="cs"/>
          <w:rtl/>
          <w:lang w:eastAsia="ja-JP" w:bidi="ar-EG"/>
        </w:rPr>
        <w:t>فر ضمانات للمسنين، حيث أن النظام الأساسي يفرض عقوبات رادعة على أي شخص يتخلى عن المسنين أو لا يحترمهم.</w:t>
      </w:r>
    </w:p>
    <w:p w:rsidR="009A1E62" w:rsidRDefault="009A1E62" w:rsidP="00995866">
      <w:pPr>
        <w:pStyle w:val="SingleTxt"/>
        <w:rPr>
          <w:rFonts w:hint="cs"/>
          <w:rtl/>
          <w:lang w:eastAsia="ja-JP" w:bidi="ar-EG"/>
        </w:rPr>
      </w:pPr>
      <w:r>
        <w:rPr>
          <w:rFonts w:hint="cs"/>
          <w:rtl/>
          <w:lang w:eastAsia="ja-JP" w:bidi="ar-EG"/>
        </w:rPr>
        <w:tab/>
        <w:t xml:space="preserve">ومن الإجراءات الأخرى التي اتخذت لدعم المساواة في الحقوق قيام رئيس الجمهورية بإصدار المرسوم رقم </w:t>
      </w:r>
      <w:r w:rsidR="00D92D33">
        <w:rPr>
          <w:rFonts w:hint="cs"/>
          <w:rtl/>
          <w:lang w:eastAsia="ja-JP" w:bidi="ar-EG"/>
        </w:rPr>
        <w:t xml:space="preserve">65296 في كانون الأول/ديسمبر 2004. وهذه القاعدة التي تنظم القانونين 10048/00 و 10098/00 تتناول مسألة تيسير حركة المعوقين </w:t>
      </w:r>
      <w:r w:rsidR="00995866">
        <w:rPr>
          <w:rFonts w:hint="cs"/>
          <w:rtl/>
          <w:lang w:eastAsia="ja-JP" w:bidi="ar-EG"/>
        </w:rPr>
        <w:t xml:space="preserve">أو الأشخاص محدودي الحركة (المسنون، والحوامل، ومن يتصفون </w:t>
      </w:r>
      <w:r w:rsidR="00D92D33">
        <w:rPr>
          <w:rFonts w:hint="cs"/>
          <w:rtl/>
          <w:lang w:eastAsia="ja-JP" w:bidi="ar-EG"/>
        </w:rPr>
        <w:t>بالبدانة، ومن يحملون أطفالا) وتمثل خطوة حاسمة لتيسير المشاركة المدنية لهؤلاء الأفراد.</w:t>
      </w:r>
    </w:p>
    <w:p w:rsidR="00D92D33" w:rsidRDefault="00D92D33" w:rsidP="00F641F9">
      <w:pPr>
        <w:pStyle w:val="SingleTxt"/>
        <w:rPr>
          <w:rFonts w:hint="cs"/>
          <w:rtl/>
          <w:lang w:eastAsia="ja-JP" w:bidi="ar-EG"/>
        </w:rPr>
      </w:pPr>
      <w:r>
        <w:rPr>
          <w:rFonts w:hint="cs"/>
          <w:rtl/>
          <w:lang w:eastAsia="ja-JP" w:bidi="ar-EG"/>
        </w:rPr>
        <w:tab/>
        <w:t xml:space="preserve">ويشكل هذا النظام مطلبا طالما نادت به الحركات الاجتماعية. ويقضي القانون رقم 10048 المؤرخ 8 تشرين الثاني/نوفمبر 2000 بإعطاء الأولوية لتقديم المساعدة إلى المعوقين أو من تصعب حركتهم أو إمكانية وصولهم إلى نظم المواصلات. ويتناول القانون رقم 10098 إمكانية الوصول المتعلقة بالبيئة المادية (المباني، الشوارع، الأثاث، المعدات الحضرية، </w:t>
      </w:r>
      <w:r w:rsidR="00544B92">
        <w:rPr>
          <w:rFonts w:hint="cs"/>
          <w:rtl/>
          <w:lang w:eastAsia="ja-JP" w:bidi="ar-EG"/>
        </w:rPr>
        <w:t>إلخ.</w:t>
      </w:r>
      <w:r>
        <w:rPr>
          <w:rFonts w:hint="cs"/>
          <w:rtl/>
          <w:lang w:eastAsia="ja-JP" w:bidi="ar-EG"/>
        </w:rPr>
        <w:t>) وبأنظمة النقل والاتصالات والمعلومات والمساعدة التقنية.</w:t>
      </w:r>
    </w:p>
    <w:p w:rsidR="00D92D33" w:rsidRDefault="00D92D33" w:rsidP="00F641F9">
      <w:pPr>
        <w:pStyle w:val="SingleTxt"/>
        <w:rPr>
          <w:rFonts w:hint="cs"/>
          <w:rtl/>
          <w:lang w:eastAsia="ja-JP" w:bidi="ar-EG"/>
        </w:rPr>
      </w:pPr>
      <w:r>
        <w:rPr>
          <w:rFonts w:hint="cs"/>
          <w:rtl/>
          <w:lang w:eastAsia="ja-JP" w:bidi="ar-EG"/>
        </w:rPr>
        <w:tab/>
        <w:t xml:space="preserve">وتشجع التوصية رقم 3 للجنة المعنية بالقضاء على التمييز ضد المرأة البرازيل على السهر على كفالة تحقيق نتائج موحدة عند تطبيق الاتفاقية في البلد. ورغم أن البرازيل لم تصمم بعد صكا محددا لرصد اتفاقية القضاء على جميع أشكال التمييز ضد المرأة، فإن هذا الدور يقع على عاتق الأمانة الخاصة لسياسات المرأة والمجلس الوطني لحقوق المرأة، ويتضمن دورهما مسؤولية تنفيذ جميع الاتفاقات والمعاهدات الدولية التي وقعت عليها البرازيل والتي تتناول حقوق المرأة، </w:t>
      </w:r>
      <w:r w:rsidR="00995866">
        <w:rPr>
          <w:rFonts w:hint="cs"/>
          <w:rtl/>
          <w:lang w:eastAsia="ja-JP" w:bidi="ar-EG"/>
        </w:rPr>
        <w:t>و</w:t>
      </w:r>
      <w:r>
        <w:rPr>
          <w:rFonts w:hint="cs"/>
          <w:rtl/>
          <w:lang w:eastAsia="ja-JP" w:bidi="ar-EG"/>
        </w:rPr>
        <w:t>رصد الامتثال لهذه الاتفاقات والمعاهدات.</w:t>
      </w:r>
    </w:p>
    <w:p w:rsidR="00D92D33" w:rsidRDefault="00D92D33" w:rsidP="00995866">
      <w:pPr>
        <w:pStyle w:val="SingleTxt"/>
        <w:rPr>
          <w:rFonts w:hint="cs"/>
          <w:rtl/>
          <w:lang w:eastAsia="ja-JP" w:bidi="ar-EG"/>
        </w:rPr>
      </w:pPr>
      <w:r>
        <w:rPr>
          <w:rFonts w:hint="cs"/>
          <w:rtl/>
          <w:lang w:eastAsia="ja-JP" w:bidi="ar-EG"/>
        </w:rPr>
        <w:tab/>
        <w:t>وفيما يتعلق بتطبيق الاتفاقية ورصد تنفيذها في الولايات والبلديات، فسيجري إنجازه</w:t>
      </w:r>
      <w:r w:rsidR="00995866">
        <w:rPr>
          <w:rFonts w:hint="cs"/>
          <w:rtl/>
          <w:lang w:eastAsia="ja-JP" w:bidi="ar-EG"/>
        </w:rPr>
        <w:t>ا</w:t>
      </w:r>
      <w:r>
        <w:rPr>
          <w:rFonts w:hint="cs"/>
          <w:rtl/>
          <w:lang w:eastAsia="ja-JP" w:bidi="ar-EG"/>
        </w:rPr>
        <w:t>، ضمن جملة أمور، من خلال استحداث ودعم آليات مخصصة لتعزيز حقوق المرأة في تلك المجالات والدفاع عنها. والتزام الولايات والبلديات بالخطة الوطنية لسياسات المرأة يتيح فرصة أخرى لكف</w:t>
      </w:r>
      <w:r w:rsidR="00995866">
        <w:rPr>
          <w:rFonts w:hint="cs"/>
          <w:rtl/>
          <w:lang w:eastAsia="ja-JP" w:bidi="ar-EG"/>
        </w:rPr>
        <w:t>ا</w:t>
      </w:r>
      <w:r>
        <w:rPr>
          <w:rFonts w:hint="cs"/>
          <w:rtl/>
          <w:lang w:eastAsia="ja-JP" w:bidi="ar-EG"/>
        </w:rPr>
        <w:t>ل</w:t>
      </w:r>
      <w:r w:rsidR="00995866">
        <w:rPr>
          <w:rFonts w:hint="cs"/>
          <w:rtl/>
          <w:lang w:eastAsia="ja-JP" w:bidi="ar-EG"/>
        </w:rPr>
        <w:t xml:space="preserve">ة </w:t>
      </w:r>
      <w:r>
        <w:rPr>
          <w:rFonts w:hint="cs"/>
          <w:rtl/>
          <w:lang w:eastAsia="ja-JP" w:bidi="ar-EG"/>
        </w:rPr>
        <w:t>ج</w:t>
      </w:r>
      <w:r w:rsidR="00995866">
        <w:rPr>
          <w:rFonts w:hint="cs"/>
          <w:rtl/>
          <w:lang w:eastAsia="ja-JP" w:bidi="ar-EG"/>
        </w:rPr>
        <w:t>عل</w:t>
      </w:r>
      <w:r>
        <w:rPr>
          <w:rFonts w:hint="cs"/>
          <w:rtl/>
          <w:lang w:eastAsia="ja-JP" w:bidi="ar-EG"/>
        </w:rPr>
        <w:t xml:space="preserve"> </w:t>
      </w:r>
      <w:r w:rsidR="00995866">
        <w:rPr>
          <w:rFonts w:hint="cs"/>
          <w:rtl/>
          <w:lang w:eastAsia="ja-JP" w:bidi="ar-EG"/>
        </w:rPr>
        <w:t xml:space="preserve">واجبات </w:t>
      </w:r>
      <w:r>
        <w:rPr>
          <w:rFonts w:hint="cs"/>
          <w:rtl/>
          <w:lang w:eastAsia="ja-JP" w:bidi="ar-EG"/>
        </w:rPr>
        <w:t>البرازيل النابعة عن التصديق على الاتفاقية وبروتوكولها الاختياري جزءا لا يتجزأ من جدول أعمال البلد.</w:t>
      </w:r>
    </w:p>
    <w:p w:rsidR="00D92D33" w:rsidRDefault="00D92D33" w:rsidP="00995866">
      <w:pPr>
        <w:pStyle w:val="SingleTxt"/>
        <w:rPr>
          <w:rFonts w:hint="cs"/>
          <w:rtl/>
          <w:lang w:eastAsia="ja-JP" w:bidi="ar-EG"/>
        </w:rPr>
      </w:pPr>
      <w:r>
        <w:rPr>
          <w:rFonts w:hint="cs"/>
          <w:rtl/>
          <w:lang w:eastAsia="ja-JP" w:bidi="ar-EG"/>
        </w:rPr>
        <w:tab/>
        <w:t xml:space="preserve">وفي الفترة التي شملها هذا التقرير، تولت الأمانة الخاصة لسياسات المرأة صياغة سياسة للحث على استحداث آليات لتعزيز حقوق المرأة والدفاع عنها على صعيدي الولايات والبلديات. وحرصا على تدعيم هذه الأمانات أيضا، أنشأت هيئات التنسيق وكيانات نصح المرأة محفل الآليات المؤسسية لتعزيز حقوق المرأة. واجتمع هذا المحفل على أساس دوري لمناقشة وتقييم سياسات المرأة التي رسمتها الحكومة. وعقد المحفل اجتماعين عام 2004 لمناقشة </w:t>
      </w:r>
      <w:r w:rsidR="000A1817">
        <w:rPr>
          <w:rFonts w:hint="cs"/>
          <w:rtl/>
          <w:lang w:eastAsia="ja-JP" w:bidi="ar-EG"/>
        </w:rPr>
        <w:t>الخطة الوطنية لسياسات المرأة وللإسهام في صياغتها. ثم عقد المحفل اجتماعا في بداية عام 2</w:t>
      </w:r>
      <w:r w:rsidR="00995866">
        <w:rPr>
          <w:rFonts w:hint="cs"/>
          <w:rtl/>
          <w:lang w:eastAsia="ja-JP" w:bidi="ar-EG"/>
        </w:rPr>
        <w:t>00</w:t>
      </w:r>
      <w:r w:rsidR="000A1817">
        <w:rPr>
          <w:rFonts w:hint="cs"/>
          <w:rtl/>
          <w:lang w:eastAsia="ja-JP" w:bidi="ar-EG"/>
        </w:rPr>
        <w:t>5 شاركت فيه 50 آلية من تلك الآليات بغرض مناقشة الأعمال المشتركة المتعلقة بتنفيذ سياسات المرأة.</w:t>
      </w:r>
    </w:p>
    <w:p w:rsidR="000A1817" w:rsidRDefault="000A1817" w:rsidP="00F641F9">
      <w:pPr>
        <w:pStyle w:val="SingleTxt"/>
        <w:rPr>
          <w:rFonts w:hint="cs"/>
          <w:rtl/>
          <w:lang w:eastAsia="ja-JP" w:bidi="ar-EG"/>
        </w:rPr>
      </w:pPr>
      <w:r>
        <w:rPr>
          <w:rFonts w:hint="cs"/>
          <w:rtl/>
          <w:lang w:eastAsia="ja-JP" w:bidi="ar-EG"/>
        </w:rPr>
        <w:tab/>
        <w:t>والمجلس الوطني لحقوق المرأة آلية هامة أخرى لرصد سياسات المرأة. وهذا المجلس الذي أنشئ عام 1985 كان أول آلية نسائية في البرازيل وكان تابعا لوزارة العدل. وكانت ولايته تعزيز السياسات الرامية إلى القضاء على التمييز ضد المرأة وكفالة مشاركة المرأة في الأنشطة السياسية والاقتصادية والثقافية للبلد.</w:t>
      </w:r>
    </w:p>
    <w:p w:rsidR="000A1817" w:rsidRDefault="000A1817" w:rsidP="001B08B6">
      <w:pPr>
        <w:pStyle w:val="SingleTxt"/>
        <w:rPr>
          <w:rFonts w:hint="cs"/>
          <w:rtl/>
          <w:lang w:eastAsia="ja-JP" w:bidi="ar-EG"/>
        </w:rPr>
      </w:pPr>
      <w:r>
        <w:rPr>
          <w:rFonts w:hint="cs"/>
          <w:rtl/>
          <w:lang w:eastAsia="ja-JP" w:bidi="ar-EG"/>
        </w:rPr>
        <w:tab/>
        <w:t>وقد تغير المجلس تغيرا جوهريا أثناء تولي الحكومة الحالية. وقد أدمج في هيكل الأمانة الخاصة الجديدة لسياسات المرأة. ويضم المجلس ممثلين عن المجتمع المدني والحكومة، كما أنه وسع نطاق دوره كوسيلة للرقابة الاجتماعية على السياسات العامة للمرأة. ويرأس هذا المجلس وزير الأمانة الخاصة لسياسات المرأة والمجلس الوطني لحقوق المرأة، كما تكمله 13 هيئة حكومية (وزارات التخطيط، والصحة، والتعليم، والعمل والعمالة، والعدل، والتنمية الزراعية، والثقافة، والتنمية الاج</w:t>
      </w:r>
      <w:r w:rsidR="00995866">
        <w:rPr>
          <w:rFonts w:hint="cs"/>
          <w:rtl/>
          <w:lang w:eastAsia="ja-JP" w:bidi="ar-EG"/>
        </w:rPr>
        <w:t>تماعية، ومكافحة الجوع، و</w:t>
      </w:r>
      <w:r>
        <w:rPr>
          <w:rFonts w:hint="cs"/>
          <w:rtl/>
          <w:lang w:eastAsia="ja-JP" w:bidi="ar-EG"/>
        </w:rPr>
        <w:t>الخارجية، والعلوم والتكنولوجيا، والأمانة الخاصة لتعزيز المساواة العنصرية وحقوق الإنسان)</w:t>
      </w:r>
      <w:r w:rsidR="00995866">
        <w:rPr>
          <w:rFonts w:hint="cs"/>
          <w:rtl/>
          <w:lang w:eastAsia="ja-JP" w:bidi="ar-EG"/>
        </w:rPr>
        <w:t>،</w:t>
      </w:r>
      <w:r>
        <w:rPr>
          <w:rFonts w:hint="cs"/>
          <w:rtl/>
          <w:lang w:eastAsia="ja-JP" w:bidi="ar-EG"/>
        </w:rPr>
        <w:t xml:space="preserve"> و 19 ممثلا عن الحركات الاجتماعية النسائية، وثلاث نساء على دراية </w:t>
      </w:r>
      <w:r w:rsidR="001B08B6">
        <w:rPr>
          <w:rFonts w:hint="cs"/>
          <w:rtl/>
          <w:lang w:eastAsia="ja-JP" w:bidi="ar-EG"/>
        </w:rPr>
        <w:t>وافية</w:t>
      </w:r>
      <w:r>
        <w:rPr>
          <w:rFonts w:hint="cs"/>
          <w:rtl/>
          <w:lang w:eastAsia="ja-JP" w:bidi="ar-EG"/>
        </w:rPr>
        <w:t xml:space="preserve"> </w:t>
      </w:r>
      <w:r w:rsidR="001B08B6">
        <w:rPr>
          <w:rFonts w:hint="cs"/>
          <w:rtl/>
          <w:lang w:eastAsia="ja-JP" w:bidi="ar-EG"/>
        </w:rPr>
        <w:t>ب</w:t>
      </w:r>
      <w:r>
        <w:rPr>
          <w:rFonts w:hint="cs"/>
          <w:rtl/>
          <w:lang w:eastAsia="ja-JP" w:bidi="ar-EG"/>
        </w:rPr>
        <w:t>القضايا الجنسانية.</w:t>
      </w:r>
    </w:p>
    <w:p w:rsidR="000A1817" w:rsidRDefault="000A1817" w:rsidP="001B08B6">
      <w:pPr>
        <w:pStyle w:val="SingleTxt"/>
        <w:rPr>
          <w:rFonts w:hint="cs"/>
          <w:rtl/>
          <w:lang w:eastAsia="ja-JP" w:bidi="ar-EG"/>
        </w:rPr>
      </w:pPr>
      <w:r>
        <w:rPr>
          <w:rFonts w:hint="cs"/>
          <w:rtl/>
          <w:lang w:eastAsia="ja-JP" w:bidi="ar-EG"/>
        </w:rPr>
        <w:tab/>
        <w:t xml:space="preserve">وقد عقد المجلس الوطني لحقوق المرأة جلسات عادية وغير عادية من أجل رسم الاستراتيجيات مع الأمانة الخاصة لسياسات المرأة </w:t>
      </w:r>
      <w:r w:rsidR="001B08B6">
        <w:rPr>
          <w:rFonts w:hint="cs"/>
          <w:rtl/>
          <w:lang w:eastAsia="ja-JP" w:bidi="ar-EG"/>
        </w:rPr>
        <w:t>بغية</w:t>
      </w:r>
      <w:r>
        <w:rPr>
          <w:rFonts w:hint="cs"/>
          <w:rtl/>
          <w:lang w:eastAsia="ja-JP" w:bidi="ar-EG"/>
        </w:rPr>
        <w:t xml:space="preserve"> تنفيذ سياسات المرأة في البلد. وعقد المجلس اجتماعين عام 2003 وستة اجتماعات عام 2004. وشارك المجلس بفعالية في تنظيم المؤتمر الوطني الأول بشأن سياسات المرأة ووضع الخطة الوطنية لسياسات المرأة.</w:t>
      </w:r>
    </w:p>
    <w:p w:rsidR="000A1817" w:rsidRDefault="000A1817" w:rsidP="00693982">
      <w:pPr>
        <w:pStyle w:val="SingleTxt"/>
        <w:spacing w:line="390" w:lineRule="exact"/>
        <w:rPr>
          <w:rFonts w:hint="cs"/>
          <w:rtl/>
          <w:lang w:eastAsia="ja-JP" w:bidi="ar-EG"/>
        </w:rPr>
      </w:pPr>
      <w:r>
        <w:rPr>
          <w:rFonts w:hint="cs"/>
          <w:rtl/>
          <w:lang w:eastAsia="ja-JP" w:bidi="ar-EG"/>
        </w:rPr>
        <w:tab/>
        <w:t>وتهتم الأمانة الخاصة لسياسات المرأة والمجلس الوطني لحقوق المرأة بتدعيم مجالس الولايات والبلديات لحقوق المرأة. وتعقد الأمانة الخاصة اجتماعات مع جميع هذه الكيانات، كما تدعم مشروعات لهيكلة هذه الكيانات وإعادة هيكلتها. وفي الوقت الحالي، توجد مجالس معنية بشؤون المرأة على صعيد الولايات في 23 ولاية من الولايات الاتحادية الـ 27، كما يوجد حوالي 130 مجلسا بلديا.</w:t>
      </w:r>
    </w:p>
    <w:p w:rsidR="000A1817" w:rsidRDefault="000A1817" w:rsidP="00693982">
      <w:pPr>
        <w:pStyle w:val="SingleTxt"/>
        <w:spacing w:line="390" w:lineRule="exact"/>
        <w:rPr>
          <w:rFonts w:hint="cs"/>
          <w:rtl/>
          <w:lang w:eastAsia="ja-JP" w:bidi="ar-EG"/>
        </w:rPr>
      </w:pPr>
      <w:r>
        <w:rPr>
          <w:rFonts w:hint="cs"/>
          <w:rtl/>
          <w:lang w:eastAsia="ja-JP" w:bidi="ar-EG"/>
        </w:rPr>
        <w:tab/>
        <w:t xml:space="preserve">وفي عام 2004 مولت الأمانة الخاصة دراسة بعنوان </w:t>
      </w:r>
      <w:r>
        <w:rPr>
          <w:rFonts w:hint="eastAsia"/>
          <w:rtl/>
          <w:lang w:eastAsia="ja-JP" w:bidi="ar-EG"/>
        </w:rPr>
        <w:t xml:space="preserve">”إضفاء الصبغة المؤسسية على التركيز </w:t>
      </w:r>
      <w:r w:rsidR="001B08B6">
        <w:rPr>
          <w:rFonts w:hint="cs"/>
          <w:rtl/>
          <w:lang w:eastAsia="ja-JP" w:bidi="ar-EG"/>
        </w:rPr>
        <w:t>على نوع</w:t>
      </w:r>
      <w:r>
        <w:rPr>
          <w:rFonts w:hint="eastAsia"/>
          <w:rtl/>
          <w:lang w:eastAsia="ja-JP" w:bidi="ar-EG"/>
        </w:rPr>
        <w:t xml:space="preserve"> الجنس والكيانات </w:t>
      </w:r>
      <w:r w:rsidR="001B08B6">
        <w:rPr>
          <w:rFonts w:hint="cs"/>
          <w:rtl/>
          <w:lang w:eastAsia="ja-JP" w:bidi="ar-EG"/>
        </w:rPr>
        <w:t xml:space="preserve">المعنية </w:t>
      </w:r>
      <w:r>
        <w:rPr>
          <w:rFonts w:hint="eastAsia"/>
          <w:rtl/>
          <w:lang w:eastAsia="ja-JP" w:bidi="ar-EG"/>
        </w:rPr>
        <w:t>بسياسات المرأة</w:t>
      </w:r>
      <w:r>
        <w:rPr>
          <w:rFonts w:hint="cs"/>
          <w:rtl/>
          <w:lang w:eastAsia="ja-JP" w:bidi="ar-EG"/>
        </w:rPr>
        <w:t xml:space="preserve">“ من أجل تنظيم الآليات الموجودة وتحديد نوع التدخل الذي ينبغي للأمانة أن تمارسه تجاهها. وكانت الأهداف المعينة لهذه الدراسة </w:t>
      </w:r>
      <w:r w:rsidR="00B8595D">
        <w:rPr>
          <w:rFonts w:hint="cs"/>
          <w:rtl/>
          <w:lang w:eastAsia="ja-JP" w:bidi="ar-EG"/>
        </w:rPr>
        <w:t>التعرف على السمات الرئيسية للهيكل التنظيمي والإجراءات التي اتخذتها المجالس وهيئات التنسيق الموجودة في البلد على صعيدي الولايات والبلديات.</w:t>
      </w:r>
    </w:p>
    <w:p w:rsidR="00B8595D" w:rsidRDefault="00B8595D" w:rsidP="00693982">
      <w:pPr>
        <w:pStyle w:val="SingleTxt"/>
        <w:spacing w:line="390" w:lineRule="exact"/>
        <w:rPr>
          <w:rFonts w:hint="cs"/>
          <w:rtl/>
          <w:lang w:eastAsia="ja-JP" w:bidi="ar-EG"/>
        </w:rPr>
      </w:pPr>
      <w:r>
        <w:rPr>
          <w:rFonts w:hint="cs"/>
          <w:rtl/>
          <w:lang w:eastAsia="ja-JP" w:bidi="ar-EG"/>
        </w:rPr>
        <w:tab/>
        <w:t xml:space="preserve">ونصحت اللجنة المعنية بالقضاء على التمييز ضد المرأة في توصيتها رقم 18 بألا تستخدم كلمتي </w:t>
      </w:r>
      <w:r>
        <w:rPr>
          <w:rFonts w:hint="eastAsia"/>
          <w:rtl/>
          <w:lang w:eastAsia="ja-JP" w:bidi="ar-EG"/>
        </w:rPr>
        <w:t>”العدل</w:t>
      </w:r>
      <w:r>
        <w:rPr>
          <w:rFonts w:hint="cs"/>
          <w:rtl/>
          <w:lang w:eastAsia="ja-JP" w:bidi="ar-EG"/>
        </w:rPr>
        <w:t xml:space="preserve">“ و </w:t>
      </w:r>
      <w:r>
        <w:rPr>
          <w:rFonts w:hint="eastAsia"/>
          <w:rtl/>
          <w:lang w:eastAsia="ja-JP" w:bidi="ar-EG"/>
        </w:rPr>
        <w:t>”المساواة</w:t>
      </w:r>
      <w:r>
        <w:rPr>
          <w:rFonts w:hint="cs"/>
          <w:rtl/>
          <w:lang w:eastAsia="ja-JP" w:bidi="ar-EG"/>
        </w:rPr>
        <w:t xml:space="preserve">“ على نحو مترادف أو دون التفريق بينهما. وأوصت اللجنة أيضا بأن يشكل الفهم النظري والعملي الواضح لكلمة </w:t>
      </w:r>
      <w:r>
        <w:rPr>
          <w:rFonts w:hint="eastAsia"/>
          <w:rtl/>
          <w:lang w:eastAsia="ja-JP" w:bidi="ar-EG"/>
        </w:rPr>
        <w:t>”المساواة</w:t>
      </w:r>
      <w:r>
        <w:rPr>
          <w:rFonts w:hint="cs"/>
          <w:rtl/>
          <w:lang w:eastAsia="ja-JP" w:bidi="ar-EG"/>
        </w:rPr>
        <w:t>“ أساسا للقوانين والسياسات والاستراتيجيات التي تضعها البرازيل ضمانا لوفاء الدولة الطرف بالتزاماتها بموجب الاتفاقية.</w:t>
      </w:r>
    </w:p>
    <w:p w:rsidR="00B8595D" w:rsidRDefault="00B8595D" w:rsidP="00693982">
      <w:pPr>
        <w:pStyle w:val="SingleTxt"/>
        <w:spacing w:line="390" w:lineRule="exact"/>
        <w:rPr>
          <w:rFonts w:hint="cs"/>
          <w:rtl/>
          <w:lang w:eastAsia="ja-JP" w:bidi="ar-EG"/>
        </w:rPr>
      </w:pPr>
      <w:r>
        <w:rPr>
          <w:rFonts w:hint="cs"/>
          <w:rtl/>
          <w:lang w:eastAsia="ja-JP" w:bidi="ar-EG"/>
        </w:rPr>
        <w:tab/>
        <w:t xml:space="preserve">وموقف البرازيل هو أن اصطلاحي </w:t>
      </w:r>
      <w:r>
        <w:rPr>
          <w:rFonts w:hint="eastAsia"/>
          <w:rtl/>
          <w:lang w:eastAsia="ja-JP" w:bidi="ar-EG"/>
        </w:rPr>
        <w:t>”العدل</w:t>
      </w:r>
      <w:r>
        <w:rPr>
          <w:rFonts w:hint="cs"/>
          <w:rtl/>
          <w:lang w:eastAsia="ja-JP" w:bidi="ar-EG"/>
        </w:rPr>
        <w:t xml:space="preserve">“ و </w:t>
      </w:r>
      <w:r>
        <w:rPr>
          <w:rFonts w:hint="eastAsia"/>
          <w:rtl/>
          <w:lang w:eastAsia="ja-JP" w:bidi="ar-EG"/>
        </w:rPr>
        <w:t>”المساواة</w:t>
      </w:r>
      <w:r>
        <w:rPr>
          <w:rFonts w:hint="cs"/>
          <w:rtl/>
          <w:lang w:eastAsia="ja-JP" w:bidi="ar-EG"/>
        </w:rPr>
        <w:t xml:space="preserve">“ لا يستخدمان بوصفهما مترادفين، بل كمفهومين لوصف نقاط مختلفة على الخط الذي يقيم علاقات متساوية بين المرأة والرجل. وكما ورد في التقرير السابق، يظل هدف البرازيل </w:t>
      </w:r>
      <w:r>
        <w:rPr>
          <w:rFonts w:hint="eastAsia"/>
          <w:rtl/>
          <w:lang w:eastAsia="ja-JP" w:bidi="ar-EG"/>
        </w:rPr>
        <w:t>”الجلي والثابت</w:t>
      </w:r>
      <w:r>
        <w:rPr>
          <w:rFonts w:hint="cs"/>
          <w:rtl/>
          <w:lang w:eastAsia="ja-JP" w:bidi="ar-EG"/>
        </w:rPr>
        <w:t xml:space="preserve">“ </w:t>
      </w:r>
      <w:r>
        <w:rPr>
          <w:rFonts w:hint="eastAsia"/>
          <w:rtl/>
          <w:lang w:eastAsia="ja-JP" w:bidi="ar-EG"/>
        </w:rPr>
        <w:t>”الاستمرار في بذل جميع الجهود الممكنة، والسعي من خلال جميع الوسائل الصالحة للتطبيق، إلى تمتع النساء والرجال، على وجه كامل وعلى أساس متساو، بجميع حقوق الإنسان وحرياته الأساسية، بما فيها الحق في التنمية</w:t>
      </w:r>
      <w:r w:rsidR="001B08B6">
        <w:rPr>
          <w:rFonts w:hint="eastAsia"/>
          <w:rtl/>
          <w:lang w:eastAsia="ja-JP" w:bidi="ar-EG"/>
        </w:rPr>
        <w:t>“</w:t>
      </w:r>
      <w:r>
        <w:rPr>
          <w:rFonts w:hint="cs"/>
          <w:rtl/>
          <w:lang w:eastAsia="ja-JP" w:bidi="ar-EG"/>
        </w:rPr>
        <w:t>.</w:t>
      </w:r>
    </w:p>
    <w:p w:rsidR="00B8595D" w:rsidRDefault="00B8595D" w:rsidP="00693982">
      <w:pPr>
        <w:pStyle w:val="SingleTxt"/>
        <w:spacing w:line="390" w:lineRule="exact"/>
        <w:rPr>
          <w:rFonts w:hint="cs"/>
          <w:rtl/>
          <w:lang w:eastAsia="ja-JP" w:bidi="ar-EG"/>
        </w:rPr>
      </w:pPr>
      <w:r>
        <w:rPr>
          <w:rFonts w:hint="cs"/>
          <w:rtl/>
          <w:lang w:eastAsia="ja-JP" w:bidi="ar-EG"/>
        </w:rPr>
        <w:tab/>
        <w:t>وتعمل حكومة البرازيل على تحسين جمع البيانات الإحصائية المصنفة حسب نوع الجنس والعنصر والأصل ال</w:t>
      </w:r>
      <w:r w:rsidR="001B08B6">
        <w:rPr>
          <w:rFonts w:hint="cs"/>
          <w:rtl/>
          <w:lang w:eastAsia="ja-JP" w:bidi="ar-EG"/>
        </w:rPr>
        <w:t>عرقي -</w:t>
      </w:r>
      <w:r>
        <w:rPr>
          <w:rFonts w:hint="cs"/>
          <w:rtl/>
          <w:lang w:eastAsia="ja-JP" w:bidi="ar-EG"/>
        </w:rPr>
        <w:t xml:space="preserve"> التوصية رقم 19 إلى البرازيل</w:t>
      </w:r>
      <w:r w:rsidR="001B08B6">
        <w:rPr>
          <w:rFonts w:hint="cs"/>
          <w:rtl/>
          <w:lang w:eastAsia="ja-JP" w:bidi="ar-EG"/>
        </w:rPr>
        <w:t xml:space="preserve"> من</w:t>
      </w:r>
      <w:r w:rsidR="001B08B6" w:rsidRPr="001B08B6">
        <w:rPr>
          <w:rFonts w:hint="cs"/>
          <w:rtl/>
          <w:lang w:eastAsia="ja-JP" w:bidi="ar-EG"/>
        </w:rPr>
        <w:t xml:space="preserve"> </w:t>
      </w:r>
      <w:r w:rsidR="001B08B6">
        <w:rPr>
          <w:rFonts w:hint="cs"/>
          <w:rtl/>
          <w:lang w:eastAsia="ja-JP" w:bidi="ar-EG"/>
        </w:rPr>
        <w:t>اللجنة المعنية بالقضاء على التمييز ضد المرأة</w:t>
      </w:r>
      <w:r>
        <w:rPr>
          <w:rFonts w:hint="cs"/>
          <w:rtl/>
          <w:lang w:eastAsia="ja-JP" w:bidi="ar-EG"/>
        </w:rPr>
        <w:t>. ومنذ عام 2004 تتولى الأمانة الخاصة لسياسات المرأة إنشاء وتنفيذ النظام الوطني للمؤشرات الجنسانية. وهذا النظام أداة أساسية لتخطيط وتقييم سياسات عامة للمرأة، وهو يدعم الأمانة الخاصة لسياسات المرأة بوصفها نقطة مرجعية لقضايا نوع الجنس وللبيانات المتعلقة بالمرأة في البرازيل.</w:t>
      </w:r>
    </w:p>
    <w:p w:rsidR="00B8595D" w:rsidRDefault="00013086" w:rsidP="00693982">
      <w:pPr>
        <w:pStyle w:val="SingleTxt"/>
        <w:spacing w:line="390" w:lineRule="exact"/>
        <w:rPr>
          <w:rFonts w:hint="cs"/>
          <w:rtl/>
          <w:lang w:eastAsia="ja-JP" w:bidi="ar-EG"/>
        </w:rPr>
      </w:pPr>
      <w:r>
        <w:rPr>
          <w:lang w:eastAsia="ja-JP" w:bidi="ar-EG"/>
        </w:rPr>
        <w:tab/>
      </w:r>
      <w:r>
        <w:rPr>
          <w:rFonts w:hint="cs"/>
          <w:rtl/>
          <w:lang w:eastAsia="ja-JP" w:bidi="ar-EG"/>
        </w:rPr>
        <w:t>وس</w:t>
      </w:r>
      <w:r w:rsidR="001B08B6">
        <w:rPr>
          <w:rFonts w:hint="cs"/>
          <w:rtl/>
          <w:lang w:eastAsia="ja-JP" w:bidi="ar-EG"/>
        </w:rPr>
        <w:t>ت</w:t>
      </w:r>
      <w:r>
        <w:rPr>
          <w:rFonts w:hint="cs"/>
          <w:rtl/>
          <w:lang w:eastAsia="ja-JP" w:bidi="ar-EG"/>
        </w:rPr>
        <w:t xml:space="preserve">كون هناك بصفة أولية </w:t>
      </w:r>
      <w:r w:rsidR="00ED18B2">
        <w:rPr>
          <w:rFonts w:hint="cs"/>
          <w:rtl/>
          <w:lang w:eastAsia="ja-JP" w:bidi="ar-EG"/>
        </w:rPr>
        <w:t>وحدتان معياريتان للنظام الوطني للمؤشرات الجنسانية. والوحدة المعيارية الأولى هي بيانات التعداد الديمغرافي من عامي 1991 و 2000 (المصدر: المعهد البرازيلي للجغرافيا والإحصاءات)؛ والوحدة الثانية هي البيانات المتاحة عن المواضيع الأساسية للأمانة الخاصة لسياسات المرأة، وهي العمل والاستقلال الذاتي الاقتصادي، والصحة، والتعليم، والعنف ضد المرأة (مصادر متنوعة).</w:t>
      </w:r>
    </w:p>
    <w:p w:rsidR="00ED18B2" w:rsidRDefault="00ED18B2" w:rsidP="00F641F9">
      <w:pPr>
        <w:pStyle w:val="SingleTxt"/>
        <w:rPr>
          <w:rFonts w:hint="cs"/>
          <w:rtl/>
          <w:lang w:eastAsia="ja-JP" w:bidi="ar-EG"/>
        </w:rPr>
      </w:pPr>
      <w:r>
        <w:rPr>
          <w:rFonts w:hint="cs"/>
          <w:rtl/>
          <w:lang w:eastAsia="ja-JP" w:bidi="ar-EG"/>
        </w:rPr>
        <w:tab/>
        <w:t>وتنفيذ الوحدة المعيارية الأولى للنظام الوطني للمؤشرات الجنسانية، وهو الهدف الأول لمشروع الأمانة الخاصة لسياسات المرأة/إدارة التنمية الدولية/صندوق الأمم المتحدة الإنمائي للمرأة، يجري عن طريق الشراكة مع المعهد البرازيلي للجغرافيا والإحصاءات من خلال تنسيق المعهد لمؤشرات السكان والمؤشرات الاجتماعية.</w:t>
      </w:r>
    </w:p>
    <w:p w:rsidR="00ED18B2" w:rsidRDefault="00ED18B2" w:rsidP="001B08B6">
      <w:pPr>
        <w:pStyle w:val="SingleTxt"/>
        <w:rPr>
          <w:rFonts w:hint="cs"/>
          <w:rtl/>
          <w:lang w:eastAsia="ja-JP" w:bidi="ar-EG"/>
        </w:rPr>
      </w:pPr>
      <w:r>
        <w:rPr>
          <w:rFonts w:hint="cs"/>
          <w:rtl/>
          <w:lang w:eastAsia="ja-JP" w:bidi="ar-EG"/>
        </w:rPr>
        <w:tab/>
        <w:t xml:space="preserve">ويجري إنشاء قاعدتي بيانات </w:t>
      </w:r>
      <w:r w:rsidR="001B08B6">
        <w:rPr>
          <w:rFonts w:hint="cs"/>
          <w:rtl/>
          <w:lang w:eastAsia="ja-JP" w:bidi="ar-EG"/>
        </w:rPr>
        <w:t>فعلية</w:t>
      </w:r>
      <w:r>
        <w:rPr>
          <w:rFonts w:hint="cs"/>
          <w:rtl/>
          <w:lang w:eastAsia="ja-JP" w:bidi="ar-EG"/>
        </w:rPr>
        <w:t xml:space="preserve"> جنبا إلى جنب مع إنشاء النظام الوطني للمؤشرات الجنسانية: مكتبة </w:t>
      </w:r>
      <w:r w:rsidR="001B08B6">
        <w:rPr>
          <w:rFonts w:hint="cs"/>
          <w:rtl/>
          <w:lang w:eastAsia="ja-JP" w:bidi="ar-EG"/>
        </w:rPr>
        <w:t>واقعية</w:t>
      </w:r>
      <w:r>
        <w:rPr>
          <w:rFonts w:hint="cs"/>
          <w:rtl/>
          <w:lang w:eastAsia="ja-JP" w:bidi="ar-EG"/>
        </w:rPr>
        <w:t xml:space="preserve"> أساسية تعنى بنوع الجنس وسياسات المرأة وسجل للمنظمات يضم بيانات عن المؤسسات الوطنية والدولية التي تعمل في مجال المسائل الجنسانية (المؤسسات الحكومية، والمنظمات غير الحكومية، والأكاديميات، والمنظمات المتعددة الأطراف). وستتاح هذه المعلومات على موقع الأمانة الخاصة لسياسات المرأة على شبكة الإنترنت.</w:t>
      </w:r>
    </w:p>
    <w:p w:rsidR="00ED18B2" w:rsidRDefault="00ED18B2" w:rsidP="001B08B6">
      <w:pPr>
        <w:pStyle w:val="SingleTxt"/>
        <w:rPr>
          <w:rFonts w:hint="cs"/>
          <w:rtl/>
          <w:lang w:eastAsia="ja-JP" w:bidi="ar-EG"/>
        </w:rPr>
      </w:pPr>
      <w:r>
        <w:rPr>
          <w:rFonts w:hint="cs"/>
          <w:rtl/>
          <w:lang w:eastAsia="ja-JP" w:bidi="ar-EG"/>
        </w:rPr>
        <w:tab/>
        <w:t xml:space="preserve">وأثناء الفترة التي شملها هذا التقرير، أصبحت المعلومات المصنفة حسب نوع الجنس متاحة على نحو متزايد من مصادر متنوعة. وفي عام 2003، أصدر المعهد البرازيلي للجغرافيا والإحصاءات </w:t>
      </w:r>
      <w:r>
        <w:rPr>
          <w:rFonts w:hint="eastAsia"/>
          <w:rtl/>
          <w:lang w:eastAsia="ja-JP" w:bidi="ar-EG"/>
        </w:rPr>
        <w:t>”ملخص مؤشرات اجتماعية</w:t>
      </w:r>
      <w:r>
        <w:rPr>
          <w:rFonts w:hint="cs"/>
          <w:rtl/>
          <w:lang w:eastAsia="ja-JP" w:bidi="ar-EG"/>
        </w:rPr>
        <w:t xml:space="preserve">“ وردت فيه قائمة بالمؤشرات ذات الصلة بالواقع الاجتماعي البرازيلي تتضمن معلومات عن الصحة، والتعليم، والعمل </w:t>
      </w:r>
      <w:r w:rsidR="005D04DF">
        <w:rPr>
          <w:rFonts w:hint="cs"/>
          <w:rtl/>
          <w:lang w:eastAsia="ja-JP" w:bidi="ar-EG"/>
        </w:rPr>
        <w:t>والدخل، والمنازل، والأسر، وجماعات سكانية معينة، وعمالة الأطفال والمراهقين، ضمن أمور أخرى. وتصاحب هذه البيانات تعليقات موجزة عن السمات التي جرت ملاحظتها داخل مختلف المناطق الجغر</w:t>
      </w:r>
      <w:r w:rsidR="001B08B6">
        <w:rPr>
          <w:rFonts w:hint="cs"/>
          <w:rtl/>
          <w:lang w:eastAsia="ja-JP" w:bidi="ar-EG"/>
        </w:rPr>
        <w:t>افية والشرائح السكانية في البلد</w:t>
      </w:r>
      <w:r w:rsidR="005D04DF">
        <w:rPr>
          <w:rFonts w:hint="cs"/>
          <w:rtl/>
          <w:lang w:eastAsia="ja-JP" w:bidi="ar-EG"/>
        </w:rPr>
        <w:t xml:space="preserve"> فيما يتعلق بالمواضيع السابق ذكرها. ويرد في هذا الملخص فصل خاص عن المرأة.</w:t>
      </w:r>
    </w:p>
    <w:p w:rsidR="005D04DF" w:rsidRDefault="005D04DF" w:rsidP="00F641F9">
      <w:pPr>
        <w:pStyle w:val="SingleTxt"/>
        <w:rPr>
          <w:rFonts w:hint="cs"/>
          <w:rtl/>
          <w:lang w:eastAsia="ja-JP" w:bidi="ar-EG"/>
        </w:rPr>
      </w:pPr>
      <w:r>
        <w:rPr>
          <w:rFonts w:hint="cs"/>
          <w:rtl/>
          <w:lang w:eastAsia="ja-JP" w:bidi="ar-EG"/>
        </w:rPr>
        <w:tab/>
        <w:t>وشكلت نتائج الدراسات الاستقصائية الوطنية لعينة من الأسر المعيشية الأساس الرئيسي لوضع هذه المؤشرات، التي تقدم في شكل جداول وأشكال تغطي البرازيل ومناطق كبيرة من البلد والوحدات الاتحادية، وبعض جوانب مناطق المدن الكبرى. ويورد هذا الملخص أيضا قوائم بالأهداف والغايات التي وردت الخطوط العريضة لها في جدول الأعمال العالمي من أجل التنمية، الذي جرى الاتفاق عليه في إعلان الألفية. وفضلا عن ذلك، يبين هذا الملخص المؤشرات المختارة لأغراض رصد تقدم البرازيل في مجالات معينة بناء على الموارد التي يتيحها المعهد البرازيلي للجغرافيا والإحصاءات.</w:t>
      </w:r>
    </w:p>
    <w:p w:rsidR="005D04DF" w:rsidRDefault="005D04DF" w:rsidP="000D48E0">
      <w:pPr>
        <w:pStyle w:val="SingleTxt"/>
        <w:rPr>
          <w:rFonts w:hint="cs"/>
          <w:rtl/>
          <w:lang w:eastAsia="ja-JP" w:bidi="ar-EG"/>
        </w:rPr>
      </w:pPr>
      <w:r>
        <w:rPr>
          <w:rFonts w:hint="cs"/>
          <w:rtl/>
          <w:lang w:eastAsia="ja-JP" w:bidi="ar-EG"/>
        </w:rPr>
        <w:tab/>
        <w:t>ويصدر المعهد البرازيلي أيضا مجموعة من النصوص ترتكز على تعداد عا</w:t>
      </w:r>
      <w:r w:rsidR="001B08B6">
        <w:rPr>
          <w:rFonts w:hint="cs"/>
          <w:rtl/>
          <w:lang w:eastAsia="ja-JP" w:bidi="ar-EG"/>
        </w:rPr>
        <w:t>م</w:t>
      </w:r>
      <w:r>
        <w:rPr>
          <w:rFonts w:hint="cs"/>
          <w:rtl/>
          <w:lang w:eastAsia="ja-JP" w:bidi="ar-EG"/>
        </w:rPr>
        <w:t xml:space="preserve"> 2000، ويتناول كل نص مسألة مختلفة، ولإحدى هذه المسائل وهي </w:t>
      </w:r>
      <w:r>
        <w:rPr>
          <w:rFonts w:hint="eastAsia"/>
          <w:rtl/>
          <w:lang w:eastAsia="ja-JP" w:bidi="ar-EG"/>
        </w:rPr>
        <w:t>”لمحة مختصرة عن رئيسات الأسر المعيشية في البرازيل</w:t>
      </w:r>
      <w:r>
        <w:rPr>
          <w:rFonts w:hint="cs"/>
          <w:rtl/>
          <w:lang w:eastAsia="ja-JP" w:bidi="ar-EG"/>
        </w:rPr>
        <w:t xml:space="preserve">“ أهمية خاصة، وتسرد هذه اللمحة الحالة الديمغرافية - الاجتماعية للمرأة في البرازيل. وهذا </w:t>
      </w:r>
      <w:r w:rsidR="001B08B6">
        <w:rPr>
          <w:rFonts w:hint="cs"/>
          <w:rtl/>
          <w:lang w:eastAsia="ja-JP" w:bidi="ar-EG"/>
        </w:rPr>
        <w:t xml:space="preserve">هو </w:t>
      </w:r>
      <w:r>
        <w:rPr>
          <w:rFonts w:hint="cs"/>
          <w:rtl/>
          <w:lang w:eastAsia="ja-JP" w:bidi="ar-EG"/>
        </w:rPr>
        <w:t xml:space="preserve">النص الأول في مجموعة من الدراسات التي تتناول هذا الموضوع. ويلي ذلك إصدار دراسات أكثر تعمقا عن أحوال معيشة النساء على أساس معلومات </w:t>
      </w:r>
      <w:r w:rsidR="000D48E0">
        <w:rPr>
          <w:rFonts w:hint="cs"/>
          <w:rtl/>
          <w:lang w:eastAsia="ja-JP" w:bidi="ar-EG"/>
        </w:rPr>
        <w:t>جرى الحصول عليها</w:t>
      </w:r>
      <w:r>
        <w:rPr>
          <w:rFonts w:hint="cs"/>
          <w:rtl/>
          <w:lang w:eastAsia="ja-JP" w:bidi="ar-EG"/>
        </w:rPr>
        <w:t xml:space="preserve"> من استبيان </w:t>
      </w:r>
      <w:r w:rsidR="000D48E0">
        <w:rPr>
          <w:rFonts w:hint="cs"/>
          <w:rtl/>
          <w:lang w:eastAsia="ja-JP" w:bidi="ar-EG"/>
        </w:rPr>
        <w:t>ل</w:t>
      </w:r>
      <w:r>
        <w:rPr>
          <w:rFonts w:hint="cs"/>
          <w:rtl/>
          <w:lang w:eastAsia="ja-JP" w:bidi="ar-EG"/>
        </w:rPr>
        <w:t xml:space="preserve">لعينات ورد في التعداد الديمغرافي لعام 2000. وتشكل هذه </w:t>
      </w:r>
      <w:r w:rsidR="000D48E0">
        <w:rPr>
          <w:rFonts w:hint="cs"/>
          <w:rtl/>
          <w:lang w:eastAsia="ja-JP" w:bidi="ar-EG"/>
        </w:rPr>
        <w:t>النشرات</w:t>
      </w:r>
      <w:r>
        <w:rPr>
          <w:rFonts w:hint="cs"/>
          <w:rtl/>
          <w:lang w:eastAsia="ja-JP" w:bidi="ar-EG"/>
        </w:rPr>
        <w:t xml:space="preserve"> جزءا من إنتاج المعهد وتنظيمه للإحصاءات الاجتماعية على نحو مستمر، وتسهم هذه الإحصاءات في فهم أحوال معيشة النساء</w:t>
      </w:r>
      <w:r w:rsidR="001B08B6">
        <w:rPr>
          <w:rFonts w:hint="cs"/>
          <w:rtl/>
          <w:lang w:eastAsia="ja-JP" w:bidi="ar-EG"/>
        </w:rPr>
        <w:t xml:space="preserve"> على نحو أفضل</w:t>
      </w:r>
      <w:r>
        <w:rPr>
          <w:rFonts w:hint="cs"/>
          <w:rtl/>
          <w:lang w:eastAsia="ja-JP" w:bidi="ar-EG"/>
        </w:rPr>
        <w:t>، وبخاصة النساء اللائي يرأسن أسرا معيشية في البرازيل.</w:t>
      </w:r>
    </w:p>
    <w:p w:rsidR="00CA4790" w:rsidRDefault="00CA4790" w:rsidP="00F641F9">
      <w:pPr>
        <w:pStyle w:val="SingleTxt"/>
        <w:rPr>
          <w:rFonts w:hint="cs"/>
          <w:rtl/>
          <w:lang w:eastAsia="ja-JP" w:bidi="ar-EG"/>
        </w:rPr>
      </w:pPr>
      <w:r>
        <w:rPr>
          <w:rFonts w:hint="cs"/>
          <w:rtl/>
          <w:lang w:eastAsia="ja-JP" w:bidi="ar-EG"/>
        </w:rPr>
        <w:tab/>
        <w:t>ورغم تزايد حجم البيانات المصنفة حسب نوع الجنس، تسلم حكومة البرازيل بأنه لا تزال هناك حاجة إلى الاستجابة إلى هذه التوصية. وعلى سبيل المثال، لا تزال هناك قيود ضخمة بالنسبة للبيانات الإحصائية الواسعة النطاق عن العنف ضد المرأة. وتشكل هذه المسألة أحد الإجراءات التي تتخذ بموجب الخطة الوطنية لسياسات المرأة، كما أنها تدخل ضمن أحد برامج الأمانة الخاصة لسياسات المرأة. والواقع أن إحدى أولويات الخطة الوطنية لسياسات المرأة جمع البيانات وتنظيمها ونشرها، وإجراء دراسات وعمليات مسح تتعلق بمسألتي نوع الجنس والعنصر.</w:t>
      </w:r>
    </w:p>
    <w:p w:rsidR="00CA4790" w:rsidRDefault="00CA4790" w:rsidP="00CA4790">
      <w:pPr>
        <w:pStyle w:val="SingleTxt"/>
        <w:rPr>
          <w:rFonts w:hint="cs"/>
          <w:rtl/>
          <w:lang w:eastAsia="ja-JP" w:bidi="ar-EG"/>
        </w:rPr>
      </w:pPr>
      <w:r>
        <w:rPr>
          <w:rFonts w:hint="cs"/>
          <w:rtl/>
          <w:lang w:eastAsia="ja-JP" w:bidi="ar-EG"/>
        </w:rPr>
        <w:tab/>
        <w:t>وهناك قدر أقل من المعلومات المصنفة على أساس العنصر والعرق. ويجري الاضطلاع بمجموعة من الإجراءات المعينة بغية التوثيق الواضح لوجود السود والأفراد من ذوي الأصول العرقية الأخرى في الحياة البرازيلية.</w:t>
      </w:r>
    </w:p>
    <w:p w:rsidR="00CA4790" w:rsidRDefault="00CA4790" w:rsidP="00CA4790">
      <w:pPr>
        <w:pStyle w:val="SingleTxt"/>
        <w:rPr>
          <w:rFonts w:hint="cs"/>
          <w:rtl/>
          <w:lang w:eastAsia="ja-JP" w:bidi="ar-EG"/>
        </w:rPr>
      </w:pPr>
      <w:r>
        <w:rPr>
          <w:rFonts w:hint="cs"/>
          <w:rtl/>
          <w:lang w:eastAsia="ja-JP" w:bidi="ar-EG"/>
        </w:rPr>
        <w:tab/>
        <w:t>وهناك معلومات متوفرة في مجال التعليم. وعقد معهد أنيسيو تيكسيرا الوطني لدراسات وبحوث التعليم التابع لوزارة التعليم، والأمانة الخاصة لسياسات المرأة ورشة عمل عن إدماج نوع الجنس والعنصر والتوجه الجنسي في نظام أبحاث تقييم التعليم الأساسي.</w:t>
      </w:r>
    </w:p>
    <w:p w:rsidR="00CA4790" w:rsidRDefault="00CA4790" w:rsidP="000D48E0">
      <w:pPr>
        <w:pStyle w:val="SingleTxt"/>
        <w:rPr>
          <w:rFonts w:hint="cs"/>
          <w:rtl/>
          <w:lang w:eastAsia="ja-JP" w:bidi="ar-EG"/>
        </w:rPr>
      </w:pPr>
      <w:r>
        <w:rPr>
          <w:rFonts w:hint="cs"/>
          <w:rtl/>
          <w:lang w:eastAsia="ja-JP" w:bidi="ar-EG"/>
        </w:rPr>
        <w:tab/>
        <w:t xml:space="preserve">وبتعاون الفريق العامل لوزارة التعليم/المعهد الوطني لدراسات وبحوث التعليم مع الأمانة الخاصة لسياسات تعزيز المساواة العنصرية، التابعة لرئاسة الجمهورية، تمكن الفريق العامل من كفالة إدراج سؤال يتعلق </w:t>
      </w:r>
      <w:r>
        <w:rPr>
          <w:rFonts w:hint="eastAsia"/>
          <w:rtl/>
          <w:lang w:eastAsia="ja-JP" w:bidi="ar-EG"/>
        </w:rPr>
        <w:t>”باللون</w:t>
      </w:r>
      <w:r>
        <w:rPr>
          <w:rFonts w:hint="cs"/>
          <w:rtl/>
          <w:lang w:eastAsia="ja-JP" w:bidi="ar-EG"/>
        </w:rPr>
        <w:t xml:space="preserve">“ في نموذج تعداد المدارس لعام 2005. وهناك مشروع أيضا بإدراج سؤال عن </w:t>
      </w:r>
      <w:r>
        <w:rPr>
          <w:rFonts w:hint="eastAsia"/>
          <w:rtl/>
          <w:lang w:eastAsia="ja-JP" w:bidi="ar-EG"/>
        </w:rPr>
        <w:t>”الهوية الإثنية</w:t>
      </w:r>
      <w:r>
        <w:rPr>
          <w:rFonts w:hint="cs"/>
          <w:rtl/>
          <w:lang w:eastAsia="ja-JP" w:bidi="ar-EG"/>
        </w:rPr>
        <w:t xml:space="preserve">“ في نفس الوثيقة. وحتى الآن، لم يكن الطلبة </w:t>
      </w:r>
      <w:r w:rsidR="000D48E0">
        <w:rPr>
          <w:rFonts w:hint="cs"/>
          <w:rtl/>
          <w:lang w:eastAsia="ja-JP" w:bidi="ar-EG"/>
        </w:rPr>
        <w:t xml:space="preserve">من السكان </w:t>
      </w:r>
      <w:r>
        <w:rPr>
          <w:rFonts w:hint="cs"/>
          <w:rtl/>
          <w:lang w:eastAsia="ja-JP" w:bidi="ar-EG"/>
        </w:rPr>
        <w:t>الأصلي</w:t>
      </w:r>
      <w:r w:rsidR="000D48E0">
        <w:rPr>
          <w:rFonts w:hint="cs"/>
          <w:rtl/>
          <w:lang w:eastAsia="ja-JP" w:bidi="ar-EG"/>
        </w:rPr>
        <w:t>ي</w:t>
      </w:r>
      <w:r>
        <w:rPr>
          <w:rFonts w:hint="cs"/>
          <w:rtl/>
          <w:lang w:eastAsia="ja-JP" w:bidi="ar-EG"/>
        </w:rPr>
        <w:t xml:space="preserve">ن يسجلون بهذه الصفة إلا إذا كانوا يدرسون في مدارس موجودة في مناطق </w:t>
      </w:r>
      <w:r w:rsidR="000D48E0">
        <w:rPr>
          <w:rFonts w:hint="cs"/>
          <w:rtl/>
          <w:lang w:eastAsia="ja-JP" w:bidi="ar-EG"/>
        </w:rPr>
        <w:t>السكان الأصليين</w:t>
      </w:r>
      <w:r>
        <w:rPr>
          <w:rFonts w:hint="cs"/>
          <w:rtl/>
          <w:lang w:eastAsia="ja-JP" w:bidi="ar-EG"/>
        </w:rPr>
        <w:t xml:space="preserve">. ومع ذلك، يترك الكثير منهم قراهم بغية الدراسة في </w:t>
      </w:r>
      <w:r w:rsidR="00F945F2">
        <w:rPr>
          <w:rFonts w:hint="cs"/>
          <w:rtl/>
          <w:lang w:eastAsia="ja-JP" w:bidi="ar-EG"/>
        </w:rPr>
        <w:t>مدارس متوسطة في مراكز حضرية.</w:t>
      </w:r>
    </w:p>
    <w:p w:rsidR="00F945F2" w:rsidRDefault="00F945F2" w:rsidP="00CA4790">
      <w:pPr>
        <w:pStyle w:val="SingleTxt"/>
        <w:rPr>
          <w:rFonts w:hint="cs"/>
          <w:rtl/>
          <w:lang w:eastAsia="ja-JP" w:bidi="ar-EG"/>
        </w:rPr>
      </w:pPr>
      <w:r>
        <w:rPr>
          <w:rFonts w:hint="cs"/>
          <w:rtl/>
          <w:lang w:eastAsia="ja-JP" w:bidi="ar-EG"/>
        </w:rPr>
        <w:tab/>
        <w:t>ويجري أيضا تعديل الدراسة الاستقصائية الاقتصادية - الاجتماعية لعام 2005 لطلبة المدارس المتوسطة، كجزء من امتحان المدارس المتوسطة الوطنية، ويستهدف هذا التعديل تطويع اللغة - مثل استخدام صيغة المذكر والمؤنث - وجمع المعلومات بشأن التمييز على أساس نوع الجنس والعنصر والتوجه الجنسي.</w:t>
      </w:r>
    </w:p>
    <w:p w:rsidR="00F945F2" w:rsidRDefault="00F945F2" w:rsidP="000D48E0">
      <w:pPr>
        <w:pStyle w:val="SingleTxt"/>
        <w:rPr>
          <w:rFonts w:hint="cs"/>
          <w:rtl/>
          <w:lang w:eastAsia="ja-JP" w:bidi="ar-EG"/>
        </w:rPr>
      </w:pPr>
      <w:r>
        <w:rPr>
          <w:rFonts w:hint="cs"/>
          <w:rtl/>
          <w:lang w:eastAsia="ja-JP" w:bidi="ar-EG"/>
        </w:rPr>
        <w:tab/>
        <w:t>وتطلب التوصية رقم 20 معلومات عن تطبيق الوثائق الختامية لمختلف مؤتمرات الأمم المتحدة (مؤتمر السكان والتنمية، ودورة الجمعية العامة الاستثنائية السابعة والعشرون المعنية بالطفل، والمؤتمر العالمي لمناهضة العنصرية والتمييز العنصري وكراهية الأجانب وما</w:t>
      </w:r>
      <w:r>
        <w:rPr>
          <w:rFonts w:hint="eastAsia"/>
          <w:rtl/>
          <w:lang w:eastAsia="ja-JP" w:bidi="ar-EG"/>
        </w:rPr>
        <w:t> </w:t>
      </w:r>
      <w:r>
        <w:rPr>
          <w:rFonts w:hint="cs"/>
          <w:rtl/>
          <w:lang w:eastAsia="ja-JP" w:bidi="ar-EG"/>
        </w:rPr>
        <w:t>يتصل بذلك من تعصب، والجمعية العالمية الثانية للشيخوخة) بالنسبة لما يتعلق من هذه الوثائق بحقوق المرأة. ومن خلال الأمانة الخاصة لسياسات المرأة، والأمانة الخاصة لحقوق الإنسان، ووزارة الخارجية، وغيرها من الوزارات، تشارك البرازيل في جميع المحافل الدولية الهامة التي تتناول حقوق الإنسان للمرأة وتخضع لرئاسة كيانات تابعة لمنظومة الأمم المتحدة.</w:t>
      </w:r>
    </w:p>
    <w:p w:rsidR="00F945F2" w:rsidRDefault="00F945F2" w:rsidP="000D48E0">
      <w:pPr>
        <w:pStyle w:val="SingleTxt"/>
        <w:rPr>
          <w:rFonts w:hint="cs"/>
          <w:rtl/>
          <w:lang w:eastAsia="ja-JP" w:bidi="ar-EG"/>
        </w:rPr>
      </w:pPr>
      <w:r>
        <w:rPr>
          <w:rFonts w:hint="cs"/>
          <w:rtl/>
          <w:lang w:eastAsia="ja-JP" w:bidi="ar-EG"/>
        </w:rPr>
        <w:tab/>
        <w:t>وخلال الفترة المشمولة بهذا التقرير، جرى إنشاء منظمات متنوعة وتنفيذ برامج وأعمال تثبت قرار الحكومة البرازيلية بتنفيذ مناهج العمل الواردة في مختلف هذه الوثائق. وفيما يتعلق بالمؤتمر العالمي لمناهضة العنصرية والتمييز العنصري وكراهية الأجانب وما يتصل بذلك من تعصب، تجدر الإشارة إلى أنه في عام 2003 جرى إنشاء الأمانة الخاصة لسياسات ت</w:t>
      </w:r>
      <w:r w:rsidR="000D48E0">
        <w:rPr>
          <w:rFonts w:hint="cs"/>
          <w:rtl/>
          <w:lang w:eastAsia="ja-JP" w:bidi="ar-EG"/>
        </w:rPr>
        <w:t>عزيز المساواة العنصرية، كما أنشئ</w:t>
      </w:r>
      <w:r>
        <w:rPr>
          <w:rFonts w:hint="cs"/>
          <w:rtl/>
          <w:lang w:eastAsia="ja-JP" w:bidi="ar-EG"/>
        </w:rPr>
        <w:t xml:space="preserve"> عمل إيجابي عن طريق وضع نظام للحصص العنصرية في الجامعات. وفيما يتعلق بالجمعية العالمية الثانية للشيخوخة، وافقت البرازيل مؤخرا على النظام الأساسي للمسنين الذي يجمع سلسلة من الأعمال والتدابير التي تدعم اتخاذ نهج </w:t>
      </w:r>
      <w:r w:rsidR="000D48E0">
        <w:rPr>
          <w:rFonts w:hint="cs"/>
          <w:rtl/>
          <w:lang w:eastAsia="ja-JP" w:bidi="ar-EG"/>
        </w:rPr>
        <w:t>مشرف</w:t>
      </w:r>
      <w:r>
        <w:rPr>
          <w:rFonts w:hint="cs"/>
          <w:rtl/>
          <w:lang w:eastAsia="ja-JP" w:bidi="ar-EG"/>
        </w:rPr>
        <w:t xml:space="preserve"> إزاء الشيخوخة. وفيما يتعلق بالمؤتمر العالمي للسكان والتنمية، يجري تصميم أعمال هامة كثيرة، مثل الميثاق الوطني لتخفيض </w:t>
      </w:r>
      <w:r w:rsidR="000D48E0">
        <w:rPr>
          <w:rFonts w:hint="cs"/>
          <w:rtl/>
          <w:lang w:eastAsia="ja-JP" w:bidi="ar-EG"/>
        </w:rPr>
        <w:t>ال</w:t>
      </w:r>
      <w:r>
        <w:rPr>
          <w:rFonts w:hint="cs"/>
          <w:rtl/>
          <w:lang w:eastAsia="ja-JP" w:bidi="ar-EG"/>
        </w:rPr>
        <w:t>وفيات</w:t>
      </w:r>
      <w:r w:rsidR="000D48E0">
        <w:rPr>
          <w:rFonts w:hint="cs"/>
          <w:rtl/>
          <w:lang w:eastAsia="ja-JP" w:bidi="ar-EG"/>
        </w:rPr>
        <w:t xml:space="preserve"> النفاسية ووفيات </w:t>
      </w:r>
      <w:r>
        <w:rPr>
          <w:rFonts w:hint="cs"/>
          <w:rtl/>
          <w:lang w:eastAsia="ja-JP" w:bidi="ar-EG"/>
        </w:rPr>
        <w:t>المواليد، فضلا عن التدابير الأخرى الوارد ذكرها في المادة 12.</w:t>
      </w:r>
    </w:p>
    <w:p w:rsidR="00F945F2" w:rsidRDefault="00F945F2" w:rsidP="00F945F2">
      <w:pPr>
        <w:pStyle w:val="SingleTxt"/>
        <w:rPr>
          <w:rFonts w:hint="cs"/>
          <w:rtl/>
          <w:lang w:eastAsia="ja-JP" w:bidi="ar-EG"/>
        </w:rPr>
      </w:pPr>
      <w:r>
        <w:rPr>
          <w:rFonts w:hint="cs"/>
          <w:rtl/>
          <w:lang w:eastAsia="ja-JP" w:bidi="ar-EG"/>
        </w:rPr>
        <w:tab/>
        <w:t xml:space="preserve">وتصدر البرازيل أيضا تقارير دورية عن تنفيذ هذه الصكوك الدولية بالنسبة لحقوق الإنسان للمرأة في البلد. وقدم مؤخرا وزير مجلس التنمية الاقتصادية والاجتماعية تقريرا عن حالة المرأة في البرازيل إلى الفريق العامل المعني بحالة المرأة التابع للرابطة الدولية للمجالس الاقتصادية والاجتماعية والمؤسسات المماثلة. وكان هدف الاجتماع جمع معلومات عن التقدم المحرز أثناء السنوات العشر منذ عقد مؤتمر بيجين، وذلك تحضيرا للدورة الـ 49 </w:t>
      </w:r>
      <w:r w:rsidR="0041178D">
        <w:rPr>
          <w:rFonts w:hint="cs"/>
          <w:rtl/>
          <w:lang w:eastAsia="ja-JP" w:bidi="ar-EG"/>
        </w:rPr>
        <w:t>للجنة وضع المرأة</w:t>
      </w:r>
      <w:r w:rsidR="000D48E0">
        <w:rPr>
          <w:rFonts w:hint="cs"/>
          <w:rtl/>
          <w:lang w:eastAsia="ja-JP" w:bidi="ar-EG"/>
        </w:rPr>
        <w:t xml:space="preserve"> التابعة للأمم المتحدة</w:t>
      </w:r>
      <w:r w:rsidR="0041178D">
        <w:rPr>
          <w:rFonts w:hint="cs"/>
          <w:rtl/>
          <w:lang w:eastAsia="ja-JP" w:bidi="ar-EG"/>
        </w:rPr>
        <w:t>.</w:t>
      </w:r>
    </w:p>
    <w:p w:rsidR="0041178D" w:rsidRPr="0041178D" w:rsidRDefault="0041178D" w:rsidP="0041178D">
      <w:pPr>
        <w:pStyle w:val="SingleTxt"/>
        <w:spacing w:after="0" w:line="120" w:lineRule="exact"/>
        <w:rPr>
          <w:rFonts w:hint="cs"/>
          <w:sz w:val="10"/>
          <w:rtl/>
          <w:lang w:eastAsia="ja-JP" w:bidi="ar-EG"/>
        </w:rPr>
      </w:pPr>
    </w:p>
    <w:p w:rsidR="0041178D" w:rsidRDefault="0041178D" w:rsidP="004117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bidi="ar-EG"/>
        </w:rPr>
      </w:pPr>
      <w:r>
        <w:rPr>
          <w:rFonts w:hint="cs"/>
          <w:rtl/>
          <w:lang w:eastAsia="ja-JP" w:bidi="ar-EG"/>
        </w:rPr>
        <w:tab/>
      </w:r>
      <w:r>
        <w:rPr>
          <w:rFonts w:hint="cs"/>
          <w:rtl/>
          <w:lang w:eastAsia="ja-JP" w:bidi="ar-EG"/>
        </w:rPr>
        <w:tab/>
        <w:t>المادة 3 من اتفاقية القضاء على جميع أشكال التمييز ضد المرأة</w:t>
      </w:r>
    </w:p>
    <w:p w:rsidR="0041178D" w:rsidRDefault="00693982" w:rsidP="00693982">
      <w:pPr>
        <w:pStyle w:val="SingleTxt"/>
        <w:ind w:left="1930" w:hanging="663"/>
        <w:rPr>
          <w:rFonts w:hint="cs"/>
          <w:rtl/>
          <w:lang w:eastAsia="ja-JP"/>
        </w:rPr>
      </w:pPr>
      <w:r>
        <w:rPr>
          <w:rFonts w:hint="cs"/>
          <w:rtl/>
          <w:lang w:eastAsia="ja-JP"/>
        </w:rPr>
        <w:tab/>
      </w:r>
      <w:r w:rsidR="0041178D">
        <w:rPr>
          <w:rFonts w:hint="cs"/>
          <w:rtl/>
          <w:lang w:eastAsia="ja-JP"/>
        </w:rPr>
        <w:tab/>
        <w:t>تتخذ الدول الأطراف في جميع الميادين، ولا سيما الميادين السياسية والاجتماعية والاقتصادية والثقافية، كل التدابير المناسبة، بما في ذلك التشريع، لكفالة تطور المرأة وتقدمها الكاملين، وذلك لتضمن لها ممارسة حقوق الإنسان والحريات الأساسية والتمتع بها على أساس المساواة مع الرجل.</w:t>
      </w:r>
    </w:p>
    <w:p w:rsidR="0041178D" w:rsidRDefault="0041178D" w:rsidP="0041178D">
      <w:pPr>
        <w:pStyle w:val="SingleTxt"/>
        <w:rPr>
          <w:rFonts w:hint="cs"/>
          <w:rtl/>
          <w:lang w:eastAsia="ja-JP"/>
        </w:rPr>
      </w:pPr>
      <w:r>
        <w:rPr>
          <w:rFonts w:hint="cs"/>
          <w:rtl/>
          <w:lang w:eastAsia="ja-JP"/>
        </w:rPr>
        <w:tab/>
        <w:t>تعتمد حكومة البرازيل تدابير متنوعة امتثالا لهذه المادة من الاتفاقية. وتنظم النساء البرازيليات أنفسهن بغية السعي إلى الحصول على حقوق وفرص متساوية في مختلق الميادين. وقد حققن نجاحا أكبر في مجال التشريع.</w:t>
      </w:r>
    </w:p>
    <w:p w:rsidR="0041178D" w:rsidRDefault="0041178D" w:rsidP="0041178D">
      <w:pPr>
        <w:pStyle w:val="SingleTxt"/>
        <w:rPr>
          <w:rFonts w:hint="cs"/>
          <w:rtl/>
          <w:lang w:eastAsia="ja-JP"/>
        </w:rPr>
      </w:pPr>
      <w:r>
        <w:rPr>
          <w:rFonts w:hint="cs"/>
          <w:rtl/>
          <w:lang w:eastAsia="ja-JP"/>
        </w:rPr>
        <w:tab/>
        <w:t>وتتعاون المجموعة النسائية للكونغرس الوطني تعاونا وثيقا مع الحكومة، ومع الأمانة العامة لسياسات المرأة بصفة خاصة، فتعتقد الحلقات الدراسية والجلسات العامة في مجلس النواب وفي مجلس الشيوخ الاتحادي. وقد أنشأت لجانا خاصة واقترحت مشاريع قوانين وعملت على تمرير تشريع يتعلق بالمصلحة المباشرة للمرأة البرازيلية.</w:t>
      </w:r>
    </w:p>
    <w:p w:rsidR="0041178D" w:rsidRDefault="0041178D" w:rsidP="0041178D">
      <w:pPr>
        <w:pStyle w:val="SingleTxt"/>
        <w:rPr>
          <w:rFonts w:hint="cs"/>
          <w:rtl/>
          <w:lang w:eastAsia="ja-JP"/>
        </w:rPr>
      </w:pPr>
      <w:r>
        <w:rPr>
          <w:rFonts w:hint="cs"/>
          <w:rtl/>
          <w:lang w:eastAsia="ja-JP"/>
        </w:rPr>
        <w:tab/>
        <w:t>ومن ال</w:t>
      </w:r>
      <w:r w:rsidR="000D48E0">
        <w:rPr>
          <w:rFonts w:hint="cs"/>
          <w:rtl/>
          <w:lang w:eastAsia="ja-JP"/>
        </w:rPr>
        <w:t>ج</w:t>
      </w:r>
      <w:r>
        <w:rPr>
          <w:rFonts w:hint="cs"/>
          <w:rtl/>
          <w:lang w:eastAsia="ja-JP"/>
        </w:rPr>
        <w:t xml:space="preserve">دير بالذكر أن الأمانة الخاصة لسياسات المرأة والمجلس الوطني لحقوق المرأة، بدعم من المجموعة النسائية للكونغرس الوطني، نظما اجتماعا في شباط/فبراير الماضي بعنوان </w:t>
      </w:r>
      <w:r>
        <w:rPr>
          <w:rFonts w:hint="eastAsia"/>
          <w:rtl/>
          <w:lang w:eastAsia="ja-JP"/>
        </w:rPr>
        <w:t>”حوار وطني - بيجين + 10 - أ</w:t>
      </w:r>
      <w:r>
        <w:rPr>
          <w:rFonts w:hint="cs"/>
          <w:rtl/>
          <w:lang w:eastAsia="ja-JP"/>
        </w:rPr>
        <w:t>و</w:t>
      </w:r>
      <w:r>
        <w:rPr>
          <w:rFonts w:hint="eastAsia"/>
          <w:rtl/>
          <w:lang w:eastAsia="ja-JP"/>
        </w:rPr>
        <w:t>جه التقدم والتحديات</w:t>
      </w:r>
      <w:r>
        <w:rPr>
          <w:rFonts w:hint="cs"/>
          <w:rtl/>
          <w:lang w:eastAsia="ja-JP"/>
        </w:rPr>
        <w:t xml:space="preserve">“. وتركزت المناقشات حول أوجه التقدم والعقبات التي تحول دون تنفيذ منهاج عمل بيجين في البرازيل. وكان هذا الاجتماع تمهيدا لمشاركة </w:t>
      </w:r>
      <w:r w:rsidR="001D311E">
        <w:rPr>
          <w:rFonts w:hint="cs"/>
          <w:rtl/>
          <w:lang w:eastAsia="ja-JP"/>
        </w:rPr>
        <w:t>البرازيل في الدورة الـ 49 للجنة وضع المرأة.</w:t>
      </w:r>
    </w:p>
    <w:p w:rsidR="001D311E" w:rsidRDefault="001D311E" w:rsidP="0041178D">
      <w:pPr>
        <w:pStyle w:val="SingleTxt"/>
        <w:rPr>
          <w:rFonts w:hint="cs"/>
          <w:rtl/>
          <w:lang w:eastAsia="ja-JP"/>
        </w:rPr>
      </w:pPr>
      <w:r>
        <w:rPr>
          <w:rFonts w:hint="cs"/>
          <w:rtl/>
          <w:lang w:eastAsia="ja-JP"/>
        </w:rPr>
        <w:tab/>
        <w:t xml:space="preserve">ولا تقتصر عملية سن تشريع غير تمييزي على السلطة التنفيذية الاتحادية فحسب. ويتخذ الآن كثير من الولايات الـ 27 التي تشكل الاتحاد مبادرات تشريعية على صعيدي الولايات والبلديات بغية تعزيز المساواة بين المرأة والرجل. وبعض هذه المبادرات جدير بالذكر: </w:t>
      </w:r>
    </w:p>
    <w:p w:rsidR="001D311E" w:rsidRDefault="001D311E" w:rsidP="001D3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ja-JP"/>
        </w:rPr>
      </w:pPr>
      <w:r>
        <w:rPr>
          <w:rFonts w:hint="cs"/>
          <w:rtl/>
          <w:lang w:eastAsia="ja-JP"/>
        </w:rPr>
        <w:tab/>
        <w:t>•</w:t>
      </w:r>
      <w:r>
        <w:rPr>
          <w:rFonts w:hint="cs"/>
          <w:rtl/>
          <w:lang w:eastAsia="ja-JP"/>
        </w:rPr>
        <w:tab/>
        <w:t xml:space="preserve">القانون رقم 14714/2004 بإعلان </w:t>
      </w:r>
      <w:r>
        <w:rPr>
          <w:rFonts w:hint="eastAsia"/>
          <w:rtl/>
          <w:lang w:eastAsia="ja-JP"/>
        </w:rPr>
        <w:t>”يوم مكافحة سرطان الثدي</w:t>
      </w:r>
      <w:r>
        <w:rPr>
          <w:rFonts w:hint="cs"/>
          <w:rtl/>
          <w:lang w:eastAsia="ja-JP"/>
        </w:rPr>
        <w:t>“ في ولاية غوياس؛</w:t>
      </w:r>
    </w:p>
    <w:p w:rsidR="001D311E" w:rsidRDefault="001D311E" w:rsidP="001D3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ja-JP"/>
        </w:rPr>
      </w:pPr>
      <w:r>
        <w:rPr>
          <w:rFonts w:hint="cs"/>
          <w:rtl/>
          <w:lang w:eastAsia="ja-JP"/>
        </w:rPr>
        <w:tab/>
        <w:t>•</w:t>
      </w:r>
      <w:r>
        <w:rPr>
          <w:rFonts w:hint="cs"/>
          <w:rtl/>
          <w:lang w:eastAsia="ja-JP"/>
        </w:rPr>
        <w:tab/>
        <w:t>القانون رقم 2610/2003 - بإنشاء برنامج ملجأ الولاية لضحايا العنف من الإناث، في ولاية ماتو غروسو دو سول؛</w:t>
      </w:r>
    </w:p>
    <w:p w:rsidR="001D311E" w:rsidRDefault="001D311E" w:rsidP="001D3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ja-JP"/>
        </w:rPr>
      </w:pPr>
      <w:r>
        <w:rPr>
          <w:rFonts w:hint="cs"/>
          <w:rtl/>
          <w:lang w:eastAsia="ja-JP"/>
        </w:rPr>
        <w:tab/>
        <w:t>•</w:t>
      </w:r>
      <w:r>
        <w:rPr>
          <w:rFonts w:hint="cs"/>
          <w:rtl/>
          <w:lang w:eastAsia="ja-JP"/>
        </w:rPr>
        <w:tab/>
        <w:t>القانون رقم 6681/2004 - بإنشاء مجلس الولاية لحقوق المرأة، في ولاية بارا؛</w:t>
      </w:r>
    </w:p>
    <w:p w:rsidR="001D311E" w:rsidRDefault="001D311E" w:rsidP="001D311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eastAsia="ja-JP"/>
        </w:rPr>
      </w:pPr>
      <w:r>
        <w:rPr>
          <w:rFonts w:hint="cs"/>
          <w:rtl/>
          <w:lang w:eastAsia="ja-JP"/>
        </w:rPr>
        <w:tab/>
        <w:t>•</w:t>
      </w:r>
      <w:r>
        <w:rPr>
          <w:rFonts w:hint="cs"/>
          <w:rtl/>
          <w:lang w:eastAsia="ja-JP"/>
        </w:rPr>
        <w:tab/>
        <w:t>القانون رقم 12630/2003 - بإنشاء برنامج الولاية لدعم المرأة في حالات العنف، في ولاية سانتا كاترينا.</w:t>
      </w:r>
    </w:p>
    <w:p w:rsidR="001D311E" w:rsidRDefault="001D311E" w:rsidP="004A3703">
      <w:pPr>
        <w:pStyle w:val="SingleTxt"/>
        <w:rPr>
          <w:rFonts w:hint="cs"/>
          <w:rtl/>
          <w:lang w:eastAsia="ja-JP"/>
        </w:rPr>
      </w:pPr>
      <w:r>
        <w:rPr>
          <w:rFonts w:hint="cs"/>
          <w:rtl/>
          <w:lang w:eastAsia="ja-JP"/>
        </w:rPr>
        <w:tab/>
        <w:t>وبموجب التوصية رقم 4، قدم اقتراح هام بإعطاء الأولوية لتنقيح الأحكام التمييزية في قانون العقوبات. ونتيجة لذلك، وافق مجلس النواب في جلسته العامة التي عقدت في 24</w:t>
      </w:r>
      <w:r>
        <w:rPr>
          <w:rFonts w:hint="eastAsia"/>
          <w:rtl/>
          <w:lang w:eastAsia="ja-JP"/>
        </w:rPr>
        <w:t> </w:t>
      </w:r>
      <w:r>
        <w:rPr>
          <w:rFonts w:hint="cs"/>
          <w:rtl/>
          <w:lang w:eastAsia="ja-JP"/>
        </w:rPr>
        <w:t xml:space="preserve">شباط/فبراير 2005 على سبع مواد من بديل مشروع القانون رقم 117/03 الذي تقدم به مجلس الشيوخ عن طريق النائبة إيارا برناردي. ويعدل هذا البديل قانون العقوبات فيمحو تعبير </w:t>
      </w:r>
      <w:r>
        <w:rPr>
          <w:rFonts w:hint="eastAsia"/>
          <w:rtl/>
          <w:lang w:eastAsia="ja-JP"/>
        </w:rPr>
        <w:t>”امرأة شريفة</w:t>
      </w:r>
      <w:r>
        <w:rPr>
          <w:rFonts w:hint="cs"/>
          <w:rtl/>
          <w:lang w:eastAsia="ja-JP"/>
        </w:rPr>
        <w:t xml:space="preserve">“، ويلغي وصف جريمة </w:t>
      </w:r>
      <w:r w:rsidR="00544B92">
        <w:rPr>
          <w:rFonts w:hint="cs"/>
          <w:rtl/>
          <w:lang w:eastAsia="ja-JP"/>
        </w:rPr>
        <w:t>الزنا</w:t>
      </w:r>
      <w:r>
        <w:rPr>
          <w:rFonts w:hint="cs"/>
          <w:rtl/>
          <w:lang w:eastAsia="ja-JP"/>
        </w:rPr>
        <w:t xml:space="preserve">، ويغير عنوان أحد أجزاء القانون بحيث يصبح </w:t>
      </w:r>
      <w:r>
        <w:rPr>
          <w:rFonts w:hint="eastAsia"/>
          <w:rtl/>
          <w:lang w:eastAsia="ja-JP"/>
        </w:rPr>
        <w:t>”القوادة والاتجار بالأشخاص</w:t>
      </w:r>
      <w:r>
        <w:rPr>
          <w:rFonts w:hint="cs"/>
          <w:rtl/>
          <w:lang w:eastAsia="ja-JP"/>
        </w:rPr>
        <w:t xml:space="preserve">“ بدلا من </w:t>
      </w:r>
      <w:r>
        <w:rPr>
          <w:rFonts w:hint="eastAsia"/>
          <w:rtl/>
          <w:lang w:eastAsia="ja-JP"/>
        </w:rPr>
        <w:t>”جرائم ضد الأعراف</w:t>
      </w:r>
      <w:r>
        <w:rPr>
          <w:rFonts w:hint="cs"/>
          <w:rtl/>
          <w:lang w:eastAsia="ja-JP"/>
        </w:rPr>
        <w:t>“، وهو العنوان الموجود حاليا. وسيحال مشروع القانون هذا لكي يصدق عليه الرئيس.</w:t>
      </w:r>
    </w:p>
    <w:p w:rsidR="001D311E" w:rsidRDefault="001D311E" w:rsidP="0041178D">
      <w:pPr>
        <w:pStyle w:val="SingleTxt"/>
        <w:rPr>
          <w:rFonts w:hint="cs"/>
          <w:rtl/>
          <w:lang w:eastAsia="ja-JP"/>
        </w:rPr>
      </w:pPr>
      <w:r>
        <w:rPr>
          <w:rFonts w:hint="cs"/>
          <w:rtl/>
          <w:lang w:eastAsia="ja-JP"/>
        </w:rPr>
        <w:tab/>
        <w:t>وفيما يلي تغييرات هامة أخرى مدخلة على قانون العقوبات:</w:t>
      </w:r>
    </w:p>
    <w:p w:rsidR="001D311E" w:rsidRDefault="00ED717A" w:rsidP="000D48E0">
      <w:pPr>
        <w:pStyle w:val="SingleTxt"/>
        <w:rPr>
          <w:rFonts w:hint="cs"/>
          <w:rtl/>
          <w:lang w:eastAsia="ja-JP"/>
        </w:rPr>
      </w:pPr>
      <w:r>
        <w:rPr>
          <w:rFonts w:hint="cs"/>
          <w:rtl/>
          <w:lang w:eastAsia="ja-JP"/>
        </w:rPr>
        <w:t>1 -</w:t>
      </w:r>
      <w:r w:rsidR="001D311E">
        <w:rPr>
          <w:rFonts w:hint="cs"/>
          <w:rtl/>
          <w:lang w:eastAsia="ja-JP"/>
        </w:rPr>
        <w:tab/>
        <w:t xml:space="preserve">بالنسبة لجريمة الخطف والسجن غير القانوني، تنطبق أيضا عقوبة السجن لمدة سنتين إلى خمس سنوات على الحالات التي تكون فيها الضحية هي مرافقة مرتكب الجريمة، أو تكون ضحية الجريمة قاصرا (دون سن 18 سنة) أو أن تكون الجريمة </w:t>
      </w:r>
      <w:r w:rsidR="000D48E0">
        <w:rPr>
          <w:rFonts w:hint="cs"/>
          <w:rtl/>
          <w:lang w:eastAsia="ja-JP"/>
        </w:rPr>
        <w:t xml:space="preserve">قد </w:t>
      </w:r>
      <w:r w:rsidR="001D311E">
        <w:rPr>
          <w:rFonts w:hint="cs"/>
          <w:rtl/>
          <w:lang w:eastAsia="ja-JP"/>
        </w:rPr>
        <w:t>ارتكبت لأغراض الفسق.</w:t>
      </w:r>
    </w:p>
    <w:p w:rsidR="001D311E" w:rsidRDefault="00ED717A" w:rsidP="0041178D">
      <w:pPr>
        <w:pStyle w:val="SingleTxt"/>
        <w:rPr>
          <w:rFonts w:hint="cs"/>
          <w:rtl/>
          <w:lang w:eastAsia="ja-JP"/>
        </w:rPr>
      </w:pPr>
      <w:r>
        <w:rPr>
          <w:rFonts w:hint="cs"/>
          <w:rtl/>
          <w:lang w:eastAsia="ja-JP"/>
        </w:rPr>
        <w:t>2 -</w:t>
      </w:r>
      <w:r w:rsidR="004A3703">
        <w:rPr>
          <w:rFonts w:hint="cs"/>
          <w:rtl/>
          <w:lang w:eastAsia="ja-JP"/>
        </w:rPr>
        <w:tab/>
        <w:t xml:space="preserve">بالنسبة للجرائم </w:t>
      </w:r>
      <w:r w:rsidR="000D48E0">
        <w:rPr>
          <w:rFonts w:hint="cs"/>
          <w:rtl/>
          <w:lang w:eastAsia="ja-JP"/>
        </w:rPr>
        <w:t xml:space="preserve">التي ترتكب </w:t>
      </w:r>
      <w:r w:rsidR="004A3703">
        <w:rPr>
          <w:rFonts w:hint="cs"/>
          <w:rtl/>
          <w:lang w:eastAsia="ja-JP"/>
        </w:rPr>
        <w:t>ضد الحرية الجنسية، تزيد العقوبة بمقدار النصف إذا كان مرتكب الجريمة سلفا، أو زوج أم، أو خالا، أو عما، أو أخا، أو زوجا، أو رفيقا، أو معلما خاصا، أو وصيا، أو مدرسا، أو موظفا لدى الضحية، أو ذا سلطة عليها إذا كانت له أية صفة أخرى.</w:t>
      </w:r>
    </w:p>
    <w:p w:rsidR="004A3703" w:rsidRDefault="00ED717A" w:rsidP="0041178D">
      <w:pPr>
        <w:pStyle w:val="SingleTxt"/>
        <w:rPr>
          <w:rFonts w:hint="cs"/>
          <w:rtl/>
          <w:lang w:eastAsia="ja-JP"/>
        </w:rPr>
      </w:pPr>
      <w:r>
        <w:rPr>
          <w:rFonts w:hint="cs"/>
          <w:rtl/>
          <w:lang w:eastAsia="ja-JP"/>
        </w:rPr>
        <w:t>3 -</w:t>
      </w:r>
      <w:r w:rsidR="004A3703">
        <w:rPr>
          <w:rFonts w:hint="cs"/>
          <w:rtl/>
          <w:lang w:eastAsia="ja-JP"/>
        </w:rPr>
        <w:tab/>
        <w:t>بالنسبة لجريمة استمالة شخص ما لتلبية شهوة شخص آخر، يعتبر الطرف الثالث مرتكبا للجريمة أيضا لأغراض تقرير العقوبة.</w:t>
      </w:r>
    </w:p>
    <w:p w:rsidR="004A3703" w:rsidRDefault="00ED717A" w:rsidP="0041178D">
      <w:pPr>
        <w:pStyle w:val="SingleTxt"/>
        <w:rPr>
          <w:rFonts w:hint="cs"/>
          <w:rtl/>
          <w:lang w:eastAsia="ja-JP"/>
        </w:rPr>
      </w:pPr>
      <w:r>
        <w:rPr>
          <w:rFonts w:hint="cs"/>
          <w:rtl/>
          <w:lang w:eastAsia="ja-JP"/>
        </w:rPr>
        <w:t>4 -</w:t>
      </w:r>
      <w:r w:rsidR="004A3703">
        <w:rPr>
          <w:rFonts w:hint="cs"/>
          <w:rtl/>
          <w:lang w:eastAsia="ja-JP"/>
        </w:rPr>
        <w:tab/>
        <w:t>بالنسبة لجريمة الاتجار الدولي بالأشخاص من أجل البغاء، تضاف غرامة كجزء من العقوبة في جميع تلك القضايا، وتضاف مادة جديدة لكي تصنف جريمة تجنيد، أو نقل، أو تحويل، أو إسكان أو إيواء شخص سيمارس البغاء.</w:t>
      </w:r>
    </w:p>
    <w:p w:rsidR="004A3703" w:rsidRDefault="00ED717A" w:rsidP="00455426">
      <w:pPr>
        <w:pStyle w:val="SingleTxt"/>
        <w:rPr>
          <w:rFonts w:hint="cs"/>
          <w:rtl/>
          <w:lang w:eastAsia="ja-JP"/>
        </w:rPr>
      </w:pPr>
      <w:r>
        <w:rPr>
          <w:rFonts w:hint="cs"/>
          <w:rtl/>
          <w:lang w:eastAsia="ja-JP"/>
        </w:rPr>
        <w:t>5 -</w:t>
      </w:r>
      <w:r w:rsidR="004A3703">
        <w:rPr>
          <w:rFonts w:hint="cs"/>
          <w:rtl/>
          <w:lang w:eastAsia="ja-JP"/>
        </w:rPr>
        <w:tab/>
        <w:t>تبطل أحكام زوال استحقاق العقاب في الحالات التي تتزوج فيها الضحية الوكيل أو طرفا ثالثا؛ فضلا عن جرائم إغراء عذراء، وخطف امرأة ش</w:t>
      </w:r>
      <w:r w:rsidR="00455426">
        <w:rPr>
          <w:rFonts w:hint="cs"/>
          <w:rtl/>
          <w:lang w:eastAsia="ja-JP"/>
        </w:rPr>
        <w:t xml:space="preserve">ريفة، وخطف قاصر بالتراضي، </w:t>
      </w:r>
      <w:r w:rsidR="00544B92">
        <w:rPr>
          <w:rFonts w:hint="cs"/>
          <w:rtl/>
          <w:lang w:eastAsia="ja-JP"/>
        </w:rPr>
        <w:t>والزنا</w:t>
      </w:r>
      <w:r w:rsidR="004A3703">
        <w:rPr>
          <w:rFonts w:hint="cs"/>
          <w:rtl/>
          <w:lang w:eastAsia="ja-JP"/>
        </w:rPr>
        <w:t>. ويبطل مشروع القانون أيضا تخفيض العقوبة على الخطف بغرض الزواج ويقيم التطبيق التراكمي لعقوبة الخطف مع العقوبة على جريمة أخرى دبرت ضد الضحية بعد خطفها.</w:t>
      </w:r>
    </w:p>
    <w:p w:rsidR="004A3703" w:rsidRDefault="007C029D" w:rsidP="000D48E0">
      <w:pPr>
        <w:pStyle w:val="SingleTxt"/>
        <w:rPr>
          <w:rFonts w:hint="cs"/>
          <w:rtl/>
          <w:lang w:eastAsia="ja-JP" w:bidi="ar-EG"/>
        </w:rPr>
      </w:pPr>
      <w:r>
        <w:rPr>
          <w:rFonts w:hint="cs"/>
          <w:rtl/>
          <w:lang w:eastAsia="ja-JP" w:bidi="ar-EG"/>
        </w:rPr>
        <w:tab/>
        <w:t xml:space="preserve">ومنذ بداية عام 2003، كانت حكومة البرازيل القوة الدافعة أيضا وراء عملية واسعة النطاق لإصلاح السلطة القضائية. والهدف الرئيسي هو إضفاء قدر أكبر من اليسر والوضوح </w:t>
      </w:r>
      <w:r w:rsidR="000D48E0">
        <w:rPr>
          <w:rFonts w:hint="cs"/>
          <w:rtl/>
          <w:lang w:eastAsia="ja-JP" w:bidi="ar-EG"/>
        </w:rPr>
        <w:t xml:space="preserve">على </w:t>
      </w:r>
      <w:r>
        <w:rPr>
          <w:rFonts w:hint="cs"/>
          <w:rtl/>
          <w:lang w:eastAsia="ja-JP" w:bidi="ar-EG"/>
        </w:rPr>
        <w:t>إدارة القضاء في البلد. والتعديل الدستوري رقم 45، الذي جرت الموافقة عليه في كانون الأول/ديسمبر 2004، ونشر في الاتحاد الرسمي اليومية يوم 31 من نفس الشهر، يتناول إصلاح السلطة القضائية. وسينهي هذا الإصلاح، ضمن تغييرات أخرى، الإجازات الجماعية لمحاكم الاستئناف.</w:t>
      </w:r>
    </w:p>
    <w:p w:rsidR="007C029D" w:rsidRDefault="007C029D" w:rsidP="0041178D">
      <w:pPr>
        <w:pStyle w:val="SingleTxt"/>
        <w:rPr>
          <w:rFonts w:hint="cs"/>
          <w:rtl/>
          <w:lang w:eastAsia="ja-JP" w:bidi="ar-EG"/>
        </w:rPr>
      </w:pPr>
      <w:r>
        <w:rPr>
          <w:rFonts w:hint="cs"/>
          <w:rtl/>
          <w:lang w:eastAsia="ja-JP" w:bidi="ar-EG"/>
        </w:rPr>
        <w:tab/>
        <w:t xml:space="preserve">ويلزم هذا التعديل نفس المحاكم أن تعمل في العطلات القانونية وعطلات نهاية الأسبوع. وفضلا عن ذلك، يجري توزيع الإجراءات القضائية على جميع صعد الولاية القضائية فور تسلمها. وسيكون لهذه التدابير أثر كبير على النظام القضائي برمته. ومما لا شك فيه أنها ستعود بالفائدة على النساء، وبخاصة الفقيرات والسود، اللاتي تمتعن عبر التاريخ بدرجة أقل من إمكانية </w:t>
      </w:r>
      <w:r w:rsidR="002F53A7">
        <w:rPr>
          <w:rFonts w:hint="cs"/>
          <w:rtl/>
          <w:lang w:eastAsia="ja-JP" w:bidi="ar-EG"/>
        </w:rPr>
        <w:t>الوصول إلى السلطة القضائية. ويتيح هذا التعديل الدستوري أيضا إنشاء محاكم متنقلة كجزء من المحاكم الاتحادية الإقليمية، ومحاكم العمل ومحاكم العدل الإقليمية، بالإضافة إلى أنه ينشئ مكاتب أمين مظالم العدالة التي تكلف بتلقي الشكاوى والادعاءات من أي طرف معني ضد أعضاء السلطة القضائية أو كياناتها.</w:t>
      </w:r>
    </w:p>
    <w:p w:rsidR="002F53A7" w:rsidRDefault="002F53A7" w:rsidP="000D48E0">
      <w:pPr>
        <w:pStyle w:val="SingleTxt"/>
        <w:rPr>
          <w:rFonts w:hint="cs"/>
          <w:rtl/>
          <w:lang w:eastAsia="ja-JP" w:bidi="ar-EG"/>
        </w:rPr>
      </w:pPr>
      <w:r>
        <w:rPr>
          <w:rFonts w:hint="cs"/>
          <w:rtl/>
          <w:lang w:eastAsia="ja-JP" w:bidi="ar-EG"/>
        </w:rPr>
        <w:tab/>
        <w:t xml:space="preserve">ومن </w:t>
      </w:r>
      <w:r w:rsidR="0032064F">
        <w:rPr>
          <w:rFonts w:hint="cs"/>
          <w:rtl/>
          <w:lang w:eastAsia="ja-JP" w:bidi="ar-EG"/>
        </w:rPr>
        <w:t>الجوانب الهامة الأخرى لهذا التعديل النص على حكم يسمح على سبيل المثال بالتطبيق المباشر بصورة أكبر للمعايير والاتفاقيات الدولية التي تحمي حقوق الإنسان و التي صدقت عليها البرازيل. وبناء على الإصلاح القضائي، تفقد هذه المعايير الدولية مركزها كقوانين عادية؛ وبعد أن</w:t>
      </w:r>
      <w:r w:rsidR="000D48E0">
        <w:rPr>
          <w:rFonts w:hint="cs"/>
          <w:rtl/>
          <w:lang w:eastAsia="ja-JP" w:bidi="ar-EG"/>
        </w:rPr>
        <w:t xml:space="preserve"> </w:t>
      </w:r>
      <w:r w:rsidR="0032064F">
        <w:rPr>
          <w:rFonts w:hint="cs"/>
          <w:rtl/>
          <w:lang w:eastAsia="ja-JP" w:bidi="ar-EG"/>
        </w:rPr>
        <w:t>تحصل على موافقة ثلاثة أخماس الأصوات في مجلسي النواب والشيوخ، سيكون لها نفس قوة التعديلات الدستورية، وستعامل كأحد تلك التعديلات. وينبع هذا التدبير مباشرة من الامتثال للتوصية رقم 2، التي تقترح أن توضح البرازيل مركز المعاهدات الدولية في هرمية القوانين البرازيلية.</w:t>
      </w:r>
    </w:p>
    <w:p w:rsidR="0032064F" w:rsidRDefault="0032064F" w:rsidP="0041178D">
      <w:pPr>
        <w:pStyle w:val="SingleTxt"/>
        <w:rPr>
          <w:rFonts w:hint="cs"/>
          <w:rtl/>
          <w:lang w:eastAsia="ja-JP" w:bidi="ar-EG"/>
        </w:rPr>
      </w:pPr>
      <w:r>
        <w:rPr>
          <w:rFonts w:hint="cs"/>
          <w:rtl/>
          <w:lang w:eastAsia="ja-JP" w:bidi="ar-EG"/>
        </w:rPr>
        <w:tab/>
        <w:t>ويتضمن الإصلاح القضائي تغييرا هاما آخر عن طريق السماح بجعل الجرائم ضد الأشخاص جرائم اتحادية: ففي قضايا الانتهاكات الخطيرة لحقوق الإنسان، سيتمكن المدعي العام للجمهورية من إحالة أية عملية أو أي تحقيق إلى القاضي الاتحادي. وهذا يكفل الامتثال للالتزامات الناتجة عن المعاهدات الدولية التي وقعت عليها البرازيل.</w:t>
      </w:r>
    </w:p>
    <w:p w:rsidR="0032064F" w:rsidRDefault="0032064F" w:rsidP="00CE0BB3">
      <w:pPr>
        <w:pStyle w:val="SingleTxt"/>
        <w:rPr>
          <w:rFonts w:hint="cs"/>
          <w:rtl/>
          <w:lang w:eastAsia="ja-JP" w:bidi="ar-EG"/>
        </w:rPr>
      </w:pPr>
      <w:r>
        <w:rPr>
          <w:rFonts w:hint="cs"/>
          <w:rtl/>
          <w:lang w:eastAsia="ja-JP" w:bidi="ar-EG"/>
        </w:rPr>
        <w:tab/>
        <w:t>ونتيجة لذلك، يمكن للمعاهدات الدولية، مثل الاتفاقية الأمريكية لحقوق الإنسان (اتفاق سان خوزيه، كوستاريكا)، أن يكون لها أثر مباشر على التدابير التي تتخذها المحاكم. ومن الأمثلة الأخرى للمعايير الدولية التي تتعلق بحقوق المرأة والتي ستكون لها قوة أكبر بعد هذا الإصلاح اتفاقية البلدان الأمريكية لمنع العنف ضد المرأة والمعاقبة عليه واستئصاله (اتفاقية بيليم دو بارا)، التي اعتمدتها الجمعية العامة لمنظمة الدول الأمريكية في 6 حزيران/يونيه 1994، وصدقت عليها البرازيل في 27 تشرين الثاني/نوفمبر 1995. وهناك فرصة أكبر لتخفيض أو حتى لتفادي حالات مثل الطلب المقدم في 20 آب/أغسطس 1998 من ماريا دا بين</w:t>
      </w:r>
      <w:r w:rsidR="00CE0BB3">
        <w:rPr>
          <w:rFonts w:hint="cs"/>
          <w:rtl/>
          <w:lang w:eastAsia="ja-JP" w:bidi="ar-EG"/>
        </w:rPr>
        <w:t>ي</w:t>
      </w:r>
      <w:r>
        <w:rPr>
          <w:rFonts w:hint="cs"/>
          <w:rtl/>
          <w:lang w:eastAsia="ja-JP" w:bidi="ar-EG"/>
        </w:rPr>
        <w:t>ا مايا فيرنانديز، من ولاية سييرا، لدى لجنة البلدان الأمريكية لحقوق الإنسان.</w:t>
      </w:r>
    </w:p>
    <w:p w:rsidR="0032064F" w:rsidRDefault="0032064F" w:rsidP="00CE0BB3">
      <w:pPr>
        <w:pStyle w:val="SingleTxt"/>
        <w:rPr>
          <w:rFonts w:hint="cs"/>
          <w:rtl/>
          <w:lang w:eastAsia="ja-JP" w:bidi="ar-EG"/>
        </w:rPr>
      </w:pPr>
      <w:r>
        <w:rPr>
          <w:rFonts w:hint="cs"/>
          <w:rtl/>
          <w:lang w:eastAsia="ja-JP" w:bidi="ar-EG"/>
        </w:rPr>
        <w:tab/>
        <w:t>وبالنسبة لحالة ماريا دا بين</w:t>
      </w:r>
      <w:r w:rsidR="00CE0BB3">
        <w:rPr>
          <w:rFonts w:hint="cs"/>
          <w:rtl/>
          <w:lang w:eastAsia="ja-JP" w:bidi="ar-EG"/>
        </w:rPr>
        <w:t>ي</w:t>
      </w:r>
      <w:r>
        <w:rPr>
          <w:rFonts w:hint="cs"/>
          <w:rtl/>
          <w:lang w:eastAsia="ja-JP" w:bidi="ar-EG"/>
        </w:rPr>
        <w:t>ا، تسعى حكومة البرازيل إلى إيجاد حل مرض. وفي 4</w:t>
      </w:r>
      <w:r w:rsidR="00CE0BB3">
        <w:rPr>
          <w:rFonts w:hint="eastAsia"/>
          <w:rtl/>
          <w:lang w:eastAsia="ja-JP" w:bidi="ar-EG"/>
        </w:rPr>
        <w:t> </w:t>
      </w:r>
      <w:r>
        <w:rPr>
          <w:rFonts w:hint="cs"/>
          <w:rtl/>
          <w:lang w:eastAsia="ja-JP" w:bidi="ar-EG"/>
        </w:rPr>
        <w:t xml:space="preserve">كانون الأول/ديسمبر 2004، أرسل تقرير عن وقائع القضية </w:t>
      </w:r>
      <w:r w:rsidR="00D428BA">
        <w:rPr>
          <w:rFonts w:hint="cs"/>
          <w:rtl/>
          <w:lang w:eastAsia="ja-JP" w:bidi="ar-EG"/>
        </w:rPr>
        <w:t>(رقم 54/01) إلى لجنة البلدان الأمريكية لحقوق الإنسان التابعة لمنظمة الدول الأمريكية. ويتضمن هذا التقرير اعتبارات بشأن الكيانات المسؤولة عن حماية حقوق المرأة وحقوق الإنسان.</w:t>
      </w:r>
    </w:p>
    <w:p w:rsidR="00D428BA" w:rsidRDefault="00D428BA" w:rsidP="0041178D">
      <w:pPr>
        <w:pStyle w:val="SingleTxt"/>
        <w:rPr>
          <w:rFonts w:hint="cs"/>
          <w:rtl/>
          <w:lang w:eastAsia="ja-JP" w:bidi="ar-EG"/>
        </w:rPr>
      </w:pPr>
      <w:r>
        <w:rPr>
          <w:rFonts w:hint="cs"/>
          <w:rtl/>
          <w:lang w:eastAsia="ja-JP" w:bidi="ar-EG"/>
        </w:rPr>
        <w:tab/>
        <w:t>وفيما يتعلق بالتعويض، أشارت الأمانة العامة لسياسات ا</w:t>
      </w:r>
      <w:r w:rsidR="00CE0BB3">
        <w:rPr>
          <w:rFonts w:hint="cs"/>
          <w:rtl/>
          <w:lang w:eastAsia="ja-JP" w:bidi="ar-EG"/>
        </w:rPr>
        <w:t>لمرأة عام 2004 إلى ماريا دا بيني</w:t>
      </w:r>
      <w:r>
        <w:rPr>
          <w:rFonts w:hint="cs"/>
          <w:rtl/>
          <w:lang w:eastAsia="ja-JP" w:bidi="ar-EG"/>
        </w:rPr>
        <w:t>ا مايا فيرنانديز بوصفها مرشحة للحصول على جائزة بيرثا لوتز التي يقدمها مجلس الشيوخ الاتحادي. ووافق مجلس الشيوخ على هذا الترشيح. وقدم</w:t>
      </w:r>
      <w:r w:rsidR="00CE0BB3">
        <w:rPr>
          <w:rFonts w:hint="cs"/>
          <w:rtl/>
          <w:lang w:eastAsia="ja-JP" w:bidi="ar-EG"/>
        </w:rPr>
        <w:t>ت</w:t>
      </w:r>
      <w:r>
        <w:rPr>
          <w:rFonts w:hint="cs"/>
          <w:rtl/>
          <w:lang w:eastAsia="ja-JP" w:bidi="ar-EG"/>
        </w:rPr>
        <w:t xml:space="preserve"> الجائزة في جلسة مهيبة في 10 آذار/مارس من ذلك العام.</w:t>
      </w:r>
    </w:p>
    <w:p w:rsidR="00D428BA" w:rsidRDefault="00D428BA" w:rsidP="0041178D">
      <w:pPr>
        <w:pStyle w:val="SingleTxt"/>
        <w:rPr>
          <w:rFonts w:hint="cs"/>
          <w:rtl/>
          <w:lang w:eastAsia="ja-JP" w:bidi="ar-EG"/>
        </w:rPr>
      </w:pPr>
      <w:r>
        <w:rPr>
          <w:rFonts w:hint="cs"/>
          <w:rtl/>
          <w:lang w:eastAsia="ja-JP" w:bidi="ar-EG"/>
        </w:rPr>
        <w:tab/>
        <w:t>ويجري اتخاذ مختلف الإجراءات لضمان الامتثال للتو</w:t>
      </w:r>
      <w:r w:rsidR="00060540">
        <w:rPr>
          <w:rFonts w:hint="cs"/>
          <w:rtl/>
          <w:lang w:eastAsia="ja-JP" w:bidi="ar-EG"/>
        </w:rPr>
        <w:t>صيتين رقمي 5 و 21، اللتين تتناولان بناء القدرات للمهنيين القانونيين وللجمهور بشكل عام فيما يتعلق بالاتفاقية وبروتوكولها الاختياري. وتتناول هاتان التوصيتان أيضا الارتقاء بالوعي بشأن الصكوك الدولية التي تعزز حقوق المرأة وتدافع عنها في نطاقات متنوعة.</w:t>
      </w:r>
    </w:p>
    <w:p w:rsidR="00060540" w:rsidRDefault="00060540" w:rsidP="0041178D">
      <w:pPr>
        <w:pStyle w:val="SingleTxt"/>
        <w:rPr>
          <w:rFonts w:hint="cs"/>
          <w:rtl/>
          <w:lang w:eastAsia="ja-JP" w:bidi="ar-EG"/>
        </w:rPr>
      </w:pPr>
      <w:r>
        <w:rPr>
          <w:rFonts w:hint="cs"/>
          <w:rtl/>
          <w:lang w:eastAsia="ja-JP" w:bidi="ar-EG"/>
        </w:rPr>
        <w:tab/>
        <w:t>وفيما يتعلق بالتوصية رقم 5 بصفة خاصة، من المهم أن نلاحظ أن مشروع القانون المعني بالعنف المنـزلي (المادة 8، القسم الثامن) يتيح لأعضاء السلطة القضائية بناء القدرات. ويرد نفس هذا الحكم في الخطة الوطنية لسياسات المرأة، كما يجري تناوله أيضا في الإصلاح القضائي.</w:t>
      </w:r>
    </w:p>
    <w:p w:rsidR="00060540" w:rsidRDefault="00060540" w:rsidP="00CE0BB3">
      <w:pPr>
        <w:pStyle w:val="SingleTxt"/>
        <w:rPr>
          <w:rFonts w:hint="cs"/>
          <w:rtl/>
          <w:lang w:eastAsia="ja-JP" w:bidi="ar-EG"/>
        </w:rPr>
      </w:pPr>
      <w:r>
        <w:rPr>
          <w:rFonts w:hint="cs"/>
          <w:rtl/>
          <w:lang w:eastAsia="ja-JP" w:bidi="ar-EG"/>
        </w:rPr>
        <w:tab/>
        <w:t>وهناك مثل هام على الأعمال التي تضطلع بها المنظمات غير الحكومية، وهي الأعمال التي يقوم بها ثيميس أسيسوريا جوريديكا إي إستادوس دي جينيرو كجزء من برنامج تدريب للمدعيات العامات الشعبيات. وهذا البرنامج المطبق منذ عام 19</w:t>
      </w:r>
      <w:r w:rsidR="00CE0BB3">
        <w:rPr>
          <w:rFonts w:hint="cs"/>
          <w:rtl/>
          <w:lang w:eastAsia="ja-JP" w:bidi="ar-EG"/>
        </w:rPr>
        <w:t>93</w:t>
      </w:r>
      <w:r>
        <w:rPr>
          <w:rFonts w:hint="cs"/>
          <w:rtl/>
          <w:lang w:eastAsia="ja-JP" w:bidi="ar-EG"/>
        </w:rPr>
        <w:t xml:space="preserve"> يدرب قادة المجتمعات المحلية الذين يقيمون في مجتمعات منخفضة الدخل تقع على أطراف الحضر على مفهومي حقوق الإنسان والتشريع، وعلى هيكل الدولة وعملها. وقد أعادت بالفعل 40</w:t>
      </w:r>
      <w:r>
        <w:rPr>
          <w:rFonts w:hint="eastAsia"/>
          <w:rtl/>
          <w:lang w:eastAsia="ja-JP" w:bidi="ar-EG"/>
        </w:rPr>
        <w:t> </w:t>
      </w:r>
      <w:r>
        <w:rPr>
          <w:rFonts w:hint="cs"/>
          <w:rtl/>
          <w:lang w:eastAsia="ja-JP" w:bidi="ar-EG"/>
        </w:rPr>
        <w:t xml:space="preserve">منظمة غير حكومية في 10 ولايات برازيلية تطبيق منهجية ثيميس للتدريب على برامج تدريب المدعيات العامات الشعبيات. وجهود التدريب في ولاية ريو غراندي دو سول، التي شارك فيها 11 كيانا من 11 بلدية مختلفة، أسفرت عن إنشاء شبكة الولاية للعدالة ونوع الجنس. وقد سبق </w:t>
      </w:r>
      <w:r w:rsidR="00324BED">
        <w:rPr>
          <w:rFonts w:hint="cs"/>
          <w:rtl/>
          <w:lang w:eastAsia="ja-JP" w:bidi="ar-EG"/>
        </w:rPr>
        <w:t>للكيانات الشريكة أن دربت ما مجموعه 500 من المدعيات العامات الشعبيات، واستقرت بالفعل جميع المدعيات الجدد في بلدياتهن، كل منهن في وحدتها المتعلقة بدائرة المعلومات للمرأة. وشنت شبكة الولاية للعدالة ونوع الجنس بين عامي 2003 و</w:t>
      </w:r>
      <w:r w:rsidR="00324BED">
        <w:rPr>
          <w:rFonts w:hint="eastAsia"/>
          <w:rtl/>
          <w:lang w:eastAsia="ja-JP" w:bidi="ar-EG"/>
        </w:rPr>
        <w:t> </w:t>
      </w:r>
      <w:r w:rsidR="00324BED">
        <w:rPr>
          <w:rFonts w:hint="cs"/>
          <w:rtl/>
          <w:lang w:eastAsia="ja-JP" w:bidi="ar-EG"/>
        </w:rPr>
        <w:t>2004 حملة على صعيد الولاية لمكافحة العنف الجنسي. وأقامت الحملة شراكات هامة مع السلطة القضائية ووسائط الإعلام والميدان الأكاديمي. وفي ولاية ريو غراندي دو سول، جرى تدريب أكثر من 700 من هؤلاء المدعيات، كما تعمل حوالي 200 مدعية كمتطوعات من أجل تعزيز حقوق الإنسان للمرأة والدفاع عن تلك الحقوق.</w:t>
      </w:r>
    </w:p>
    <w:p w:rsidR="00324BED" w:rsidRDefault="00324BED" w:rsidP="0041178D">
      <w:pPr>
        <w:pStyle w:val="SingleTxt"/>
        <w:rPr>
          <w:rFonts w:hint="cs"/>
          <w:rtl/>
          <w:lang w:eastAsia="ja-JP" w:bidi="ar-EG"/>
        </w:rPr>
      </w:pPr>
      <w:r>
        <w:rPr>
          <w:rFonts w:hint="cs"/>
          <w:rtl/>
          <w:lang w:eastAsia="ja-JP" w:bidi="ar-EG"/>
        </w:rPr>
        <w:tab/>
        <w:t>ونجاح تطبيق هذه التجربة على البالغات أدى بث</w:t>
      </w:r>
      <w:r w:rsidR="00CE0BB3">
        <w:rPr>
          <w:rFonts w:hint="cs"/>
          <w:rtl/>
          <w:lang w:eastAsia="ja-JP" w:bidi="ar-EG"/>
        </w:rPr>
        <w:t>ي</w:t>
      </w:r>
      <w:r>
        <w:rPr>
          <w:rFonts w:hint="cs"/>
          <w:rtl/>
          <w:lang w:eastAsia="ja-JP" w:bidi="ar-EG"/>
        </w:rPr>
        <w:t>ميس إلى النظر في ضرورة اقتراح نمط مماثل من التدريب للفتيات والنساء الصغيرات من أجل التدخل في أقرب وقت ممكن لمنع انتهاك حقوق المرأة ولدعم إجراء تحول ثقافي.</w:t>
      </w:r>
    </w:p>
    <w:p w:rsidR="00324BED" w:rsidRDefault="00324BED" w:rsidP="0041178D">
      <w:pPr>
        <w:pStyle w:val="SingleTxt"/>
        <w:rPr>
          <w:rFonts w:hint="cs"/>
          <w:rtl/>
          <w:lang w:eastAsia="ja-JP" w:bidi="ar-EG"/>
        </w:rPr>
      </w:pPr>
      <w:r>
        <w:rPr>
          <w:rFonts w:hint="cs"/>
          <w:rtl/>
          <w:lang w:eastAsia="ja-JP" w:bidi="ar-EG"/>
        </w:rPr>
        <w:tab/>
        <w:t>وبالتالي، أنشأت المنظمات غير الحكومية مشروعا رائدا لعامي 2003 و 2004 لتدريب مجموعة من الفتيات والنساء الصغيرات ممن يقعن في المجموعة العمرية 14-20 سنة. وجرى تدريبهن لكي يصبحن داعيات لتعزيز المساواة وحقوق الإنسان في مجالات نوع الجنس، والعنصر، والطبقة، والعمر - معلمات الشباب فيما يتعلق بالمواطنة.</w:t>
      </w:r>
    </w:p>
    <w:p w:rsidR="00324BED" w:rsidRDefault="00324BED" w:rsidP="0041178D">
      <w:pPr>
        <w:pStyle w:val="SingleTxt"/>
        <w:rPr>
          <w:rFonts w:hint="cs"/>
          <w:rtl/>
          <w:lang w:eastAsia="ja-JP" w:bidi="ar-EG"/>
        </w:rPr>
      </w:pPr>
      <w:r>
        <w:rPr>
          <w:rFonts w:hint="cs"/>
          <w:rtl/>
          <w:lang w:eastAsia="ja-JP" w:bidi="ar-EG"/>
        </w:rPr>
        <w:tab/>
        <w:t xml:space="preserve">وفي عام 2003، كانت توصيات اللجنة المعنية بالقضاء على التمييز ضد المرأة موضوع منشورين. وأعدت المنشور الأول منظمة غير حكومية برازيلية هي منظمة الأعمال المعنية بنوع الجنس والمواطنة والتنمية، وهي مركز تنسيق في البرازيل للحملة العالمية </w:t>
      </w:r>
      <w:r>
        <w:rPr>
          <w:rFonts w:hint="eastAsia"/>
          <w:rtl/>
          <w:lang w:eastAsia="ja-JP" w:bidi="ar-EG"/>
        </w:rPr>
        <w:t>”حقوق المرأة ليست خيارا</w:t>
      </w:r>
      <w:r>
        <w:rPr>
          <w:rFonts w:hint="cs"/>
          <w:rtl/>
          <w:lang w:eastAsia="ja-JP" w:bidi="ar-EG"/>
        </w:rPr>
        <w:t xml:space="preserve">“ للتصديق على بروتوكول الاتفاقية واستخدامه. أما المنشور الآخر فأصدرته حكومة البرازيل، وهو يتضمن تحديثا للتقرير الذي قدمته البرازيل، وإجابات وفد البرازيل على الأسئلة التي أثارتها اللجنة، والتوصيات التي قدمتها اللجنة إلى البرازيل. </w:t>
      </w:r>
      <w:r w:rsidR="00222C4A">
        <w:rPr>
          <w:rFonts w:hint="cs"/>
          <w:rtl/>
          <w:lang w:eastAsia="ja-JP" w:bidi="ar-EG"/>
        </w:rPr>
        <w:t>ووزع المنشوران على المنظمات التي تشكل جزءا من الحركات النسائية والحركات الداعية إلى المساواة بين الجنسين، وعلى البرلمانيين والمهنيين القانونيين.</w:t>
      </w:r>
    </w:p>
    <w:p w:rsidR="00222C4A" w:rsidRDefault="00222C4A" w:rsidP="0041178D">
      <w:pPr>
        <w:pStyle w:val="SingleTxt"/>
        <w:rPr>
          <w:rFonts w:hint="cs"/>
          <w:rtl/>
          <w:lang w:eastAsia="ja-JP" w:bidi="ar-EG"/>
        </w:rPr>
      </w:pPr>
      <w:r>
        <w:rPr>
          <w:rFonts w:hint="cs"/>
          <w:rtl/>
          <w:lang w:eastAsia="ja-JP" w:bidi="ar-EG"/>
        </w:rPr>
        <w:tab/>
        <w:t>وعقد اجتماع عام في مجلس النواب عام 2003 بحضور وزير الأمانة الخاصة لسياسات المرأة بغية الإعلان عن نتائج مشاركة البرازيل في الدورة الـ 29 للجنة المعنية بالقضاء على التمييز ضد المرأة.</w:t>
      </w:r>
    </w:p>
    <w:p w:rsidR="00222C4A" w:rsidRDefault="00222C4A" w:rsidP="00222C4A">
      <w:pPr>
        <w:pStyle w:val="SingleTxt"/>
        <w:rPr>
          <w:rFonts w:hint="cs"/>
          <w:rtl/>
          <w:lang w:eastAsia="ja-JP" w:bidi="ar-EG"/>
        </w:rPr>
      </w:pPr>
      <w:r>
        <w:rPr>
          <w:rFonts w:hint="cs"/>
          <w:rtl/>
          <w:lang w:eastAsia="ja-JP" w:bidi="ar-EG"/>
        </w:rPr>
        <w:tab/>
        <w:t xml:space="preserve">ويمكن الاطلاع على النص الكامل لهذين الصكين الهامين في موقع الأمانة الخاصة لسياسات المرأة على شبكة الإنترنت </w:t>
      </w:r>
      <w:hyperlink r:id="rId14" w:history="1">
        <w:r w:rsidRPr="00222C4A">
          <w:rPr>
            <w:rStyle w:val="Hyperlink"/>
          </w:rPr>
          <w:t>www.presidência.gov.br/spmulheres</w:t>
        </w:r>
      </w:hyperlink>
      <w:r>
        <w:rPr>
          <w:rFonts w:hint="cs"/>
          <w:rtl/>
          <w:lang w:eastAsia="ja-JP" w:bidi="ar-EG"/>
        </w:rPr>
        <w:t xml:space="preserve"> وفي عشرات من مواقع منظمات الحركات النسائية والحركات الداعية إلى المساواة بين الجنسين على شبكة الإنترنت، فضلا عن مواقع منظمات حقوق الإنسان بصفة عامة على شبكة الإنترنت.</w:t>
      </w:r>
    </w:p>
    <w:p w:rsidR="00222C4A" w:rsidRDefault="00222C4A" w:rsidP="0041178D">
      <w:pPr>
        <w:pStyle w:val="SingleTxt"/>
        <w:rPr>
          <w:rFonts w:hint="cs"/>
          <w:rtl/>
          <w:lang w:eastAsia="ja-JP" w:bidi="ar-EG"/>
        </w:rPr>
      </w:pPr>
      <w:r>
        <w:rPr>
          <w:rFonts w:hint="cs"/>
          <w:rtl/>
          <w:lang w:eastAsia="ja-JP" w:bidi="ar-EG"/>
        </w:rPr>
        <w:tab/>
        <w:t xml:space="preserve">ونوقش موضوع الاتفاقية في حلقات دراسية مختلفة كما شكل جزءا من </w:t>
      </w:r>
      <w:r>
        <w:rPr>
          <w:rFonts w:hint="eastAsia"/>
          <w:rtl/>
          <w:lang w:eastAsia="ja-JP" w:bidi="ar-EG"/>
        </w:rPr>
        <w:t>”البرنامج النموذجي الإقليمي لمنع العنف ضد المرأة داخل الأسرة وتقديم المساعدة في هذا الشأن</w:t>
      </w:r>
      <w:r>
        <w:rPr>
          <w:rFonts w:hint="cs"/>
          <w:rtl/>
          <w:lang w:eastAsia="ja-JP" w:bidi="ar-EG"/>
        </w:rPr>
        <w:t>“، الذي عقد في بورتو أليغري في أيلول/سبتمبر 2003. ونظمت هذا البرنامج النموذجي الأمانة الخاصة لحقوق الإنسان، ومصرف التنمية للبلدان الأمريكية، وصندوق الأمم المتحدة الإنمائي للمرأة، وثيميس. وحصل البرنامج على دعم الأمانة الخاصة لسياسات المرأة.</w:t>
      </w:r>
    </w:p>
    <w:p w:rsidR="00222C4A" w:rsidRDefault="00222C4A" w:rsidP="00CE0BB3">
      <w:pPr>
        <w:pStyle w:val="SingleTxt"/>
        <w:rPr>
          <w:rFonts w:hint="cs"/>
          <w:rtl/>
          <w:lang w:eastAsia="ja-JP" w:bidi="ar-EG"/>
        </w:rPr>
      </w:pPr>
      <w:r>
        <w:rPr>
          <w:rFonts w:hint="cs"/>
          <w:rtl/>
          <w:lang w:eastAsia="ja-JP" w:bidi="ar-EG"/>
        </w:rPr>
        <w:tab/>
        <w:t xml:space="preserve">وينبغي إلقاء الضوء أيضا على مبادرة مؤسسة الكساندر غوساميو، التابعة لوزارة الخارجية. وفي عام 2003 أصدرت المؤسسة كتاب </w:t>
      </w:r>
      <w:r>
        <w:rPr>
          <w:rFonts w:hint="eastAsia"/>
          <w:rtl/>
          <w:lang w:eastAsia="ja-JP" w:bidi="ar-EG"/>
        </w:rPr>
        <w:t>”دفاعا عن المرأة - صكوك دولية</w:t>
      </w:r>
      <w:r>
        <w:rPr>
          <w:rFonts w:hint="cs"/>
          <w:rtl/>
          <w:lang w:eastAsia="ja-JP" w:bidi="ar-EG"/>
        </w:rPr>
        <w:t xml:space="preserve">“، الذي تضمن النص الكامل لاتفاقية القضاء على جميع أشكال التمييز ضد المرأة وبروتوكولها الاختياري، واتفاقية بيليم دو بارا، وبرنامج </w:t>
      </w:r>
      <w:r w:rsidR="00CE0BB3">
        <w:rPr>
          <w:rFonts w:hint="cs"/>
          <w:rtl/>
          <w:lang w:eastAsia="ja-JP" w:bidi="ar-EG"/>
        </w:rPr>
        <w:t>ومنهاج عمل بيجين، وغيره</w:t>
      </w:r>
      <w:r w:rsidR="007A580C">
        <w:rPr>
          <w:rFonts w:hint="cs"/>
          <w:rtl/>
          <w:lang w:eastAsia="ja-JP" w:bidi="ar-EG"/>
        </w:rPr>
        <w:t>ا.</w:t>
      </w:r>
    </w:p>
    <w:p w:rsidR="007A580C" w:rsidRDefault="007A580C" w:rsidP="00CE0BB3">
      <w:pPr>
        <w:pStyle w:val="SingleTxt"/>
        <w:rPr>
          <w:rFonts w:hint="cs"/>
          <w:rtl/>
          <w:lang w:eastAsia="ja-JP" w:bidi="ar-EG"/>
        </w:rPr>
      </w:pPr>
      <w:r>
        <w:rPr>
          <w:rFonts w:hint="cs"/>
          <w:rtl/>
          <w:lang w:eastAsia="ja-JP" w:bidi="ar-EG"/>
        </w:rPr>
        <w:tab/>
        <w:t xml:space="preserve">وأنشئت هياكل هامة في وزارات وأمانات مختلفة، وكان الهدف المعلن هو صياغة سياسات تعالج القضايا الجنسانية. وإنشاء إدارة التعليم المتصل </w:t>
      </w:r>
      <w:r w:rsidR="00CE0BB3">
        <w:rPr>
          <w:rFonts w:hint="cs"/>
          <w:rtl/>
          <w:lang w:eastAsia="ja-JP" w:bidi="ar-EG"/>
        </w:rPr>
        <w:t>و</w:t>
      </w:r>
      <w:r>
        <w:rPr>
          <w:rFonts w:hint="cs"/>
          <w:rtl/>
          <w:lang w:eastAsia="ja-JP" w:bidi="ar-EG"/>
        </w:rPr>
        <w:t xml:space="preserve">محو الأمية </w:t>
      </w:r>
      <w:r w:rsidR="00CE0BB3">
        <w:rPr>
          <w:rFonts w:hint="cs"/>
          <w:rtl/>
          <w:lang w:eastAsia="ja-JP" w:bidi="ar-EG"/>
        </w:rPr>
        <w:t xml:space="preserve">والتنوع </w:t>
      </w:r>
      <w:r>
        <w:rPr>
          <w:rFonts w:hint="cs"/>
          <w:rtl/>
          <w:lang w:eastAsia="ja-JP" w:bidi="ar-EG"/>
        </w:rPr>
        <w:t>داخل وزارة التعليم كان خطوة إلى الأمام في هذه العملية.</w:t>
      </w:r>
    </w:p>
    <w:p w:rsidR="007A580C" w:rsidRPr="007A580C" w:rsidRDefault="007A580C" w:rsidP="007A580C">
      <w:pPr>
        <w:pStyle w:val="SingleTxt"/>
        <w:spacing w:after="0" w:line="120" w:lineRule="exact"/>
        <w:rPr>
          <w:rFonts w:hint="cs"/>
          <w:sz w:val="10"/>
          <w:rtl/>
          <w:lang w:eastAsia="ja-JP" w:bidi="ar-EG"/>
        </w:rPr>
      </w:pPr>
    </w:p>
    <w:p w:rsidR="007A580C" w:rsidRDefault="00DE2F66" w:rsidP="00DE2F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bidi="ar-EG"/>
        </w:rPr>
      </w:pPr>
      <w:r>
        <w:rPr>
          <w:rFonts w:hint="cs"/>
          <w:rtl/>
          <w:lang w:eastAsia="ja-JP" w:bidi="ar-EG"/>
        </w:rPr>
        <w:tab/>
      </w:r>
      <w:r>
        <w:rPr>
          <w:rFonts w:hint="cs"/>
          <w:rtl/>
          <w:lang w:eastAsia="ja-JP" w:bidi="ar-EG"/>
        </w:rPr>
        <w:tab/>
        <w:t>المادة 4 من اتفاقية القضاء على جميع أشكال التمييز ضد المرأة</w:t>
      </w:r>
    </w:p>
    <w:p w:rsidR="00DE2F66" w:rsidRPr="00DE2F66" w:rsidRDefault="00693982" w:rsidP="00693982">
      <w:pPr>
        <w:pStyle w:val="SingleTxt"/>
        <w:ind w:left="1930" w:hanging="663"/>
        <w:rPr>
          <w:rFonts w:hint="cs"/>
          <w:rtl/>
          <w:lang w:eastAsia="ja-JP" w:bidi="ar-EG"/>
        </w:rPr>
      </w:pPr>
      <w:r>
        <w:rPr>
          <w:rFonts w:hint="cs"/>
          <w:rtl/>
          <w:lang w:eastAsia="ja-JP" w:bidi="ar-EG"/>
        </w:rPr>
        <w:tab/>
      </w:r>
      <w:r>
        <w:rPr>
          <w:rFonts w:hint="cs"/>
          <w:rtl/>
          <w:lang w:eastAsia="ja-JP" w:bidi="ar-EG"/>
        </w:rPr>
        <w:tab/>
      </w:r>
      <w:r w:rsidR="00DE2F66" w:rsidRPr="00DE2F66">
        <w:rPr>
          <w:rFonts w:hint="cs"/>
          <w:rtl/>
          <w:lang w:eastAsia="ja-JP" w:bidi="ar-EG"/>
        </w:rPr>
        <w:t>1 -</w:t>
      </w:r>
      <w:r w:rsidR="00DE2F66" w:rsidRPr="00DE2F66">
        <w:rPr>
          <w:rFonts w:hint="cs"/>
          <w:rtl/>
          <w:lang w:eastAsia="ja-JP" w:bidi="ar-EG"/>
        </w:rPr>
        <w:tab/>
        <w:t>لا يعتبر اتخاذ الدول الأطراف تدابير خاصة مؤقتة تستهدف التعجيل بالمساواة الفعلية بين الرجل والمرأة تمييزا كما تحدده هذه الاتفاقية، ولكنه يجب ألا يستتبع بأي حال، كنتيجة له، الإبقاء على معايير غير متكافئة أو منفصلة؛ كما يجب وقف العمل بهذه التدابير عندما تكون أهداف التكافؤ في الفرص والمعاملة قد تحققت.</w:t>
      </w:r>
    </w:p>
    <w:p w:rsidR="00DE2F66" w:rsidRPr="00DE2F66" w:rsidRDefault="00693982" w:rsidP="00693982">
      <w:pPr>
        <w:pStyle w:val="SingleTxt"/>
        <w:ind w:left="1930" w:hanging="663"/>
        <w:rPr>
          <w:rFonts w:hint="cs"/>
          <w:rtl/>
          <w:lang w:eastAsia="ja-JP" w:bidi="ar-EG"/>
        </w:rPr>
      </w:pPr>
      <w:r>
        <w:rPr>
          <w:rFonts w:hint="cs"/>
          <w:rtl/>
          <w:lang w:eastAsia="ja-JP" w:bidi="ar-EG"/>
        </w:rPr>
        <w:tab/>
      </w:r>
      <w:r>
        <w:rPr>
          <w:rFonts w:hint="cs"/>
          <w:rtl/>
          <w:lang w:eastAsia="ja-JP" w:bidi="ar-EG"/>
        </w:rPr>
        <w:tab/>
      </w:r>
      <w:r w:rsidR="00DE2F66" w:rsidRPr="00DE2F66">
        <w:rPr>
          <w:rFonts w:hint="cs"/>
          <w:rtl/>
          <w:lang w:eastAsia="ja-JP" w:bidi="ar-EG"/>
        </w:rPr>
        <w:t>2 -</w:t>
      </w:r>
      <w:r w:rsidR="00DE2F66" w:rsidRPr="00DE2F66">
        <w:rPr>
          <w:rFonts w:hint="cs"/>
          <w:rtl/>
          <w:lang w:eastAsia="ja-JP" w:bidi="ar-EG"/>
        </w:rPr>
        <w:tab/>
        <w:t>لا يعتبر اتخاذ الدول الأطراف تدابير خاصة تستهدف حماية الأمومة، بما في ذلك تلك التدابير الواردة في هذه الاتفاقية، إجراءا تمييزيا.</w:t>
      </w:r>
    </w:p>
    <w:p w:rsidR="00DE2F66" w:rsidRDefault="00DE2F66" w:rsidP="0041178D">
      <w:pPr>
        <w:pStyle w:val="SingleTxt"/>
        <w:rPr>
          <w:rFonts w:hint="cs"/>
          <w:rtl/>
          <w:lang w:eastAsia="ja-JP" w:bidi="ar-EG"/>
        </w:rPr>
      </w:pPr>
      <w:r>
        <w:rPr>
          <w:rFonts w:hint="cs"/>
          <w:rtl/>
          <w:lang w:eastAsia="ja-JP" w:bidi="ar-EG"/>
        </w:rPr>
        <w:tab/>
        <w:t xml:space="preserve">أثناء الفترة التي يشملها هذا التقرير، اتخذت مجموعة من الأعمال الإيجابية من أجل المرأة. ومن بعض أمثلة هذه السياسات التي نفذت في البرازيل: الحصص في الميدان السياسي، وحجز الشواغر في برامج التدريب، وإعطاء الأولوية للمرأة في التوظيف والمعيشة وبرامج محو الأمية للكبار. وتقترح التوصية رقم 17 للجنة المعنية بالقضاء على التمييز ضد المرأة اتخاذ تدابير خاصة، </w:t>
      </w:r>
      <w:r w:rsidR="00BB030E">
        <w:rPr>
          <w:rFonts w:hint="cs"/>
          <w:rtl/>
          <w:lang w:eastAsia="ja-JP" w:bidi="ar-EG"/>
        </w:rPr>
        <w:t>ذات طبيعة مؤقتة، للتعجيل بعملية تحقيق المساواة.</w:t>
      </w:r>
    </w:p>
    <w:p w:rsidR="00BB030E" w:rsidRDefault="00BB030E" w:rsidP="00CE0BB3">
      <w:pPr>
        <w:pStyle w:val="SingleTxt"/>
        <w:rPr>
          <w:rFonts w:hint="cs"/>
          <w:rtl/>
          <w:lang w:eastAsia="ja-JP" w:bidi="ar-EG"/>
        </w:rPr>
      </w:pPr>
      <w:r>
        <w:rPr>
          <w:rFonts w:hint="cs"/>
          <w:rtl/>
          <w:lang w:eastAsia="ja-JP" w:bidi="ar-EG"/>
        </w:rPr>
        <w:tab/>
        <w:t>وفي عام 2001 اتضح لبرنامج الإجراءات الإيجابية التابعة لوزارة التنمية الزراعية أن الائتمان المخصص للمرأة يشكل أقل من 10 في المائة من المنح المعطاة للمستوطنين. ورغبة في تغيير هذه الحالة، نص القرار الإداري رقم 121 المؤرخ 22 أيار/مايو 2001 على أنه من الأفضل أن تعطي نسبة 30 في المائة على الأقل من موارد البرنامج الوطني للزراعة الأسرية للعاملات الزراعيات.</w:t>
      </w:r>
    </w:p>
    <w:p w:rsidR="00BB030E" w:rsidRDefault="00BB030E" w:rsidP="0041178D">
      <w:pPr>
        <w:pStyle w:val="SingleTxt"/>
        <w:rPr>
          <w:rFonts w:hint="cs"/>
          <w:rtl/>
          <w:lang w:eastAsia="ja-JP" w:bidi="ar-EG"/>
        </w:rPr>
      </w:pPr>
      <w:r>
        <w:rPr>
          <w:rFonts w:hint="cs"/>
          <w:rtl/>
          <w:lang w:eastAsia="ja-JP" w:bidi="ar-EG"/>
        </w:rPr>
        <w:tab/>
        <w:t>ويتضمن النظام الأساسي للمسنين (2003) أحكاما للأعمال الإيجابية للمسنين. وعلى سبيل المثال، يجب أن تخصص الحكومة 3 في المائة من وحداتها للمسنين في ظل برامج الإسكان.</w:t>
      </w:r>
    </w:p>
    <w:p w:rsidR="00BB030E" w:rsidRDefault="00BB030E" w:rsidP="004E2C7F">
      <w:pPr>
        <w:pStyle w:val="SingleTxt"/>
        <w:rPr>
          <w:rFonts w:hint="cs"/>
          <w:rtl/>
          <w:lang w:eastAsia="ja-JP" w:bidi="ar-EG"/>
        </w:rPr>
      </w:pPr>
      <w:r>
        <w:rPr>
          <w:rFonts w:hint="cs"/>
          <w:rtl/>
          <w:lang w:eastAsia="ja-JP" w:bidi="ar-EG"/>
        </w:rPr>
        <w:tab/>
        <w:t>واتخذت حكومة البرازيل عمل</w:t>
      </w:r>
      <w:r w:rsidR="00CE0BB3">
        <w:rPr>
          <w:rFonts w:hint="cs"/>
          <w:rtl/>
          <w:lang w:eastAsia="ja-JP" w:bidi="ar-EG"/>
        </w:rPr>
        <w:t>ا</w:t>
      </w:r>
      <w:r>
        <w:rPr>
          <w:rFonts w:hint="cs"/>
          <w:rtl/>
          <w:lang w:eastAsia="ja-JP" w:bidi="ar-EG"/>
        </w:rPr>
        <w:t xml:space="preserve"> إيجابيا مختلفا</w:t>
      </w:r>
      <w:r w:rsidR="00CE0BB3">
        <w:rPr>
          <w:rFonts w:hint="cs"/>
          <w:rtl/>
          <w:lang w:eastAsia="ja-JP" w:bidi="ar-EG"/>
        </w:rPr>
        <w:t>.</w:t>
      </w:r>
      <w:r>
        <w:rPr>
          <w:rFonts w:hint="cs"/>
          <w:rtl/>
          <w:lang w:eastAsia="ja-JP" w:bidi="ar-EG"/>
        </w:rPr>
        <w:t xml:space="preserve"> وبالإضافة إلى تخصيص حصص للسود في الميدان السياسي (</w:t>
      </w:r>
      <w:r w:rsidR="004E2C7F">
        <w:rPr>
          <w:rFonts w:hint="cs"/>
          <w:rtl/>
          <w:lang w:eastAsia="ja-JP" w:bidi="ar-EG"/>
        </w:rPr>
        <w:t>كما يرد</w:t>
      </w:r>
      <w:r>
        <w:rPr>
          <w:rFonts w:hint="cs"/>
          <w:rtl/>
          <w:lang w:eastAsia="ja-JP" w:bidi="ar-EG"/>
        </w:rPr>
        <w:t xml:space="preserve"> في المادة 7)، تزداد </w:t>
      </w:r>
      <w:r w:rsidR="004E2C7F">
        <w:rPr>
          <w:rFonts w:hint="cs"/>
          <w:rtl/>
          <w:lang w:eastAsia="ja-JP" w:bidi="ar-EG"/>
        </w:rPr>
        <w:t xml:space="preserve">قوة </w:t>
      </w:r>
      <w:r>
        <w:rPr>
          <w:rFonts w:hint="cs"/>
          <w:rtl/>
          <w:lang w:eastAsia="ja-JP" w:bidi="ar-EG"/>
        </w:rPr>
        <w:t>المناقشة حول تخصيص حصص لهم في الجامعات.</w:t>
      </w:r>
    </w:p>
    <w:p w:rsidR="00BB030E" w:rsidRDefault="00BB030E" w:rsidP="004E2C7F">
      <w:pPr>
        <w:pStyle w:val="SingleTxt"/>
        <w:rPr>
          <w:rFonts w:hint="cs"/>
          <w:rtl/>
          <w:lang w:eastAsia="ja-JP" w:bidi="ar-EG"/>
        </w:rPr>
      </w:pPr>
      <w:r>
        <w:rPr>
          <w:rFonts w:hint="cs"/>
          <w:rtl/>
          <w:lang w:eastAsia="ja-JP" w:bidi="ar-EG"/>
        </w:rPr>
        <w:tab/>
        <w:t>وفي كانون الأول/ديسمبر 2002، نفذت وزارة التعليم برنامج التنوع الجامعي بغية التشجيع على تعزيز العدل والتنوع في التعليم العالي للبرازيليين من أصل أفريقي، والسكان الأصليين، والجماعات الأخرى المهمشة اجتماعيا</w:t>
      </w:r>
      <w:r w:rsidR="004E2C7F">
        <w:rPr>
          <w:rFonts w:hint="cs"/>
          <w:rtl/>
          <w:lang w:eastAsia="ja-JP" w:bidi="ar-EG"/>
        </w:rPr>
        <w:t>.</w:t>
      </w:r>
      <w:r>
        <w:rPr>
          <w:rFonts w:hint="cs"/>
          <w:rtl/>
          <w:lang w:eastAsia="ja-JP" w:bidi="ar-EG"/>
        </w:rPr>
        <w:t xml:space="preserve"> ويتألف هذا البرنامج من: (1) تقديم المساعدة، على نحو تشاركي، في مجال رسم السياسات والاستراتيجيات من أجل الإدماج الاجتماعي ولمكافحة التمييز العنصري والإثني في التعليم المتوسط والعالي؛ و (2) تدعيم قدرة وزارة التعلي</w:t>
      </w:r>
      <w:r w:rsidR="004E2C7F">
        <w:rPr>
          <w:rFonts w:hint="cs"/>
          <w:rtl/>
          <w:lang w:eastAsia="ja-JP" w:bidi="ar-EG"/>
        </w:rPr>
        <w:t>م على تقديم الإرشاد اللازم لصياغ</w:t>
      </w:r>
      <w:r>
        <w:rPr>
          <w:rFonts w:hint="cs"/>
          <w:rtl/>
          <w:lang w:eastAsia="ja-JP" w:bidi="ar-EG"/>
        </w:rPr>
        <w:t>ة هذه السياسات والاستراتيجيات؛ و</w:t>
      </w:r>
      <w:r>
        <w:rPr>
          <w:rFonts w:hint="eastAsia"/>
          <w:rtl/>
          <w:lang w:eastAsia="ja-JP" w:bidi="ar-EG"/>
        </w:rPr>
        <w:t> </w:t>
      </w:r>
      <w:r>
        <w:rPr>
          <w:rFonts w:hint="cs"/>
          <w:rtl/>
          <w:lang w:eastAsia="ja-JP" w:bidi="ar-EG"/>
        </w:rPr>
        <w:t>(3)</w:t>
      </w:r>
      <w:r>
        <w:rPr>
          <w:rFonts w:hint="eastAsia"/>
          <w:rtl/>
          <w:lang w:eastAsia="ja-JP" w:bidi="ar-EG"/>
        </w:rPr>
        <w:t> </w:t>
      </w:r>
      <w:r>
        <w:rPr>
          <w:rFonts w:hint="cs"/>
          <w:rtl/>
          <w:lang w:eastAsia="ja-JP" w:bidi="ar-EG"/>
        </w:rPr>
        <w:t xml:space="preserve">دعم وتطوير وتقييم المشروعات المبتكرة التي يمكن أن تسهم في هذه السياسات </w:t>
      </w:r>
      <w:r w:rsidR="00A254D7">
        <w:rPr>
          <w:rFonts w:hint="cs"/>
          <w:rtl/>
          <w:lang w:eastAsia="ja-JP" w:bidi="ar-EG"/>
        </w:rPr>
        <w:t>والاستراتيجيات.</w:t>
      </w:r>
    </w:p>
    <w:p w:rsidR="00A254D7" w:rsidRDefault="00A254D7" w:rsidP="00BB030E">
      <w:pPr>
        <w:pStyle w:val="SingleTxt"/>
        <w:rPr>
          <w:rFonts w:hint="cs"/>
          <w:rtl/>
          <w:lang w:eastAsia="ja-JP" w:bidi="ar-EG"/>
        </w:rPr>
      </w:pPr>
      <w:r>
        <w:rPr>
          <w:rFonts w:hint="cs"/>
          <w:rtl/>
          <w:lang w:eastAsia="ja-JP" w:bidi="ar-EG"/>
        </w:rPr>
        <w:tab/>
        <w:t>وشكلت وزارة التعليم، مع الأمانة الخاصة لسياسات تعزيز المساواة العنصرية لجنة مشتركة بين الوزارات لسياسات العمل الإيجابي. وصاغت هذه اللجنة مشروع القرار 3627/04 الذي ينظر فيه مجلس النواب في الوقت الحالي، والذي ينشئ النظام الخاص للشواغر في المؤسسات العامة الاتحادية في التعليم العالي للطلبة الذين يتخرجون في المدارس الحكومية، وبخاصة السود والسكان الأصليون.</w:t>
      </w:r>
    </w:p>
    <w:p w:rsidR="00A254D7" w:rsidRDefault="00A254D7" w:rsidP="00BB030E">
      <w:pPr>
        <w:pStyle w:val="SingleTxt"/>
        <w:rPr>
          <w:rFonts w:hint="cs"/>
          <w:rtl/>
          <w:lang w:eastAsia="ja-JP" w:bidi="ar-EG"/>
        </w:rPr>
      </w:pPr>
      <w:r>
        <w:rPr>
          <w:rFonts w:hint="cs"/>
          <w:rtl/>
          <w:lang w:eastAsia="ja-JP" w:bidi="ar-EG"/>
        </w:rPr>
        <w:tab/>
        <w:t>وحتى قبل تمرير مشروع القانون هذا، سبق لجامعات حكومية عديدة أن نفذت نظام الحصص. وفي عام 2003 كانت أول ا لمؤسسات التي احتضنت هذا النظام: جامعة ريو دي جانيرو الحكومية، وجامعة شمال فلوميننس الحكومية، وجامعة باهيا الحكومية، وجامعة ماتو غروسو دو سول الحكومية. وترأس امرأتان جامعتين من هذه الجامعات، وهما جامعة ريو دي جانيرو وجامعة ولاية باهيا (رئيسة سوداء). وفي عام 2004، أصبحت جامعة برازيليا أول جامعة اتحادية تطبق نظام الحصص القائم على أساس العنصر.</w:t>
      </w:r>
    </w:p>
    <w:p w:rsidR="00A254D7" w:rsidRDefault="00A254D7" w:rsidP="00BB030E">
      <w:pPr>
        <w:pStyle w:val="SingleTxt"/>
        <w:rPr>
          <w:rFonts w:hint="cs"/>
          <w:rtl/>
          <w:lang w:eastAsia="ja-JP" w:bidi="ar-EG"/>
        </w:rPr>
      </w:pPr>
      <w:r>
        <w:rPr>
          <w:rFonts w:hint="cs"/>
          <w:rtl/>
          <w:lang w:eastAsia="ja-JP" w:bidi="ar-EG"/>
        </w:rPr>
        <w:tab/>
        <w:t>وبانتهاء عام 2004 كانت هناك 17 جامعة حكومية تنفذ نظام الحصص للبرازيليين من أصل أفريقي والسكان الأصليين، وتضم هذه الجامعات 10 من جامعات الولايات (إحداها تخصص حصصا للسكان الأصليين فقط) و 7 من الجامعات الاتحادية (إحداها تخصص حصصا للسكان الأصليين فقط). ولما كان للجامعات استقلال ذاتي، فلكل منها نسبة مئوية مختلفة لتنفيذ هذا النظام. وعلى سبيل المثال، فإن جامعة الإغواس الاتحادية هي الجامعة الوحيدة التي تنص على أن نسبة الـ 20 في المائة من البرازيليين من أصل أفريقي يجب أن تتكون من 60 في المائة من النساء و 40 في المائة من الرجال.</w:t>
      </w:r>
    </w:p>
    <w:p w:rsidR="00A254D7" w:rsidRDefault="00A254D7" w:rsidP="004E2C7F">
      <w:pPr>
        <w:pStyle w:val="SingleTxt"/>
        <w:rPr>
          <w:rFonts w:hint="cs"/>
          <w:rtl/>
          <w:lang w:eastAsia="ja-JP" w:bidi="ar-EG"/>
        </w:rPr>
      </w:pPr>
      <w:r>
        <w:rPr>
          <w:rFonts w:hint="cs"/>
          <w:rtl/>
          <w:lang w:eastAsia="ja-JP" w:bidi="ar-EG"/>
        </w:rPr>
        <w:tab/>
        <w:t>وفي تشرين الثاني/نوفمبر 1994 وضعت وزارة التعليم برنامج جامعة للجم</w:t>
      </w:r>
      <w:r w:rsidR="004E2C7F">
        <w:rPr>
          <w:rFonts w:hint="cs"/>
          <w:rtl/>
          <w:lang w:eastAsia="ja-JP" w:bidi="ar-EG"/>
        </w:rPr>
        <w:t>ي</w:t>
      </w:r>
      <w:r>
        <w:rPr>
          <w:rFonts w:hint="cs"/>
          <w:rtl/>
          <w:lang w:eastAsia="ja-JP" w:bidi="ar-EG"/>
        </w:rPr>
        <w:t>ع، بغرض تقديم منح دراسية كاملة أو جزئية بنسبة 50 في المائة أو 25 في المائة لطلبة برامج مستوى البكالوريوس وبرامج تعليمية معينة أخرى في مؤسسات التعليم العالي الخاصة التي تدر ربحا أو التي لا تستهدف الربح. وهذا البرنامج مصمم لتنفيذ السياسات الإيجابية من أجل تمكين المعوقين أو من أعلنوا أنهم من السكان الأصليين أو السود من الحصول على التعليم العالي.</w:t>
      </w:r>
    </w:p>
    <w:p w:rsidR="00A254D7" w:rsidRDefault="00A254D7" w:rsidP="00BB030E">
      <w:pPr>
        <w:pStyle w:val="SingleTxt"/>
        <w:rPr>
          <w:rFonts w:hint="cs"/>
          <w:rtl/>
          <w:lang w:eastAsia="ja-JP" w:bidi="ar-EG"/>
        </w:rPr>
      </w:pPr>
      <w:r>
        <w:rPr>
          <w:rFonts w:hint="cs"/>
          <w:rtl/>
          <w:lang w:eastAsia="ja-JP" w:bidi="ar-EG"/>
        </w:rPr>
        <w:tab/>
        <w:t xml:space="preserve">وفي كانون الأول/ديسمبر 2004 شنت وزارة التعليم مشروعا أوليا من أجل الإصلاح الجامعي، ويغطي هذا المشروع التعليم العالي في البرازيل. والقسم الثالث من هذه التعليمات، وهو </w:t>
      </w:r>
      <w:r>
        <w:rPr>
          <w:rFonts w:hint="eastAsia"/>
          <w:rtl/>
          <w:lang w:eastAsia="ja-JP" w:bidi="ar-EG"/>
        </w:rPr>
        <w:t>”الأعمال والسياسات الإيجابية الحكومية</w:t>
      </w:r>
      <w:r>
        <w:rPr>
          <w:rFonts w:hint="cs"/>
          <w:rtl/>
          <w:lang w:eastAsia="ja-JP" w:bidi="ar-EG"/>
        </w:rPr>
        <w:t>“ يتناول إنشاء المؤسسات الاتحادية للتعليم العالي نظام</w:t>
      </w:r>
      <w:r w:rsidR="004E2C7F">
        <w:rPr>
          <w:rFonts w:hint="cs"/>
          <w:rtl/>
          <w:lang w:eastAsia="ja-JP" w:bidi="ar-EG"/>
        </w:rPr>
        <w:t>ا</w:t>
      </w:r>
      <w:r>
        <w:rPr>
          <w:rFonts w:hint="cs"/>
          <w:rtl/>
          <w:lang w:eastAsia="ja-JP" w:bidi="ar-EG"/>
        </w:rPr>
        <w:t xml:space="preserve"> لتخصيص شواغر لطلبة المدارس الحكومية. </w:t>
      </w:r>
      <w:r w:rsidR="003755FE">
        <w:rPr>
          <w:rFonts w:hint="cs"/>
          <w:rtl/>
          <w:lang w:eastAsia="ja-JP" w:bidi="ar-EG"/>
        </w:rPr>
        <w:t>ويجري تحديد نسبة تمثيل من يعلنون أنهم من السود أو السكان الأصليين وفقا للنسبة التي يعينها المعهد البرازيلي للجغرافيا والإحصاءات لكل ولاية.</w:t>
      </w:r>
    </w:p>
    <w:p w:rsidR="003755FE" w:rsidRDefault="003755FE" w:rsidP="003755FE">
      <w:pPr>
        <w:pStyle w:val="SingleTxt"/>
        <w:rPr>
          <w:rFonts w:hint="cs"/>
          <w:rtl/>
          <w:lang w:eastAsia="ja-JP" w:bidi="ar-EG"/>
        </w:rPr>
      </w:pPr>
      <w:r>
        <w:rPr>
          <w:rFonts w:hint="cs"/>
          <w:rtl/>
          <w:lang w:eastAsia="ja-JP" w:bidi="ar-EG"/>
        </w:rPr>
        <w:tab/>
        <w:t>ومن الجوانب الأخرى لمكافحة حكومة البرازيل التمييز العنصري عقد حلقات عمل لبناء قدرات المعلمين. وهذه الحلقات جزء من تنفيذ القانون رقم 10</w:t>
      </w:r>
      <w:r w:rsidR="00E626C8">
        <w:rPr>
          <w:rFonts w:hint="cs"/>
          <w:rtl/>
          <w:lang w:eastAsia="ja-JP" w:bidi="ar-EG"/>
        </w:rPr>
        <w:t>6</w:t>
      </w:r>
      <w:r>
        <w:rPr>
          <w:rFonts w:hint="cs"/>
          <w:rtl/>
          <w:lang w:eastAsia="ja-JP" w:bidi="ar-EG"/>
        </w:rPr>
        <w:t>39/03 الذي يتناول تعليم الثقافة البرازيلية ذات الأصل الأفريقي في المدارس.</w:t>
      </w:r>
    </w:p>
    <w:p w:rsidR="003755FE" w:rsidRDefault="003755FE" w:rsidP="004E2C7F">
      <w:pPr>
        <w:pStyle w:val="SingleTxt"/>
        <w:rPr>
          <w:rFonts w:hint="cs"/>
          <w:rtl/>
          <w:lang w:eastAsia="ja-JP" w:bidi="ar-EG"/>
        </w:rPr>
      </w:pPr>
      <w:r>
        <w:rPr>
          <w:rFonts w:hint="cs"/>
          <w:rtl/>
          <w:lang w:eastAsia="ja-JP" w:bidi="ar-EG"/>
        </w:rPr>
        <w:tab/>
        <w:t xml:space="preserve">ومن الأعمال الهامة الأخرى التي تضطلع بها الأمانة الخاصة لسياسات تعزيز المساواة العنصرية تقديم قسم التاريخ بجامعة برازيليا دراسات عليا متخصصة عن </w:t>
      </w:r>
      <w:r>
        <w:rPr>
          <w:rFonts w:hint="eastAsia"/>
          <w:rtl/>
          <w:lang w:eastAsia="ja-JP" w:bidi="ar-EG"/>
        </w:rPr>
        <w:t>”الثقافات السوداء في ال</w:t>
      </w:r>
      <w:r w:rsidR="00437803">
        <w:rPr>
          <w:rFonts w:hint="cs"/>
          <w:rtl/>
          <w:lang w:eastAsia="ja-JP" w:bidi="ar-EG"/>
        </w:rPr>
        <w:t>تيه الأطلسي</w:t>
      </w:r>
      <w:r w:rsidR="00437803">
        <w:rPr>
          <w:rFonts w:hint="eastAsia"/>
          <w:rtl/>
          <w:lang w:eastAsia="ja-JP" w:bidi="ar-EG"/>
        </w:rPr>
        <w:t xml:space="preserve">“. </w:t>
      </w:r>
      <w:r w:rsidR="00437803">
        <w:rPr>
          <w:rFonts w:hint="cs"/>
          <w:rtl/>
          <w:lang w:eastAsia="ja-JP" w:bidi="ar-EG"/>
        </w:rPr>
        <w:t xml:space="preserve">ومولت الأمانة المشروع عن طريق إنتاج وتوزيع مواد تعليمية مقسمة </w:t>
      </w:r>
      <w:r w:rsidR="004E2C7F">
        <w:rPr>
          <w:rFonts w:hint="cs"/>
          <w:rtl/>
          <w:lang w:eastAsia="ja-JP" w:bidi="ar-EG"/>
        </w:rPr>
        <w:t xml:space="preserve">إلى 13 من النماذج الميدانية والأحاديث والحلقات الدراسية ومناقشة الرسائل العلمية. </w:t>
      </w:r>
      <w:r w:rsidR="00437803">
        <w:rPr>
          <w:rFonts w:hint="cs"/>
          <w:rtl/>
          <w:lang w:eastAsia="ja-JP" w:bidi="ar-EG"/>
        </w:rPr>
        <w:t>وبدأ المشروع في تشرين الأول/أكتوبر 2004 وسيستمر حتى كانون الأول/ديسمبر 2005.</w:t>
      </w:r>
    </w:p>
    <w:p w:rsidR="00437803" w:rsidRDefault="00437803" w:rsidP="004E2C7F">
      <w:pPr>
        <w:pStyle w:val="SingleTxt"/>
        <w:rPr>
          <w:rFonts w:hint="cs"/>
          <w:rtl/>
          <w:lang w:eastAsia="ja-JP" w:bidi="ar-EG"/>
        </w:rPr>
      </w:pPr>
      <w:r>
        <w:rPr>
          <w:rFonts w:hint="cs"/>
          <w:rtl/>
          <w:lang w:eastAsia="ja-JP" w:bidi="ar-EG"/>
        </w:rPr>
        <w:tab/>
        <w:t xml:space="preserve">وشنت الأمانة حملات تعليمية وثقافية أيضا لمكافحة التحيز والتمييز. ومن أمثلة ذلك حملة </w:t>
      </w:r>
      <w:r>
        <w:rPr>
          <w:rFonts w:hint="eastAsia"/>
          <w:rtl/>
          <w:lang w:eastAsia="ja-JP" w:bidi="ar-EG"/>
        </w:rPr>
        <w:t>”العمل الإيجابي - الموقف الإيجابي</w:t>
      </w:r>
      <w:r>
        <w:rPr>
          <w:rFonts w:hint="cs"/>
          <w:rtl/>
          <w:lang w:eastAsia="ja-JP" w:bidi="ar-EG"/>
        </w:rPr>
        <w:t xml:space="preserve">“، التي نظمت بالاشتراك مع مركز </w:t>
      </w:r>
      <w:r w:rsidR="004E2C7F">
        <w:rPr>
          <w:rFonts w:hint="cs"/>
          <w:rtl/>
          <w:lang w:eastAsia="ja-JP" w:bidi="ar-EG"/>
        </w:rPr>
        <w:t>علاقات</w:t>
      </w:r>
      <w:r>
        <w:rPr>
          <w:rFonts w:hint="cs"/>
          <w:rtl/>
          <w:lang w:eastAsia="ja-JP" w:bidi="ar-EG"/>
        </w:rPr>
        <w:t xml:space="preserve"> السكان المهمشين؛ ومشروع (</w:t>
      </w:r>
      <w:r>
        <w:rPr>
          <w:rFonts w:hint="eastAsia"/>
          <w:lang w:eastAsia="ja-JP" w:bidi="ar-EG"/>
        </w:rPr>
        <w:t>Semear</w:t>
      </w:r>
      <w:r>
        <w:rPr>
          <w:rFonts w:hint="cs"/>
          <w:rtl/>
          <w:lang w:eastAsia="ja-JP" w:bidi="ar-EG"/>
        </w:rPr>
        <w:t xml:space="preserve">) </w:t>
      </w:r>
      <w:r>
        <w:rPr>
          <w:rFonts w:hint="eastAsia"/>
          <w:rtl/>
          <w:lang w:eastAsia="ja-JP" w:bidi="ar-EG"/>
        </w:rPr>
        <w:t>”الجميع على قدم المساواة في ولاية سيرغيبي</w:t>
      </w:r>
      <w:r>
        <w:rPr>
          <w:rFonts w:hint="cs"/>
          <w:rtl/>
          <w:lang w:eastAsia="ja-JP" w:bidi="ar-EG"/>
        </w:rPr>
        <w:t>“، الذي ي</w:t>
      </w:r>
      <w:r w:rsidR="004E2C7F">
        <w:rPr>
          <w:rFonts w:hint="cs"/>
          <w:rtl/>
          <w:lang w:eastAsia="ja-JP" w:bidi="ar-EG"/>
        </w:rPr>
        <w:t>قد</w:t>
      </w:r>
      <w:r>
        <w:rPr>
          <w:rFonts w:hint="cs"/>
          <w:rtl/>
          <w:lang w:eastAsia="ja-JP" w:bidi="ar-EG"/>
        </w:rPr>
        <w:t>م دورات تدريبية لبناء الطاقة، و</w:t>
      </w:r>
      <w:r w:rsidR="004E2C7F">
        <w:rPr>
          <w:rFonts w:hint="cs"/>
          <w:rtl/>
          <w:lang w:eastAsia="ja-JP" w:bidi="ar-EG"/>
        </w:rPr>
        <w:t>يضم</w:t>
      </w:r>
      <w:r>
        <w:rPr>
          <w:rFonts w:hint="cs"/>
          <w:rtl/>
          <w:lang w:eastAsia="ja-JP" w:bidi="ar-EG"/>
        </w:rPr>
        <w:t xml:space="preserve"> 150 مدربا، و</w:t>
      </w:r>
      <w:r w:rsidR="004E2C7F">
        <w:rPr>
          <w:rFonts w:hint="cs"/>
          <w:rtl/>
          <w:lang w:eastAsia="ja-JP" w:bidi="ar-EG"/>
        </w:rPr>
        <w:t>يقوم ب</w:t>
      </w:r>
      <w:r>
        <w:rPr>
          <w:rFonts w:hint="cs"/>
          <w:rtl/>
          <w:lang w:eastAsia="ja-JP" w:bidi="ar-EG"/>
        </w:rPr>
        <w:t>توزيع مجموعات أدوات تعليمية عن المساواة العنصرية على 630 شخصا في الشبكات وحلقات العمل العامة؛ بالإضافة إلى عقد حلقة دراسية على صعيد الولاية عن العمل الإيجابي.</w:t>
      </w:r>
    </w:p>
    <w:p w:rsidR="0043590E" w:rsidRDefault="0043590E" w:rsidP="00A76862">
      <w:pPr>
        <w:pStyle w:val="SingleTxt"/>
        <w:rPr>
          <w:rFonts w:hint="cs"/>
          <w:rtl/>
          <w:lang w:eastAsia="ja-JP" w:bidi="ar-EG"/>
        </w:rPr>
      </w:pPr>
      <w:r>
        <w:rPr>
          <w:rFonts w:hint="cs"/>
          <w:rtl/>
          <w:lang w:eastAsia="ja-JP" w:bidi="ar-EG"/>
        </w:rPr>
        <w:tab/>
        <w:t xml:space="preserve">وفي 27 أيار/مايو أقيم المحفل الحكومي الدولي لتعزيز المساواة العنصرية عن طريق </w:t>
      </w:r>
      <w:r w:rsidR="004E2C7F">
        <w:rPr>
          <w:rFonts w:hint="cs"/>
          <w:rtl/>
          <w:lang w:eastAsia="ja-JP" w:bidi="ar-EG"/>
        </w:rPr>
        <w:t xml:space="preserve">اقتراح </w:t>
      </w:r>
      <w:r>
        <w:rPr>
          <w:rFonts w:hint="cs"/>
          <w:rtl/>
          <w:lang w:eastAsia="ja-JP" w:bidi="ar-EG"/>
        </w:rPr>
        <w:t>قدم</w:t>
      </w:r>
      <w:r w:rsidR="004E2C7F">
        <w:rPr>
          <w:rFonts w:hint="cs"/>
          <w:rtl/>
          <w:lang w:eastAsia="ja-JP" w:bidi="ar-EG"/>
        </w:rPr>
        <w:t>ته</w:t>
      </w:r>
      <w:r>
        <w:rPr>
          <w:rFonts w:hint="cs"/>
          <w:rtl/>
          <w:lang w:eastAsia="ja-JP" w:bidi="ar-EG"/>
        </w:rPr>
        <w:t xml:space="preserve"> الأمانة </w:t>
      </w:r>
      <w:r w:rsidR="004E2C7F">
        <w:rPr>
          <w:rFonts w:hint="cs"/>
          <w:rtl/>
          <w:lang w:eastAsia="ja-JP" w:bidi="ar-EG"/>
        </w:rPr>
        <w:t>ب</w:t>
      </w:r>
      <w:r>
        <w:rPr>
          <w:rFonts w:hint="cs"/>
          <w:rtl/>
          <w:lang w:eastAsia="ja-JP" w:bidi="ar-EG"/>
        </w:rPr>
        <w:t>عمل مشترك تساهم فيه البلديات والولايات التي يوجد بها هيئات تنفيذية مسؤولة عن تنسيق سياسات لتعزيز المساواة العنصرية (أمانات، أو وكالات تنسيق، أو هيئات استشارية، أو كيانات مماثلة). والدور الرئيسي لهذا المحفل إنشاء آليات لترسيخ المساواة العنصرية وللإسهام في تقديم الدعم المؤسسي للمؤسسات المماثلة للأمانة. وشارك في هذا المحفل ما مجموعه 40 من حكومات البلديات و 7 من حكومات الولايات من خلال إداريين عينهم العمد أو الحكام.</w:t>
      </w:r>
    </w:p>
    <w:p w:rsidR="0043590E" w:rsidRDefault="0043590E" w:rsidP="00A76862">
      <w:pPr>
        <w:pStyle w:val="SingleTxt"/>
        <w:spacing w:after="100" w:line="390" w:lineRule="exact"/>
        <w:rPr>
          <w:rFonts w:hint="cs"/>
          <w:rtl/>
          <w:lang w:eastAsia="ja-JP" w:bidi="ar-EG"/>
        </w:rPr>
      </w:pPr>
      <w:r>
        <w:rPr>
          <w:rFonts w:hint="cs"/>
          <w:rtl/>
          <w:lang w:eastAsia="ja-JP" w:bidi="ar-EG"/>
        </w:rPr>
        <w:tab/>
        <w:t xml:space="preserve">وبعض التشريعات التي تعود بالنفع على المعوقين من </w:t>
      </w:r>
      <w:r w:rsidR="00A76862">
        <w:rPr>
          <w:rFonts w:hint="cs"/>
          <w:rtl/>
          <w:lang w:eastAsia="ja-JP" w:bidi="ar-EG"/>
        </w:rPr>
        <w:t>خلال العمل الإيجابي تستحق الذكر؛</w:t>
      </w:r>
      <w:r>
        <w:rPr>
          <w:rFonts w:hint="cs"/>
          <w:rtl/>
          <w:lang w:eastAsia="ja-JP" w:bidi="ar-EG"/>
        </w:rPr>
        <w:t xml:space="preserve"> وهي القانون رقم 8213، المؤرخ 24 حزيران/يونيه 1991، الذي يتطلب تخصيص من 2 إلى 5 في المائة من الوظائف في الشركات التي لديها أكثر من 100 موظف، ومن 5</w:t>
      </w:r>
      <w:r w:rsidR="00E626C8">
        <w:rPr>
          <w:rFonts w:hint="eastAsia"/>
          <w:rtl/>
          <w:lang w:eastAsia="ja-JP" w:bidi="ar-EG"/>
        </w:rPr>
        <w:t> </w:t>
      </w:r>
      <w:r>
        <w:rPr>
          <w:rFonts w:hint="cs"/>
          <w:rtl/>
          <w:lang w:eastAsia="ja-JP" w:bidi="ar-EG"/>
        </w:rPr>
        <w:t>إلى 20 في المائة من الشواغر في امتحانات الخدمة الحكومية للمعوقين</w:t>
      </w:r>
      <w:r w:rsidR="00A76862">
        <w:rPr>
          <w:rFonts w:hint="cs"/>
          <w:rtl/>
          <w:lang w:eastAsia="ja-JP" w:bidi="ar-EG"/>
        </w:rPr>
        <w:t>؛</w:t>
      </w:r>
      <w:r>
        <w:rPr>
          <w:rFonts w:hint="cs"/>
          <w:rtl/>
          <w:lang w:eastAsia="ja-JP" w:bidi="ar-EG"/>
        </w:rPr>
        <w:t xml:space="preserve"> والقانون رقم 8899، المؤرخ حزيران/يونيه 1994، الذي يتيح برنامجا </w:t>
      </w:r>
      <w:r w:rsidR="00E626C8">
        <w:rPr>
          <w:rFonts w:hint="cs"/>
          <w:rtl/>
          <w:lang w:eastAsia="ja-JP" w:bidi="ar-EG"/>
        </w:rPr>
        <w:t xml:space="preserve">للبطاقات المجانية للمعوقين في نظام المواصلات </w:t>
      </w:r>
      <w:r w:rsidR="00A76862">
        <w:rPr>
          <w:rFonts w:hint="cs"/>
          <w:rtl/>
          <w:lang w:eastAsia="ja-JP" w:bidi="ar-EG"/>
        </w:rPr>
        <w:t>العام</w:t>
      </w:r>
      <w:r w:rsidR="00E626C8">
        <w:rPr>
          <w:rFonts w:hint="cs"/>
          <w:rtl/>
          <w:lang w:eastAsia="ja-JP" w:bidi="ar-EG"/>
        </w:rPr>
        <w:t xml:space="preserve"> فيما بين الولايات</w:t>
      </w:r>
      <w:r w:rsidR="00A76862">
        <w:rPr>
          <w:rFonts w:hint="cs"/>
          <w:rtl/>
          <w:lang w:eastAsia="ja-JP" w:bidi="ar-EG"/>
        </w:rPr>
        <w:t>؛</w:t>
      </w:r>
      <w:r w:rsidR="00E626C8">
        <w:rPr>
          <w:rFonts w:hint="cs"/>
          <w:rtl/>
          <w:lang w:eastAsia="ja-JP" w:bidi="ar-EG"/>
        </w:rPr>
        <w:t xml:space="preserve"> والقانون رقم 10182، المؤرخ 12 شباط/فبراير 2001، الذي يتيح إعفاء ضريبيا على شراء السيارات؛ والقانون رقم 10226، المؤرخ 15</w:t>
      </w:r>
      <w:r w:rsidR="00E626C8">
        <w:rPr>
          <w:rFonts w:hint="eastAsia"/>
          <w:rtl/>
          <w:lang w:eastAsia="ja-JP" w:bidi="ar-EG"/>
        </w:rPr>
        <w:t> </w:t>
      </w:r>
      <w:r w:rsidR="00E626C8">
        <w:rPr>
          <w:rFonts w:hint="cs"/>
          <w:rtl/>
          <w:lang w:eastAsia="ja-JP" w:bidi="ar-EG"/>
        </w:rPr>
        <w:t xml:space="preserve">أيار/مايو 2001، الذي يتناول التصويت في الانتخابات السياسية؛ والقانون رقم 10436، المؤرخ 24 نيسان/أبريل 2002، الذي ينظم اعتماد لغة الإشارة البرازيلية في الدورات التدريبية في التعليم الخاص، وعلم الدراسة الصوتية، والتدريس؛ والقانون رقم 11096، المؤرخ 13 كانون الثاني/يناير 2005، الذي ينشئ برنامج </w:t>
      </w:r>
      <w:r w:rsidR="00E626C8">
        <w:rPr>
          <w:rFonts w:hint="eastAsia"/>
          <w:rtl/>
          <w:lang w:eastAsia="ja-JP" w:bidi="ar-EG"/>
        </w:rPr>
        <w:t>”جامعة للجميع</w:t>
      </w:r>
      <w:r w:rsidR="00E626C8">
        <w:rPr>
          <w:rFonts w:hint="cs"/>
          <w:rtl/>
          <w:lang w:eastAsia="ja-JP" w:bidi="ar-EG"/>
        </w:rPr>
        <w:t>“.</w:t>
      </w:r>
    </w:p>
    <w:p w:rsidR="00E626C8" w:rsidRDefault="00225F6D" w:rsidP="00A76862">
      <w:pPr>
        <w:pStyle w:val="SingleTxt"/>
        <w:spacing w:after="100" w:line="390" w:lineRule="exact"/>
        <w:rPr>
          <w:rFonts w:hint="cs"/>
          <w:rtl/>
          <w:lang w:eastAsia="ja-JP" w:bidi="ar-EG"/>
        </w:rPr>
      </w:pPr>
      <w:r>
        <w:rPr>
          <w:lang w:eastAsia="ja-JP" w:bidi="ar-EG"/>
        </w:rPr>
        <w:tab/>
      </w:r>
      <w:r>
        <w:rPr>
          <w:rFonts w:hint="cs"/>
          <w:rtl/>
          <w:lang w:eastAsia="ja-JP" w:bidi="ar-EG"/>
        </w:rPr>
        <w:t>وفضلا عن ذلك، فإنه بإصدار القرار رقم 5296/04، كفلت الأمانة الخاصة لحقوق الإنسان إمكانية وصول المعوقين إلى نظام التعليم. وينص أحد أحكام هذا القرار على معايير إمكانية الوصول (البدنية، والمتعلقة بالاتصالات والمعلومات) كشرط للسماح بتشغيل دورة دراسية أو البدء فيها أو تجديدها.</w:t>
      </w:r>
    </w:p>
    <w:p w:rsidR="00225F6D" w:rsidRDefault="00225F6D" w:rsidP="00A76862">
      <w:pPr>
        <w:pStyle w:val="SingleTxt"/>
        <w:spacing w:after="100" w:line="390" w:lineRule="exact"/>
        <w:rPr>
          <w:rFonts w:hint="cs"/>
          <w:rtl/>
          <w:lang w:eastAsia="ja-JP" w:bidi="ar-EG"/>
        </w:rPr>
      </w:pPr>
      <w:r>
        <w:rPr>
          <w:rFonts w:hint="cs"/>
          <w:rtl/>
          <w:lang w:eastAsia="ja-JP" w:bidi="ar-EG"/>
        </w:rPr>
        <w:tab/>
        <w:t>ويتناول تشريعان جديدان مسألة الأمومة. ويغير القرار رقم 15، المؤرخ 27 تشرين الثاني/نوفمبر 2003 القانون الداخلي لمجلس النواب بحيث يتيح إجازة أمومة لل</w:t>
      </w:r>
      <w:r w:rsidR="00A76862">
        <w:rPr>
          <w:rFonts w:hint="cs"/>
          <w:rtl/>
          <w:lang w:eastAsia="ja-JP" w:bidi="ar-EG"/>
        </w:rPr>
        <w:t>نائبا</w:t>
      </w:r>
      <w:r>
        <w:rPr>
          <w:rFonts w:hint="cs"/>
          <w:rtl/>
          <w:lang w:eastAsia="ja-JP" w:bidi="ar-EG"/>
        </w:rPr>
        <w:t>ت الاتحاديات. والقانون رقم 10710/2003 يعيد إلزام الشركات بدفع مرتب الأمومة الواجب للموظفات المؤمن عليهن و</w:t>
      </w:r>
      <w:r w:rsidR="00A76862">
        <w:rPr>
          <w:rFonts w:hint="cs"/>
          <w:rtl/>
          <w:lang w:eastAsia="ja-JP" w:bidi="ar-EG"/>
        </w:rPr>
        <w:t>ل</w:t>
      </w:r>
      <w:r>
        <w:rPr>
          <w:rFonts w:hint="cs"/>
          <w:rtl/>
          <w:lang w:eastAsia="ja-JP" w:bidi="ar-EG"/>
        </w:rPr>
        <w:t>لعاملات المؤقتات. وأثارت محاولة لتحويل هذه المبالغ إلى مؤسسة الضمان الاجتماعي الوطنية مشاكل كبيرة للنساء وكانت السبب في قيام الحركات الاجتماعية النسائية ب</w:t>
      </w:r>
      <w:r w:rsidR="00A76862">
        <w:rPr>
          <w:rFonts w:hint="cs"/>
          <w:rtl/>
          <w:lang w:eastAsia="ja-JP" w:bidi="ar-EG"/>
        </w:rPr>
        <w:t xml:space="preserve">أعمال </w:t>
      </w:r>
      <w:r>
        <w:rPr>
          <w:rFonts w:hint="cs"/>
          <w:rtl/>
          <w:lang w:eastAsia="ja-JP" w:bidi="ar-EG"/>
        </w:rPr>
        <w:t>تضمنت شن حملات وعقد حلقات دراسية من أجل كفالة قيام الشركات بالدفع.</w:t>
      </w:r>
    </w:p>
    <w:p w:rsidR="00225F6D" w:rsidRDefault="00225F6D" w:rsidP="00A76862">
      <w:pPr>
        <w:pStyle w:val="SingleTxt"/>
        <w:spacing w:after="100" w:line="390" w:lineRule="exact"/>
        <w:rPr>
          <w:rFonts w:hint="cs"/>
          <w:rtl/>
          <w:lang w:eastAsia="ja-JP" w:bidi="ar-EG"/>
        </w:rPr>
      </w:pPr>
      <w:r>
        <w:rPr>
          <w:rFonts w:hint="cs"/>
          <w:rtl/>
          <w:lang w:eastAsia="ja-JP" w:bidi="ar-EG"/>
        </w:rPr>
        <w:tab/>
        <w:t xml:space="preserve">وكثير من الأعمال التي تضطلع بها الحكومة البرازيلية، الوارد ذكرها في الخطة الوطنية لسياسات المرأة، ترتكز على اعتماد </w:t>
      </w:r>
      <w:r w:rsidR="004470B8">
        <w:rPr>
          <w:rFonts w:hint="cs"/>
          <w:rtl/>
          <w:lang w:eastAsia="ja-JP" w:bidi="ar-EG"/>
        </w:rPr>
        <w:t>تدابير خاصة للإسراع بعملية تحقيق المساواة.</w:t>
      </w:r>
    </w:p>
    <w:p w:rsidR="004470B8" w:rsidRPr="004470B8" w:rsidRDefault="004470B8" w:rsidP="004470B8">
      <w:pPr>
        <w:pStyle w:val="SingleTxt"/>
        <w:spacing w:after="0" w:line="120" w:lineRule="exact"/>
        <w:rPr>
          <w:rFonts w:hint="cs"/>
          <w:sz w:val="10"/>
          <w:rtl/>
          <w:lang w:eastAsia="ja-JP" w:bidi="ar-EG"/>
        </w:rPr>
      </w:pPr>
    </w:p>
    <w:p w:rsidR="004470B8" w:rsidRDefault="004470B8" w:rsidP="00447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bidi="ar-EG"/>
        </w:rPr>
      </w:pPr>
      <w:r>
        <w:rPr>
          <w:rFonts w:hint="cs"/>
          <w:rtl/>
          <w:lang w:eastAsia="ja-JP" w:bidi="ar-EG"/>
        </w:rPr>
        <w:tab/>
      </w:r>
      <w:r>
        <w:rPr>
          <w:rFonts w:hint="cs"/>
          <w:rtl/>
          <w:lang w:eastAsia="ja-JP" w:bidi="ar-EG"/>
        </w:rPr>
        <w:tab/>
        <w:t>المادة 5 من اتفاقية القضاء على جميع أشكال التمييز ضد المرأة</w:t>
      </w:r>
    </w:p>
    <w:p w:rsidR="004470B8" w:rsidRDefault="00693982" w:rsidP="00A76862">
      <w:pPr>
        <w:pStyle w:val="SingleTxt"/>
        <w:spacing w:after="100" w:line="390" w:lineRule="exact"/>
        <w:rPr>
          <w:rFonts w:hint="cs"/>
          <w:rtl/>
          <w:lang w:eastAsia="ja-JP" w:bidi="ar-EG"/>
        </w:rPr>
      </w:pPr>
      <w:r>
        <w:rPr>
          <w:rFonts w:hint="cs"/>
          <w:rtl/>
          <w:lang w:eastAsia="ja-JP" w:bidi="ar-EG"/>
        </w:rPr>
        <w:tab/>
      </w:r>
      <w:r w:rsidR="004470B8">
        <w:rPr>
          <w:rFonts w:hint="cs"/>
          <w:rtl/>
          <w:lang w:eastAsia="ja-JP" w:bidi="ar-EG"/>
        </w:rPr>
        <w:tab/>
        <w:t>تتخذ الدول الأطراف جميع التدابير المناسبة، لتحقيق ما يلي:</w:t>
      </w:r>
    </w:p>
    <w:p w:rsidR="004470B8" w:rsidRDefault="00693982" w:rsidP="00693982">
      <w:pPr>
        <w:pStyle w:val="SingleTxt"/>
        <w:spacing w:after="100" w:line="390" w:lineRule="exact"/>
        <w:ind w:left="1930" w:hanging="663"/>
        <w:rPr>
          <w:rFonts w:hint="cs"/>
          <w:rtl/>
          <w:lang w:eastAsia="ja-JP" w:bidi="ar-EG"/>
        </w:rPr>
      </w:pPr>
      <w:r>
        <w:rPr>
          <w:rFonts w:hint="cs"/>
          <w:rtl/>
          <w:lang w:eastAsia="ja-JP" w:bidi="ar-EG"/>
        </w:rPr>
        <w:tab/>
      </w:r>
      <w:r w:rsidR="004470B8">
        <w:rPr>
          <w:rFonts w:hint="cs"/>
          <w:rtl/>
          <w:lang w:eastAsia="ja-JP" w:bidi="ar-EG"/>
        </w:rPr>
        <w:tab/>
        <w:t>(أ)</w:t>
      </w:r>
      <w:r w:rsidR="004470B8">
        <w:rPr>
          <w:rFonts w:hint="cs"/>
          <w:rtl/>
          <w:lang w:eastAsia="ja-JP" w:bidi="ar-EG"/>
        </w:rPr>
        <w:tab/>
        <w:t>تعديل الأنماط الاجتماعية والثقافية لسلوك الرجل والمرأة، بهدف تحقيق القضاء على التحيزات والعادات العرفية وكل الممارسات الأخرى القائمة على فكرة دونية أو تفوق أحد الجنسين، أو على أدوار نمطية للرجل والمرأة؛</w:t>
      </w:r>
    </w:p>
    <w:p w:rsidR="004470B8" w:rsidRDefault="00693982" w:rsidP="00693982">
      <w:pPr>
        <w:pStyle w:val="SingleTxt"/>
        <w:ind w:left="1930" w:hanging="663"/>
        <w:rPr>
          <w:rFonts w:hint="cs"/>
          <w:rtl/>
          <w:lang w:eastAsia="ja-JP" w:bidi="ar-EG"/>
        </w:rPr>
      </w:pPr>
      <w:r>
        <w:rPr>
          <w:rFonts w:hint="cs"/>
          <w:rtl/>
          <w:lang w:eastAsia="ja-JP" w:bidi="ar-EG"/>
        </w:rPr>
        <w:tab/>
      </w:r>
      <w:r w:rsidR="004470B8">
        <w:rPr>
          <w:rFonts w:hint="cs"/>
          <w:rtl/>
          <w:lang w:eastAsia="ja-JP" w:bidi="ar-EG"/>
        </w:rPr>
        <w:tab/>
        <w:t>(ب)</w:t>
      </w:r>
      <w:r w:rsidR="004470B8">
        <w:rPr>
          <w:rFonts w:hint="cs"/>
          <w:rtl/>
          <w:lang w:eastAsia="ja-JP" w:bidi="ar-EG"/>
        </w:rPr>
        <w:tab/>
        <w:t>كفالة أن تتضمن التربية الأسرية تفهما سليما للأمومة بوصفها وظيفة اجتماعية والاعتراف بالمسؤولية المشتركة لكل من الرجال والنساء في تنشئة أطفالهم وتطورهم، على أن يكون مفهوما أن مصلحة الأطفال هي الاعتبار الأساسي في جميع الحالات.</w:t>
      </w:r>
    </w:p>
    <w:p w:rsidR="004470B8" w:rsidRDefault="004470B8" w:rsidP="004470B8">
      <w:pPr>
        <w:pStyle w:val="SingleTxt"/>
        <w:rPr>
          <w:rFonts w:hint="cs"/>
          <w:rtl/>
          <w:lang w:eastAsia="ja-JP" w:bidi="ar-EG"/>
        </w:rPr>
      </w:pPr>
      <w:r>
        <w:rPr>
          <w:rFonts w:hint="cs"/>
          <w:rtl/>
          <w:lang w:eastAsia="ja-JP" w:bidi="ar-EG"/>
        </w:rPr>
        <w:tab/>
        <w:t>اتخذت حكومة البرازيل مبادرات متنوعة امتثالا للمادة 5 من الاتفاقية.</w:t>
      </w:r>
    </w:p>
    <w:p w:rsidR="004470B8" w:rsidRDefault="004470B8" w:rsidP="004470B8">
      <w:pPr>
        <w:pStyle w:val="SingleTxt"/>
        <w:rPr>
          <w:rFonts w:hint="cs"/>
          <w:rtl/>
          <w:lang w:eastAsia="ja-JP" w:bidi="ar-EG"/>
        </w:rPr>
      </w:pPr>
      <w:r>
        <w:rPr>
          <w:rFonts w:hint="cs"/>
          <w:rtl/>
          <w:lang w:eastAsia="ja-JP" w:bidi="ar-EG"/>
        </w:rPr>
        <w:tab/>
        <w:t>وفي عام 2003 بدأت الحكومة الاتحادية تنفيذ الخطة الوطنية للتثقيف المعني بحقوق الإنسان، مما أعطى استمرارية للبرنامج الوطني لحقوق الإنسان (القرار الاتحادي رقم 1904 المؤرخ 13 أيار/مايو 1996). وترى الحكومة أن التعليم أداة قوية لإحداث تغيير في الأنماط الثقافية - الاجتماعية. وتنبع هذه الخطة من الأعمال التي تضطلع بها اللجنة الوطنية للتثقيف المعني بحقوق الإنسان، المشكلة بأمر رئاسي؛ وتجمع هذه اللجنة معا أخصائيين وإداريين من وزارة التعليم والأمانة الخاصة لحقوق الإنسان.</w:t>
      </w:r>
    </w:p>
    <w:p w:rsidR="004470B8" w:rsidRDefault="004470B8" w:rsidP="00A76862">
      <w:pPr>
        <w:pStyle w:val="SingleTxt"/>
        <w:rPr>
          <w:rFonts w:hint="cs"/>
          <w:rtl/>
          <w:lang w:eastAsia="ja-JP" w:bidi="ar-EG"/>
        </w:rPr>
      </w:pPr>
      <w:r>
        <w:rPr>
          <w:rFonts w:hint="cs"/>
          <w:rtl/>
          <w:lang w:eastAsia="ja-JP" w:bidi="ar-EG"/>
        </w:rPr>
        <w:tab/>
        <w:t xml:space="preserve">وهذه الخطة أداة إرشادية تشجع اتخاذ إجراءات تعليمية في التعليم النظامي وغير النظامي في القطاعين العام و الخاص. وتقترح الخطة بصفة أكثر تحديدا اتخاذ إجراءات ووضع أهداف لخمسة محاور مختلفة: (1) التعليم الأساسي: مدارس الحضانة، والمدارس الابتدائية، والمدارس المتوسطة؛ و (2) التعليم العالي؛ و (3) التعليم غير النظامي؛ و (4) تعليم المهنيين في نظامي العدالة والأمن؛ و (5) التعليم ووسائط الإعلام. وتبرز بين كل ما تقدم أهداف ضمان التزام مؤسسات </w:t>
      </w:r>
      <w:r w:rsidR="00A76862">
        <w:rPr>
          <w:rFonts w:hint="cs"/>
          <w:rtl/>
          <w:lang w:eastAsia="ja-JP" w:bidi="ar-EG"/>
        </w:rPr>
        <w:t>ال</w:t>
      </w:r>
      <w:r>
        <w:rPr>
          <w:rFonts w:hint="cs"/>
          <w:rtl/>
          <w:lang w:eastAsia="ja-JP" w:bidi="ar-EG"/>
        </w:rPr>
        <w:t xml:space="preserve">شرطة </w:t>
      </w:r>
      <w:r w:rsidR="00A76862">
        <w:rPr>
          <w:rFonts w:hint="cs"/>
          <w:rtl/>
          <w:lang w:eastAsia="ja-JP" w:bidi="ar-EG"/>
        </w:rPr>
        <w:t xml:space="preserve">في </w:t>
      </w:r>
      <w:r>
        <w:rPr>
          <w:rFonts w:hint="cs"/>
          <w:rtl/>
          <w:lang w:eastAsia="ja-JP" w:bidi="ar-EG"/>
        </w:rPr>
        <w:t>حكوم</w:t>
      </w:r>
      <w:r w:rsidR="00A76862">
        <w:rPr>
          <w:rFonts w:hint="cs"/>
          <w:rtl/>
          <w:lang w:eastAsia="ja-JP" w:bidi="ar-EG"/>
        </w:rPr>
        <w:t>ات</w:t>
      </w:r>
      <w:r>
        <w:rPr>
          <w:rFonts w:hint="cs"/>
          <w:rtl/>
          <w:lang w:eastAsia="ja-JP" w:bidi="ar-EG"/>
        </w:rPr>
        <w:t xml:space="preserve"> الولاي</w:t>
      </w:r>
      <w:r w:rsidR="00A76862">
        <w:rPr>
          <w:rFonts w:hint="cs"/>
          <w:rtl/>
          <w:lang w:eastAsia="ja-JP" w:bidi="ar-EG"/>
        </w:rPr>
        <w:t>ات</w:t>
      </w:r>
      <w:r>
        <w:rPr>
          <w:rFonts w:hint="cs"/>
          <w:rtl/>
          <w:lang w:eastAsia="ja-JP" w:bidi="ar-EG"/>
        </w:rPr>
        <w:t xml:space="preserve"> ب</w:t>
      </w:r>
      <w:r w:rsidR="00A76862">
        <w:rPr>
          <w:rFonts w:hint="cs"/>
          <w:rtl/>
          <w:lang w:eastAsia="ja-JP" w:bidi="ar-EG"/>
        </w:rPr>
        <w:t xml:space="preserve">أن تدرج بانتظام التدريب </w:t>
      </w:r>
      <w:r>
        <w:rPr>
          <w:rFonts w:hint="cs"/>
          <w:rtl/>
          <w:lang w:eastAsia="ja-JP" w:bidi="ar-EG"/>
        </w:rPr>
        <w:t>المعني بحقوق الإنسان في أنشطة التعليم والتعليم المتصل لهيئة الش</w:t>
      </w:r>
      <w:r w:rsidR="003C0E0B">
        <w:rPr>
          <w:rFonts w:hint="cs"/>
          <w:rtl/>
          <w:lang w:eastAsia="ja-JP" w:bidi="ar-EG"/>
        </w:rPr>
        <w:t>رطة.</w:t>
      </w:r>
    </w:p>
    <w:p w:rsidR="003C0E0B" w:rsidRDefault="003C0E0B" w:rsidP="004470B8">
      <w:pPr>
        <w:pStyle w:val="SingleTxt"/>
        <w:rPr>
          <w:rFonts w:hint="eastAsia"/>
          <w:rtl/>
          <w:lang w:eastAsia="ja-JP" w:bidi="ar-EG"/>
        </w:rPr>
      </w:pPr>
      <w:r>
        <w:rPr>
          <w:rFonts w:hint="cs"/>
          <w:rtl/>
          <w:lang w:eastAsia="ja-JP" w:bidi="ar-EG"/>
        </w:rPr>
        <w:tab/>
        <w:t xml:space="preserve">ويشكل مبدأي احترام التنوع الجنساني ومكافحة التمييز ضد المرأة أساس هذه الخطة التي يتطلب بمقتضاها </w:t>
      </w:r>
      <w:r>
        <w:rPr>
          <w:rFonts w:hint="eastAsia"/>
          <w:rtl/>
          <w:lang w:eastAsia="ja-JP" w:bidi="ar-EG"/>
        </w:rPr>
        <w:t>”التثقيف المعني بحقوق الإنسا</w:t>
      </w:r>
      <w:r>
        <w:rPr>
          <w:rFonts w:hint="cs"/>
          <w:rtl/>
          <w:lang w:eastAsia="ja-JP" w:bidi="ar-EG"/>
        </w:rPr>
        <w:t>ن</w:t>
      </w:r>
      <w:r>
        <w:rPr>
          <w:rFonts w:hint="eastAsia"/>
          <w:rtl/>
          <w:lang w:eastAsia="ja-JP" w:bidi="ar-EG"/>
        </w:rPr>
        <w:t xml:space="preserve"> إجراء </w:t>
      </w:r>
      <w:r>
        <w:rPr>
          <w:rFonts w:hint="cs"/>
          <w:rtl/>
          <w:lang w:eastAsia="ja-JP" w:bidi="ar-EG"/>
        </w:rPr>
        <w:t>عمليات تعليم نظامي وغير نظامي بغية الإسهام في تعزيز المواطنة والمعرفة بالحقوق الأساسية، واحترام التعددية والتنوع الجنسي والعرقي والعنصري والثقافي والجنساني، فضلا عن تنوع المعتقدات الدينية</w:t>
      </w:r>
      <w:r>
        <w:rPr>
          <w:rFonts w:hint="eastAsia"/>
          <w:rtl/>
          <w:lang w:eastAsia="ja-JP" w:bidi="ar-EG"/>
        </w:rPr>
        <w:t>“.</w:t>
      </w:r>
    </w:p>
    <w:p w:rsidR="003C0E0B" w:rsidRDefault="003C0E0B" w:rsidP="00007C7C">
      <w:pPr>
        <w:pStyle w:val="SingleTxt"/>
        <w:rPr>
          <w:rFonts w:hint="cs"/>
          <w:rtl/>
          <w:lang w:eastAsia="ja-JP" w:bidi="ar-EG"/>
        </w:rPr>
      </w:pPr>
      <w:r>
        <w:rPr>
          <w:rFonts w:hint="cs"/>
          <w:rtl/>
          <w:lang w:eastAsia="ja-JP" w:bidi="ar-EG"/>
        </w:rPr>
        <w:tab/>
        <w:t xml:space="preserve">وستعقد بين عامي 2005 و 2006 اجتماعات في جميع ولايات الاتحاد. وستدعى إلى هذه الاجتماعات الأطراف الهامة بالنسبة لتنفيذ الخطة، ومن بين هذه الأطراف </w:t>
      </w:r>
      <w:r w:rsidR="00007C7C">
        <w:rPr>
          <w:rFonts w:hint="cs"/>
          <w:rtl/>
          <w:lang w:eastAsia="ja-JP" w:bidi="ar-EG"/>
        </w:rPr>
        <w:t xml:space="preserve">من يتولون </w:t>
      </w:r>
      <w:r>
        <w:rPr>
          <w:rFonts w:hint="cs"/>
          <w:rtl/>
          <w:lang w:eastAsia="ja-JP" w:bidi="ar-EG"/>
        </w:rPr>
        <w:t xml:space="preserve">شؤون التعليم </w:t>
      </w:r>
      <w:r w:rsidR="00007C7C">
        <w:rPr>
          <w:rFonts w:hint="cs"/>
          <w:rtl/>
          <w:lang w:eastAsia="ja-JP" w:bidi="ar-EG"/>
        </w:rPr>
        <w:t>في</w:t>
      </w:r>
      <w:r>
        <w:rPr>
          <w:rFonts w:hint="cs"/>
          <w:rtl/>
          <w:lang w:eastAsia="ja-JP" w:bidi="ar-EG"/>
        </w:rPr>
        <w:t xml:space="preserve"> شبكات التعليم في الولايات والبلديات، والمسؤولون عن الشرطة المدنية، والعسكريون وأكاديميات إطفاء الحرائق وحرس البلديات.</w:t>
      </w:r>
    </w:p>
    <w:p w:rsidR="003C0E0B" w:rsidRDefault="003C0E0B" w:rsidP="00007C7C">
      <w:pPr>
        <w:pStyle w:val="SingleTxt"/>
        <w:rPr>
          <w:rFonts w:hint="cs"/>
          <w:rtl/>
          <w:lang w:eastAsia="ja-JP" w:bidi="ar-EG"/>
        </w:rPr>
      </w:pPr>
      <w:r>
        <w:rPr>
          <w:rFonts w:hint="cs"/>
          <w:rtl/>
          <w:lang w:eastAsia="ja-JP" w:bidi="ar-EG"/>
        </w:rPr>
        <w:tab/>
        <w:t>و</w:t>
      </w:r>
      <w:r w:rsidR="00007C7C">
        <w:rPr>
          <w:rFonts w:hint="cs"/>
          <w:rtl/>
          <w:lang w:eastAsia="ja-JP" w:bidi="ar-EG"/>
        </w:rPr>
        <w:t xml:space="preserve">توجه </w:t>
      </w:r>
      <w:r>
        <w:rPr>
          <w:rFonts w:hint="cs"/>
          <w:rtl/>
          <w:lang w:eastAsia="ja-JP" w:bidi="ar-EG"/>
        </w:rPr>
        <w:t xml:space="preserve">الإدارة الوطنية للأمن العام، التابعة لوزارة العدل، اهتماما خاصا لإرشاد الشرطة، وبخاصة لإدراج مواضيع حقوق الإنسان ومفاهيمها وقيمها في ممارسة أنشطة الشرطة. ويجدر بالذكر بصفة خاصة أنه من الأنشطة التي يري الاضطلاع بها قرار توزيع ربع التمويل الوطني للأمن العام على الولايات بعد تقييم معايير استحقاقها. ومن تلك المعايير ضرورة قيام </w:t>
      </w:r>
      <w:r w:rsidR="00007C7C">
        <w:rPr>
          <w:rFonts w:hint="cs"/>
          <w:rtl/>
          <w:lang w:eastAsia="ja-JP" w:bidi="ar-EG"/>
        </w:rPr>
        <w:t xml:space="preserve">الولايات </w:t>
      </w:r>
      <w:r>
        <w:rPr>
          <w:rFonts w:hint="cs"/>
          <w:rtl/>
          <w:lang w:eastAsia="ja-JP" w:bidi="ar-EG"/>
        </w:rPr>
        <w:t>ب</w:t>
      </w:r>
      <w:r w:rsidR="00007C7C">
        <w:rPr>
          <w:rFonts w:hint="cs"/>
          <w:rtl/>
          <w:lang w:eastAsia="ja-JP" w:bidi="ar-EG"/>
        </w:rPr>
        <w:t xml:space="preserve">العمل المنتظم </w:t>
      </w:r>
      <w:r>
        <w:rPr>
          <w:rFonts w:hint="cs"/>
          <w:rtl/>
          <w:lang w:eastAsia="ja-JP" w:bidi="ar-EG"/>
        </w:rPr>
        <w:t xml:space="preserve">في مجال التثقيف المعني بحقوق الإنسان لوكلاء الأمن العام. وتضطلع الإدارة الوطنية أيضا بتدريب خبراء الأمن العام عن طريق تقديم دورات متخصصة تتضمن </w:t>
      </w:r>
      <w:r w:rsidR="00007C7C">
        <w:rPr>
          <w:rFonts w:hint="cs"/>
          <w:rtl/>
          <w:lang w:eastAsia="ja-JP" w:bidi="ar-EG"/>
        </w:rPr>
        <w:t>حقوق الإنسان بوصفها موضوعا مستعرضا</w:t>
      </w:r>
      <w:r>
        <w:rPr>
          <w:rFonts w:hint="cs"/>
          <w:rtl/>
          <w:lang w:eastAsia="ja-JP" w:bidi="ar-EG"/>
        </w:rPr>
        <w:t>.</w:t>
      </w:r>
    </w:p>
    <w:p w:rsidR="003C0E0B" w:rsidRDefault="003C0E0B" w:rsidP="004470B8">
      <w:pPr>
        <w:pStyle w:val="SingleTxt"/>
        <w:rPr>
          <w:rFonts w:hint="cs"/>
          <w:rtl/>
          <w:lang w:eastAsia="ja-JP" w:bidi="ar-EG"/>
        </w:rPr>
      </w:pPr>
      <w:r>
        <w:rPr>
          <w:rFonts w:hint="cs"/>
          <w:rtl/>
          <w:lang w:eastAsia="ja-JP" w:bidi="ar-EG"/>
        </w:rPr>
        <w:tab/>
        <w:t>وبحلول عام 2002، كانت الأمانة الخاصة لحقوق الإنسان قد دعمت تقديم دورات بناء القدرات إلى ما يزيد عن 000 30 من وكلاء الأمن العام في جميع أنحاء البلد، في شراكة مع المنظمات غير الحكومية. وكان الهدف من ذلك إنقاذ مهمة الشرطة واحترامها لذاتها وتبنيها لتعزيز حقوق الإنسان والدفاع عنها.</w:t>
      </w:r>
    </w:p>
    <w:p w:rsidR="003C0E0B" w:rsidRDefault="003C0E0B" w:rsidP="00007C7C">
      <w:pPr>
        <w:pStyle w:val="SingleTxt"/>
        <w:rPr>
          <w:rFonts w:hint="cs"/>
          <w:rtl/>
          <w:lang w:eastAsia="ja-JP" w:bidi="ar-EG"/>
        </w:rPr>
      </w:pPr>
      <w:r>
        <w:rPr>
          <w:rFonts w:hint="cs"/>
          <w:rtl/>
          <w:lang w:eastAsia="ja-JP" w:bidi="ar-EG"/>
        </w:rPr>
        <w:tab/>
        <w:t xml:space="preserve">وتدعو التوصية رقم 6 إلى القضاء على القوالب النمطية المرتبطة بالأدوار التقليدية في الأسرة وتشجيع وسائط الإعلام على إعطاء صورة إيجابية عن المرأة. وتحقيقا لهذين الهدفين، بدأت </w:t>
      </w:r>
      <w:r w:rsidR="008144DA">
        <w:rPr>
          <w:rFonts w:hint="cs"/>
          <w:rtl/>
          <w:lang w:eastAsia="ja-JP" w:bidi="ar-EG"/>
        </w:rPr>
        <w:t xml:space="preserve">وزارة العدل عام 2003 مناقشة على الصعيد الوطني حول المعايير المستخدمة في تصنيف فحوى ما تقدمه السينما والتلفزيون. والهدف الأساسي </w:t>
      </w:r>
      <w:r w:rsidR="00007C7C">
        <w:rPr>
          <w:rFonts w:hint="cs"/>
          <w:rtl/>
          <w:lang w:eastAsia="ja-JP" w:bidi="ar-EG"/>
        </w:rPr>
        <w:t>هو أن يضمن</w:t>
      </w:r>
      <w:r w:rsidR="008144DA">
        <w:rPr>
          <w:rFonts w:hint="cs"/>
          <w:rtl/>
          <w:lang w:eastAsia="ja-JP" w:bidi="ar-EG"/>
        </w:rPr>
        <w:t xml:space="preserve"> نظام التصنيف</w:t>
      </w:r>
      <w:r w:rsidR="00007C7C">
        <w:rPr>
          <w:rFonts w:hint="cs"/>
          <w:rtl/>
          <w:lang w:eastAsia="ja-JP" w:bidi="ar-EG"/>
        </w:rPr>
        <w:t xml:space="preserve"> حماية</w:t>
      </w:r>
      <w:r w:rsidR="008144DA">
        <w:rPr>
          <w:rFonts w:hint="cs"/>
          <w:rtl/>
          <w:lang w:eastAsia="ja-JP" w:bidi="ar-EG"/>
        </w:rPr>
        <w:t xml:space="preserve"> الأطفال والمراهقين بأكثر السبل الفعالة الممكنة امتثالا للنظام الأساسي للأطفال والمراهقين لعام 1990. ويرتكز نظام التصنيف بوزارة العدل على هذا النظام الأساسي.</w:t>
      </w:r>
    </w:p>
    <w:p w:rsidR="008144DA" w:rsidRDefault="008144DA" w:rsidP="004470B8">
      <w:pPr>
        <w:pStyle w:val="SingleTxt"/>
        <w:rPr>
          <w:rFonts w:hint="cs"/>
          <w:rtl/>
          <w:lang w:eastAsia="ja-JP" w:bidi="ar-EG"/>
        </w:rPr>
      </w:pPr>
      <w:r>
        <w:rPr>
          <w:rFonts w:hint="cs"/>
          <w:rtl/>
          <w:lang w:eastAsia="ja-JP" w:bidi="ar-EG"/>
        </w:rPr>
        <w:tab/>
        <w:t>وكانت الخطوة الأولى تنقيح القرار الإداري المتعلق بأسواق السينما والفيديو وقرص الفيديو الرقمي. وكانت الفكرة تشاطر المسؤولية بين الولاية والأسرة والمجتمع بصورة أفضل فيما يتعلق بما يشاهده القصر (دون سن 18 سنة). وبالتالي، أدخل مستوى جديد من التصنيف لمن يبلغون من العمر 10 سنوات، مع استمرار مستويات التصنيف لمن يبلغون من العمر 12 و 14 و 16 و 18 سنة. ويمكن للأطفال والمراهقين أيضا أن يشاهدوا أفلاما مصنفة لمجموعة تفوق مجموعتهم العمرية مباشرة إذا كانوا بصحبة والديهم أو الأوصياء عليهم، طالما كان هؤلاء ليسوا دون سن 18 سنة.</w:t>
      </w:r>
    </w:p>
    <w:p w:rsidR="008144DA" w:rsidRDefault="008144DA" w:rsidP="008144DA">
      <w:pPr>
        <w:pStyle w:val="SingleTxt"/>
        <w:rPr>
          <w:rFonts w:hint="cs"/>
          <w:rtl/>
          <w:lang w:eastAsia="ja-JP" w:bidi="ar-EG"/>
        </w:rPr>
      </w:pPr>
      <w:r>
        <w:rPr>
          <w:rFonts w:hint="cs"/>
          <w:rtl/>
          <w:lang w:eastAsia="ja-JP" w:bidi="ar-EG"/>
        </w:rPr>
        <w:tab/>
        <w:t>وحرصا على زيادة مشاركة المجتمع في عملية التصنيف وفهمه لها، تنشر وزارة العدل على نطاق واسع الطلبات التي يتقدم بها منتجو الأفلام. ويمكن الوصول إلى هذه العملية من خلال موقع وزارة العدل على شبكة الإنترنت. وبالتالي، يتمكن مستخدمو الإنترنت، على سبيل المثال، من معرفة الحجة التي يقدمها المنتجون تأييدا لتصنيف ما لمن يبلغون من العمر 12 أو 14 سنة. ويمكن لأي شخص أن يتحقق أيضا من التصنيف الذي حددته الوزارة، وأن يقارنه بمستوى التصنيف الذي أعطي لنفس ا لفيلم في بلدان أخرى. والفكرة هي تشجيع المناقشة بشأن المحتوى الثقافي المعروض في البلد.</w:t>
      </w:r>
    </w:p>
    <w:p w:rsidR="00D175F8" w:rsidRDefault="00D175F8" w:rsidP="00007C7C">
      <w:pPr>
        <w:pStyle w:val="SingleTxt"/>
        <w:rPr>
          <w:rFonts w:hint="cs"/>
          <w:rtl/>
          <w:lang w:eastAsia="ja-JP" w:bidi="ar-EG"/>
        </w:rPr>
      </w:pPr>
      <w:r>
        <w:rPr>
          <w:rFonts w:hint="cs"/>
          <w:rtl/>
          <w:lang w:eastAsia="ja-JP" w:bidi="ar-EG"/>
        </w:rPr>
        <w:tab/>
        <w:t>وفيما يتعلق بصورة المرأة في وسائط الإعلام بصفة خاصة، يبدأ عام 2005 اتخاذ أهم مبادرة بإجراء مناقشة حول معايير تصنيف ما يقدمه التلفزيون. والمواضيع الثلاثة الموجودة اليوم وفقا لقواعد عمل وزارة العدل هي درجة العنف، والجنس، والمخدرات. وقد يحدد وقت متأخر من الليل لعرض البرنامج إذا كانت محتويات</w:t>
      </w:r>
      <w:r w:rsidR="00007C7C">
        <w:rPr>
          <w:rFonts w:hint="cs"/>
          <w:rtl/>
          <w:lang w:eastAsia="ja-JP" w:bidi="ar-EG"/>
        </w:rPr>
        <w:t>ه</w:t>
      </w:r>
      <w:r>
        <w:rPr>
          <w:rFonts w:hint="cs"/>
          <w:rtl/>
          <w:lang w:eastAsia="ja-JP" w:bidi="ar-EG"/>
        </w:rPr>
        <w:t xml:space="preserve"> غير ملائمة.</w:t>
      </w:r>
    </w:p>
    <w:p w:rsidR="00D175F8" w:rsidRDefault="00D175F8" w:rsidP="008144DA">
      <w:pPr>
        <w:pStyle w:val="SingleTxt"/>
        <w:rPr>
          <w:rFonts w:hint="cs"/>
          <w:rtl/>
          <w:lang w:eastAsia="ja-JP" w:bidi="ar-EG"/>
        </w:rPr>
      </w:pPr>
      <w:r>
        <w:rPr>
          <w:rFonts w:hint="cs"/>
          <w:rtl/>
          <w:lang w:eastAsia="ja-JP" w:bidi="ar-EG"/>
        </w:rPr>
        <w:tab/>
        <w:t xml:space="preserve">ووزارة العدل بصدد وضع قائمة بمواضيع أخرى ذات صلة يمكن أيضا أن تؤخذ في الاعتبار لأغراض التصنيف. ومن المواضيع التي تحظى بأهمية خاصة بالنسبة لمسألة نوع الجنس العنف ضد المرأة، والاتجار بالبشر، والتمييز الجنساني. وتشكل هذه القائمة نقطة بدء لإجراء مناقشة على نطاق أوسع؛ وتدعم الوزارة هذه المناقشة التي تدور مع المجتمع </w:t>
      </w:r>
      <w:r w:rsidR="005A484F">
        <w:rPr>
          <w:rFonts w:hint="cs"/>
          <w:rtl/>
          <w:lang w:eastAsia="ja-JP" w:bidi="ar-EG"/>
        </w:rPr>
        <w:t>بصفة عامة، ومع محطات البث والمنتجين الآخرين للمواد الثقافية.</w:t>
      </w:r>
    </w:p>
    <w:p w:rsidR="005A484F" w:rsidRDefault="005A484F" w:rsidP="005A484F">
      <w:pPr>
        <w:pStyle w:val="SingleTxt"/>
        <w:rPr>
          <w:rFonts w:hint="cs"/>
          <w:rtl/>
          <w:lang w:eastAsia="ja-JP" w:bidi="ar-EG"/>
        </w:rPr>
      </w:pPr>
      <w:r>
        <w:rPr>
          <w:rFonts w:hint="cs"/>
          <w:rtl/>
          <w:lang w:eastAsia="ja-JP" w:bidi="ar-EG"/>
        </w:rPr>
        <w:tab/>
        <w:t>والفكرة هي الإسهام في تحسين نوعية التلفزيون ومساعدة وسائط الإعلام على الإسهام بشكل أكثر فعالية في القضاء على التحيزات وصياغة قيم اجتماعية، فضلا عن تعزيز الشعور بالمواطنة.</w:t>
      </w:r>
    </w:p>
    <w:p w:rsidR="005A484F" w:rsidRDefault="005A484F" w:rsidP="00007C7C">
      <w:pPr>
        <w:pStyle w:val="SingleTxt"/>
        <w:rPr>
          <w:rFonts w:hint="cs"/>
          <w:rtl/>
          <w:lang w:eastAsia="ja-JP" w:bidi="ar-EG"/>
        </w:rPr>
      </w:pPr>
      <w:r>
        <w:rPr>
          <w:rFonts w:hint="cs"/>
          <w:rtl/>
          <w:lang w:eastAsia="ja-JP" w:bidi="ar-EG"/>
        </w:rPr>
        <w:tab/>
        <w:t>وقنوات التلفزيون في البرازيل امتياز عام. والهدف الأساسي من هذه المناقشة توفير الحماية الكاملة للأطفال والمراهقين، وفقا لما نص عليه قانون الأطفال والمراهقين. وترد أيضا القضايا المتعلقة بالعنصر والعرق في قائمة المواضيع هذه، وهي نقطة بدء مناقشة وطنية. ومنظمات المجتمع المدني التي تهتم بنوعية ما يقدمه التلفزيون تتعاون مع وزارة العدل في العمل على تنقيح معايير التصنيف.</w:t>
      </w:r>
    </w:p>
    <w:p w:rsidR="005A484F" w:rsidRDefault="005A484F" w:rsidP="00007C7C">
      <w:pPr>
        <w:pStyle w:val="SingleTxt"/>
        <w:rPr>
          <w:rFonts w:hint="cs"/>
          <w:rtl/>
          <w:lang w:eastAsia="ja-JP" w:bidi="ar-EG"/>
        </w:rPr>
      </w:pPr>
      <w:r>
        <w:rPr>
          <w:rFonts w:hint="cs"/>
          <w:rtl/>
          <w:lang w:eastAsia="ja-JP" w:bidi="ar-EG"/>
        </w:rPr>
        <w:tab/>
        <w:t>ويزد</w:t>
      </w:r>
      <w:r w:rsidR="00007C7C">
        <w:rPr>
          <w:rFonts w:hint="cs"/>
          <w:rtl/>
          <w:lang w:eastAsia="ja-JP" w:bidi="ar-EG"/>
        </w:rPr>
        <w:t>اد</w:t>
      </w:r>
      <w:r>
        <w:rPr>
          <w:rFonts w:hint="cs"/>
          <w:rtl/>
          <w:lang w:eastAsia="ja-JP" w:bidi="ar-EG"/>
        </w:rPr>
        <w:t xml:space="preserve"> أيضا عدد ما ينشر عن حقوق المرأة والمساواة بين الجنسين، مثل المواد التي ينشرها مجلسي النواب والشيوخ، والحكومة الاتحادية، ومختلف الوزارات والأمانات الخاصة.</w:t>
      </w:r>
    </w:p>
    <w:p w:rsidR="005A484F" w:rsidRDefault="005A484F" w:rsidP="00007C7C">
      <w:pPr>
        <w:pStyle w:val="SingleTxt"/>
        <w:rPr>
          <w:rFonts w:hint="cs"/>
          <w:rtl/>
          <w:lang w:eastAsia="ja-JP" w:bidi="ar-EG"/>
        </w:rPr>
      </w:pPr>
      <w:r>
        <w:rPr>
          <w:rFonts w:hint="cs"/>
          <w:rtl/>
          <w:lang w:eastAsia="ja-JP" w:bidi="ar-EG"/>
        </w:rPr>
        <w:tab/>
        <w:t xml:space="preserve">وتضطلع أيضا الأمانة الخاصة لسياسات </w:t>
      </w:r>
      <w:r w:rsidR="00F629EA">
        <w:rPr>
          <w:rFonts w:hint="cs"/>
          <w:rtl/>
          <w:lang w:eastAsia="ja-JP" w:bidi="ar-EG"/>
        </w:rPr>
        <w:t>المرأة بمجموعة من الأعمال الموجهة صوب تعديل الأنماط الثقافية - الاجتماعية</w:t>
      </w:r>
      <w:r w:rsidR="00007C7C">
        <w:rPr>
          <w:rFonts w:hint="cs"/>
          <w:rtl/>
          <w:lang w:eastAsia="ja-JP" w:bidi="ar-EG"/>
        </w:rPr>
        <w:t xml:space="preserve"> التمييزية</w:t>
      </w:r>
      <w:r w:rsidR="00F629EA">
        <w:rPr>
          <w:rFonts w:hint="cs"/>
          <w:rtl/>
          <w:lang w:eastAsia="ja-JP" w:bidi="ar-EG"/>
        </w:rPr>
        <w:t>.</w:t>
      </w:r>
    </w:p>
    <w:p w:rsidR="00F629EA" w:rsidRDefault="00F629EA" w:rsidP="00007C7C">
      <w:pPr>
        <w:pStyle w:val="SingleTxt"/>
        <w:rPr>
          <w:rFonts w:eastAsia="Batang" w:hint="cs"/>
          <w:rtl/>
          <w:lang w:eastAsia="ko-KR" w:bidi="ar-EG"/>
        </w:rPr>
      </w:pPr>
      <w:r>
        <w:rPr>
          <w:rFonts w:hint="cs"/>
          <w:rtl/>
          <w:lang w:eastAsia="ja-JP" w:bidi="ar-EG"/>
        </w:rPr>
        <w:tab/>
        <w:t xml:space="preserve">وفيما يتعلق بمسألة العنف، دعمت الأمانة الخاصة لسياسات المرأة ثلاث حملات: (1) حملة </w:t>
      </w:r>
      <w:r>
        <w:rPr>
          <w:rFonts w:hint="eastAsia"/>
          <w:rtl/>
          <w:lang w:eastAsia="ja-JP" w:bidi="ar-EG"/>
        </w:rPr>
        <w:t>”حيثما يوجد العنف، يخسر الجميع</w:t>
      </w:r>
      <w:r>
        <w:rPr>
          <w:rFonts w:hint="cs"/>
          <w:rtl/>
          <w:lang w:eastAsia="ja-JP" w:bidi="ar-EG"/>
        </w:rPr>
        <w:t xml:space="preserve">“، التي شنتها المنظمة غير الحكومية معهد باتريشيا غالفايو؛ و (2) حملة </w:t>
      </w:r>
      <w:r>
        <w:rPr>
          <w:rFonts w:hint="eastAsia"/>
          <w:rtl/>
          <w:lang w:eastAsia="ja-JP" w:bidi="ar-EG"/>
        </w:rPr>
        <w:t>”الحياة الخالية من العنف حق للمرأة - 16 يوما من النشاط</w:t>
      </w:r>
      <w:r w:rsidR="00007C7C">
        <w:rPr>
          <w:rFonts w:hint="cs"/>
          <w:rtl/>
          <w:lang w:eastAsia="ja-JP" w:bidi="ar-EG"/>
        </w:rPr>
        <w:t xml:space="preserve"> بغية </w:t>
      </w:r>
      <w:r>
        <w:rPr>
          <w:rFonts w:hint="eastAsia"/>
          <w:rtl/>
          <w:lang w:eastAsia="ja-JP" w:bidi="ar-EG"/>
        </w:rPr>
        <w:t>إنهاء العنف ضد المرأة</w:t>
      </w:r>
      <w:r>
        <w:rPr>
          <w:rFonts w:eastAsia="Batang" w:hint="eastAsia"/>
          <w:rtl/>
          <w:lang w:eastAsia="ko-KR" w:bidi="ar-EG"/>
        </w:rPr>
        <w:t>“، التي شنتها المنظمة غير الحكومية آجيندي؛ و</w:t>
      </w:r>
      <w:r>
        <w:rPr>
          <w:rFonts w:eastAsia="Batang" w:hint="cs"/>
          <w:rtl/>
          <w:lang w:eastAsia="ko-KR" w:bidi="ar-EG"/>
        </w:rPr>
        <w:t> </w:t>
      </w:r>
      <w:r>
        <w:rPr>
          <w:rFonts w:eastAsia="Batang" w:hint="eastAsia"/>
          <w:rtl/>
          <w:lang w:eastAsia="ko-KR" w:bidi="ar-EG"/>
        </w:rPr>
        <w:t xml:space="preserve">(3) حملة </w:t>
      </w:r>
      <w:r>
        <w:rPr>
          <w:rFonts w:eastAsia="Batang" w:hint="cs"/>
          <w:rtl/>
          <w:lang w:eastAsia="ko-KR" w:bidi="ar-EG"/>
        </w:rPr>
        <w:t>”</w:t>
      </w:r>
      <w:r w:rsidR="00CF6DB6">
        <w:rPr>
          <w:rFonts w:eastAsia="Batang" w:hint="cs"/>
          <w:rtl/>
          <w:lang w:eastAsia="ko-KR" w:bidi="ar-EG"/>
        </w:rPr>
        <w:t>العنف ضد المرأة ليس هزلا</w:t>
      </w:r>
      <w:r w:rsidR="00CF6DB6">
        <w:rPr>
          <w:rFonts w:eastAsia="Batang" w:hint="eastAsia"/>
          <w:rtl/>
          <w:lang w:eastAsia="ko-KR" w:bidi="ar-EG"/>
        </w:rPr>
        <w:t>“، التي شنتها المنظمة غير الحكومية باباي بهدف حث الرجال على مكافحة العنف ضد المرأة.</w:t>
      </w:r>
    </w:p>
    <w:p w:rsidR="00497782" w:rsidRDefault="00497782" w:rsidP="005A484F">
      <w:pPr>
        <w:pStyle w:val="SingleTxt"/>
        <w:rPr>
          <w:rFonts w:eastAsia="Batang" w:hint="cs"/>
          <w:rtl/>
          <w:lang w:eastAsia="ko-KR" w:bidi="ar-EG"/>
        </w:rPr>
      </w:pPr>
      <w:r>
        <w:rPr>
          <w:rFonts w:eastAsia="Batang" w:hint="cs"/>
          <w:rtl/>
          <w:lang w:eastAsia="ko-KR" w:bidi="ar-EG"/>
        </w:rPr>
        <w:tab/>
        <w:t xml:space="preserve">وشنت الأمانة أيضا الحملة المؤسسية </w:t>
      </w:r>
      <w:r>
        <w:rPr>
          <w:rFonts w:eastAsia="Batang" w:hint="eastAsia"/>
          <w:rtl/>
          <w:lang w:eastAsia="ko-KR" w:bidi="ar-EG"/>
        </w:rPr>
        <w:t>”حياتك تبدأ عندما ينهي العنف</w:t>
      </w:r>
      <w:r>
        <w:rPr>
          <w:rFonts w:eastAsia="Batang" w:hint="cs"/>
          <w:rtl/>
          <w:lang w:eastAsia="ko-KR" w:bidi="ar-EG"/>
        </w:rPr>
        <w:t>“، ووزعت مجموعة مواد بشأن العنف على المراكز والمجالس ووكالات التنسيق المرجعية للمرأة في جميع أنحاء البرازيل.</w:t>
      </w:r>
    </w:p>
    <w:p w:rsidR="00497782" w:rsidRDefault="00497782" w:rsidP="005A484F">
      <w:pPr>
        <w:pStyle w:val="SingleTxt"/>
        <w:rPr>
          <w:rFonts w:eastAsia="Batang" w:hint="cs"/>
          <w:rtl/>
          <w:lang w:eastAsia="ko-KR" w:bidi="ar-EG"/>
        </w:rPr>
      </w:pPr>
      <w:r>
        <w:rPr>
          <w:rFonts w:eastAsia="Batang" w:hint="cs"/>
          <w:rtl/>
          <w:lang w:eastAsia="ko-KR" w:bidi="ar-EG"/>
        </w:rPr>
        <w:tab/>
        <w:t xml:space="preserve">وفي 5 آذار/مارس، وكجزء من الاحتفالات باليوم الدولي للمرأة (8 آذار/مارس)، تفتتح الأمانة البرنامج الإذاعي </w:t>
      </w:r>
      <w:r>
        <w:rPr>
          <w:rFonts w:eastAsia="Batang" w:hint="eastAsia"/>
          <w:rtl/>
          <w:lang w:eastAsia="ko-KR" w:bidi="ar-EG"/>
        </w:rPr>
        <w:t>”الجنس النسائي - الأوجه الكثيرة للمرأة البرازيلية</w:t>
      </w:r>
      <w:r>
        <w:rPr>
          <w:rFonts w:eastAsia="Batang" w:hint="cs"/>
          <w:rtl/>
          <w:lang w:eastAsia="ko-KR" w:bidi="ar-EG"/>
        </w:rPr>
        <w:t>“، الذي أعد بشراكة مع إذاعة وزارة التعليم. وبرنامج الجنس النسائي استعراض إذاعي يقدم لمحة عن مختلف وجوه المرأة البرازيلية بكل تنوعها.</w:t>
      </w:r>
    </w:p>
    <w:p w:rsidR="00497782" w:rsidRDefault="00497782" w:rsidP="005A484F">
      <w:pPr>
        <w:pStyle w:val="SingleTxt"/>
        <w:rPr>
          <w:rFonts w:eastAsia="Batang" w:hint="cs"/>
          <w:rtl/>
          <w:lang w:eastAsia="ko-KR" w:bidi="ar-EG"/>
        </w:rPr>
      </w:pPr>
      <w:r>
        <w:rPr>
          <w:rFonts w:eastAsia="Batang" w:hint="cs"/>
          <w:rtl/>
          <w:lang w:eastAsia="ko-KR" w:bidi="ar-EG"/>
        </w:rPr>
        <w:tab/>
        <w:t>ويجري بث هذا البرنامج أسبوعيا، كما تعيد بثه محطات إذاعية متنوعة في جميع أنحاء البلد من خلال نظام الإذاعة البرازيلية (</w:t>
      </w:r>
      <w:r>
        <w:rPr>
          <w:rFonts w:hint="eastAsia"/>
          <w:lang w:eastAsia="ja-JP" w:bidi="ar-EG"/>
        </w:rPr>
        <w:t>RADIOBRAS</w:t>
      </w:r>
      <w:r>
        <w:rPr>
          <w:rFonts w:eastAsia="Batang" w:hint="cs"/>
          <w:rtl/>
          <w:lang w:eastAsia="ko-KR" w:bidi="ar-EG"/>
        </w:rPr>
        <w:t>). ويستغرق البرنامج 53 دقيقة ويتناول مواضيع مثل الصحة والسياسة والبيئة وحقوق المرأة</w:t>
      </w:r>
      <w:r w:rsidR="00352022">
        <w:rPr>
          <w:rFonts w:eastAsia="Batang" w:hint="cs"/>
          <w:rtl/>
          <w:lang w:eastAsia="ko-KR" w:bidi="ar-EG"/>
        </w:rPr>
        <w:t xml:space="preserve"> والتجارب الأنثوية الناجحة وغير ذلك. ويقدم برنامج الجنس النسائي أمثلة عملية لوقع تنفيذ الخطة الوطنية لسياسات المرأة على الحياة اليومية للمرأة.</w:t>
      </w:r>
    </w:p>
    <w:p w:rsidR="00352022" w:rsidRPr="00352022" w:rsidRDefault="00352022" w:rsidP="00352022">
      <w:pPr>
        <w:pStyle w:val="SingleTxt"/>
        <w:spacing w:after="0" w:line="120" w:lineRule="exact"/>
        <w:rPr>
          <w:rFonts w:eastAsia="Batang" w:hint="cs"/>
          <w:sz w:val="10"/>
          <w:rtl/>
          <w:lang w:eastAsia="ko-KR" w:bidi="ar-EG"/>
        </w:rPr>
      </w:pPr>
    </w:p>
    <w:p w:rsidR="00352022" w:rsidRDefault="007349CE" w:rsidP="007349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ko-KR" w:bidi="ar-EG"/>
        </w:rPr>
      </w:pPr>
      <w:r>
        <w:rPr>
          <w:rFonts w:hint="cs"/>
          <w:rtl/>
          <w:lang w:eastAsia="ko-KR" w:bidi="ar-EG"/>
        </w:rPr>
        <w:tab/>
      </w:r>
      <w:r>
        <w:rPr>
          <w:rFonts w:hint="cs"/>
          <w:rtl/>
          <w:lang w:eastAsia="ko-KR" w:bidi="ar-EG"/>
        </w:rPr>
        <w:tab/>
        <w:t>المادة 6</w:t>
      </w:r>
      <w:r w:rsidR="007C18B4">
        <w:rPr>
          <w:rFonts w:hint="cs"/>
          <w:rtl/>
          <w:lang w:eastAsia="ko-KR" w:bidi="ar-EG"/>
        </w:rPr>
        <w:t xml:space="preserve"> </w:t>
      </w:r>
      <w:r w:rsidR="007C18B4">
        <w:rPr>
          <w:rFonts w:hint="cs"/>
          <w:rtl/>
          <w:lang w:eastAsia="ja-JP" w:bidi="ar-EG"/>
        </w:rPr>
        <w:t>من اتفاقية القضاء على جميع أشكال التمييز ضد المرأة</w:t>
      </w:r>
    </w:p>
    <w:p w:rsidR="007349CE" w:rsidRDefault="00063EF0" w:rsidP="00063EF0">
      <w:pPr>
        <w:pStyle w:val="SingleTxt"/>
        <w:ind w:left="1930" w:hanging="663"/>
        <w:rPr>
          <w:rFonts w:eastAsia="Batang" w:hint="cs"/>
          <w:rtl/>
          <w:lang w:eastAsia="ko-KR" w:bidi="ar-EG"/>
        </w:rPr>
      </w:pPr>
      <w:r>
        <w:rPr>
          <w:rFonts w:eastAsia="Batang" w:hint="cs"/>
          <w:rtl/>
          <w:lang w:eastAsia="ko-KR" w:bidi="ar-EG"/>
        </w:rPr>
        <w:tab/>
      </w:r>
      <w:r w:rsidR="007349CE">
        <w:rPr>
          <w:rFonts w:eastAsia="Batang" w:hint="cs"/>
          <w:rtl/>
          <w:lang w:eastAsia="ko-KR" w:bidi="ar-EG"/>
        </w:rPr>
        <w:tab/>
        <w:t>تتخذ الدول الأطراف جميع التدابير المناسبة، بما ف</w:t>
      </w:r>
      <w:r w:rsidR="00007C7C">
        <w:rPr>
          <w:rFonts w:eastAsia="Batang" w:hint="cs"/>
          <w:rtl/>
          <w:lang w:eastAsia="ko-KR" w:bidi="ar-EG"/>
        </w:rPr>
        <w:t>ي ذلك التشريع</w:t>
      </w:r>
      <w:r w:rsidR="007349CE">
        <w:rPr>
          <w:rFonts w:eastAsia="Batang" w:hint="cs"/>
          <w:rtl/>
          <w:lang w:eastAsia="ko-KR" w:bidi="ar-EG"/>
        </w:rPr>
        <w:t>، لمكافحة جميع أشكال الاتجار بالمرأة واستغلال دعارة المرأة.</w:t>
      </w:r>
    </w:p>
    <w:p w:rsidR="007349CE" w:rsidRDefault="007349CE" w:rsidP="005A484F">
      <w:pPr>
        <w:pStyle w:val="SingleTxt"/>
        <w:rPr>
          <w:rFonts w:eastAsia="Batang" w:hint="cs"/>
          <w:rtl/>
          <w:lang w:eastAsia="ko-KR" w:bidi="ar-EG"/>
        </w:rPr>
      </w:pPr>
      <w:r>
        <w:rPr>
          <w:rFonts w:eastAsia="Batang" w:hint="cs"/>
          <w:rtl/>
          <w:lang w:eastAsia="ko-KR" w:bidi="ar-EG"/>
        </w:rPr>
        <w:tab/>
        <w:t>أثناء الفترة التي يشملها هذا التقرير، اعتمدت حكومة البرازيل مجموعة من التدابير لمكافحة الاتجار بالأشخاص والاستغلال الجنسي لأغراض تجارية والعنف ضد المرأة. وتنفذ تلك التدابير أيضا التوصيات أرقام 8 و 9 و 10 الموجهة إلى البرازيل من اللجنة المعنية بالقضاء على التمييز ضد المرأة.</w:t>
      </w:r>
    </w:p>
    <w:p w:rsidR="007349CE" w:rsidRDefault="007349CE" w:rsidP="005A484F">
      <w:pPr>
        <w:pStyle w:val="SingleTxt"/>
        <w:rPr>
          <w:rFonts w:eastAsia="Batang" w:hint="cs"/>
          <w:rtl/>
          <w:lang w:eastAsia="ko-KR" w:bidi="ar-EG"/>
        </w:rPr>
      </w:pPr>
      <w:r>
        <w:rPr>
          <w:rFonts w:eastAsia="Batang" w:hint="cs"/>
          <w:rtl/>
          <w:lang w:eastAsia="ko-KR" w:bidi="ar-EG"/>
        </w:rPr>
        <w:tab/>
        <w:t>وفي آذار/مارس 2004، صدقت البرازيل على اتفاقية الأمم المتحدة ضد الجريمة المنظمة العابرة للحدود الوطنية (</w:t>
      </w:r>
      <w:r>
        <w:rPr>
          <w:rFonts w:eastAsia="Batang" w:hint="eastAsia"/>
          <w:rtl/>
          <w:lang w:eastAsia="ko-KR" w:bidi="ar-EG"/>
        </w:rPr>
        <w:t>”اتفاقية باليرمو</w:t>
      </w:r>
      <w:r>
        <w:rPr>
          <w:rFonts w:eastAsia="Batang" w:hint="cs"/>
          <w:rtl/>
          <w:lang w:eastAsia="ko-KR" w:bidi="ar-EG"/>
        </w:rPr>
        <w:t>“) وبروتوكولاتها.</w:t>
      </w:r>
    </w:p>
    <w:p w:rsidR="007349CE" w:rsidRDefault="007349CE" w:rsidP="005A484F">
      <w:pPr>
        <w:pStyle w:val="SingleTxt"/>
        <w:rPr>
          <w:rFonts w:eastAsia="Batang" w:hint="cs"/>
          <w:rtl/>
          <w:lang w:eastAsia="ko-KR" w:bidi="ar-EG"/>
        </w:rPr>
      </w:pPr>
      <w:r>
        <w:rPr>
          <w:rFonts w:eastAsia="Batang" w:hint="cs"/>
          <w:rtl/>
          <w:lang w:eastAsia="ko-KR" w:bidi="ar-EG"/>
        </w:rPr>
        <w:tab/>
        <w:t xml:space="preserve">وحرصا على مكافحة الاتجار بالأشخاص، الذي تتورط </w:t>
      </w:r>
      <w:r w:rsidR="004D353D">
        <w:rPr>
          <w:rFonts w:eastAsia="Batang" w:hint="cs"/>
          <w:rtl/>
          <w:lang w:eastAsia="ko-KR" w:bidi="ar-EG"/>
        </w:rPr>
        <w:t xml:space="preserve">فيه المرأة في معظم الأحوال، أنشأت وزارة العدل، من خلال الأمانة الوطنية للعدل، بالمشاركة مع الأمانة الخاصة لحقوق الإنسان، مشروع </w:t>
      </w:r>
      <w:r w:rsidR="004D353D">
        <w:rPr>
          <w:rFonts w:eastAsia="Batang" w:hint="eastAsia"/>
          <w:rtl/>
          <w:lang w:eastAsia="ko-KR" w:bidi="ar-EG"/>
        </w:rPr>
        <w:t>”تدابير ضد الاتجار بالبشر في البرازيل</w:t>
      </w:r>
      <w:r w:rsidR="004D353D">
        <w:rPr>
          <w:rFonts w:eastAsia="Batang" w:hint="cs"/>
          <w:rtl/>
          <w:lang w:eastAsia="ko-KR" w:bidi="ar-EG"/>
        </w:rPr>
        <w:t>“. وهذا مشروع رائد تنسقه حكومة البرازيل ومكتب الأمم المتحدة لمراقبة المخدرات ومنع الجريمة بالتعاون مع برنامج الأمم المتحدة العالمي ضد الاتجار بالبشر. وأعد المشروع تشخيصا للحالة وعقد ثلاث حلقات دراسية للعاملين في مجالي القانون والأمن العام، وشارك في هذه الحلقات 300</w:t>
      </w:r>
      <w:r w:rsidR="004D353D">
        <w:rPr>
          <w:rFonts w:eastAsia="Batang" w:hint="eastAsia"/>
          <w:rtl/>
          <w:lang w:eastAsia="ko-KR" w:bidi="ar-EG"/>
        </w:rPr>
        <w:t> </w:t>
      </w:r>
      <w:r w:rsidR="004D353D">
        <w:rPr>
          <w:rFonts w:eastAsia="Batang" w:hint="cs"/>
          <w:rtl/>
          <w:lang w:eastAsia="ko-KR" w:bidi="ar-EG"/>
        </w:rPr>
        <w:t>مشترك من ولايات سييرا، وغوياس، وريو دي جانيرو، وساو باولو. وجرى في تشرين الأول/أكتوبر 2004 شن حملة في ولاية غوياس للارتقاء بالفهم والوعي فيما يتعلق بالاتجار.</w:t>
      </w:r>
    </w:p>
    <w:p w:rsidR="004D353D" w:rsidRDefault="004D353D" w:rsidP="00007C7C">
      <w:pPr>
        <w:pStyle w:val="SingleTxt"/>
        <w:rPr>
          <w:rFonts w:eastAsia="Batang" w:hint="cs"/>
          <w:rtl/>
          <w:lang w:eastAsia="ko-KR" w:bidi="ar-EG"/>
        </w:rPr>
      </w:pPr>
      <w:r>
        <w:rPr>
          <w:rFonts w:eastAsia="Batang" w:hint="cs"/>
          <w:rtl/>
          <w:lang w:eastAsia="ko-KR" w:bidi="ar-EG"/>
        </w:rPr>
        <w:tab/>
        <w:t>وتشكل حماية الأطفال شاغلا جوهريا للحكومة الاتحادية. والمادة 227 من دستور البرازيل لعام 1988 أدرجت المذهب القانوني للحماية الكاملة للأطفال، ولأول مرة في تاريخ البرازيل يعطى الأطفال أولوية مطلقة.</w:t>
      </w:r>
    </w:p>
    <w:p w:rsidR="004D353D" w:rsidRDefault="004D353D" w:rsidP="005A484F">
      <w:pPr>
        <w:pStyle w:val="SingleTxt"/>
        <w:rPr>
          <w:rFonts w:eastAsia="Batang" w:hint="cs"/>
          <w:rtl/>
          <w:lang w:eastAsia="ko-KR" w:bidi="ar-EG"/>
        </w:rPr>
      </w:pPr>
      <w:r>
        <w:rPr>
          <w:rFonts w:eastAsia="Batang" w:hint="cs"/>
          <w:rtl/>
          <w:lang w:eastAsia="ko-KR" w:bidi="ar-EG"/>
        </w:rPr>
        <w:tab/>
        <w:t>والموافقة على القانون رقم 8069/90، الذي يعرف باسم قانون الأطفال والمراهقين، والذي ينظم المادة 227 من الدستور الاتحادي، كانت معلما آخر في السعي من أجل منح حماية كاملة للأطفال والمراهقين في البرازيل. ويغطي هذا التشريع حوالي 40 في المائة من سكان البرازيل. ووفقا لهذا القانون، الطفل هو الشخص الذي يبلغ من العمر ما بين صفر و 12 سنة، أما المراهق فهو من يبلغ من العمر ما بين 12 و 18 سنة.</w:t>
      </w:r>
    </w:p>
    <w:p w:rsidR="004D353D" w:rsidRDefault="004D353D" w:rsidP="005619EC">
      <w:pPr>
        <w:pStyle w:val="SingleTxt"/>
        <w:rPr>
          <w:rFonts w:eastAsia="Batang" w:hint="cs"/>
          <w:rtl/>
          <w:lang w:eastAsia="ko-KR" w:bidi="ar-EG"/>
        </w:rPr>
      </w:pPr>
      <w:r>
        <w:rPr>
          <w:rFonts w:eastAsia="Batang" w:hint="cs"/>
          <w:rtl/>
          <w:lang w:eastAsia="ko-KR" w:bidi="ar-EG"/>
        </w:rPr>
        <w:tab/>
        <w:t>وخلافا للتقدم القانوني المحرز، يبدو أن انتهاك حقوق الإنسان للأطفال، وبخاصة الفتيات، ظاه</w:t>
      </w:r>
      <w:r w:rsidR="005619EC">
        <w:rPr>
          <w:rFonts w:eastAsia="Batang" w:hint="cs"/>
          <w:rtl/>
          <w:lang w:eastAsia="ko-KR" w:bidi="ar-EG"/>
        </w:rPr>
        <w:t>رة عامة ومتزايدة في جميع أنحاء البرازيل.</w:t>
      </w:r>
    </w:p>
    <w:p w:rsidR="005619EC" w:rsidRDefault="005619EC" w:rsidP="005619EC">
      <w:pPr>
        <w:pStyle w:val="SingleTxt"/>
        <w:rPr>
          <w:rFonts w:eastAsia="Batang" w:hint="cs"/>
          <w:rtl/>
          <w:lang w:eastAsia="ko-KR" w:bidi="ar-EG"/>
        </w:rPr>
      </w:pPr>
      <w:r>
        <w:rPr>
          <w:rFonts w:eastAsia="Batang" w:hint="cs"/>
          <w:rtl/>
          <w:lang w:eastAsia="ko-KR" w:bidi="ar-EG"/>
        </w:rPr>
        <w:tab/>
        <w:t xml:space="preserve">والإقصاء، والإجحاف الاجتماعي الذي يؤدي بصفة متزايدة إلى الفقر في الحضر، والطبيعة المتقلقلة للحياة في الريف، والهجرة الداخلية والدولية بحثا عن مستوى معيشي أفضل، وتفكك الروابط المجتمعية، كل ذلك يشكل عوامل تجعل الأطفال أكثر ضعفا، وبخاصة الفتيات </w:t>
      </w:r>
      <w:r w:rsidR="00544B92">
        <w:rPr>
          <w:rFonts w:eastAsia="Batang" w:hint="cs"/>
          <w:rtl/>
          <w:lang w:eastAsia="ko-KR" w:bidi="ar-EG"/>
        </w:rPr>
        <w:t>والأطفال</w:t>
      </w:r>
      <w:r>
        <w:rPr>
          <w:rFonts w:eastAsia="Batang" w:hint="cs"/>
          <w:rtl/>
          <w:lang w:eastAsia="ko-KR" w:bidi="ar-EG"/>
        </w:rPr>
        <w:t xml:space="preserve"> الذين يعيشون في فقر مدقع. ويصبح هؤلاء فريسة سهلة للجريمة المنظمة، مثل السياحة الجنسية، والاتجار، والاستغلال الجنسي لأغراض تجارية.</w:t>
      </w:r>
    </w:p>
    <w:p w:rsidR="005619EC" w:rsidRDefault="005619EC" w:rsidP="005619EC">
      <w:pPr>
        <w:pStyle w:val="SingleTxt"/>
        <w:rPr>
          <w:rFonts w:eastAsia="Batang" w:hint="cs"/>
          <w:rtl/>
          <w:lang w:eastAsia="ko-KR" w:bidi="ar-EG"/>
        </w:rPr>
      </w:pPr>
      <w:r>
        <w:rPr>
          <w:rFonts w:eastAsia="Batang" w:hint="cs"/>
          <w:rtl/>
          <w:lang w:eastAsia="ko-KR" w:bidi="ar-EG"/>
        </w:rPr>
        <w:tab/>
        <w:t>وتضطلع الحكومة الاتحادية</w:t>
      </w:r>
      <w:r w:rsidR="00007C7C">
        <w:rPr>
          <w:rFonts w:eastAsia="Batang" w:hint="cs"/>
          <w:rtl/>
          <w:lang w:eastAsia="ko-KR" w:bidi="ar-EG"/>
        </w:rPr>
        <w:t>،</w:t>
      </w:r>
      <w:r>
        <w:rPr>
          <w:rFonts w:eastAsia="Batang" w:hint="cs"/>
          <w:rtl/>
          <w:lang w:eastAsia="ko-KR" w:bidi="ar-EG"/>
        </w:rPr>
        <w:t xml:space="preserve"> من خلال الأمانة الخاصة لحقوق الإنسان</w:t>
      </w:r>
      <w:r w:rsidR="00007C7C">
        <w:rPr>
          <w:rFonts w:eastAsia="Batang" w:hint="cs"/>
          <w:rtl/>
          <w:lang w:eastAsia="ko-KR" w:bidi="ar-EG"/>
        </w:rPr>
        <w:t>،</w:t>
      </w:r>
      <w:r>
        <w:rPr>
          <w:rFonts w:eastAsia="Batang" w:hint="cs"/>
          <w:rtl/>
          <w:lang w:eastAsia="ko-KR" w:bidi="ar-EG"/>
        </w:rPr>
        <w:t xml:space="preserve"> بأعمال متنوعة لمكافحة الاستغلال الجنسي التجاري للأطفال والمراهقين في البرازيل. ويشكل الاتجار بالفتيات والفتيان</w:t>
      </w:r>
      <w:r w:rsidR="00007C7C">
        <w:rPr>
          <w:rFonts w:eastAsia="Batang" w:hint="cs"/>
          <w:rtl/>
          <w:lang w:eastAsia="ko-KR" w:bidi="ar-EG"/>
        </w:rPr>
        <w:t>،</w:t>
      </w:r>
      <w:r>
        <w:rPr>
          <w:rFonts w:eastAsia="Batang" w:hint="cs"/>
          <w:rtl/>
          <w:lang w:eastAsia="ko-KR" w:bidi="ar-EG"/>
        </w:rPr>
        <w:t xml:space="preserve"> والسياحة الجنسية</w:t>
      </w:r>
      <w:r w:rsidR="00007C7C">
        <w:rPr>
          <w:rFonts w:eastAsia="Batang" w:hint="cs"/>
          <w:rtl/>
          <w:lang w:eastAsia="ko-KR" w:bidi="ar-EG"/>
        </w:rPr>
        <w:t>،</w:t>
      </w:r>
      <w:r>
        <w:rPr>
          <w:rFonts w:eastAsia="Batang" w:hint="cs"/>
          <w:rtl/>
          <w:lang w:eastAsia="ko-KR" w:bidi="ar-EG"/>
        </w:rPr>
        <w:t xml:space="preserve"> والاستغلال الجنسي التجاري أولويات تتطلب اتخاذ إجراءات تقوم على أساس أحكام الخطة الوطنية لمكافحة العنف الجنسي ضد الأطفال والمراهقين، التي تتضمن تحليلا للحالة، وتعبئة وشرحا، ودفاعا وتأكيدا للمسؤولية، ورعاية، ومنعا، وتبنيا للشباب - الأطفال.</w:t>
      </w:r>
    </w:p>
    <w:p w:rsidR="005619EC" w:rsidRDefault="005619EC" w:rsidP="00201D5E">
      <w:pPr>
        <w:pStyle w:val="SingleTxt"/>
        <w:rPr>
          <w:rFonts w:eastAsia="Batang" w:hint="cs"/>
          <w:rtl/>
          <w:lang w:eastAsia="ko-KR" w:bidi="ar-EG"/>
        </w:rPr>
      </w:pPr>
      <w:r>
        <w:rPr>
          <w:rFonts w:eastAsia="Batang" w:hint="cs"/>
          <w:rtl/>
          <w:lang w:eastAsia="ko-KR" w:bidi="ar-EG"/>
        </w:rPr>
        <w:tab/>
        <w:t>وحرصا على إدماج خطوط العمل هذه، جرى منذ عام 2003 إنشاء برنامج الأعمال المتكاملة لمواجهة العنف الجنسي ضد الأطفال والمراهقين في البرازيل. ويرتكز هذا البرنامج على شراكة بين الأمانة الخاصة لحقوق الإنسان التابعة لرئاسة الجمهورية، ووزارة التنمية الاجتماعية ومحاربة الجوع، ووزارة الصحة، ووزارة العدل، ووزارة التعليم، والجامعة الاتحادية لولاية ماتو غروسو دو سول، ووكالة التنمية الدولية التابعة للولايات المتحدة/شركائها، ومنظمة العمل الدولية.</w:t>
      </w:r>
    </w:p>
    <w:p w:rsidR="005619EC" w:rsidRDefault="005619EC" w:rsidP="00201D5E">
      <w:pPr>
        <w:pStyle w:val="SingleTxt"/>
        <w:rPr>
          <w:rFonts w:eastAsia="Batang" w:hint="cs"/>
          <w:rtl/>
          <w:lang w:eastAsia="ko-KR" w:bidi="ar-EG"/>
        </w:rPr>
      </w:pPr>
      <w:r>
        <w:rPr>
          <w:rFonts w:eastAsia="Batang" w:hint="cs"/>
          <w:rtl/>
          <w:lang w:eastAsia="ko-KR" w:bidi="ar-EG"/>
        </w:rPr>
        <w:tab/>
        <w:t xml:space="preserve">ويجري تنفيذ برنامج الأعمال المتكاملة في ست بلديات </w:t>
      </w:r>
      <w:r w:rsidR="00201D5E">
        <w:rPr>
          <w:rFonts w:eastAsia="Batang" w:hint="cs"/>
          <w:rtl/>
          <w:lang w:eastAsia="ko-KR" w:bidi="ar-EG"/>
        </w:rPr>
        <w:t>رائدة</w:t>
      </w:r>
      <w:r>
        <w:rPr>
          <w:rFonts w:eastAsia="Batang" w:hint="cs"/>
          <w:rtl/>
          <w:lang w:eastAsia="ko-KR" w:bidi="ar-EG"/>
        </w:rPr>
        <w:t xml:space="preserve">، مع إجراء دراسات لتحليل الحالة، والتعبئة، والرعاية، والدفاع، وتأكيد المسؤولية، وشن حملات للوعي الاجتماعي. ويشجع هذا البرنامج أيضا على مشاركة الأطراف من داخل النظام في تقديم المساعدة الكاملة، </w:t>
      </w:r>
      <w:r w:rsidR="00201D5E">
        <w:rPr>
          <w:rFonts w:eastAsia="Batang" w:hint="cs"/>
          <w:rtl/>
          <w:lang w:eastAsia="ko-KR" w:bidi="ar-EG"/>
        </w:rPr>
        <w:t xml:space="preserve">كما </w:t>
      </w:r>
      <w:r>
        <w:rPr>
          <w:rFonts w:eastAsia="Batang" w:hint="cs"/>
          <w:rtl/>
          <w:lang w:eastAsia="ko-KR" w:bidi="ar-EG"/>
        </w:rPr>
        <w:t xml:space="preserve">يدعم نشاط الشباب في مجالي وضع خطط التشغيل المحلية وتنفيذها، ويوفر التدريب للشبكة المحلية لنظام ضمان الحقوق، ويقدم برنامجا للاستشارات التقنية الدائمة. </w:t>
      </w:r>
    </w:p>
    <w:p w:rsidR="009329B5" w:rsidRDefault="009329B5" w:rsidP="005619EC">
      <w:pPr>
        <w:pStyle w:val="SingleTxt"/>
        <w:rPr>
          <w:rFonts w:eastAsia="Batang" w:hint="cs"/>
          <w:rtl/>
          <w:lang w:eastAsia="ko-KR" w:bidi="ar-EG"/>
        </w:rPr>
      </w:pPr>
      <w:r>
        <w:rPr>
          <w:rFonts w:eastAsia="Batang" w:hint="cs"/>
          <w:rtl/>
          <w:lang w:eastAsia="ko-KR" w:bidi="ar-EG"/>
        </w:rPr>
        <w:tab/>
        <w:t>والبحث الذي نشر عام 2002 بشأن الاتجار بالنساء والأطفال والمراهقين من أجل الاستغلال الجنسي التجاري برهن على أن من ينظم شبكة الميسرين هم من يقومون بالتجنيد، وأصحاب الأملاك، والعمال، والأنماط الأخرى من الوسطاء. ويتخفى هؤلاء وراء المشاريع التجارية القانونية وغير القانونية التي تعمل في مختلف المجالات، مثل صناعات السياحة والترفيه والنقل والأزياء والثقافة والمواد الإباحية ووكالات الخدمات. وهم يعتمدون بصفة عامة على التكنولوجيا التي تيسر ما يتعلق بأعمالهم من إغراء ونقل وإسكان ويقظة ومراقبة. ويمكنهم أيضا تجميع وتفكيك هياكلهم الأساسية بيسر.</w:t>
      </w:r>
    </w:p>
    <w:p w:rsidR="009329B5" w:rsidRDefault="002F6FD8" w:rsidP="005619EC">
      <w:pPr>
        <w:pStyle w:val="SingleTxt"/>
        <w:rPr>
          <w:rFonts w:hint="cs"/>
          <w:rtl/>
          <w:lang w:eastAsia="ja-JP" w:bidi="ar-EG"/>
        </w:rPr>
      </w:pPr>
      <w:r>
        <w:rPr>
          <w:rFonts w:eastAsia="Batang" w:hint="cs"/>
          <w:rtl/>
          <w:lang w:eastAsia="ko-KR" w:bidi="ar-EG"/>
        </w:rPr>
        <w:tab/>
        <w:t xml:space="preserve">ومن الأعمال الأخرى التي تسهم في التشخيص الأدق لهذه الظاهرة في البرازيل إعادة تشغيل الرقم الهاتفي المجاني </w:t>
      </w:r>
      <w:r>
        <w:rPr>
          <w:rFonts w:hint="eastAsia"/>
          <w:lang w:eastAsia="ja-JP" w:bidi="ar-EG"/>
        </w:rPr>
        <w:t>0800-990500</w:t>
      </w:r>
      <w:r>
        <w:rPr>
          <w:rFonts w:hint="cs"/>
          <w:rtl/>
          <w:lang w:eastAsia="ja-JP" w:bidi="ar-EG"/>
        </w:rPr>
        <w:t xml:space="preserve"> للشكاوى المتعلقة بالإيذاء والاستغلال الجنسيين للأطفال والمراهقين. وهذا العمل شراكة بين الأمانة الخاصة لحقوق الإنسان/رئاسة الجمهورية ووزارة الصحة ووزارة السياحة. والإبلاغ عن ذلك هو أولى خطوات مكافحة الإفلات من العقاب، وحماية الضحايا وضمان حقوقهم. وأحد التغيرات</w:t>
      </w:r>
      <w:r w:rsidR="0030007A">
        <w:rPr>
          <w:rFonts w:hint="cs"/>
          <w:rtl/>
          <w:lang w:eastAsia="ja-JP" w:bidi="ar-EG"/>
        </w:rPr>
        <w:t xml:space="preserve"> التي أدخلت</w:t>
      </w:r>
      <w:r>
        <w:rPr>
          <w:rFonts w:hint="cs"/>
          <w:rtl/>
          <w:lang w:eastAsia="ja-JP" w:bidi="ar-EG"/>
        </w:rPr>
        <w:t xml:space="preserve"> يجعل الحكومة البرازيلية مسؤولة مسؤولية مباشرة عن تنفيذ ورصد عملية الإبلاغ بكاملها، وعن إعداد تقارير إحصائية تدعم العمليات الفعالة للنظام، وإحالة هذه البلاغات يوميا إلى الوزارات ومجالس الوصاية.</w:t>
      </w:r>
    </w:p>
    <w:p w:rsidR="002F6FD8" w:rsidRDefault="002F6FD8" w:rsidP="005619EC">
      <w:pPr>
        <w:pStyle w:val="SingleTxt"/>
        <w:rPr>
          <w:rFonts w:hint="cs"/>
          <w:rtl/>
          <w:lang w:eastAsia="ja-JP" w:bidi="ar-EG"/>
        </w:rPr>
      </w:pPr>
      <w:r>
        <w:rPr>
          <w:rFonts w:hint="cs"/>
          <w:rtl/>
          <w:lang w:eastAsia="ja-JP" w:bidi="ar-EG"/>
        </w:rPr>
        <w:tab/>
        <w:t>ويتناول النظام المجالات التالية: الإيذاء، والإصابة، والإيذاء الجنسي، والاستغلال الجنسي التجاري، داخل محيط الأسرة أو خارجه. وشكلت الإناث 55 في المائة من الضحايا في حالات الادعاء المتعلقة بالاستغلال الجنسي، أما الذكور فشكلوا 22 في المائة من أولئك الضحايا، وفي 23 في المائة من الحالات لم يمكن تحديد نوع جنس الضحية أو ضمت الواقعة كلا الجنسين.</w:t>
      </w:r>
    </w:p>
    <w:p w:rsidR="002F6FD8" w:rsidRDefault="002F6FD8" w:rsidP="0030007A">
      <w:pPr>
        <w:pStyle w:val="SingleTxt"/>
        <w:rPr>
          <w:rFonts w:hint="cs"/>
          <w:rtl/>
          <w:lang w:eastAsia="ja-JP" w:bidi="ar-EG"/>
        </w:rPr>
      </w:pPr>
      <w:r>
        <w:rPr>
          <w:rFonts w:hint="cs"/>
          <w:rtl/>
          <w:lang w:eastAsia="ja-JP" w:bidi="ar-EG"/>
        </w:rPr>
        <w:tab/>
        <w:t>وهناك أهمية خاصة لإنشاء اللجنة المشتركة بين القطاعات لمكافحة العنف الجنسي ضد الأطفال والمراهقين، وذلك بالنسبة</w:t>
      </w:r>
      <w:r w:rsidR="0030007A">
        <w:rPr>
          <w:rFonts w:hint="cs"/>
          <w:rtl/>
          <w:lang w:eastAsia="ja-JP" w:bidi="ar-EG"/>
        </w:rPr>
        <w:t xml:space="preserve"> لتوطيد العلاقات</w:t>
      </w:r>
      <w:r>
        <w:rPr>
          <w:rFonts w:hint="cs"/>
          <w:rtl/>
          <w:lang w:eastAsia="ja-JP" w:bidi="ar-EG"/>
        </w:rPr>
        <w:t xml:space="preserve"> والتعبئة. وتعمل هذه اللجنة بتنسيق من الأمانة الخاصة لحقوق الإنسان، كما أنها تتحمل مسؤولية إدماج السياسات العامة الاتحادية </w:t>
      </w:r>
      <w:r w:rsidR="0030007A">
        <w:rPr>
          <w:rFonts w:hint="cs"/>
          <w:rtl/>
          <w:lang w:eastAsia="ja-JP" w:bidi="ar-EG"/>
        </w:rPr>
        <w:t>وتتعاون</w:t>
      </w:r>
      <w:r>
        <w:rPr>
          <w:rFonts w:hint="cs"/>
          <w:rtl/>
          <w:lang w:eastAsia="ja-JP" w:bidi="ar-EG"/>
        </w:rPr>
        <w:t>، مع المنظمات غير الحكومية الأخرى</w:t>
      </w:r>
      <w:r w:rsidR="0030007A">
        <w:rPr>
          <w:rFonts w:hint="cs"/>
          <w:rtl/>
          <w:lang w:eastAsia="ja-JP" w:bidi="ar-EG"/>
        </w:rPr>
        <w:t xml:space="preserve"> بشأن</w:t>
      </w:r>
      <w:r>
        <w:rPr>
          <w:rFonts w:hint="cs"/>
          <w:rtl/>
          <w:lang w:eastAsia="ja-JP" w:bidi="ar-EG"/>
        </w:rPr>
        <w:t xml:space="preserve"> مشاركة المجتمع.</w:t>
      </w:r>
    </w:p>
    <w:p w:rsidR="002F6FD8" w:rsidRDefault="002F6FD8" w:rsidP="005619EC">
      <w:pPr>
        <w:pStyle w:val="SingleTxt"/>
        <w:rPr>
          <w:rFonts w:hint="cs"/>
          <w:rtl/>
          <w:lang w:eastAsia="ja-JP" w:bidi="ar-EG"/>
        </w:rPr>
      </w:pPr>
      <w:r>
        <w:rPr>
          <w:rFonts w:hint="cs"/>
          <w:rtl/>
          <w:lang w:eastAsia="ja-JP" w:bidi="ar-EG"/>
        </w:rPr>
        <w:tab/>
        <w:t>وتتشكل هذه اللجنة من السلطات التنفيذية والتشريعية والقضائية؛ والمدعي العام؛ والمنظمات الدولية؛ ومنظمات المجتمع المدني، وبخاصة المجلس الوطني لمكافحة العنف الجنسي ضد الأطفال - الشباب، والمجلس الوطني لحقوق الأطفال والمراهقين.</w:t>
      </w:r>
    </w:p>
    <w:p w:rsidR="002F6FD8" w:rsidRDefault="002F6FD8" w:rsidP="0030007A">
      <w:pPr>
        <w:pStyle w:val="SingleTxt"/>
        <w:rPr>
          <w:rFonts w:hint="cs"/>
          <w:rtl/>
          <w:lang w:eastAsia="ja-JP" w:bidi="ar-EG"/>
        </w:rPr>
      </w:pPr>
      <w:r>
        <w:rPr>
          <w:rFonts w:hint="cs"/>
          <w:rtl/>
          <w:lang w:eastAsia="ja-JP" w:bidi="ar-EG"/>
        </w:rPr>
        <w:tab/>
        <w:t>واضطلعت اللجنة عام 2004 بدور هام في أنشطة التعبئة من أجل اليوم الوطني لمكافحة الإيذاء والاستغلال الجنسيين (18 أيار/مايو). ثم التزمت اللجنة بإنشاء وتطوير إطار مشترك بين القطاعات فيما يتعلق بالاستغلال الجنسي والتجار</w:t>
      </w:r>
      <w:r w:rsidR="0030007A">
        <w:rPr>
          <w:rFonts w:hint="cs"/>
          <w:rtl/>
          <w:lang w:eastAsia="ja-JP" w:bidi="ar-EG"/>
        </w:rPr>
        <w:t>ي</w:t>
      </w:r>
      <w:r>
        <w:rPr>
          <w:rFonts w:hint="cs"/>
          <w:rtl/>
          <w:lang w:eastAsia="ja-JP" w:bidi="ar-EG"/>
        </w:rPr>
        <w:t xml:space="preserve"> للأطفال والمراهقين، وذلك بدعم من منظمة</w:t>
      </w:r>
      <w:r w:rsidR="00AB7B71">
        <w:rPr>
          <w:rFonts w:hint="cs"/>
          <w:rtl/>
          <w:lang w:eastAsia="ja-JP" w:bidi="ar-EG"/>
        </w:rPr>
        <w:t xml:space="preserve"> الأمم</w:t>
      </w:r>
      <w:r>
        <w:rPr>
          <w:rFonts w:hint="cs"/>
          <w:rtl/>
          <w:lang w:eastAsia="ja-JP" w:bidi="ar-EG"/>
        </w:rPr>
        <w:t xml:space="preserve"> المتحدة للطفولة والمساعدة</w:t>
      </w:r>
      <w:r w:rsidR="00AB7B71">
        <w:rPr>
          <w:rFonts w:hint="cs"/>
          <w:rtl/>
          <w:lang w:eastAsia="ja-JP" w:bidi="ar-EG"/>
        </w:rPr>
        <w:t xml:space="preserve"> التقنية من مجموعة فيولس، التابعة لجامعة برازيليا. وقدمت الحكومة الاتحادية هذا الإطار بصفة رسمية إلى ال</w:t>
      </w:r>
      <w:r w:rsidR="0030007A">
        <w:rPr>
          <w:rFonts w:hint="cs"/>
          <w:rtl/>
          <w:lang w:eastAsia="ja-JP" w:bidi="ar-EG"/>
        </w:rPr>
        <w:t>سكان</w:t>
      </w:r>
      <w:r w:rsidR="00AB7B71">
        <w:rPr>
          <w:rFonts w:hint="cs"/>
          <w:rtl/>
          <w:lang w:eastAsia="ja-JP" w:bidi="ar-EG"/>
        </w:rPr>
        <w:t xml:space="preserve"> في 28 كانون الثاني/يناير 2005.</w:t>
      </w:r>
    </w:p>
    <w:p w:rsidR="00AB7B71" w:rsidRDefault="00AB7B71" w:rsidP="00AB7B71">
      <w:pPr>
        <w:pStyle w:val="SingleTxt"/>
        <w:rPr>
          <w:rFonts w:hint="cs"/>
          <w:rtl/>
          <w:lang w:eastAsia="ja-JP" w:bidi="ar-EG"/>
        </w:rPr>
      </w:pPr>
      <w:r>
        <w:rPr>
          <w:rFonts w:hint="cs"/>
          <w:rtl/>
          <w:lang w:eastAsia="ja-JP" w:bidi="ar-EG"/>
        </w:rPr>
        <w:tab/>
        <w:t xml:space="preserve">وقالب هذا الإطار هو دراسة استقصائية توفر مدخلات تعالج من خلالها السياسات العامة مشكلة العنف </w:t>
      </w:r>
      <w:r w:rsidR="00C05344">
        <w:rPr>
          <w:rFonts w:hint="cs"/>
          <w:rtl/>
          <w:lang w:eastAsia="ja-JP" w:bidi="ar-EG"/>
        </w:rPr>
        <w:t>الجنسي ضد الأطفال والمراهقين في البلد. وبفضل توفر هذه البيانات، سيجري وضع سياسات عامة اتحادية لمعالجة مشكلة الإفلات من العقاب، ولرعاية وحماية وضمان حقوق الأطفال والمراهقين البرازيليين.</w:t>
      </w:r>
    </w:p>
    <w:p w:rsidR="00C05344" w:rsidRDefault="00C05344" w:rsidP="00AB7B71">
      <w:pPr>
        <w:pStyle w:val="SingleTxt"/>
        <w:rPr>
          <w:rFonts w:hint="cs"/>
          <w:rtl/>
          <w:lang w:eastAsia="ja-JP" w:bidi="ar-EG"/>
        </w:rPr>
      </w:pPr>
      <w:r>
        <w:rPr>
          <w:rFonts w:hint="cs"/>
          <w:rtl/>
          <w:lang w:eastAsia="ja-JP" w:bidi="ar-EG"/>
        </w:rPr>
        <w:tab/>
        <w:t>ويحتوي الإطار على خريطة اجتماعية - جغرافية للمدن البرازيلية موضوعة على أساس بيانات وردت في دراسة عن هذا الموضوع، ومعلومات مجمعة من خلال نظام الإبلاغ، وتوصيات لجنة التحقيق البرلمانية المشتركة فيما يتعلق بالاستغلال الجنسي للأطفال والمراهقين في البرازيل. وهذا الإطار أداة ترتكز على معلومات (كمية ونوعية) منهجية ستيسر تحليل السياسات العامة وتوجيهها وتنظيمها ورسمها. والهدف هنا هو تحليل حالة الاستغلال الجنسي التجاري للأطفال والمراهقين والسياسات العامة المتبعة لمكافحة هذه الظاهرة، فضلا عن توفير مدخلات من أجل توسيع نطاق سياسة مكافحة الاستغلال. ويتضمن الإطار أيضا التشريع الحالي المعني بهذا الموضوع.</w:t>
      </w:r>
    </w:p>
    <w:p w:rsidR="00C05344" w:rsidRDefault="00C05344" w:rsidP="0030007A">
      <w:pPr>
        <w:pStyle w:val="SingleTxt"/>
        <w:rPr>
          <w:rFonts w:hint="cs"/>
          <w:rtl/>
          <w:lang w:eastAsia="ja-JP" w:bidi="ar-EG"/>
        </w:rPr>
      </w:pPr>
      <w:r>
        <w:rPr>
          <w:rFonts w:hint="cs"/>
          <w:rtl/>
          <w:lang w:eastAsia="ja-JP" w:bidi="ar-EG"/>
        </w:rPr>
        <w:tab/>
        <w:t>وحدد الإطار أكثر من 937 من البلديات والجهات المحلية البرازيلية التي يحدث فيها الاستغلال الجنسي التجاري للأطفال والشباب. وتقع 298 (</w:t>
      </w:r>
      <w:r w:rsidR="0030007A">
        <w:rPr>
          <w:rFonts w:hint="cs"/>
          <w:rtl/>
          <w:lang w:eastAsia="ja-JP" w:bidi="ar-EG"/>
        </w:rPr>
        <w:t>31.8</w:t>
      </w:r>
      <w:r>
        <w:rPr>
          <w:rFonts w:hint="cs"/>
          <w:rtl/>
          <w:lang w:eastAsia="ja-JP" w:bidi="ar-EG"/>
        </w:rPr>
        <w:t xml:space="preserve"> في المائة) من هذه الحوادث في المنطقة الشمالية الشرقية، و 241 (25.7 في المائة) منها في المنطقة الجنوبية الشرقية، و 162 (17.3 في المائة) منها في المنطقة الجنوبية، و 127 (13.6 في المائة) منها في المنطقة الغربية الوسطى، و 109 (11.6 في المائة) منها في المنطقة الشمالية.</w:t>
      </w:r>
    </w:p>
    <w:p w:rsidR="00C05344" w:rsidRDefault="00C05344" w:rsidP="00AB7B71">
      <w:pPr>
        <w:pStyle w:val="SingleTxt"/>
        <w:rPr>
          <w:rFonts w:hint="cs"/>
          <w:rtl/>
          <w:lang w:eastAsia="ja-JP" w:bidi="ar-EG"/>
        </w:rPr>
      </w:pPr>
      <w:r>
        <w:rPr>
          <w:rFonts w:hint="cs"/>
          <w:rtl/>
          <w:lang w:eastAsia="ja-JP" w:bidi="ar-EG"/>
        </w:rPr>
        <w:tab/>
        <w:t xml:space="preserve">ويضع الإطار أيضا قوائم بما مجموعه 622 1 منظمة دفاعية. وهناك 375 1 من تلك المنظمات تدافع عن الأطفال والمراهقين، و 150 منظمة تساعد النساء، و 97 منظمة تعالج قضايا المجتمع المحلي. وهناك 837 مجلسا للوصاية، و 221 مكتبا للمدعي العام للأطفال </w:t>
      </w:r>
      <w:r w:rsidR="006D1811">
        <w:rPr>
          <w:rFonts w:hint="cs"/>
          <w:rtl/>
          <w:lang w:eastAsia="ja-JP" w:bidi="ar-EG"/>
        </w:rPr>
        <w:t>والمراهقين، و 202 محكمة للأطفال والشباب، و 119 مجلسا بلديا للنساء. وتندرج في هذه القوائم أيضا 669 مركزا للشرطة، منها 407 مركزا لخدمة المجتمع المحلي، و 223 مركزا لمساعدة النساء و 28 مركزا لمساعدة الأطفال والمراهقين، و 11 مركزا لمساعدة النساء والأطفال والمراهقين.</w:t>
      </w:r>
    </w:p>
    <w:p w:rsidR="006D1811" w:rsidRDefault="006D1811" w:rsidP="00AB7B71">
      <w:pPr>
        <w:pStyle w:val="SingleTxt"/>
        <w:rPr>
          <w:rFonts w:hint="cs"/>
          <w:rtl/>
          <w:lang w:eastAsia="ja-JP" w:bidi="ar-EG"/>
        </w:rPr>
      </w:pPr>
      <w:r>
        <w:rPr>
          <w:rFonts w:hint="cs"/>
          <w:rtl/>
          <w:lang w:eastAsia="ja-JP" w:bidi="ar-EG"/>
        </w:rPr>
        <w:tab/>
        <w:t>وبفضل كل هذه المعلومات، تنسق الحكومة الاتحادية مع الوزارات والولايات والبلديات خطط عمل لمعالجة المشكلة في مكان حدوثها، ولتعزيز آليات حماية الضحايا ورعايتهم، فضلا عن آليات الدفاع والاتهام لمكافحة التهرب من العقاب.</w:t>
      </w:r>
    </w:p>
    <w:p w:rsidR="006D1811" w:rsidRDefault="006D1811" w:rsidP="0030007A">
      <w:pPr>
        <w:pStyle w:val="SingleTxt"/>
        <w:rPr>
          <w:rFonts w:hint="cs"/>
          <w:rtl/>
          <w:lang w:eastAsia="ja-JP" w:bidi="ar-EG"/>
        </w:rPr>
      </w:pPr>
      <w:r>
        <w:rPr>
          <w:rFonts w:hint="cs"/>
          <w:rtl/>
          <w:lang w:eastAsia="ja-JP" w:bidi="ar-EG"/>
        </w:rPr>
        <w:tab/>
        <w:t xml:space="preserve">وعلاوة على هذه الأنشطة، شكلت اللجنة المشتركة بين القطاعات لجنتين فرعيتين موضوعيتين: شكلت </w:t>
      </w:r>
      <w:r w:rsidR="00C12AF4">
        <w:rPr>
          <w:rFonts w:hint="cs"/>
          <w:rtl/>
          <w:lang w:eastAsia="ja-JP" w:bidi="ar-EG"/>
        </w:rPr>
        <w:t xml:space="preserve">الأولى لمكافحة استغلال الأطفال في المواد الإباحية، وأعدت بالفعل اقتراحا بخطة وطنية لمكافحة تلك الجريمة. ويتضمن المشتركون في الخطة مختلف إدارات الشرطة والأعمال التجارية والرابطات، مثل الرابطة البرازيلية لمقدمي خدمات الإنترنت. أما اللجنة الفرعية الأخرى فتقوم بصياغة الإجراءات الحكومية لمكافحة السياحة الجنسية التي ينخرط فيها الأطفال والمراهقون، حيث أن ذلك يشكل دافعا مستمرا </w:t>
      </w:r>
      <w:r w:rsidR="0030007A">
        <w:rPr>
          <w:rFonts w:hint="cs"/>
          <w:rtl/>
          <w:lang w:eastAsia="ja-JP" w:bidi="ar-EG"/>
        </w:rPr>
        <w:t>للاتجار بالأطفال</w:t>
      </w:r>
      <w:r w:rsidR="00C12AF4">
        <w:rPr>
          <w:rFonts w:hint="cs"/>
          <w:rtl/>
          <w:lang w:eastAsia="ja-JP" w:bidi="ar-EG"/>
        </w:rPr>
        <w:t xml:space="preserve"> والمراهقين في المناطق الداخلية في البرازيل. وتعالج الحكومة البرازيلية هذه المشكلة بشكل مباشر من خلال حملات الدعاية في المطارات وفي الرحلات الجوية الوطنية والدولية كنتيجة لاتفاق تعاون تقني أبرم بين الأمانة الخاصة لحقوق الإنسان وشركة البنى التحتية للمطارات؛ ومن خلال وضع مدونة سلوك للسياحة من أجل مكافحة الاستغلال الجنسي والتجاري للأطفال والمراهقين؛ وإنشاء برامج تدريب للشرطة الاتحادية بشأن محاربة الاتجار بالبشر والمواد </w:t>
      </w:r>
      <w:r w:rsidR="00461892">
        <w:rPr>
          <w:rFonts w:hint="cs"/>
          <w:rtl/>
          <w:lang w:eastAsia="ja-JP" w:bidi="ar-EG"/>
        </w:rPr>
        <w:t>الإباحية</w:t>
      </w:r>
      <w:r w:rsidR="00C12AF4">
        <w:rPr>
          <w:rFonts w:hint="cs"/>
          <w:rtl/>
          <w:lang w:eastAsia="ja-JP" w:bidi="ar-EG"/>
        </w:rPr>
        <w:t xml:space="preserve"> وغير ذلك.</w:t>
      </w:r>
    </w:p>
    <w:p w:rsidR="00C12AF4" w:rsidRDefault="00C12AF4" w:rsidP="006D1811">
      <w:pPr>
        <w:pStyle w:val="SingleTxt"/>
        <w:rPr>
          <w:rFonts w:hint="cs"/>
          <w:rtl/>
          <w:lang w:eastAsia="ja-JP" w:bidi="ar-EG"/>
        </w:rPr>
      </w:pPr>
      <w:r>
        <w:rPr>
          <w:rFonts w:hint="cs"/>
          <w:rtl/>
          <w:lang w:eastAsia="ja-JP" w:bidi="ar-EG"/>
        </w:rPr>
        <w:tab/>
        <w:t>وتمول الأمانة الخاصة لحقوق الإنسان مشاريع تقوم بها مؤسسات حكومية وغير حكومية وتتضمن أعمالا تستهدف منع الضحايا وتدريبهم ومساعدتهم. وجرى عام 2004 إنفاق ما مجموعه 624</w:t>
      </w:r>
      <w:r w:rsidR="0030007A">
        <w:rPr>
          <w:rFonts w:hint="cs"/>
          <w:rtl/>
          <w:lang w:eastAsia="ja-JP" w:bidi="ar-EG"/>
        </w:rPr>
        <w:t>.00</w:t>
      </w:r>
      <w:r>
        <w:rPr>
          <w:rFonts w:hint="cs"/>
          <w:rtl/>
          <w:lang w:eastAsia="ja-JP" w:bidi="ar-EG"/>
        </w:rPr>
        <w:t xml:space="preserve"> 552 1 ريالا برازيليا من الموارد العامة و 799.69 321 ريالا برازيليا من موارد الصندوق الوطني للأطفال والمراهقين لتمويل تلك المشاريع.</w:t>
      </w:r>
    </w:p>
    <w:p w:rsidR="00C12AF4" w:rsidRDefault="00C12AF4" w:rsidP="006D1811">
      <w:pPr>
        <w:pStyle w:val="SingleTxt"/>
        <w:rPr>
          <w:rFonts w:hint="cs"/>
          <w:rtl/>
          <w:lang w:eastAsia="ja-JP" w:bidi="ar-EG"/>
        </w:rPr>
      </w:pPr>
      <w:r>
        <w:rPr>
          <w:rFonts w:hint="cs"/>
          <w:rtl/>
          <w:lang w:eastAsia="ja-JP" w:bidi="ar-EG"/>
        </w:rPr>
        <w:tab/>
        <w:t>وطيلة العامين الماضيين، جرت ممارسات بناء القدرات من أجل منع الاستغلال الجنسي للأطفال والمراهقين. وأسفر عقد شراكة مع دائرة النقل الاجتماعية والدائرة الوطنية للتدريب على النقل عن تصميم برنامج لبناء القدرات من أجل 000 25 من راكبي السيارات من خلال شبكة اتحاد النقل الوطني.</w:t>
      </w:r>
    </w:p>
    <w:p w:rsidR="00C12AF4" w:rsidRDefault="00C12AF4" w:rsidP="006D1811">
      <w:pPr>
        <w:pStyle w:val="SingleTxt"/>
        <w:rPr>
          <w:rFonts w:hint="cs"/>
          <w:rtl/>
          <w:lang w:eastAsia="ja-JP" w:bidi="ar-EG"/>
        </w:rPr>
      </w:pPr>
      <w:r>
        <w:rPr>
          <w:rFonts w:hint="cs"/>
          <w:rtl/>
          <w:lang w:eastAsia="ja-JP" w:bidi="ar-EG"/>
        </w:rPr>
        <w:tab/>
        <w:t>ورسمت شرطة الطرق الرئيسية الاتحادية خرائط للنقاط التي تتواجد فيها البغايا، بما فيها نقاط تواجد المراهقات، على طول الطرق الرئيسية الاتحادية. وتشكل نتيجة هذه الدراسة مصدرا هاما للمعلومات لأنشطة الحكومة البرازيلية.</w:t>
      </w:r>
    </w:p>
    <w:p w:rsidR="00C12AF4" w:rsidRDefault="00C12AF4" w:rsidP="006D1811">
      <w:pPr>
        <w:pStyle w:val="SingleTxt"/>
        <w:rPr>
          <w:rFonts w:hint="cs"/>
          <w:rtl/>
          <w:lang w:eastAsia="ja-JP" w:bidi="ar-EG"/>
        </w:rPr>
      </w:pPr>
      <w:r>
        <w:rPr>
          <w:rFonts w:hint="cs"/>
          <w:rtl/>
          <w:lang w:eastAsia="ja-JP" w:bidi="ar-EG"/>
        </w:rPr>
        <w:tab/>
        <w:t xml:space="preserve">وبرنامج الرصد، الذي تشترك في الاضطلاع به الأمانة الخاصة لحقوق الإنسان ووزارة التنمية الاجتماعية ومكافحة الجوع، هو المسؤول عن خدمات حماية الرفاه الاجتماعي. ويجري تشغيل البرنامج في 336 بلدية من خلال مراكز الخدمات والإحالة بهدف إقامة 850 مركزا بحلول عام 2007. وللبرنامج القدرة على خدمة 870 17 طفلا ومراهقا من ضحايا العنف الجنسي. ورغم أن لبرنامج الرصد هذه القدرة، فقد سبق له أن ساعد حوالي 000 26 من الأطفال والمراهقين الذين مروا بحالات العنف الجنسي. وفي عام 2004 أنفق البرنامج 000 </w:t>
      </w:r>
      <w:r w:rsidR="0019047C">
        <w:rPr>
          <w:rFonts w:hint="cs"/>
          <w:rtl/>
          <w:lang w:eastAsia="ja-JP" w:bidi="ar-EG"/>
        </w:rPr>
        <w:t>550 27 ريال برازيلي على أنشطته.</w:t>
      </w:r>
    </w:p>
    <w:p w:rsidR="0019047C" w:rsidRDefault="0019047C" w:rsidP="006D1811">
      <w:pPr>
        <w:pStyle w:val="SingleTxt"/>
        <w:rPr>
          <w:rFonts w:hint="cs"/>
          <w:rtl/>
          <w:lang w:eastAsia="ja-JP" w:bidi="ar-EG"/>
        </w:rPr>
      </w:pPr>
      <w:r>
        <w:rPr>
          <w:rFonts w:hint="cs"/>
          <w:rtl/>
          <w:lang w:eastAsia="ja-JP" w:bidi="ar-EG"/>
        </w:rPr>
        <w:tab/>
        <w:t xml:space="preserve">وفي أيلول/سبتمبر 2003، أصدرت الحكومة الاتحادية </w:t>
      </w:r>
      <w:r>
        <w:rPr>
          <w:rFonts w:hint="eastAsia"/>
          <w:rtl/>
          <w:lang w:eastAsia="ja-JP" w:bidi="ar-EG"/>
        </w:rPr>
        <w:t>”الدليل المدرسي: طريقة للتعرف على علامات الإيذاء والاستغلال الجنسيين للأطفال والمراهقين</w:t>
      </w:r>
      <w:r>
        <w:rPr>
          <w:rFonts w:hint="cs"/>
          <w:rtl/>
          <w:lang w:eastAsia="ja-JP" w:bidi="ar-EG"/>
        </w:rPr>
        <w:t>“. وجرى حتى الآن توزيع 000 53 دليل في جميع أنحاء البلد. وهذا الدليل مصدر يتعلم منه القائمون على شؤون التعليم كيفية التعرف على علامات الإيذاء الجنسي في الأطفال.</w:t>
      </w:r>
    </w:p>
    <w:p w:rsidR="0019047C" w:rsidRDefault="0019047C" w:rsidP="006D1811">
      <w:pPr>
        <w:pStyle w:val="SingleTxt"/>
        <w:rPr>
          <w:rFonts w:hint="cs"/>
          <w:rtl/>
          <w:lang w:eastAsia="ja-JP" w:bidi="ar-EG"/>
        </w:rPr>
      </w:pPr>
      <w:r>
        <w:rPr>
          <w:rFonts w:hint="cs"/>
          <w:rtl/>
          <w:lang w:eastAsia="ja-JP" w:bidi="ar-EG"/>
        </w:rPr>
        <w:tab/>
        <w:t>وفي أيلول/سبتمبر 2004 استهلت الأمانة الخاصة لحقوق الإنسان مشروع العمل المتكامل للتدعيم المؤسسي لمكافحة الاستغلال الجنسي والاتجار بالفتيان والفتيات. وهذا المشروع، الذي مولته منظمة العمل الدولية والأمانة، يهدف إلى تدعيم شبكة مساعدة الأطفال، وبخاصة الفتيات، من ضحايا العنف الجنسي والدفاع عنهم.</w:t>
      </w:r>
    </w:p>
    <w:p w:rsidR="0019047C" w:rsidRDefault="0019047C" w:rsidP="006D1811">
      <w:pPr>
        <w:pStyle w:val="SingleTxt"/>
        <w:rPr>
          <w:rFonts w:hint="cs"/>
          <w:rtl/>
          <w:lang w:eastAsia="ja-JP" w:bidi="ar-EG"/>
        </w:rPr>
      </w:pPr>
      <w:r>
        <w:rPr>
          <w:rFonts w:hint="cs"/>
          <w:rtl/>
          <w:lang w:eastAsia="ja-JP" w:bidi="ar-EG"/>
        </w:rPr>
        <w:tab/>
        <w:t xml:space="preserve">ومن المبادرات الأخرى التي اتخذتها الحكومة الاتحادية من خلال وزارة السياحة، مبادرة تستهدف كبح ممارسة السياحة الجنسية في البلد. وأثناء المحفل العالمي للسياحة المستدامة والطفولة، الذي عقد في باهيا في كانون الأول/ديسمبر، شنت وزارة السياحة حملة لمكافحة الاستغلال الجنسي للأطفال والمراهقين شعارها </w:t>
      </w:r>
      <w:r>
        <w:rPr>
          <w:rFonts w:hint="eastAsia"/>
          <w:rtl/>
          <w:lang w:eastAsia="ja-JP" w:bidi="ar-EG"/>
        </w:rPr>
        <w:t xml:space="preserve">”خذ حذرك. </w:t>
      </w:r>
      <w:r>
        <w:rPr>
          <w:rFonts w:hint="cs"/>
          <w:rtl/>
          <w:lang w:eastAsia="ja-JP" w:bidi="ar-EG"/>
        </w:rPr>
        <w:t>اشترك في التعبئة. امنع الاستغلال الجنسي للأطفال. البرازيل. من يحب يحمي</w:t>
      </w:r>
      <w:r>
        <w:rPr>
          <w:rFonts w:hint="eastAsia"/>
          <w:rtl/>
          <w:lang w:eastAsia="ja-JP" w:bidi="ar-EG"/>
        </w:rPr>
        <w:t xml:space="preserve">“. </w:t>
      </w:r>
      <w:r>
        <w:rPr>
          <w:rFonts w:hint="cs"/>
          <w:rtl/>
          <w:lang w:eastAsia="ja-JP" w:bidi="ar-EG"/>
        </w:rPr>
        <w:t>وتستهدف هذه الحملة تنبيه السائح إلى أنه يحمي الأطفال.</w:t>
      </w:r>
    </w:p>
    <w:p w:rsidR="0019047C" w:rsidRDefault="0019047C" w:rsidP="0019047C">
      <w:pPr>
        <w:pStyle w:val="SingleTxt"/>
        <w:rPr>
          <w:rFonts w:hint="cs"/>
          <w:rtl/>
          <w:lang w:eastAsia="ja-JP" w:bidi="ar-EG"/>
        </w:rPr>
      </w:pPr>
      <w:r>
        <w:rPr>
          <w:rFonts w:hint="cs"/>
          <w:rtl/>
          <w:lang w:eastAsia="ja-JP" w:bidi="ar-EG"/>
        </w:rPr>
        <w:tab/>
        <w:t>وفي إجراء منسق، أدرجت الحكومة البرازيلية ضمن دورات أكاديمية الشرطة مواضيع للتعليم المعني بقيمة التنوع في نوع الجنس والتوجه الجنسي والعنصر والعرق والطبقة الاجتماعية والمعتقدات الدينية. ويشكل إطار المنهج الدراسي نقطة مرجعية للإجراءات التعليمية التي يجب اتخاذها في جميع أكاديميات الشرطة في البلد، وفقا للخطة الوطنية للأمن العام. وهذه خطوة إلى الأمام في تدريب المهنيين في مجال الأمن العام تكفل اتخاذ نهج لمعاملة المرأة على نحو أفضل في حالات العنف.</w:t>
      </w:r>
      <w:r w:rsidR="006403F5">
        <w:rPr>
          <w:rFonts w:hint="cs"/>
          <w:rtl/>
          <w:lang w:eastAsia="ja-JP" w:bidi="ar-EG"/>
        </w:rPr>
        <w:t xml:space="preserve"> وتشكل هذه الخطوة نصرا للحركات النسائية والحركات التي تستهدف المساواة بين الجنسين والتي أدرجت هذه القضايا في جداول أعمالها منذ الثمانينات.</w:t>
      </w:r>
    </w:p>
    <w:p w:rsidR="006403F5" w:rsidRDefault="006403F5" w:rsidP="0019047C">
      <w:pPr>
        <w:pStyle w:val="SingleTxt"/>
        <w:rPr>
          <w:rFonts w:hint="cs"/>
          <w:rtl/>
          <w:lang w:eastAsia="ja-JP" w:bidi="ar-EG"/>
        </w:rPr>
      </w:pPr>
      <w:r>
        <w:rPr>
          <w:rFonts w:hint="cs"/>
          <w:rtl/>
          <w:lang w:eastAsia="ja-JP" w:bidi="ar-EG"/>
        </w:rPr>
        <w:tab/>
        <w:t xml:space="preserve">وفي عام 2004 </w:t>
      </w:r>
      <w:r w:rsidR="004D6BE6">
        <w:rPr>
          <w:rFonts w:hint="cs"/>
          <w:rtl/>
          <w:lang w:eastAsia="ja-JP" w:bidi="ar-EG"/>
        </w:rPr>
        <w:t>جرى تنظيم حلقة عمل عن طريق إجراء شراكة بين الأمانة الخاصة لسياسات المرأة، والأمانة الوطنية للأمن العام (وزارة العدل)، ووزارة الصحة. وشارك في هذه الحلقة 15 من الخبراء المعنيين بالعنف الذين يعملون في مجالات الأمن العام والصحة ونوع الجنس. وأعد هؤلاء الخبراء فحوى البرنامج ومنهجيته اللتين يجب اعتمادهما من أجل التدريب الجديد لبناء القدرات، وسيجري تدعيم هذا التدريب وإدارته عام 2005 عن طريق شبكة تقديم المساعدات.</w:t>
      </w:r>
    </w:p>
    <w:p w:rsidR="004D6BE6" w:rsidRDefault="004D6BE6" w:rsidP="0019047C">
      <w:pPr>
        <w:pStyle w:val="SingleTxt"/>
        <w:rPr>
          <w:rFonts w:hint="cs"/>
          <w:rtl/>
          <w:lang w:eastAsia="ja-JP" w:bidi="ar-EG"/>
        </w:rPr>
      </w:pPr>
      <w:r>
        <w:rPr>
          <w:rFonts w:hint="cs"/>
          <w:rtl/>
          <w:lang w:eastAsia="ja-JP" w:bidi="ar-EG"/>
        </w:rPr>
        <w:tab/>
        <w:t>وفضلا عن ذلك، بدأت مفاوضات مع أمانات الدولة للأمن بغية تقديم دورات تدريبية لضباط مراكز الشرطة الخاصة لمساعدة المرأة في ولايات ساو باولو وميناس غيرايس، وإسبيريتو سانتو، وبارانا. وستقدم هذا العام دورات لتدريب 160 مهنيا من 13 قسما للشرطة في ولايتي اسبيريتو سانتو وب</w:t>
      </w:r>
      <w:r w:rsidR="0030007A">
        <w:rPr>
          <w:rFonts w:hint="cs"/>
          <w:rtl/>
          <w:lang w:eastAsia="ja-JP" w:bidi="ar-EG"/>
        </w:rPr>
        <w:t>ا</w:t>
      </w:r>
      <w:r>
        <w:rPr>
          <w:rFonts w:hint="cs"/>
          <w:rtl/>
          <w:lang w:eastAsia="ja-JP" w:bidi="ar-EG"/>
        </w:rPr>
        <w:t>رانا.</w:t>
      </w:r>
    </w:p>
    <w:p w:rsidR="004D6BE6" w:rsidRDefault="004D6BE6" w:rsidP="0019047C">
      <w:pPr>
        <w:pStyle w:val="SingleTxt"/>
        <w:rPr>
          <w:rFonts w:hint="cs"/>
          <w:rtl/>
          <w:lang w:eastAsia="ja-JP" w:bidi="ar-EG"/>
        </w:rPr>
      </w:pPr>
      <w:r>
        <w:rPr>
          <w:rFonts w:hint="cs"/>
          <w:rtl/>
          <w:lang w:eastAsia="ja-JP" w:bidi="ar-EG"/>
        </w:rPr>
        <w:tab/>
        <w:t xml:space="preserve">وسيجري عام 2005 تدريب 200 1 ضابط من ولايات ساو باولو وميناس غيرايس وتوكانتينس، وبذلك تكتمل عملية التدريب. ويجري التدريب بالشراكة مع المنظمات غير </w:t>
      </w:r>
      <w:r w:rsidR="00461892">
        <w:rPr>
          <w:rFonts w:hint="cs"/>
          <w:rtl/>
          <w:lang w:eastAsia="ja-JP" w:bidi="ar-EG"/>
        </w:rPr>
        <w:t>الحكومي</w:t>
      </w:r>
      <w:r w:rsidR="00461892">
        <w:rPr>
          <w:rtl/>
          <w:lang w:eastAsia="ja-JP" w:bidi="ar-EG"/>
        </w:rPr>
        <w:t>ة</w:t>
      </w:r>
      <w:r>
        <w:rPr>
          <w:rFonts w:hint="cs"/>
          <w:rtl/>
          <w:lang w:eastAsia="ja-JP" w:bidi="ar-EG"/>
        </w:rPr>
        <w:t xml:space="preserve">، ومؤسسة المواطنة والدراسة والمعلومات والعمل، ومؤسسات أخرى، </w:t>
      </w:r>
      <w:r w:rsidR="00461892">
        <w:rPr>
          <w:rFonts w:hint="cs"/>
          <w:rtl/>
          <w:lang w:eastAsia="ja-JP" w:bidi="ar-EG"/>
        </w:rPr>
        <w:t>مما يكفل</w:t>
      </w:r>
      <w:r>
        <w:rPr>
          <w:rFonts w:hint="cs"/>
          <w:rtl/>
          <w:lang w:eastAsia="ja-JP" w:bidi="ar-EG"/>
        </w:rPr>
        <w:t xml:space="preserve"> للعملية انفتاحا وديمقراطية، ويوطد سياسة إشراك المجتمع المدني، وينشئ شبكة من خدمات تقديم المساعدات.</w:t>
      </w:r>
    </w:p>
    <w:p w:rsidR="004D6BE6" w:rsidRDefault="00D30944" w:rsidP="0019047C">
      <w:pPr>
        <w:pStyle w:val="SingleTxt"/>
        <w:rPr>
          <w:rFonts w:hint="cs"/>
          <w:rtl/>
          <w:lang w:eastAsia="ja-JP" w:bidi="ar-EG"/>
        </w:rPr>
      </w:pPr>
      <w:r>
        <w:rPr>
          <w:rFonts w:hint="cs"/>
          <w:rtl/>
          <w:lang w:eastAsia="ja-JP" w:bidi="ar-EG"/>
        </w:rPr>
        <w:tab/>
        <w:t xml:space="preserve">وفي عام 2004، ساعدت الأمانة الخاصة لسياسات المرأة على تقديم دورات تدريبية في بلديات تيريسينا، وبالماس، وفوس دو إغواسو، وسلفادور وكامبو غراندي. </w:t>
      </w:r>
      <w:r w:rsidR="00461892">
        <w:rPr>
          <w:rFonts w:hint="cs"/>
          <w:rtl/>
          <w:lang w:eastAsia="ja-JP" w:bidi="ar-EG"/>
        </w:rPr>
        <w:t>وكانت هذه الدورات مخصصة لضباط مراكز الشرطة الخاصة لمساعدة المرأة، وللعاملين في المآوى، وفي مراكز الإحالة، وفي مكاتب المدافعين العامين، وفي أمانات المساعدات الاجتماعية، والصحة، والتعليم، مما يشمل حوالي 120 من المهنيين الذين يقدمون المساعدات إلى الأهالي مباشرة</w:t>
      </w:r>
      <w:r w:rsidR="0030007A">
        <w:rPr>
          <w:rFonts w:hint="cs"/>
          <w:rtl/>
          <w:lang w:eastAsia="ja-JP" w:bidi="ar-EG"/>
        </w:rPr>
        <w:t>.</w:t>
      </w:r>
      <w:r w:rsidR="00461892">
        <w:rPr>
          <w:rFonts w:hint="cs"/>
          <w:rtl/>
          <w:lang w:eastAsia="ja-JP" w:bidi="ar-EG"/>
        </w:rPr>
        <w:t xml:space="preserve"> وجرى تدريب هؤلاء المهنيين على مفهوم العمل داخل شبكات وعلى التحلي بنهج إنساني في عملهم.</w:t>
      </w:r>
    </w:p>
    <w:p w:rsidR="003B7ACD" w:rsidRDefault="003B7ACD" w:rsidP="0030007A">
      <w:pPr>
        <w:pStyle w:val="SingleTxt"/>
        <w:rPr>
          <w:rFonts w:hint="cs"/>
          <w:rtl/>
          <w:lang w:eastAsia="ja-JP" w:bidi="ar-EG"/>
        </w:rPr>
      </w:pPr>
      <w:r>
        <w:rPr>
          <w:rFonts w:hint="cs"/>
          <w:rtl/>
          <w:lang w:eastAsia="ja-JP" w:bidi="ar-EG"/>
        </w:rPr>
        <w:tab/>
        <w:t xml:space="preserve">ويعمل البرلمان البرازيلي على إنشاء عمل هام يهدف إلى تعزيز حقوق الأطفال والدفاع عنها. وفي عام 1993 شكلت الجبهة البرلمانية المعنية بالأطفال والمراهقين بغية شن الحملة الوطنية للقضاء على العنف ضد الأطفال والمراهقين واستغلالهم والسياحة الجنسية القائمة عليهم. وتقدمت هذه الجبهة أيضا بمشروع القانون الذي </w:t>
      </w:r>
      <w:r w:rsidR="0030007A">
        <w:rPr>
          <w:rFonts w:hint="cs"/>
          <w:rtl/>
          <w:lang w:eastAsia="ja-JP" w:bidi="ar-EG"/>
        </w:rPr>
        <w:t>أقام</w:t>
      </w:r>
      <w:r>
        <w:rPr>
          <w:rFonts w:hint="cs"/>
          <w:rtl/>
          <w:lang w:eastAsia="ja-JP" w:bidi="ar-EG"/>
        </w:rPr>
        <w:t xml:space="preserve"> اليوم الوطني لمكافحة الإيذاء والاستغلال الجنسيين للأطفال والمراهقين. وفي نيسان/أبريل 2003 أعيد تشكيل الجبهة البرلمانية، مما جمع معا نوابا وشيوخا وأحرز رقما قياسيا فريدا لعدد البرلمانيين المشتركين في جبهة برلمانية، فدافع 200 عضو عن حقوق الأطفال والمراهقين وعن السياسات العامة الملتزمة بمبدأ توفير الحماية الكاملة للأطفال.</w:t>
      </w:r>
    </w:p>
    <w:p w:rsidR="003B7ACD" w:rsidRDefault="003B7ACD" w:rsidP="00FA327A">
      <w:pPr>
        <w:pStyle w:val="SingleTxt"/>
        <w:rPr>
          <w:rFonts w:hint="cs"/>
          <w:rtl/>
          <w:lang w:eastAsia="ja-JP" w:bidi="ar-EG"/>
        </w:rPr>
      </w:pPr>
      <w:r>
        <w:rPr>
          <w:rFonts w:hint="cs"/>
          <w:rtl/>
          <w:lang w:eastAsia="ja-JP" w:bidi="ar-EG"/>
        </w:rPr>
        <w:tab/>
        <w:t xml:space="preserve">وفي عام </w:t>
      </w:r>
      <w:r w:rsidR="004D0FE3">
        <w:rPr>
          <w:rFonts w:hint="cs"/>
          <w:rtl/>
          <w:lang w:eastAsia="ja-JP" w:bidi="ar-EG"/>
        </w:rPr>
        <w:t>2003، شكلت لجنة برلمانية مشتركة لتقصي الحقائق (تجمع بين أعضاء مجلس</w:t>
      </w:r>
      <w:r w:rsidR="00FA327A">
        <w:rPr>
          <w:rFonts w:hint="cs"/>
          <w:rtl/>
          <w:lang w:eastAsia="ja-JP" w:bidi="ar-EG"/>
        </w:rPr>
        <w:t>ي</w:t>
      </w:r>
      <w:r w:rsidR="004D0FE3">
        <w:rPr>
          <w:rFonts w:hint="cs"/>
          <w:rtl/>
          <w:lang w:eastAsia="ja-JP" w:bidi="ar-EG"/>
        </w:rPr>
        <w:t xml:space="preserve"> الشيوخ والنواب الاتحاديين) لكي تحقق في أمر الشبكات التي تعمل في البلد بغرض استغلال الأطفال والمراهقين. وجرى تقصي الحقائق بين أيار/مايو 2003 وحزيران/يونيه</w:t>
      </w:r>
      <w:r w:rsidR="00FA327A">
        <w:rPr>
          <w:rFonts w:hint="cs"/>
          <w:rtl/>
          <w:lang w:eastAsia="ja-JP" w:bidi="ar-EG"/>
        </w:rPr>
        <w:t xml:space="preserve"> 2004</w:t>
      </w:r>
      <w:r w:rsidR="004D0FE3">
        <w:rPr>
          <w:rFonts w:hint="cs"/>
          <w:rtl/>
          <w:lang w:eastAsia="ja-JP" w:bidi="ar-EG"/>
        </w:rPr>
        <w:t>، وصدر تقرير نهائي نشر في يومية الكونغرس الوطني في أيلول/سبتمبر 2004. ورأست هذه اللجنة السيناتور باتريشيا سابويا، وكانت مقررة تقصي الحقائق النائبة الاتحادية ماريا دو رو</w:t>
      </w:r>
      <w:r w:rsidR="00FA327A">
        <w:rPr>
          <w:rFonts w:hint="cs"/>
          <w:rtl/>
          <w:lang w:eastAsia="ja-JP" w:bidi="ar-EG"/>
        </w:rPr>
        <w:t>ز</w:t>
      </w:r>
      <w:r w:rsidR="004D0FE3">
        <w:rPr>
          <w:rFonts w:hint="cs"/>
          <w:rtl/>
          <w:lang w:eastAsia="ja-JP" w:bidi="ar-EG"/>
        </w:rPr>
        <w:t>اريو.</w:t>
      </w:r>
    </w:p>
    <w:p w:rsidR="004D0FE3" w:rsidRDefault="004D0FE3" w:rsidP="0019047C">
      <w:pPr>
        <w:pStyle w:val="SingleTxt"/>
        <w:rPr>
          <w:rFonts w:hint="cs"/>
          <w:rtl/>
          <w:lang w:eastAsia="ja-JP" w:bidi="ar-EG"/>
        </w:rPr>
      </w:pPr>
      <w:r>
        <w:rPr>
          <w:rFonts w:hint="cs"/>
          <w:rtl/>
          <w:lang w:eastAsia="ja-JP" w:bidi="ar-EG"/>
        </w:rPr>
        <w:tab/>
        <w:t>وتقرير اللجنة البرلمانية المشتركة لتقصي الحقائق بشأن كشف الاستغلال الجنسي التجاري للأطفال والمراهقين مثّل تقدما كبيرا في تحليل حالة هذه الجريمة في البرازيل. وقدمت اللجنة الادعاءات الحالية بالاستغلال، كما طلبت إجراء تغييرات هامة في التشريع، واقترحت إحالة الحالات التي تعبر تعبيرا دقيقا عن هذا الاستغلال والتي أسفرت عنها نتائج هذا التحقيق إلى المحاكم.</w:t>
      </w:r>
    </w:p>
    <w:p w:rsidR="004D0FE3" w:rsidRDefault="004D0FE3" w:rsidP="00FA327A">
      <w:pPr>
        <w:pStyle w:val="SingleTxt"/>
        <w:rPr>
          <w:rFonts w:hint="cs"/>
          <w:rtl/>
          <w:lang w:eastAsia="ja-JP" w:bidi="ar-EG"/>
        </w:rPr>
      </w:pPr>
      <w:r>
        <w:rPr>
          <w:rFonts w:hint="cs"/>
          <w:rtl/>
          <w:lang w:eastAsia="ja-JP" w:bidi="ar-EG"/>
        </w:rPr>
        <w:tab/>
      </w:r>
      <w:r w:rsidR="00FE2F4D">
        <w:rPr>
          <w:rFonts w:hint="cs"/>
          <w:rtl/>
          <w:lang w:eastAsia="ja-JP" w:bidi="ar-EG"/>
        </w:rPr>
        <w:t>وألقت هذه اللجنة الضوء على المناقشة المعنية بالعنف الذي يرتك</w:t>
      </w:r>
      <w:r w:rsidR="00FA327A">
        <w:rPr>
          <w:rFonts w:hint="cs"/>
          <w:rtl/>
          <w:lang w:eastAsia="ja-JP" w:bidi="ar-EG"/>
        </w:rPr>
        <w:t>ب</w:t>
      </w:r>
      <w:r w:rsidR="00FE2F4D">
        <w:rPr>
          <w:rFonts w:hint="cs"/>
          <w:rtl/>
          <w:lang w:eastAsia="ja-JP" w:bidi="ar-EG"/>
        </w:rPr>
        <w:t xml:space="preserve"> ضد الأطفال والمراهقين في البرازيل واستغلالهم جنسيا. وأزاحت الستار عن جريمة موجودة في جميع الولايات البرازيلية. وتقدم تقرير اللجنة بتوصيات عديدة تتعلق بالسياسات العامة اللازمة لمعالجة هذه الجريمة. وتقدم التقرير أيضا بمقترحات بإجراء تغييرات تشريعية لمكافحة الإفلات من العقاب عن طريق تشديد العقوبات القانونية وجعلها أكثر </w:t>
      </w:r>
      <w:r w:rsidR="00461892">
        <w:rPr>
          <w:rFonts w:hint="cs"/>
          <w:rtl/>
          <w:lang w:eastAsia="ja-JP" w:bidi="ar-EG"/>
        </w:rPr>
        <w:t>ملائمة</w:t>
      </w:r>
      <w:r w:rsidR="00FE2F4D">
        <w:rPr>
          <w:rFonts w:hint="cs"/>
          <w:rtl/>
          <w:lang w:eastAsia="ja-JP" w:bidi="ar-EG"/>
        </w:rPr>
        <w:t xml:space="preserve"> لمرتكبي جريمة استغلال الأطفال، وإغلاق الثغرات القانونية التي تسمح بإفلات القائمين بالتجنيد من العقاب. وعلاوة على ذلك، أوضحت اللجنة طرق الاتجار بالفتيات والفتيان، وحققت في الادعاء</w:t>
      </w:r>
      <w:r w:rsidR="00FA327A">
        <w:rPr>
          <w:rFonts w:hint="cs"/>
          <w:rtl/>
          <w:lang w:eastAsia="ja-JP" w:bidi="ar-EG"/>
        </w:rPr>
        <w:t>ات</w:t>
      </w:r>
      <w:r w:rsidR="00FE2F4D">
        <w:rPr>
          <w:rFonts w:hint="cs"/>
          <w:rtl/>
          <w:lang w:eastAsia="ja-JP" w:bidi="ar-EG"/>
        </w:rPr>
        <w:t xml:space="preserve"> بالاستغلال، وأوردت أسماء حوالي 250 شخصا يشتبه تورطهم في جريمة الاستغلال الجنسي.</w:t>
      </w:r>
    </w:p>
    <w:p w:rsidR="00FE2F4D" w:rsidRDefault="00035CE2" w:rsidP="00FE2F4D">
      <w:pPr>
        <w:pStyle w:val="SingleTxt"/>
        <w:rPr>
          <w:rFonts w:hint="cs"/>
          <w:rtl/>
          <w:lang w:eastAsia="ja-JP" w:bidi="ar-EG"/>
        </w:rPr>
      </w:pPr>
      <w:r>
        <w:rPr>
          <w:rFonts w:hint="cs"/>
          <w:rtl/>
          <w:lang w:eastAsia="ja-JP" w:bidi="ar-EG"/>
        </w:rPr>
        <w:tab/>
        <w:t xml:space="preserve">وتضطلع البرازيل أيضا بمكافحة شكل آخر من أشكال انتهاك حقوق الأطفال، وهو عمالة الأطفال. ويوجد في البرازيل حوالي 4.5 مليونا من الأطفال والمراهقين العاملين من بين 78 مليون نسمة يشكلون القوة العاملة. وهناك 47 في المائة من هؤلاء الأطفال والمراهقين يبلغون من العمر ما بين 14 و 15 سنة، و 44 في المائة ما بين 10 و 13 سنة، و 9 في المائة ما بين 5 و 9 سنوات. وكشفت الدراسات عن وجود عدد كبير من المؤسسات الريفية التي تستخدم عمالة الأطفال، ويشكل القصر البالغون من العمر 14 سنة 30 في المائة من قوة العمل في المشاريع الزراعية الصغيرة لتربية الماشية في خمس ولايات برازيلية. </w:t>
      </w:r>
      <w:r w:rsidR="00FA327A">
        <w:rPr>
          <w:rFonts w:hint="cs"/>
          <w:rtl/>
          <w:lang w:eastAsia="ja-JP" w:bidi="ar-EG"/>
        </w:rPr>
        <w:t>و</w:t>
      </w:r>
      <w:r>
        <w:rPr>
          <w:rFonts w:hint="cs"/>
          <w:rtl/>
          <w:lang w:eastAsia="ja-JP" w:bidi="ar-EG"/>
        </w:rPr>
        <w:t xml:space="preserve">وفقا للبيانات الواردة من منظمة العمل الدولية، هناك أكثر من 000 500 من </w:t>
      </w:r>
      <w:r w:rsidR="00FA327A">
        <w:rPr>
          <w:rFonts w:hint="cs"/>
          <w:rtl/>
          <w:lang w:eastAsia="ja-JP" w:bidi="ar-EG"/>
        </w:rPr>
        <w:t>إ</w:t>
      </w:r>
      <w:r>
        <w:rPr>
          <w:rFonts w:hint="cs"/>
          <w:rtl/>
          <w:lang w:eastAsia="ja-JP" w:bidi="ar-EG"/>
        </w:rPr>
        <w:t>جمالي الخدم في المنازل في البرازيل من الأطفال والمراهقين، ومعظمهم من الإناث، ونصف هؤلاء الفتيات ينحدر من أصل أفريقي. ومن هذا الإجمالي،</w:t>
      </w:r>
      <w:r w:rsidR="00FA327A">
        <w:rPr>
          <w:rFonts w:hint="cs"/>
          <w:rtl/>
          <w:lang w:eastAsia="ja-JP" w:bidi="ar-EG"/>
        </w:rPr>
        <w:t xml:space="preserve"> بدأ 30 في المائة العمل في سن 5</w:t>
      </w:r>
      <w:r w:rsidR="00FA327A">
        <w:rPr>
          <w:rFonts w:hint="eastAsia"/>
          <w:rtl/>
          <w:lang w:eastAsia="ja-JP" w:bidi="ar-EG"/>
        </w:rPr>
        <w:t> </w:t>
      </w:r>
      <w:r>
        <w:rPr>
          <w:rFonts w:hint="cs"/>
          <w:rtl/>
          <w:lang w:eastAsia="ja-JP" w:bidi="ar-EG"/>
        </w:rPr>
        <w:t>إلى 11 سنة، و 26 في المائة منهم لا يدرسون، و 53 ف</w:t>
      </w:r>
      <w:r w:rsidR="00FA327A">
        <w:rPr>
          <w:rFonts w:hint="cs"/>
          <w:rtl/>
          <w:lang w:eastAsia="ja-JP" w:bidi="ar-EG"/>
        </w:rPr>
        <w:t>ي المائة منهم يعملون أكثر من 40</w:t>
      </w:r>
      <w:r w:rsidR="00FA327A">
        <w:rPr>
          <w:rFonts w:hint="eastAsia"/>
          <w:rtl/>
          <w:lang w:eastAsia="ja-JP" w:bidi="ar-EG"/>
        </w:rPr>
        <w:t> </w:t>
      </w:r>
      <w:r>
        <w:rPr>
          <w:rFonts w:hint="cs"/>
          <w:rtl/>
          <w:lang w:eastAsia="ja-JP" w:bidi="ar-EG"/>
        </w:rPr>
        <w:t>ساعة في الأسبوع، و 56 في المائة لا يحصلون على إجازات، و 2.5 في المائة لا يحصلون على أي نوع من الأجر، بينما يحصل 64 في المائة على أقل من نصف الحد الأدنى للأجور، ومعظمهم لا يعرف حقوقه.</w:t>
      </w:r>
    </w:p>
    <w:p w:rsidR="00035CE2" w:rsidRDefault="00035CE2" w:rsidP="00FE2F4D">
      <w:pPr>
        <w:pStyle w:val="SingleTxt"/>
        <w:rPr>
          <w:rFonts w:hint="cs"/>
          <w:rtl/>
          <w:lang w:eastAsia="ja-JP" w:bidi="ar-EG"/>
        </w:rPr>
      </w:pPr>
      <w:r>
        <w:rPr>
          <w:rFonts w:hint="cs"/>
          <w:rtl/>
          <w:lang w:eastAsia="ja-JP" w:bidi="ar-EG"/>
        </w:rPr>
        <w:tab/>
        <w:t xml:space="preserve">وتنفذ البرازيل برنامجا للقضاء على عمل الطفل يقدم المساعدة في الوقت الحالي إلى 000 813 من الأطفال والمراهقين الذين يعملون خارج المنـزل </w:t>
      </w:r>
      <w:r w:rsidR="0073677B">
        <w:rPr>
          <w:rFonts w:hint="cs"/>
          <w:rtl/>
          <w:lang w:eastAsia="ja-JP" w:bidi="ar-EG"/>
        </w:rPr>
        <w:t>ولا يذهبون إلى المدرسة. ويطبق هذا البرنامج في 608 2 بلدية برازيلية، وقد تلقى مبلغ 634 مليون ريال على مدى الـ 15 شهرا الماضية.</w:t>
      </w:r>
    </w:p>
    <w:p w:rsidR="0073677B" w:rsidRDefault="0073677B" w:rsidP="0073677B">
      <w:pPr>
        <w:pStyle w:val="SingleTxt"/>
        <w:rPr>
          <w:rFonts w:hint="cs"/>
          <w:rtl/>
          <w:lang w:eastAsia="ja-JP" w:bidi="ar-EG"/>
        </w:rPr>
      </w:pPr>
      <w:r>
        <w:rPr>
          <w:rFonts w:hint="cs"/>
          <w:rtl/>
          <w:lang w:eastAsia="ja-JP" w:bidi="ar-EG"/>
        </w:rPr>
        <w:tab/>
        <w:t>ومما يسبب القلق للحكومة أيضا حالة السجينات. وفي عام 2004 عقدت جلسة عامة في وزارة العدل اشترك فيها موظفون من العاملين على تنفيذ الأحكام في نظام السجون البرازيلي، ونقابة المحامين البرازيليين، وأعضاء مجالس سجون الولايات، وموظفو الوزارة العامة، والمدعون والمدافعون العامون، وإدارات العدل بالولايات، وإدارة الأمن العام والسجون، والقضاة والمحامون. وفي هذه الجلسة اقترحت الأمانة الخاصة لسياسات المرأة إجراء تغييرات في معايير قرار العفو الرئاسي.</w:t>
      </w:r>
    </w:p>
    <w:p w:rsidR="0073677B" w:rsidRDefault="0073677B" w:rsidP="0073677B">
      <w:pPr>
        <w:pStyle w:val="SingleTxt"/>
        <w:rPr>
          <w:rFonts w:hint="cs"/>
          <w:rtl/>
          <w:lang w:eastAsia="ja-JP" w:bidi="ar-EG"/>
        </w:rPr>
      </w:pPr>
      <w:r>
        <w:rPr>
          <w:rFonts w:hint="cs"/>
          <w:rtl/>
          <w:lang w:eastAsia="ja-JP" w:bidi="ar-EG"/>
        </w:rPr>
        <w:tab/>
        <w:t>وقامت الأمانة الخاصة لسياسات المرأة والأمانة الخاصة لحقوق الإنسان ووزارة الصحة بإعداد ونشر التوجيه الإداري المشترك بين الوزارات رقم 1426/2004، وينص على مبادئ توجيهية لإقامة الرعاية الصحية وتنفيذها بالنسبة للمراهقين الخارجين على القانون، والمسجونين أو المسجونين سجنا مؤقتا. ولأول مرة تذكر الحكومة البرازيلية المراهقات الخارجات على القانون عند مناقشة الإجراءات الواجب اتخاذها في ذلك القطاع.</w:t>
      </w:r>
    </w:p>
    <w:p w:rsidR="0073677B" w:rsidRDefault="0073677B" w:rsidP="00FA327A">
      <w:pPr>
        <w:pStyle w:val="SingleTxt"/>
        <w:rPr>
          <w:rFonts w:hint="cs"/>
          <w:rtl/>
          <w:lang w:eastAsia="ja-JP" w:bidi="ar-EG"/>
        </w:rPr>
      </w:pPr>
      <w:r>
        <w:rPr>
          <w:rFonts w:hint="cs"/>
          <w:rtl/>
          <w:lang w:eastAsia="ja-JP" w:bidi="ar-EG"/>
        </w:rPr>
        <w:tab/>
        <w:t xml:space="preserve">وبناء على التوجيه الإداري رقم 1426/2004، تلتزم الحكومة البرازيلية بتعزيز بناء القدرات </w:t>
      </w:r>
      <w:r w:rsidR="00FA327A">
        <w:rPr>
          <w:rFonts w:hint="cs"/>
          <w:rtl/>
          <w:lang w:eastAsia="ja-JP" w:bidi="ar-EG"/>
        </w:rPr>
        <w:t xml:space="preserve">بشأن </w:t>
      </w:r>
      <w:r>
        <w:rPr>
          <w:rFonts w:hint="cs"/>
          <w:rtl/>
          <w:lang w:eastAsia="ja-JP" w:bidi="ar-EG"/>
        </w:rPr>
        <w:t>نوع الجنس للمراهقين والمهنيين الذين يقومون برعاية المراهقين الخارجين على القانون الذين صدرت ضدهم أحكام أو المحتجزين بصفة مؤقتة. وفضلا عن ذلك، تلتزم الحكومة بإدماج نوع الجنس في البرامج الاجتماعية المخصصة لهؤلاء المراهقين، وبدعم إنشاء آليات تقدم معلومات إليهم وتتابع الإجراءات المتخذة لضمان صحتهم وحقوقهم.</w:t>
      </w:r>
    </w:p>
    <w:p w:rsidR="0073677B" w:rsidRDefault="0073677B" w:rsidP="0073677B">
      <w:pPr>
        <w:pStyle w:val="SingleTxt"/>
        <w:rPr>
          <w:rFonts w:hint="cs"/>
          <w:rtl/>
          <w:lang w:eastAsia="ja-JP" w:bidi="ar-EG"/>
        </w:rPr>
      </w:pPr>
      <w:r>
        <w:rPr>
          <w:rFonts w:hint="cs"/>
          <w:rtl/>
          <w:lang w:eastAsia="ja-JP" w:bidi="ar-EG"/>
        </w:rPr>
        <w:tab/>
        <w:t xml:space="preserve">وسيجري وضع تفاصيل محتويات برنامج دورة بناء القدرات عند استكمال دراسة المشروع </w:t>
      </w:r>
      <w:r w:rsidR="00364A2F">
        <w:rPr>
          <w:rFonts w:hint="cs"/>
          <w:rtl/>
          <w:lang w:eastAsia="ja-JP" w:bidi="ar-EG"/>
        </w:rPr>
        <w:t>التعليمي لكل مؤسسة. وسيجري تقديم دورة بالشراكة مع المجالس النسائية ووكالات التنسيق بغية تدريب المراهقين وممثلي هيئات إنفاذ القانون التي تقدم المساعدة إلى المراهقين الخارجين على القانون ممن صدرت ضدهم أحكام أو المحتجزين بصفة مؤقتة.</w:t>
      </w:r>
    </w:p>
    <w:p w:rsidR="00364A2F" w:rsidRDefault="00364A2F" w:rsidP="00FA327A">
      <w:pPr>
        <w:pStyle w:val="SingleTxt"/>
        <w:rPr>
          <w:rFonts w:hint="cs"/>
          <w:rtl/>
          <w:lang w:eastAsia="ja-JP" w:bidi="ar-EG"/>
        </w:rPr>
      </w:pPr>
      <w:r>
        <w:rPr>
          <w:rFonts w:hint="cs"/>
          <w:rtl/>
          <w:lang w:eastAsia="ja-JP" w:bidi="ar-EG"/>
        </w:rPr>
        <w:tab/>
        <w:t>والبيانات التي تكشف مدى الإقصاء الاجتماعي والفقر في البرازيل تبرهن أيضا على أن المرأة تعاني من أشد الآثار ضررا، وتعمل ظاهرة العنف على تفاقم هذه الآثار. ويتخذ هذا العنف أشكالا كثيرة ومتنوعة، فتن</w:t>
      </w:r>
      <w:r w:rsidR="00FA327A">
        <w:rPr>
          <w:rFonts w:hint="cs"/>
          <w:rtl/>
          <w:lang w:eastAsia="ja-JP" w:bidi="ar-EG"/>
        </w:rPr>
        <w:t>ت</w:t>
      </w:r>
      <w:r>
        <w:rPr>
          <w:rFonts w:hint="cs"/>
          <w:rtl/>
          <w:lang w:eastAsia="ja-JP" w:bidi="ar-EG"/>
        </w:rPr>
        <w:t>هك حقوق المرأة الأساسية انتهاكا مستمرا، وتثار العقبات في وجه إدماج المرأة في سوق العمل، وتقيد إمكانية حصولها على خدمات الرعاية الصحية والتعليم و</w:t>
      </w:r>
      <w:r w:rsidR="00FA327A">
        <w:rPr>
          <w:rFonts w:hint="cs"/>
          <w:rtl/>
          <w:lang w:eastAsia="ja-JP" w:bidi="ar-EG"/>
        </w:rPr>
        <w:t>المرافق الصحية</w:t>
      </w:r>
      <w:r>
        <w:rPr>
          <w:rFonts w:hint="cs"/>
          <w:rtl/>
          <w:lang w:eastAsia="ja-JP" w:bidi="ar-EG"/>
        </w:rPr>
        <w:t xml:space="preserve"> والإقامة وغيرها. ويضاف إلى كل ذلك كون المرأة ضحية بصفة مستمرة لعنف الذكر، مما يسفر في معظم الأحوال عن الأذى البدني والنفسي والاقتصادي والجنسي.</w:t>
      </w:r>
    </w:p>
    <w:p w:rsidR="00364A2F" w:rsidRDefault="00364A2F" w:rsidP="00364A2F">
      <w:pPr>
        <w:pStyle w:val="SingleTxt"/>
        <w:rPr>
          <w:rFonts w:hint="cs"/>
          <w:rtl/>
          <w:lang w:eastAsia="ja-JP" w:bidi="ar-EG"/>
        </w:rPr>
      </w:pPr>
      <w:r>
        <w:rPr>
          <w:rFonts w:hint="cs"/>
          <w:rtl/>
          <w:lang w:eastAsia="ja-JP" w:bidi="ar-EG"/>
        </w:rPr>
        <w:tab/>
        <w:t>ومشروع التشريع المعني بصفة خاصة بالعنف المنـزلي ضد المرأة يتبع توصيات اللجنة المعنية بالتمييز ضد المرأة (لجنة اتفاقية القضاء على جميع أشكال التمييز ضد المرأة) التي تنصح البرازيل باعتماد التدابير اللازمة لمنع العنف ضد المرأة ومكافحته ومعاقبة المعتدين وتوفير المساعدة للضحايا.</w:t>
      </w:r>
    </w:p>
    <w:p w:rsidR="00364A2F" w:rsidRDefault="00364A2F" w:rsidP="00364A2F">
      <w:pPr>
        <w:pStyle w:val="SingleTxt"/>
        <w:rPr>
          <w:rFonts w:hint="cs"/>
          <w:rtl/>
          <w:lang w:eastAsia="ja-JP" w:bidi="ar-EG"/>
        </w:rPr>
      </w:pPr>
      <w:r>
        <w:rPr>
          <w:rFonts w:hint="cs"/>
          <w:rtl/>
          <w:lang w:eastAsia="ja-JP" w:bidi="ar-EG"/>
        </w:rPr>
        <w:tab/>
        <w:t>وشكلت الحكومة البرازيلية، من خلال القرار الرئاسي رقم 030 5 المؤرخ 31</w:t>
      </w:r>
      <w:r>
        <w:rPr>
          <w:rFonts w:hint="eastAsia"/>
          <w:rtl/>
          <w:lang w:eastAsia="ja-JP" w:bidi="ar-EG"/>
        </w:rPr>
        <w:t> </w:t>
      </w:r>
      <w:r>
        <w:rPr>
          <w:rFonts w:hint="cs"/>
          <w:rtl/>
          <w:lang w:eastAsia="ja-JP" w:bidi="ar-EG"/>
        </w:rPr>
        <w:t>آذار/مارس 2004، فريقا عاملا مشتركا بين الوزارات لصياغة مشروع قانون ووضع صكوك أخرى ترمي إلى كبح العنف المنـزلي ضد المرأة في البرازيل.</w:t>
      </w:r>
    </w:p>
    <w:p w:rsidR="00364A2F" w:rsidRDefault="00364A2F" w:rsidP="00364A2F">
      <w:pPr>
        <w:pStyle w:val="SingleTxt"/>
        <w:rPr>
          <w:rFonts w:hint="cs"/>
          <w:rtl/>
          <w:lang w:eastAsia="ja-JP" w:bidi="ar-EG"/>
        </w:rPr>
      </w:pPr>
      <w:r>
        <w:rPr>
          <w:rFonts w:hint="cs"/>
          <w:rtl/>
          <w:lang w:eastAsia="ja-JP" w:bidi="ar-EG"/>
        </w:rPr>
        <w:tab/>
        <w:t>وتقدمت مجموعة من المنظمات غير الحكومية النسائية باقتراح بمشروع قانون لمنع العنف المنـزلي والأسري ضد المرأة والمعاقبة عليه واستئصاله. ومثّل مشروع القانون هذا مدخلا لمناقشات الفريق العامل.</w:t>
      </w:r>
    </w:p>
    <w:p w:rsidR="00364A2F" w:rsidRDefault="00364A2F" w:rsidP="00364A2F">
      <w:pPr>
        <w:pStyle w:val="SingleTxt"/>
        <w:rPr>
          <w:rFonts w:hint="cs"/>
          <w:rtl/>
          <w:lang w:eastAsia="ja-JP" w:bidi="ar-EG"/>
        </w:rPr>
      </w:pPr>
      <w:r>
        <w:rPr>
          <w:rFonts w:hint="cs"/>
          <w:rtl/>
          <w:lang w:eastAsia="ja-JP" w:bidi="ar-EG"/>
        </w:rPr>
        <w:tab/>
        <w:t>وعقدت جلسات استماع حضرها ممثلون عن المجتمع المدني ومؤسسات تشترك اشتراكا مباشرا في مكافحة العنف ضد المرأة من أجل توفير رؤية للسياق الحالي فيما يتعلق بمسائل العنف المنـزلي.</w:t>
      </w:r>
    </w:p>
    <w:p w:rsidR="00364A2F" w:rsidRDefault="00364A2F" w:rsidP="00FA327A">
      <w:pPr>
        <w:pStyle w:val="SingleTxt"/>
        <w:rPr>
          <w:rFonts w:hint="cs"/>
          <w:rtl/>
          <w:lang w:eastAsia="ja-JP" w:bidi="ar-EG"/>
        </w:rPr>
      </w:pPr>
      <w:r>
        <w:rPr>
          <w:rFonts w:hint="cs"/>
          <w:rtl/>
          <w:lang w:eastAsia="ja-JP" w:bidi="ar-EG"/>
        </w:rPr>
        <w:tab/>
        <w:t xml:space="preserve">وعقد الفريق العامل أيضا حلقة عمل </w:t>
      </w:r>
      <w:r w:rsidR="00FA327A">
        <w:rPr>
          <w:rFonts w:hint="cs"/>
          <w:rtl/>
          <w:lang w:eastAsia="ja-JP" w:bidi="ar-EG"/>
        </w:rPr>
        <w:t>عنوانها</w:t>
      </w:r>
      <w:r>
        <w:rPr>
          <w:rFonts w:hint="cs"/>
          <w:rtl/>
          <w:lang w:eastAsia="ja-JP" w:bidi="ar-EG"/>
        </w:rPr>
        <w:t xml:space="preserve"> </w:t>
      </w:r>
      <w:r>
        <w:rPr>
          <w:rFonts w:hint="eastAsia"/>
          <w:rtl/>
          <w:lang w:eastAsia="ja-JP" w:bidi="ar-EG"/>
        </w:rPr>
        <w:t>”التقاء وجهات النظر</w:t>
      </w:r>
      <w:r>
        <w:rPr>
          <w:rFonts w:hint="cs"/>
          <w:rtl/>
          <w:lang w:eastAsia="ja-JP" w:bidi="ar-EG"/>
        </w:rPr>
        <w:t xml:space="preserve">“ بغرض توسيع نطاق المناقشة والحصول على إسهامات من أجل صياغة مشروع القانون المعني بالعنف ضد المرأة. وكانت الأهداف الأساسية من وراء ذلك هي: (أ) الارتقاء بالوعي وإقامة شراكات مع الوزارة العامة، والمحاكم الجنائية الخاصة، والمدافعين العامين، ونقابة المحامين، ومجلس تنقيح التشريع البرازيلي المعني بالعنف ضد المرأة؛ و (ب) بحث دور </w:t>
      </w:r>
      <w:r w:rsidR="002108A7">
        <w:rPr>
          <w:rFonts w:hint="cs"/>
          <w:rtl/>
          <w:lang w:eastAsia="ja-JP" w:bidi="ar-EG"/>
        </w:rPr>
        <w:t xml:space="preserve">هذه القطاعات في منع العنف ضد المرأة والمعاقبة عليه، وتقديم المساعدة إلى الضحايا؛ و (ج) نشر ومناقشة الالتزامات الدولية التي قطعتها الحكومة البرازيلية في مجالي منع العنف ضد المرأة </w:t>
      </w:r>
      <w:r w:rsidR="00FA327A">
        <w:rPr>
          <w:rFonts w:hint="cs"/>
          <w:rtl/>
          <w:lang w:eastAsia="ja-JP" w:bidi="ar-EG"/>
        </w:rPr>
        <w:t>و</w:t>
      </w:r>
      <w:r w:rsidR="002108A7">
        <w:rPr>
          <w:rFonts w:hint="cs"/>
          <w:rtl/>
          <w:lang w:eastAsia="ja-JP" w:bidi="ar-EG"/>
        </w:rPr>
        <w:t xml:space="preserve">مكافحته وتقديم المساعدة إلى الضحايا، وبخاصة اتفاقية البلدان الأمريكية لمنع العنف ضد المرأة والمعاقبة عليه واستئصاله </w:t>
      </w:r>
      <w:r w:rsidR="00FA327A">
        <w:rPr>
          <w:rFonts w:hint="cs"/>
          <w:rtl/>
          <w:lang w:eastAsia="ja-JP" w:bidi="ar-EG"/>
        </w:rPr>
        <w:t>(ا</w:t>
      </w:r>
      <w:r w:rsidR="002108A7">
        <w:rPr>
          <w:rFonts w:hint="cs"/>
          <w:rtl/>
          <w:lang w:eastAsia="ja-JP" w:bidi="ar-EG"/>
        </w:rPr>
        <w:t>تفاقية بيليم دو بارا لعام 1994)، واتفاقية القضاء على جميع أشكال التمييز ضد المرأة (لعام 1981)، وخطة عمل المؤتمر العالمي الرابع المعني بالمرأة (بيجين، 1995).</w:t>
      </w:r>
    </w:p>
    <w:p w:rsidR="002108A7" w:rsidRDefault="002108A7" w:rsidP="00FA327A">
      <w:pPr>
        <w:pStyle w:val="SingleTxt"/>
        <w:rPr>
          <w:rFonts w:hint="cs"/>
          <w:rtl/>
          <w:lang w:eastAsia="ja-JP" w:bidi="ar-EG"/>
        </w:rPr>
      </w:pPr>
      <w:r>
        <w:rPr>
          <w:rFonts w:hint="cs"/>
          <w:rtl/>
          <w:lang w:eastAsia="ja-JP" w:bidi="ar-EG"/>
        </w:rPr>
        <w:tab/>
        <w:t xml:space="preserve">وكان آخر ما تمخض عنه الفريق العامل مشروع القرار رقم 4559/2004، الذي </w:t>
      </w:r>
      <w:r w:rsidR="00FA327A">
        <w:rPr>
          <w:rFonts w:hint="cs"/>
          <w:rtl/>
          <w:lang w:eastAsia="ja-JP" w:bidi="ar-EG"/>
        </w:rPr>
        <w:t>عرض على</w:t>
      </w:r>
      <w:r>
        <w:rPr>
          <w:rFonts w:hint="cs"/>
          <w:rtl/>
          <w:lang w:eastAsia="ja-JP" w:bidi="ar-EG"/>
        </w:rPr>
        <w:t xml:space="preserve"> الكونغرس الوطني في 25 تشرين الثاني/نوفمبر 2004. وينص مشروع القرار على إنشاء آليات لكبح العنف المنـزلي والأسري ضد المرأة، بموجب الشروط التي نصت عليها الفقرة 8 من المادة 226 من الدستور الاتحادي.</w:t>
      </w:r>
    </w:p>
    <w:p w:rsidR="002108A7" w:rsidRDefault="002108A7" w:rsidP="00364A2F">
      <w:pPr>
        <w:pStyle w:val="SingleTxt"/>
        <w:rPr>
          <w:rFonts w:hint="cs"/>
          <w:rtl/>
          <w:lang w:eastAsia="ja-JP" w:bidi="ar-EG"/>
        </w:rPr>
      </w:pPr>
      <w:r>
        <w:rPr>
          <w:rFonts w:hint="cs"/>
          <w:rtl/>
          <w:lang w:eastAsia="ja-JP" w:bidi="ar-EG"/>
        </w:rPr>
        <w:tab/>
        <w:t>ويحدد مشروع القانون المساعدات المقدمة إلى النساء اللاتي يقعن ضحايا للعنف المنـزلي والأسري عن طريق إدماج النموذج الذي يوضح أن هرمية السلطة في مجتمعنا لا تمنح امتيازا للمرأة. ويدمج مشروع القانون مبادئ العمل الإيجابي أيضا.</w:t>
      </w:r>
    </w:p>
    <w:p w:rsidR="002108A7" w:rsidRDefault="002108A7" w:rsidP="00364A2F">
      <w:pPr>
        <w:pStyle w:val="SingleTxt"/>
        <w:rPr>
          <w:rFonts w:hint="cs"/>
          <w:rtl/>
          <w:lang w:eastAsia="ja-JP" w:bidi="ar-EG"/>
        </w:rPr>
      </w:pPr>
      <w:r>
        <w:rPr>
          <w:rFonts w:hint="cs"/>
          <w:rtl/>
          <w:lang w:eastAsia="ja-JP" w:bidi="ar-EG"/>
        </w:rPr>
        <w:tab/>
        <w:t>وتضع الأحكام الأولية لمشروع القانون القواعد الناشئة عن الاتفاقيات الدولية وتهدف إلى تزويد النساء في جميع أنحاء البلد بتفهم واضح وكامل لحقوقهن الأساسية كما ينص عليها الدستور الاتحادي. والهدف العام لمشروع القانون تمكين المرأة من المشاركة المدنية على نطاق أوسع وتوعيتها بالموارد المتاحة لها بحيث تتمكن من تحديد وضعها داخل الأسرة والمجتمع.</w:t>
      </w:r>
    </w:p>
    <w:p w:rsidR="002108A7" w:rsidRDefault="002108A7" w:rsidP="00364A2F">
      <w:pPr>
        <w:pStyle w:val="SingleTxt"/>
        <w:rPr>
          <w:rFonts w:hint="cs"/>
          <w:rtl/>
          <w:lang w:eastAsia="ja-JP" w:bidi="ar-EG"/>
        </w:rPr>
      </w:pPr>
      <w:r>
        <w:rPr>
          <w:rFonts w:hint="cs"/>
          <w:rtl/>
          <w:lang w:eastAsia="ja-JP" w:bidi="ar-EG"/>
        </w:rPr>
        <w:tab/>
        <w:t xml:space="preserve">ويضع مشروع القانون مبادئ توجيهية للسياسات العامة والإجراءات الموحدة التي تتخذها السلطات العامة داخل جميع الهيئات الحكومية ومجالات العمليات. ويضع مشروع </w:t>
      </w:r>
      <w:r w:rsidR="00E62D22">
        <w:rPr>
          <w:rFonts w:hint="cs"/>
          <w:rtl/>
          <w:lang w:eastAsia="ja-JP" w:bidi="ar-EG"/>
        </w:rPr>
        <w:t>القانون مبادئ توجيهية أيضا لوسائط الإعلام والمجتمع بشكل عام من أجل منع العنف المنـزلي ضد المرأة، مع الأخذ في الاعتبار بأن حل هذه المشكلة يتطلب إجراء تغيير في القيم الثقافية.</w:t>
      </w:r>
    </w:p>
    <w:p w:rsidR="00E62D22" w:rsidRDefault="00E62D22" w:rsidP="00364A2F">
      <w:pPr>
        <w:pStyle w:val="SingleTxt"/>
        <w:rPr>
          <w:rFonts w:hint="cs"/>
          <w:rtl/>
          <w:lang w:eastAsia="ja-JP" w:bidi="ar-EG"/>
        </w:rPr>
      </w:pPr>
      <w:r>
        <w:rPr>
          <w:rFonts w:hint="cs"/>
          <w:rtl/>
          <w:lang w:eastAsia="ja-JP" w:bidi="ar-EG"/>
        </w:rPr>
        <w:tab/>
        <w:t>وأجريت تغييرات في المواد المتعلقة بخدمات الشرطة، وتتصل هذه التغي</w:t>
      </w:r>
      <w:r w:rsidR="00FA327A">
        <w:rPr>
          <w:rFonts w:hint="cs"/>
          <w:rtl/>
          <w:lang w:eastAsia="ja-JP" w:bidi="ar-EG"/>
        </w:rPr>
        <w:t>ي</w:t>
      </w:r>
      <w:r>
        <w:rPr>
          <w:rFonts w:hint="cs"/>
          <w:rtl/>
          <w:lang w:eastAsia="ja-JP" w:bidi="ar-EG"/>
        </w:rPr>
        <w:t>رات بالإجراءات المتبعة في الإبلاغ عن الحوادث التي تتضمن عنفا ضد المرأة.</w:t>
      </w:r>
    </w:p>
    <w:p w:rsidR="00E62D22" w:rsidRDefault="00E62D22" w:rsidP="00FA327A">
      <w:pPr>
        <w:pStyle w:val="SingleTxt"/>
        <w:rPr>
          <w:rFonts w:hint="cs"/>
          <w:rtl/>
          <w:lang w:eastAsia="ja-JP" w:bidi="ar-EG"/>
        </w:rPr>
      </w:pPr>
      <w:r>
        <w:rPr>
          <w:rFonts w:hint="cs"/>
          <w:rtl/>
          <w:lang w:eastAsia="ja-JP" w:bidi="ar-EG"/>
        </w:rPr>
        <w:tab/>
        <w:t>والتغ</w:t>
      </w:r>
      <w:r w:rsidR="00FA327A">
        <w:rPr>
          <w:rFonts w:hint="cs"/>
          <w:rtl/>
          <w:lang w:eastAsia="ja-JP" w:bidi="ar-EG"/>
        </w:rPr>
        <w:t>ي</w:t>
      </w:r>
      <w:r>
        <w:rPr>
          <w:rFonts w:hint="cs"/>
          <w:rtl/>
          <w:lang w:eastAsia="ja-JP" w:bidi="ar-EG"/>
        </w:rPr>
        <w:t xml:space="preserve">يرات المقترحة كانت مبتكرة فيما يتعلق بالإجراءات القانونية التي يتخذها المدعي العام، والمساعدة القانونية المجانية، وفريق الرعاية المتعدد التخصصات، والأمر القضائي بالمنع الذي يمكن أن يطبق في دوائر الاختصاص الخاصة والمحاكم الجنائية الخاصة </w:t>
      </w:r>
      <w:r w:rsidR="00FA327A">
        <w:rPr>
          <w:rFonts w:hint="cs"/>
          <w:rtl/>
          <w:lang w:eastAsia="ja-JP" w:bidi="ar-EG"/>
        </w:rPr>
        <w:t>القائمة</w:t>
      </w:r>
      <w:r>
        <w:rPr>
          <w:rFonts w:hint="cs"/>
          <w:rtl/>
          <w:lang w:eastAsia="ja-JP" w:bidi="ar-EG"/>
        </w:rPr>
        <w:t xml:space="preserve"> حاليا، وفي المحاكم الخاصة للعنف المنـزلي والأسري التي تشكلها الولايات مستقبلا.</w:t>
      </w:r>
    </w:p>
    <w:p w:rsidR="00E62D22" w:rsidRDefault="00E62D22" w:rsidP="00364A2F">
      <w:pPr>
        <w:pStyle w:val="SingleTxt"/>
        <w:rPr>
          <w:rFonts w:hint="cs"/>
          <w:rtl/>
          <w:lang w:eastAsia="ja-JP" w:bidi="ar-EG"/>
        </w:rPr>
      </w:pPr>
      <w:r>
        <w:rPr>
          <w:rFonts w:hint="cs"/>
          <w:rtl/>
          <w:lang w:eastAsia="ja-JP" w:bidi="ar-EG"/>
        </w:rPr>
        <w:tab/>
        <w:t>ويقترح مشروع القانون كفالة المشاركة الكاملة للمدعي العام في قضايا العنف المنـزلي، فيتدخل في القضايا المدنية والجنائية التي لا يكون طرفا فيها. وسيكون للمدعي العام أيضا سلطة طلب تدخل الشرطة وطلب تعاون الخدمات العامة، فضلا عن الإشراف على المؤسسات العامة والخاصة التي تقدم الرعاية إلى المرأة في حالات العنف.</w:t>
      </w:r>
    </w:p>
    <w:p w:rsidR="00E62D22" w:rsidRDefault="00E62D22" w:rsidP="00364A2F">
      <w:pPr>
        <w:pStyle w:val="SingleTxt"/>
        <w:rPr>
          <w:rFonts w:hint="cs"/>
          <w:rtl/>
          <w:lang w:eastAsia="ja-JP" w:bidi="ar-EG"/>
        </w:rPr>
      </w:pPr>
      <w:r>
        <w:rPr>
          <w:rFonts w:hint="cs"/>
          <w:rtl/>
          <w:lang w:eastAsia="ja-JP" w:bidi="ar-EG"/>
        </w:rPr>
        <w:tab/>
        <w:t>وفيما يتعلق بالمساعدة القانونية المجانية، يتيح مشروع القانون إمكانية تقديم المساعدة القانونية الكاملة، بما فيها المشورة القانونية بشأن حقوق المرأة كوسيلة لكفالة إمكانية الوصول إلى العدالة.</w:t>
      </w:r>
    </w:p>
    <w:p w:rsidR="00E62D22" w:rsidRDefault="00E62D22" w:rsidP="00364A2F">
      <w:pPr>
        <w:pStyle w:val="SingleTxt"/>
        <w:rPr>
          <w:rFonts w:hint="cs"/>
          <w:rtl/>
          <w:lang w:eastAsia="ja-JP" w:bidi="ar-EG"/>
        </w:rPr>
      </w:pPr>
      <w:r>
        <w:rPr>
          <w:rFonts w:hint="cs"/>
          <w:rtl/>
          <w:lang w:eastAsia="ja-JP" w:bidi="ar-EG"/>
        </w:rPr>
        <w:tab/>
        <w:t>وفيما يتصل بفريق الرعاية المتعدد التخصصات، يتقدم مشروع القرار باقتراح في غاية الأهمية لأن هذا الفريق سيتضمن مهنيين من خلفيات متنوعة، كالأطباء والأخصائيين النفسيين والأخصائيين الاجتماعيين والمحامين. والهدف هو تيسير فهم أسباب العنف وآلياته.</w:t>
      </w:r>
    </w:p>
    <w:p w:rsidR="00E62D22" w:rsidRDefault="00F96525" w:rsidP="00364A2F">
      <w:pPr>
        <w:pStyle w:val="SingleTxt"/>
        <w:rPr>
          <w:rFonts w:hint="cs"/>
          <w:rtl/>
          <w:lang w:eastAsia="ja-JP"/>
        </w:rPr>
      </w:pPr>
      <w:r>
        <w:rPr>
          <w:rFonts w:hint="cs"/>
          <w:rtl/>
          <w:lang w:eastAsia="ja-JP"/>
        </w:rPr>
        <w:tab/>
        <w:t>وفيما يتعلق بالأمر القضائي بالمنع، يتيح مشروع القانون توسيع نطاق دور آليات الحماية بالنسبة للمعتدي وبالنسبة للتدابير المتخذة لحماية الضحايا من النساء. وسيتيح مشروع القانون للقاضي أن يختار أنسب التدابير التي يتعين اتخاذها في كل قضية في المجالين المدني والجنائي على حد سواء.</w:t>
      </w:r>
    </w:p>
    <w:p w:rsidR="00F96525" w:rsidRDefault="00F96525" w:rsidP="00FA327A">
      <w:pPr>
        <w:pStyle w:val="SingleTxt"/>
        <w:rPr>
          <w:rFonts w:hint="cs"/>
          <w:rtl/>
          <w:lang w:eastAsia="ja-JP"/>
        </w:rPr>
      </w:pPr>
      <w:r>
        <w:rPr>
          <w:rFonts w:hint="cs"/>
          <w:rtl/>
          <w:lang w:eastAsia="ja-JP"/>
        </w:rPr>
        <w:tab/>
        <w:t xml:space="preserve">ويمكن أن تطبق جميع هذه الإجراءات في ظل الولاية القضائية والمحاكم القائمة الآن، إلا أن مشروع القانون يقترح إنشاء ولاية قضائية ومحاكم خاصة كهدف فوري للنظر في قضايا العنف المنزلي والأسري ضد المرأة في المجالين المدني والجنائي على حد سواء. وهذا ينطوي على التسليم بأن هذه الولاية القضائية الخاصة هي </w:t>
      </w:r>
      <w:r w:rsidR="00FA327A">
        <w:rPr>
          <w:rFonts w:hint="cs"/>
          <w:rtl/>
          <w:lang w:eastAsia="ja-JP"/>
        </w:rPr>
        <w:t>أ</w:t>
      </w:r>
      <w:r>
        <w:rPr>
          <w:rFonts w:hint="cs"/>
          <w:rtl/>
          <w:lang w:eastAsia="ja-JP"/>
        </w:rPr>
        <w:t>فضل هيكل قضائي يقدم المساعدة إلى المرأة في حالات العنف.</w:t>
      </w:r>
    </w:p>
    <w:p w:rsidR="00F96525" w:rsidRDefault="00F96525" w:rsidP="00364A2F">
      <w:pPr>
        <w:pStyle w:val="SingleTxt"/>
        <w:rPr>
          <w:rFonts w:hint="cs"/>
          <w:rtl/>
          <w:lang w:eastAsia="ja-JP"/>
        </w:rPr>
      </w:pPr>
      <w:r>
        <w:rPr>
          <w:rFonts w:hint="cs"/>
          <w:rtl/>
          <w:lang w:eastAsia="ja-JP"/>
        </w:rPr>
        <w:tab/>
        <w:t>ولما كانت المحاكم الموجودة الآن لا تنعقد على أساس فوري وعالمي، فإنها تعرض المرأة وأسرتها للخطر. وهناك تدابير مدنية يجري الحكم عليها بالإضافة إلى تدابير العقوبات التي يجري فرضها. وبإنشاء المحاكم الجديدة المتخصصة، وبتوفر الولاية القضائية المدنية والجنائية، يكون للقاضي اختصاص أكبر للحكم في هذه القضايا مما ييسر إمكانية وصول المرأة إلى العدالة وحل الصراعات.</w:t>
      </w:r>
    </w:p>
    <w:p w:rsidR="00F96525" w:rsidRDefault="00F96525" w:rsidP="003F28A7">
      <w:pPr>
        <w:pStyle w:val="SingleTxt"/>
        <w:rPr>
          <w:rFonts w:hint="cs"/>
          <w:rtl/>
          <w:lang w:eastAsia="ja-JP"/>
        </w:rPr>
      </w:pPr>
      <w:r>
        <w:rPr>
          <w:rFonts w:hint="cs"/>
          <w:rtl/>
          <w:lang w:eastAsia="ja-JP"/>
        </w:rPr>
        <w:tab/>
        <w:t xml:space="preserve">ومع ذلك، فإنه فيما يتعلق بالأحكام الواردة في الفقرتين 1 و 2 من المادة 24 من الدستور الاتحادي </w:t>
      </w:r>
      <w:r w:rsidR="003F28A7">
        <w:rPr>
          <w:rFonts w:hint="cs"/>
          <w:rtl/>
          <w:lang w:eastAsia="ja-JP"/>
        </w:rPr>
        <w:t>يجري النص</w:t>
      </w:r>
      <w:r>
        <w:rPr>
          <w:rFonts w:hint="cs"/>
          <w:rtl/>
          <w:lang w:eastAsia="ja-JP"/>
        </w:rPr>
        <w:t xml:space="preserve"> على أنه </w:t>
      </w:r>
      <w:r>
        <w:rPr>
          <w:rFonts w:hint="eastAsia"/>
          <w:rtl/>
          <w:lang w:eastAsia="ja-JP"/>
        </w:rPr>
        <w:t>”في نطاق التشريع الحالي، يقتصر اختصاص الوحدة على إنشاء القواعد العامة</w:t>
      </w:r>
      <w:r>
        <w:rPr>
          <w:rFonts w:hint="cs"/>
          <w:rtl/>
          <w:lang w:eastAsia="ja-JP"/>
        </w:rPr>
        <w:t>“، ومع عدم استبعاد الاختصاص التكميلي للولايات، يقترح مشروع القانون إنشاء ولاية قضائية ومحاكم خاصة للعنف المنـزلي والأسري ضد المرأة.</w:t>
      </w:r>
    </w:p>
    <w:p w:rsidR="00F96525" w:rsidRDefault="00F96525" w:rsidP="00364A2F">
      <w:pPr>
        <w:pStyle w:val="SingleTxt"/>
        <w:rPr>
          <w:rFonts w:hint="cs"/>
          <w:rtl/>
          <w:lang w:eastAsia="ja-JP"/>
        </w:rPr>
      </w:pPr>
      <w:r>
        <w:rPr>
          <w:rFonts w:hint="cs"/>
          <w:rtl/>
          <w:lang w:eastAsia="ja-JP"/>
        </w:rPr>
        <w:tab/>
        <w:t>ويبتكر مشروع القانون أيضا حظر فرض عقوبات تحد من الحق في الإسهامات المالية، مثل الإلزام بمنح سلال الأغذية الأساسية والغرامات. وتفرض المحاكم الجنائية الخاصة هذا النوع من العقوبات بصفة عامة في الوقت الحالي لغير صالح الضحية وأسرتها.</w:t>
      </w:r>
    </w:p>
    <w:p w:rsidR="00F96525" w:rsidRDefault="00D33D9A" w:rsidP="00364A2F">
      <w:pPr>
        <w:pStyle w:val="SingleTxt"/>
        <w:rPr>
          <w:rFonts w:hint="cs"/>
          <w:rtl/>
          <w:lang w:eastAsia="ja-JP"/>
        </w:rPr>
      </w:pPr>
      <w:r>
        <w:rPr>
          <w:rFonts w:hint="cs"/>
          <w:rtl/>
          <w:lang w:eastAsia="ja-JP"/>
        </w:rPr>
        <w:tab/>
        <w:t>وأخيرا، فإن مشروع القانون هذا مقدمة لإجراء تغيير في المادة 313 من قانون تنفيذ العقوبات، بحيث يضاف أساس جديد إلى السجن الوقائي عندما تتعلق الجريمة بالعنف المنـزلي أو الأسري ضد امرأة، بغض النظر عن العقوبة المطبقة.</w:t>
      </w:r>
    </w:p>
    <w:p w:rsidR="00D33D9A" w:rsidRDefault="00D33D9A" w:rsidP="00D33D9A">
      <w:pPr>
        <w:pStyle w:val="SingleTxt"/>
        <w:rPr>
          <w:rFonts w:hint="cs"/>
          <w:rtl/>
          <w:lang w:eastAsia="ja-JP"/>
        </w:rPr>
      </w:pPr>
      <w:r>
        <w:rPr>
          <w:rFonts w:hint="cs"/>
          <w:rtl/>
          <w:lang w:eastAsia="ja-JP"/>
        </w:rPr>
        <w:tab/>
        <w:t>وفي تدبير آخر ضد العنف المنـزلي، أنشأت الأمانة الخاصة لسياسات المرأة، التابعة لرئاسة الجمهورية، مكتبا لأمين المظالم في آذار/مارس 2003، بالقرار رقم 4625 (المادة 3، القسم الثامن). والهدف هو الاستماع إلى طلبات تتعلق بادعاءات التمييز والعنف ضد المرأة عن طريق مساعدة المدعية على المحافظة على حقوقها الفردية والجماعية وضمانها والدفاع عنها أمام السلطات التنفيذية والتشريعية والقضائية أو أمام المجتمع المدني. ومن المهم أيضا أن يشعر من يلجأ إلى المكتب بالارتياح.</w:t>
      </w:r>
    </w:p>
    <w:p w:rsidR="00D33D9A" w:rsidRDefault="00D33D9A" w:rsidP="00364A2F">
      <w:pPr>
        <w:pStyle w:val="SingleTxt"/>
        <w:rPr>
          <w:rFonts w:hint="cs"/>
          <w:rtl/>
          <w:lang w:eastAsia="ja-JP"/>
        </w:rPr>
      </w:pPr>
      <w:r>
        <w:rPr>
          <w:rFonts w:hint="cs"/>
          <w:rtl/>
          <w:lang w:eastAsia="ja-JP"/>
        </w:rPr>
        <w:tab/>
        <w:t>ويشكل مكتب أمين المظالم سبيلا للوصول المباشر يضمن الاستماع إلى صوت المرأة وتقديره. وهو المحفل الذي يمكن فيه الاستماع إلى الادعاءات والشكاوى المتعلقة بالتمييز والعنف ضد المرأة.</w:t>
      </w:r>
    </w:p>
    <w:p w:rsidR="00D33D9A" w:rsidRDefault="00D33D9A" w:rsidP="00364A2F">
      <w:pPr>
        <w:pStyle w:val="SingleTxt"/>
        <w:rPr>
          <w:rFonts w:hint="cs"/>
          <w:rtl/>
          <w:lang w:eastAsia="ja-JP"/>
        </w:rPr>
      </w:pPr>
      <w:r>
        <w:rPr>
          <w:rFonts w:hint="cs"/>
          <w:rtl/>
          <w:lang w:eastAsia="ja-JP"/>
        </w:rPr>
        <w:tab/>
        <w:t>وكان الغرض من إنشاء مكتب أمين المظالم أن يعمل كوسيط بين الأفراد والإدارة العامة، وأن يبرهن للمرأة أنه يمكنها - بل وينبغي لها - أن تشارك على نحو فعال في الرقابة الاجتماعية على تلك الإدارة. ومكتب أمين المظالم هو همزة الوصل التي يمكنها صوت وصقل الوضع الديمقراطي للقانون.</w:t>
      </w:r>
    </w:p>
    <w:p w:rsidR="00D33D9A" w:rsidRDefault="00D33D9A" w:rsidP="00364A2F">
      <w:pPr>
        <w:pStyle w:val="SingleTxt"/>
        <w:rPr>
          <w:rFonts w:hint="cs"/>
          <w:rtl/>
          <w:lang w:eastAsia="ja-JP"/>
        </w:rPr>
      </w:pPr>
      <w:r>
        <w:rPr>
          <w:rFonts w:hint="cs"/>
          <w:rtl/>
          <w:lang w:eastAsia="ja-JP"/>
        </w:rPr>
        <w:tab/>
        <w:t>وبعد أن يتلقى مكتب أمين المظالم الشكوى، يحيلها إلى الهيئة المختصة بها للتحقيق فيها. ويتابع مكتب أمين المظالم الحالة إلى أن يصدر قرار نهائي بشأنها. ويوفر المكتب للمرأة محفلا يمكنها من التغلب على المشاكل التي تواجهها كل يوم.</w:t>
      </w:r>
    </w:p>
    <w:p w:rsidR="00D33D9A" w:rsidRDefault="00D33D9A" w:rsidP="00297B48">
      <w:pPr>
        <w:pStyle w:val="SingleTxt"/>
        <w:rPr>
          <w:rFonts w:hint="cs"/>
          <w:rtl/>
          <w:lang w:eastAsia="ja-JP"/>
        </w:rPr>
      </w:pPr>
      <w:r>
        <w:rPr>
          <w:rFonts w:hint="cs"/>
          <w:rtl/>
          <w:lang w:eastAsia="ja-JP"/>
        </w:rPr>
        <w:tab/>
        <w:t>ويناط مكتب أمين المظالم بالولايات التالية لأغراض إجراءاته الروتينية المحددة: تلبية طلبات الأمانة التي ترسل عبر البريد الإلكتروني والرسائل والمكالمات الهاتفية، ومساعدة من يتقدم بطلب على الدفاع عن حقوق الإنسان للمرأة وضمانها، وتقديم المعلومات وتوفير الإرشاد مع الأخذ في الاعتبار بالشكاوى والطلبات والادعاءات التي تقدم بشأن العنف والتمييز والإقصاء الاجتماعي، وشرح الأمر للكيانات والدوائر العامة التي تقدم المساعدة وتفي بالاحتياجات الخاصة للمرأة، وإرسال الوثائق إلى السلطات المختصة مع تقديم النصح إليها بشأن المسائل المقدمة، وإحالة القضايا ومتابعتها وفقا لأولوياتها، وتنظيم التفسير القانوني للطلبات التي جرى استلامها والتصرف فيها مع إجراء عمليات مسح إحصائي للدراسات ومراقبة نوعية الخدمات المقدمة والمحافظة على نظام فعال وتحديث البيانات من أجل نشر المعلومات.</w:t>
      </w:r>
    </w:p>
    <w:p w:rsidR="00D33D9A" w:rsidRDefault="00D33D9A" w:rsidP="00830CB3">
      <w:pPr>
        <w:pStyle w:val="SingleTxt"/>
        <w:rPr>
          <w:rFonts w:hint="cs"/>
          <w:rtl/>
          <w:lang w:eastAsia="ja-JP"/>
        </w:rPr>
      </w:pPr>
      <w:r>
        <w:rPr>
          <w:rFonts w:hint="cs"/>
          <w:rtl/>
          <w:lang w:eastAsia="ja-JP"/>
        </w:rPr>
        <w:tab/>
        <w:t xml:space="preserve">وفي 24 تشرين الثاني/نوفمبر 2003، </w:t>
      </w:r>
      <w:r w:rsidRPr="00297B48">
        <w:rPr>
          <w:rFonts w:hint="cs"/>
          <w:rtl/>
          <w:lang w:eastAsia="ja-JP"/>
        </w:rPr>
        <w:t>أجاز</w:t>
      </w:r>
      <w:r>
        <w:rPr>
          <w:rFonts w:hint="cs"/>
          <w:rtl/>
          <w:lang w:eastAsia="ja-JP"/>
        </w:rPr>
        <w:t xml:space="preserve"> </w:t>
      </w:r>
      <w:r w:rsidRPr="00297B48">
        <w:rPr>
          <w:rFonts w:hint="cs"/>
          <w:rtl/>
          <w:lang w:eastAsia="ja-JP"/>
        </w:rPr>
        <w:t>رئيس</w:t>
      </w:r>
      <w:r>
        <w:rPr>
          <w:rFonts w:hint="cs"/>
          <w:rtl/>
          <w:lang w:eastAsia="ja-JP"/>
        </w:rPr>
        <w:t xml:space="preserve"> الجمهورية لويس إناسيو لولا دا سيلفا القانون رقم 10778</w:t>
      </w:r>
      <w:r w:rsidR="00830CB3">
        <w:rPr>
          <w:rFonts w:hint="cs"/>
          <w:rtl/>
          <w:lang w:eastAsia="ja-JP"/>
        </w:rPr>
        <w:t xml:space="preserve"> الذي يلزم دائرة الرعاية الصحية العامة أو الخاصة التي تلجأ إليها المرأة بالإبلاغ في حالة حدوث عنف ضدها.</w:t>
      </w:r>
    </w:p>
    <w:p w:rsidR="00830CB3" w:rsidRDefault="00830CB3" w:rsidP="003F28A7">
      <w:pPr>
        <w:pStyle w:val="SingleTxt"/>
        <w:rPr>
          <w:rFonts w:hint="cs"/>
          <w:rtl/>
          <w:lang w:eastAsia="ja-JP"/>
        </w:rPr>
      </w:pPr>
      <w:r>
        <w:rPr>
          <w:rFonts w:hint="cs"/>
          <w:rtl/>
          <w:lang w:eastAsia="ja-JP"/>
        </w:rPr>
        <w:tab/>
      </w:r>
      <w:r w:rsidR="00297B48">
        <w:rPr>
          <w:rFonts w:hint="cs"/>
          <w:rtl/>
          <w:lang w:eastAsia="ja-JP"/>
        </w:rPr>
        <w:t xml:space="preserve">وأصدرت وزارة الصحة التوجيه الإداري رقم 2406 بتاريخ 5 تشرين الثاني/نوفمبر 2004 الذي </w:t>
      </w:r>
      <w:r w:rsidR="00297B48">
        <w:rPr>
          <w:rFonts w:hint="eastAsia"/>
          <w:rtl/>
          <w:lang w:eastAsia="ja-JP"/>
        </w:rPr>
        <w:t>”يلزم الدائرة بالإبلاغ عن العنف ضد المرأة، ويوافق على التحويل القانوني والإداري للإبلاغ (</w:t>
      </w:r>
      <w:r w:rsidR="00297B48">
        <w:rPr>
          <w:rFonts w:hint="cs"/>
          <w:rtl/>
          <w:lang w:eastAsia="ja-JP"/>
        </w:rPr>
        <w:t>...</w:t>
      </w:r>
      <w:r w:rsidR="00297B48">
        <w:rPr>
          <w:rFonts w:hint="eastAsia"/>
          <w:rtl/>
          <w:lang w:eastAsia="ja-JP"/>
        </w:rPr>
        <w:t>)</w:t>
      </w:r>
      <w:r w:rsidR="00297B48">
        <w:rPr>
          <w:rFonts w:hint="cs"/>
          <w:rtl/>
          <w:lang w:eastAsia="ja-JP"/>
        </w:rPr>
        <w:t xml:space="preserve"> عن حالات العنف ضد المرأة إلى النظام الصحي الواحد</w:t>
      </w:r>
      <w:r w:rsidR="00297B48">
        <w:rPr>
          <w:rFonts w:hint="eastAsia"/>
          <w:rtl/>
          <w:lang w:eastAsia="ja-JP"/>
        </w:rPr>
        <w:t xml:space="preserve">“. </w:t>
      </w:r>
      <w:r w:rsidR="00297B48">
        <w:rPr>
          <w:rFonts w:hint="cs"/>
          <w:rtl/>
          <w:lang w:eastAsia="ja-JP"/>
        </w:rPr>
        <w:t xml:space="preserve">ومن شأن ذلك أن </w:t>
      </w:r>
      <w:r w:rsidR="00297B48">
        <w:rPr>
          <w:rFonts w:hint="eastAsia"/>
          <w:rtl/>
          <w:lang w:eastAsia="ja-JP"/>
        </w:rPr>
        <w:t xml:space="preserve">”ييسر تشخيص حجم المشكلة بغية تحديد سمات ملابسات العنف وصورة الضحايا </w:t>
      </w:r>
      <w:r w:rsidR="003F28A7">
        <w:rPr>
          <w:rFonts w:hint="cs"/>
          <w:rtl/>
          <w:lang w:eastAsia="ja-JP"/>
        </w:rPr>
        <w:t>والمعتدين</w:t>
      </w:r>
      <w:r w:rsidR="00297B48">
        <w:rPr>
          <w:rFonts w:hint="eastAsia"/>
          <w:rtl/>
          <w:lang w:eastAsia="ja-JP"/>
        </w:rPr>
        <w:t xml:space="preserve"> إسهاما في رسم السياسات</w:t>
      </w:r>
      <w:r w:rsidR="00297B48">
        <w:rPr>
          <w:rFonts w:hint="cs"/>
          <w:rtl/>
          <w:lang w:eastAsia="ja-JP"/>
        </w:rPr>
        <w:t>“.</w:t>
      </w:r>
    </w:p>
    <w:p w:rsidR="00297B48" w:rsidRDefault="00297B48" w:rsidP="003F28A7">
      <w:pPr>
        <w:pStyle w:val="SingleTxt"/>
        <w:rPr>
          <w:rFonts w:hint="cs"/>
          <w:rtl/>
          <w:lang w:eastAsia="ja-JP"/>
        </w:rPr>
      </w:pPr>
      <w:r>
        <w:rPr>
          <w:rFonts w:hint="cs"/>
          <w:rtl/>
          <w:lang w:eastAsia="ja-JP"/>
        </w:rPr>
        <w:tab/>
        <w:t xml:space="preserve">وتولي وزارة الصحة الأولوية منذ عام 1998 لمنع ومعالجة الإصابات الناجمة عن العنف المنـزلي والعنف الجنسي. ومن عام 1999 إلى عام 2002، </w:t>
      </w:r>
      <w:r w:rsidR="003F28A7">
        <w:rPr>
          <w:rFonts w:hint="cs"/>
          <w:rtl/>
          <w:lang w:eastAsia="ja-JP"/>
        </w:rPr>
        <w:t>أقامت الجهة التقنية</w:t>
      </w:r>
      <w:r>
        <w:rPr>
          <w:rFonts w:hint="cs"/>
          <w:rtl/>
          <w:lang w:eastAsia="ja-JP"/>
        </w:rPr>
        <w:t xml:space="preserve"> لصحة المرأة محفلا موضوعيا بشأن العنف المنـزلي والعنف الجنسي، شاركت فيه منظمات من الحركة النسائية والمتخصصين. وقاموا بتحديد ورصد المبادئ التوجيهية للسياسات واستراتيجياتها التي ترشد الأعمال التي يجري الاضطلاع بها.</w:t>
      </w:r>
    </w:p>
    <w:p w:rsidR="00297B48" w:rsidRDefault="00297B48" w:rsidP="00830CB3">
      <w:pPr>
        <w:pStyle w:val="SingleTxt"/>
        <w:rPr>
          <w:rFonts w:hint="cs"/>
          <w:rtl/>
          <w:lang w:eastAsia="ja-JP"/>
        </w:rPr>
      </w:pPr>
      <w:r>
        <w:rPr>
          <w:rFonts w:hint="cs"/>
          <w:rtl/>
          <w:lang w:eastAsia="ja-JP"/>
        </w:rPr>
        <w:tab/>
        <w:t>والإجراءات الموضوعة تعطي الأولوية لرسم سياسات محلية تستهدف منع ومعالجة الإصابات الناجمة عن العنف ضد المرأة. ويجري وضع هذه السياسات من خلال الدعم التقني والمالي الذي تقدمه مشاريع تنفيذ الشبكات الموحدة وتعزيز تبادل الخبرات من مختلف مناطق البلد.</w:t>
      </w:r>
    </w:p>
    <w:p w:rsidR="00297B48" w:rsidRDefault="00297B48" w:rsidP="00F10860">
      <w:pPr>
        <w:pStyle w:val="SingleTxt"/>
        <w:rPr>
          <w:rFonts w:hint="cs"/>
          <w:rtl/>
          <w:lang w:eastAsia="ja-JP"/>
        </w:rPr>
      </w:pPr>
      <w:r>
        <w:rPr>
          <w:rFonts w:hint="cs"/>
          <w:rtl/>
          <w:lang w:eastAsia="ja-JP"/>
        </w:rPr>
        <w:tab/>
        <w:t xml:space="preserve">والخطة الوطنية المعنية بإيلاء الاهتمام الكامل </w:t>
      </w:r>
      <w:r w:rsidR="00F10860">
        <w:rPr>
          <w:rFonts w:hint="cs"/>
          <w:rtl/>
          <w:lang w:eastAsia="ja-JP"/>
        </w:rPr>
        <w:t>ل</w:t>
      </w:r>
      <w:r>
        <w:rPr>
          <w:rFonts w:hint="cs"/>
          <w:rtl/>
          <w:lang w:eastAsia="ja-JP"/>
        </w:rPr>
        <w:t xml:space="preserve">صحة النساء 2003-2007، تنص في هدفها 4 على تعزيز تقديم الرعاية إلى المرأة في حالات العنف المنـزلي والعنف الجنسي، وبذلك تضع الأساس وتقدم المؤشرات التي تجعل من الاهتمام بالعنف المنـزلي والعنف الجنسي جزءا لا يتجزأ من أهداف إضفاء الصبغة الإنسانية على الاهتمام ونوعيته وكماله من المنظور </w:t>
      </w:r>
      <w:r w:rsidR="009F3077">
        <w:rPr>
          <w:rFonts w:hint="cs"/>
          <w:rtl/>
          <w:lang w:eastAsia="ja-JP"/>
        </w:rPr>
        <w:t>الجنساني والعنصري - العرقي. وجرى تخطيط استراتيجيات توسيع نطاق الخدمات، وإدراج مسألة العنف المنـزلي بصفة خاصة، كجزء من تصور شبكة لتقديم المساعدات. ويحظى إدراج مسألة العنف المنـزلي بمكان هام في هذه الخطة.</w:t>
      </w:r>
    </w:p>
    <w:p w:rsidR="009F3077" w:rsidRDefault="009F3077" w:rsidP="0083333E">
      <w:pPr>
        <w:pStyle w:val="SingleTxt"/>
        <w:rPr>
          <w:rFonts w:hint="cs"/>
          <w:rtl/>
          <w:lang w:eastAsia="ja-JP"/>
        </w:rPr>
      </w:pPr>
      <w:r>
        <w:rPr>
          <w:rFonts w:hint="cs"/>
          <w:rtl/>
          <w:lang w:eastAsia="ja-JP"/>
        </w:rPr>
        <w:tab/>
        <w:t xml:space="preserve">وفي عام 2004، جرى توزيع موارد من الصندوق الصحي الوطني لدعم 18 مشروعا مشتركا بين البلديات والولايات. وتهدف تلك المشاريع إلى تعزيز صحة النساء اللاتي </w:t>
      </w:r>
      <w:r w:rsidR="0083333E">
        <w:rPr>
          <w:rFonts w:hint="cs"/>
          <w:rtl/>
          <w:lang w:eastAsia="ja-JP"/>
        </w:rPr>
        <w:t>يقاسين من</w:t>
      </w:r>
      <w:r>
        <w:rPr>
          <w:rFonts w:hint="cs"/>
          <w:rtl/>
          <w:lang w:eastAsia="ja-JP"/>
        </w:rPr>
        <w:t xml:space="preserve"> حالات العنف الجنسي أو العنف المنـزلي عن طريق إنشاء شبكات متكاملة وتعزيز تبادل الخبرات من مختلف مناطق البلد. واستخدمت هذه الموارد في بناء قدرات الموظفين وإنتاج مواد تعليمية وإرشادية، وتنظيم مناسبات لتقديم الخدمات وإنشاء شبكة لتقديم المساعدات.</w:t>
      </w:r>
    </w:p>
    <w:p w:rsidR="009F3077" w:rsidRDefault="009F3077" w:rsidP="0083333E">
      <w:pPr>
        <w:pStyle w:val="SingleTxt"/>
        <w:rPr>
          <w:rFonts w:hint="cs"/>
          <w:rtl/>
          <w:lang w:eastAsia="ja-JP"/>
        </w:rPr>
      </w:pPr>
      <w:r>
        <w:rPr>
          <w:rFonts w:hint="cs"/>
          <w:rtl/>
          <w:lang w:eastAsia="ja-JP"/>
        </w:rPr>
        <w:tab/>
        <w:t xml:space="preserve">وتعمل الحكومة البرازيلية على زيادة عدد مرافق الإحالة. وحتى عام 1997، كان هناك 17 مرفقا للإحالة لتقديم المساعدة الكاملة إلى المرأة في حالات العنف. وفي عام 2004 </w:t>
      </w:r>
      <w:r w:rsidR="0083333E">
        <w:rPr>
          <w:rFonts w:hint="cs"/>
          <w:rtl/>
          <w:lang w:eastAsia="ja-JP"/>
        </w:rPr>
        <w:t>كان هناك</w:t>
      </w:r>
      <w:r>
        <w:rPr>
          <w:rFonts w:hint="cs"/>
          <w:rtl/>
          <w:lang w:eastAsia="ja-JP"/>
        </w:rPr>
        <w:t xml:space="preserve"> 250 مرفقا من مرافق الإحالة التي تقدم الرعاية إلى النساء والمراهقات من ضحايا العنف الجنسي. ولمرافق الإحالة هذه دوائر للإجهاض في حالات الطوارئ تتضمن 77 مستشفى و 173 مركزا صحيا و 44 مرفقا للإجهاض القانوني. ومن المتوقع أن يزيد هذا الرقم بنسبة 30 في المائة عام 2007.</w:t>
      </w:r>
    </w:p>
    <w:p w:rsidR="009F3077" w:rsidRDefault="009F3077" w:rsidP="00830CB3">
      <w:pPr>
        <w:pStyle w:val="SingleTxt"/>
        <w:rPr>
          <w:rFonts w:hint="cs"/>
          <w:rtl/>
          <w:lang w:eastAsia="ja-JP"/>
        </w:rPr>
      </w:pPr>
      <w:r>
        <w:rPr>
          <w:rFonts w:hint="cs"/>
          <w:rtl/>
          <w:lang w:eastAsia="ja-JP"/>
        </w:rPr>
        <w:tab/>
        <w:t>ورغم أن معظم الولايات البرازيلية تعمل على إنشاء شبكات للرعاية المتكاملة وتقيم شراكات مع مجالي الأمن والعدل، تقع معظم المرافق في المناطق الجنوبية والجنوبية الشرقية. أما المنطقة الشمالية فلديها أقل عدد من الوحدات التي توفر هذا النوع من الرعاية.</w:t>
      </w:r>
    </w:p>
    <w:p w:rsidR="009F3077" w:rsidRDefault="009F3077" w:rsidP="00830CB3">
      <w:pPr>
        <w:pStyle w:val="SingleTxt"/>
        <w:rPr>
          <w:rFonts w:hint="cs"/>
          <w:rtl/>
          <w:lang w:eastAsia="ja-JP"/>
        </w:rPr>
      </w:pPr>
      <w:r>
        <w:rPr>
          <w:rFonts w:hint="cs"/>
          <w:rtl/>
          <w:lang w:eastAsia="ja-JP"/>
        </w:rPr>
        <w:tab/>
        <w:t>وينص قانون العقوبات البرازيلي في المادة 128، القسم الأول والثاني، على الحالات الوحيدة التي يسمح فيها القانون بالإجهاض - وهي الحمل الناتج عن الاغتصاب أو في الحالات التي تتعرض حياة المرأة فيها للخطر.</w:t>
      </w:r>
    </w:p>
    <w:p w:rsidR="009F3077" w:rsidRDefault="009F3077" w:rsidP="0083333E">
      <w:pPr>
        <w:pStyle w:val="SingleTxt"/>
        <w:rPr>
          <w:rFonts w:hint="cs"/>
          <w:rtl/>
          <w:lang w:eastAsia="ja-JP"/>
        </w:rPr>
      </w:pPr>
      <w:r>
        <w:rPr>
          <w:rFonts w:hint="cs"/>
          <w:rtl/>
          <w:lang w:eastAsia="ja-JP"/>
        </w:rPr>
        <w:tab/>
        <w:t xml:space="preserve">وفي عام 1989، أنشئ في البرازيل أول مرفق للإجهاض القانوني في مستشفى جاباكوارا، في ساو باولو، من أجل مساعدة النساء في الحالات التي يسمح بها القانون. وزاد تقديم هذا النوع من الخدمة زيادة كبيرة في البلد نتيجة للطلبات من الحركات النسائية والحركات </w:t>
      </w:r>
      <w:r w:rsidR="0083333E">
        <w:rPr>
          <w:rFonts w:hint="cs"/>
          <w:rtl/>
          <w:lang w:eastAsia="ja-JP"/>
        </w:rPr>
        <w:t>الداعية إلى</w:t>
      </w:r>
      <w:r>
        <w:rPr>
          <w:rFonts w:hint="cs"/>
          <w:rtl/>
          <w:lang w:eastAsia="ja-JP"/>
        </w:rPr>
        <w:t xml:space="preserve"> المساواة بين الجنسين، والضغط من جانب المهنيين الصحيين، والتزام السلطة التنفيذية. و</w:t>
      </w:r>
      <w:r w:rsidR="0083333E">
        <w:rPr>
          <w:rFonts w:hint="cs"/>
          <w:rtl/>
          <w:lang w:eastAsia="ja-JP"/>
        </w:rPr>
        <w:t>ي</w:t>
      </w:r>
      <w:r>
        <w:rPr>
          <w:rFonts w:hint="cs"/>
          <w:rtl/>
          <w:lang w:eastAsia="ja-JP"/>
        </w:rPr>
        <w:t>وجد في الوقت الحالي 44 مرفقا من مرافق الإجهاض القانوني في جميع أنحاء المناطق الخمس للبلد.</w:t>
      </w:r>
    </w:p>
    <w:p w:rsidR="009F3077" w:rsidRDefault="009F3077" w:rsidP="0083333E">
      <w:pPr>
        <w:pStyle w:val="SingleTxt"/>
        <w:rPr>
          <w:rFonts w:hint="cs"/>
          <w:rtl/>
          <w:lang w:eastAsia="ja-JP"/>
        </w:rPr>
      </w:pPr>
      <w:r>
        <w:rPr>
          <w:rFonts w:hint="cs"/>
          <w:rtl/>
          <w:lang w:eastAsia="ja-JP"/>
        </w:rPr>
        <w:tab/>
        <w:t xml:space="preserve">وتعمل الحكومة البرازيلية على نشر المواد التعليمية. وصدرت وثائق معيارية لإرشاد ممارسات المرافق الصحية وإجراءات المجتمع المحلي. ومن أمثلة </w:t>
      </w:r>
      <w:r w:rsidR="0083333E">
        <w:rPr>
          <w:rFonts w:hint="cs"/>
          <w:rtl/>
          <w:lang w:eastAsia="ja-JP"/>
        </w:rPr>
        <w:t>ذلك</w:t>
      </w:r>
      <w:r>
        <w:rPr>
          <w:rFonts w:hint="cs"/>
          <w:rtl/>
          <w:lang w:eastAsia="ja-JP"/>
        </w:rPr>
        <w:t xml:space="preserve"> ما يلي: المعايير التقنية لدعم تنفيذ تقديم الرعاية للإناث من ضحايا العنف الجنسي، بما في ذلك التوجيه فيما يتعلق بمنع الحمل </w:t>
      </w:r>
      <w:r w:rsidR="0083333E">
        <w:rPr>
          <w:rFonts w:hint="cs"/>
          <w:rtl/>
          <w:lang w:eastAsia="ja-JP"/>
        </w:rPr>
        <w:t>بعد</w:t>
      </w:r>
      <w:r>
        <w:rPr>
          <w:rFonts w:hint="cs"/>
          <w:rtl/>
          <w:lang w:eastAsia="ja-JP"/>
        </w:rPr>
        <w:t xml:space="preserve"> الاغتصاب - أي منع الحمل في حالات الطوارئ؛ والوقاية من الأمراض التي تنتقل عن طريق الاتصال الجنسي؛ و</w:t>
      </w:r>
      <w:r w:rsidR="0083333E">
        <w:rPr>
          <w:rFonts w:hint="cs"/>
          <w:rtl/>
          <w:lang w:eastAsia="ja-JP"/>
        </w:rPr>
        <w:t xml:space="preserve">توفير </w:t>
      </w:r>
      <w:r>
        <w:rPr>
          <w:rFonts w:hint="cs"/>
          <w:rtl/>
          <w:lang w:eastAsia="ja-JP"/>
        </w:rPr>
        <w:t>المساعدات النفسية؛ وتقديم الرعاية ا</w:t>
      </w:r>
      <w:r w:rsidR="0083333E">
        <w:rPr>
          <w:rFonts w:hint="cs"/>
          <w:rtl/>
          <w:lang w:eastAsia="ja-JP"/>
        </w:rPr>
        <w:t>لسريرية والمتعلقة بأمراض النساء؛</w:t>
      </w:r>
      <w:r>
        <w:rPr>
          <w:rFonts w:hint="cs"/>
          <w:rtl/>
          <w:lang w:eastAsia="ja-JP"/>
        </w:rPr>
        <w:t xml:space="preserve"> والكتيب رقم 8</w:t>
      </w:r>
      <w:r w:rsidR="0083333E">
        <w:rPr>
          <w:rFonts w:hint="cs"/>
          <w:rtl/>
          <w:lang w:eastAsia="ja-JP"/>
        </w:rPr>
        <w:t>،</w:t>
      </w:r>
      <w:r>
        <w:rPr>
          <w:rFonts w:hint="cs"/>
          <w:rtl/>
          <w:lang w:eastAsia="ja-JP"/>
        </w:rPr>
        <w:t xml:space="preserve"> بشأن الرعاية الأساسية في حالات العنف داخل الأسرة، لأفرقة الصحة الأسرية (2002)؛ وكراسة </w:t>
      </w:r>
      <w:r w:rsidR="001D5FE2">
        <w:rPr>
          <w:rFonts w:hint="cs"/>
          <w:rtl/>
          <w:lang w:eastAsia="ja-JP"/>
        </w:rPr>
        <w:t xml:space="preserve">بشأن حقوق الإنسان والعنف داخل الأسرة (2001)، موجهة إلى وكلاء صحة المجتمع المحلي (2002) البالغ عددهم 000 150 وكيل؛ والمبادئ التوجيهية لاستعمال أدوات الوقاية من الأمراض التي تنتقل بالاتصال الجنسي عند التعرض لها بعد ذلك الاتصال، وفيروس نقص المناعة البشرية، والتهاب الكبد </w:t>
      </w:r>
      <w:r w:rsidR="001D5FE2">
        <w:rPr>
          <w:lang w:eastAsia="ja-JP"/>
        </w:rPr>
        <w:t>B</w:t>
      </w:r>
      <w:r w:rsidR="001D5FE2">
        <w:rPr>
          <w:rFonts w:hint="cs"/>
          <w:rtl/>
          <w:lang w:eastAsia="ja-JP"/>
        </w:rPr>
        <w:t xml:space="preserve"> (مرفق للمعيار التقني، 2002)؛ وكراسة عن المفاهيم الأساسية للعنف، لمساعدة المهنيين الصحيين على تقديم نماذج الإبلاغ الإجباري في حالات العنف ضد المرأة - القانون 10778/2003.</w:t>
      </w:r>
    </w:p>
    <w:p w:rsidR="001D5FE2" w:rsidRDefault="001D5FE2" w:rsidP="0083333E">
      <w:pPr>
        <w:pStyle w:val="SingleTxt"/>
        <w:rPr>
          <w:rFonts w:hint="cs"/>
          <w:rtl/>
          <w:lang w:eastAsia="ja-JP"/>
        </w:rPr>
      </w:pPr>
      <w:r>
        <w:rPr>
          <w:rFonts w:hint="cs"/>
          <w:rtl/>
          <w:lang w:eastAsia="ja-JP"/>
        </w:rPr>
        <w:tab/>
        <w:t xml:space="preserve">والدراسة المعنونة </w:t>
      </w:r>
      <w:r w:rsidR="009A4695">
        <w:rPr>
          <w:rFonts w:hint="eastAsia"/>
          <w:rtl/>
          <w:lang w:eastAsia="ja-JP"/>
        </w:rPr>
        <w:t>”</w:t>
      </w:r>
      <w:r w:rsidR="009A4695">
        <w:rPr>
          <w:rFonts w:hint="cs"/>
          <w:rtl/>
          <w:lang w:eastAsia="ja-JP"/>
        </w:rPr>
        <w:t>أثر العنف على صحة المرأة والطفل</w:t>
      </w:r>
      <w:r w:rsidR="009A4695">
        <w:rPr>
          <w:rFonts w:hint="eastAsia"/>
          <w:rtl/>
          <w:lang w:eastAsia="ja-JP"/>
        </w:rPr>
        <w:t xml:space="preserve">“، التي أجرتها منظمة الصحة </w:t>
      </w:r>
      <w:r w:rsidR="006B7EF4">
        <w:rPr>
          <w:rFonts w:hint="cs"/>
          <w:rtl/>
          <w:lang w:eastAsia="ja-JP"/>
        </w:rPr>
        <w:t xml:space="preserve">العالمية في ثمانية بلدان بما فيها البرازيل، </w:t>
      </w:r>
      <w:r w:rsidR="0083333E">
        <w:rPr>
          <w:rFonts w:hint="cs"/>
          <w:rtl/>
          <w:lang w:eastAsia="ja-JP"/>
        </w:rPr>
        <w:t>تنص على</w:t>
      </w:r>
      <w:r w:rsidR="006B7EF4">
        <w:rPr>
          <w:rFonts w:hint="cs"/>
          <w:rtl/>
          <w:lang w:eastAsia="ja-JP"/>
        </w:rPr>
        <w:t xml:space="preserve"> أخطار العنف وآثاره على صحة المرأة وحياتها. وينجم عن العنف زيادة في حالات الانتحار وإدمان الخمر، كما أنه يتسبب في تفاقم </w:t>
      </w:r>
      <w:r w:rsidR="0083333E">
        <w:rPr>
          <w:rFonts w:hint="cs"/>
          <w:rtl/>
          <w:lang w:eastAsia="ja-JP"/>
        </w:rPr>
        <w:t>المشاكل الصحية، بل أنه ينعكس في</w:t>
      </w:r>
      <w:r w:rsidR="006B7EF4">
        <w:rPr>
          <w:rFonts w:hint="cs"/>
          <w:rtl/>
          <w:lang w:eastAsia="ja-JP"/>
        </w:rPr>
        <w:t xml:space="preserve"> درجات </w:t>
      </w:r>
      <w:r w:rsidR="0083333E">
        <w:rPr>
          <w:rFonts w:hint="cs"/>
          <w:rtl/>
          <w:lang w:eastAsia="ja-JP"/>
        </w:rPr>
        <w:t xml:space="preserve">رسوب </w:t>
      </w:r>
      <w:r w:rsidR="006B7EF4">
        <w:rPr>
          <w:rFonts w:hint="cs"/>
          <w:rtl/>
          <w:lang w:eastAsia="ja-JP"/>
        </w:rPr>
        <w:t>الأطفال.</w:t>
      </w:r>
    </w:p>
    <w:p w:rsidR="006B7EF4" w:rsidRDefault="006B7EF4" w:rsidP="006B7EF4">
      <w:pPr>
        <w:pStyle w:val="SingleTxt"/>
        <w:rPr>
          <w:rFonts w:hint="cs"/>
          <w:rtl/>
          <w:lang w:eastAsia="ja-JP"/>
        </w:rPr>
      </w:pPr>
      <w:r>
        <w:rPr>
          <w:rFonts w:hint="cs"/>
          <w:rtl/>
          <w:lang w:eastAsia="ja-JP"/>
        </w:rPr>
        <w:tab/>
        <w:t>وتعمل الحكومة البرازيلية بنشاط على توسيع نطاق الهياكل الأساسية العامة وتحسينها بغية منع العنف ومساعدة النساء في حالات العنف. ويوجد الآن 86 من المآوى الصالحة، و 21 مركزا للإحالة، و 9 مجالس للدفاع العام عن المرأة</w:t>
      </w:r>
      <w:r w:rsidR="0083333E">
        <w:rPr>
          <w:rFonts w:hint="cs"/>
          <w:rtl/>
          <w:lang w:eastAsia="ja-JP"/>
        </w:rPr>
        <w:t>،</w:t>
      </w:r>
      <w:r>
        <w:rPr>
          <w:rFonts w:hint="cs"/>
          <w:rtl/>
          <w:lang w:eastAsia="ja-JP"/>
        </w:rPr>
        <w:t xml:space="preserve"> ومراكز متخصصة للمرأة. وفي عام 2004، استخدمت أيضا موارد الأمانة </w:t>
      </w:r>
      <w:r w:rsidR="00341BC5">
        <w:rPr>
          <w:rFonts w:hint="cs"/>
          <w:rtl/>
          <w:lang w:eastAsia="ja-JP"/>
        </w:rPr>
        <w:t>الخاصة لسياسات المرأة في دعم 17</w:t>
      </w:r>
      <w:r w:rsidR="00341BC5">
        <w:rPr>
          <w:rFonts w:hint="eastAsia"/>
          <w:rtl/>
          <w:lang w:eastAsia="ja-JP"/>
        </w:rPr>
        <w:t> </w:t>
      </w:r>
      <w:r>
        <w:rPr>
          <w:rFonts w:hint="cs"/>
          <w:rtl/>
          <w:lang w:eastAsia="ja-JP"/>
        </w:rPr>
        <w:t>مأوى</w:t>
      </w:r>
      <w:r w:rsidR="0083333E">
        <w:rPr>
          <w:rFonts w:hint="cs"/>
          <w:rtl/>
          <w:lang w:eastAsia="ja-JP"/>
        </w:rPr>
        <w:t>،</w:t>
      </w:r>
      <w:r>
        <w:rPr>
          <w:rFonts w:hint="cs"/>
          <w:rtl/>
          <w:lang w:eastAsia="ja-JP"/>
        </w:rPr>
        <w:t xml:space="preserve"> و 14 مركزا للإحالة</w:t>
      </w:r>
      <w:r w:rsidR="0083333E">
        <w:rPr>
          <w:rFonts w:hint="cs"/>
          <w:rtl/>
          <w:lang w:eastAsia="ja-JP"/>
        </w:rPr>
        <w:t>،</w:t>
      </w:r>
      <w:r>
        <w:rPr>
          <w:rFonts w:hint="cs"/>
          <w:rtl/>
          <w:lang w:eastAsia="ja-JP"/>
        </w:rPr>
        <w:t xml:space="preserve"> و 3 مكاتب لمحامي الدفاع العامين</w:t>
      </w:r>
      <w:r w:rsidR="0083333E">
        <w:rPr>
          <w:rFonts w:hint="cs"/>
          <w:rtl/>
          <w:lang w:eastAsia="ja-JP"/>
        </w:rPr>
        <w:t>،</w:t>
      </w:r>
      <w:r>
        <w:rPr>
          <w:rFonts w:hint="cs"/>
          <w:rtl/>
          <w:lang w:eastAsia="ja-JP"/>
        </w:rPr>
        <w:t xml:space="preserve"> ومراكز متخصصة للمرأة.</w:t>
      </w:r>
    </w:p>
    <w:p w:rsidR="006B7EF4" w:rsidRDefault="006B7EF4" w:rsidP="0083333E">
      <w:pPr>
        <w:pStyle w:val="SingleTxt"/>
        <w:rPr>
          <w:rFonts w:hint="cs"/>
          <w:rtl/>
          <w:lang w:eastAsia="ja-JP"/>
        </w:rPr>
      </w:pPr>
      <w:r>
        <w:rPr>
          <w:rFonts w:hint="cs"/>
          <w:rtl/>
          <w:lang w:eastAsia="ja-JP"/>
        </w:rPr>
        <w:tab/>
        <w:t>وتضطلع مراكز الشرطة الخاصة لمساعدة المرأة بدور هام جدا في مكافحة العنف المنـزلي والعنف الجنسي. ووفقا لدراسة أجراها في البرازيل عام 2003 المعهد البرازيلي للجغرافي</w:t>
      </w:r>
      <w:r w:rsidR="0083333E">
        <w:rPr>
          <w:rFonts w:hint="cs"/>
          <w:rtl/>
          <w:lang w:eastAsia="ja-JP"/>
        </w:rPr>
        <w:t>ا</w:t>
      </w:r>
      <w:r>
        <w:rPr>
          <w:rFonts w:hint="cs"/>
          <w:rtl/>
          <w:lang w:eastAsia="ja-JP"/>
        </w:rPr>
        <w:t xml:space="preserve"> والإحصاءات، هناك 404 مرافق لمساعدة المرأة في حالة العنف، بما فيها مراكز الشرطة الخاصة لمساعدة المرأة، وأقسام الشرطة المتخصصة في إدارات الشرطة الاعتيادية، وغيرها. وتنفق الحكومة البرازيلية على </w:t>
      </w:r>
      <w:r w:rsidR="0083333E">
        <w:rPr>
          <w:rFonts w:hint="cs"/>
          <w:rtl/>
          <w:lang w:eastAsia="ja-JP"/>
        </w:rPr>
        <w:t>إعادة الهيكلة</w:t>
      </w:r>
      <w:r>
        <w:rPr>
          <w:rFonts w:hint="cs"/>
          <w:rtl/>
          <w:lang w:eastAsia="ja-JP"/>
        </w:rPr>
        <w:t xml:space="preserve"> والتدريب والدعم التقني ودعم السياسات لمراكز الشرطة هذه. وفي عام 2004 خصصت الحكومة موارد لبناء 50 مركزا للشرطة (2</w:t>
      </w:r>
      <w:r>
        <w:rPr>
          <w:rFonts w:hint="eastAsia"/>
          <w:rtl/>
          <w:lang w:eastAsia="ja-JP"/>
        </w:rPr>
        <w:t> </w:t>
      </w:r>
      <w:r>
        <w:rPr>
          <w:rFonts w:hint="cs"/>
          <w:rtl/>
          <w:lang w:eastAsia="ja-JP"/>
        </w:rPr>
        <w:t>لكل ولاية) وبحلول نهاية عام 2007، ستكون الحكومة قد أنفقت على 150 مركزا إضافيا للشرطة، حيث تزودها بالأسلحة والمركبات وأجهزة الحاسوب والطباعة وغيرها.</w:t>
      </w:r>
    </w:p>
    <w:p w:rsidR="00402B9C" w:rsidRDefault="00402B9C" w:rsidP="0083333E">
      <w:pPr>
        <w:pStyle w:val="SingleTxt"/>
        <w:rPr>
          <w:rFonts w:hint="cs"/>
          <w:rtl/>
          <w:lang w:eastAsia="ja-JP"/>
        </w:rPr>
      </w:pPr>
      <w:r>
        <w:rPr>
          <w:rFonts w:hint="cs"/>
          <w:rtl/>
          <w:lang w:eastAsia="ja-JP"/>
        </w:rPr>
        <w:tab/>
        <w:t>وفي عام 2004، اضطلعت إدارة البحوث بالإدارة الوطنية للأمن العام (وزارة العدل)</w:t>
      </w:r>
      <w:r w:rsidR="0083333E">
        <w:rPr>
          <w:rFonts w:hint="cs"/>
          <w:rtl/>
          <w:lang w:eastAsia="ja-JP"/>
        </w:rPr>
        <w:t>،</w:t>
      </w:r>
      <w:r>
        <w:rPr>
          <w:rFonts w:hint="cs"/>
          <w:rtl/>
          <w:lang w:eastAsia="ja-JP"/>
        </w:rPr>
        <w:t xml:space="preserve"> في شراكة مع الأمانة الخاصة لسياسات المرأة، بإجراء </w:t>
      </w:r>
      <w:r>
        <w:rPr>
          <w:rFonts w:hint="eastAsia"/>
          <w:rtl/>
          <w:lang w:eastAsia="ja-JP"/>
        </w:rPr>
        <w:t>”تحليل للمعلومات المتعلقة بموظفي الأمن العام وتطويرهم</w:t>
      </w:r>
      <w:r>
        <w:rPr>
          <w:rFonts w:hint="cs"/>
          <w:rtl/>
          <w:lang w:eastAsia="ja-JP"/>
        </w:rPr>
        <w:t>“. وأجري تحليل لـ ”الصورة التنظيمية لإدارات الشرطة الخاصة لمساعدة المرأة</w:t>
      </w:r>
      <w:r>
        <w:rPr>
          <w:rFonts w:hint="eastAsia"/>
          <w:rtl/>
          <w:lang w:eastAsia="ja-JP"/>
        </w:rPr>
        <w:t>“ بغية تقييم ظروفه</w:t>
      </w:r>
      <w:r w:rsidR="0083333E">
        <w:rPr>
          <w:rFonts w:hint="cs"/>
          <w:rtl/>
          <w:lang w:eastAsia="ja-JP"/>
        </w:rPr>
        <w:t>ا</w:t>
      </w:r>
      <w:r>
        <w:rPr>
          <w:rFonts w:hint="eastAsia"/>
          <w:rtl/>
          <w:lang w:eastAsia="ja-JP"/>
        </w:rPr>
        <w:t xml:space="preserve"> التشغيلية، والموارد البشرية والطبيعي</w:t>
      </w:r>
      <w:r w:rsidR="0083333E">
        <w:rPr>
          <w:rFonts w:hint="eastAsia"/>
          <w:rtl/>
          <w:lang w:eastAsia="ja-JP"/>
        </w:rPr>
        <w:t>ة المتاحة، وتعامله</w:t>
      </w:r>
      <w:r w:rsidR="0083333E">
        <w:rPr>
          <w:rFonts w:hint="cs"/>
          <w:rtl/>
          <w:lang w:eastAsia="ja-JP"/>
        </w:rPr>
        <w:t>ا</w:t>
      </w:r>
      <w:r>
        <w:rPr>
          <w:rFonts w:hint="eastAsia"/>
          <w:rtl/>
          <w:lang w:eastAsia="ja-JP"/>
        </w:rPr>
        <w:t xml:space="preserve"> المؤسسي مع شبكة مساعدة ضحايا العنف المنـزلي والعنف الجنساني، ومدى الإجراءات التي تقوم بها مراكز الشرطة هذه، والسلطات التي تتمتع بها، سواء كانت خاضعة للتشريعات أو غير خاضعة لها. </w:t>
      </w:r>
      <w:r>
        <w:rPr>
          <w:rFonts w:hint="cs"/>
          <w:rtl/>
          <w:lang w:eastAsia="ja-JP"/>
        </w:rPr>
        <w:t>وكان الغرض من إجراء هذا البحث هو تجميع كم من المعرفة لاستخدامه في صنع القرار من أجل وضع الخطط المتعلقة بالسياسات والأعمال بحيث يجري الإقلال من العنف ضد المرأة.</w:t>
      </w:r>
    </w:p>
    <w:p w:rsidR="00402B9C" w:rsidRDefault="0083333E" w:rsidP="006B7EF4">
      <w:pPr>
        <w:pStyle w:val="SingleTxt"/>
        <w:rPr>
          <w:rFonts w:hint="cs"/>
          <w:rtl/>
          <w:lang w:eastAsia="ja-JP"/>
        </w:rPr>
      </w:pPr>
      <w:r>
        <w:rPr>
          <w:rFonts w:hint="cs"/>
          <w:rtl/>
          <w:lang w:eastAsia="ja-JP"/>
        </w:rPr>
        <w:tab/>
        <w:t>وتقع المسؤولية</w:t>
      </w:r>
      <w:r w:rsidR="00402B9C">
        <w:rPr>
          <w:rFonts w:hint="cs"/>
          <w:rtl/>
          <w:lang w:eastAsia="ja-JP"/>
        </w:rPr>
        <w:t xml:space="preserve"> عن مراكز الشرطة على عاتق أنظمة </w:t>
      </w:r>
      <w:r w:rsidR="003E432F">
        <w:rPr>
          <w:rFonts w:hint="cs"/>
          <w:rtl/>
          <w:lang w:eastAsia="ja-JP"/>
        </w:rPr>
        <w:t>الأمن العام في الولايات، مما يعني أن كل نظام من هذه الأنظمة يحدد سلطاته وملامحه وتخصصاته على نحو مستقل. وتضع الحكومة البرازيلية الآن مجموعة عامة من المبادئ التوجيهية لمعايير المساعدات والممارسات. وعقدت عام 2004 حلقة عمل بغرض تحضير هذه المبادئ التوجيهية، وشاركت في هذه الحلقة مراكز الشرطة من مناطق البلد الخمس جميعها.</w:t>
      </w:r>
    </w:p>
    <w:p w:rsidR="003E432F" w:rsidRDefault="003E432F" w:rsidP="0083333E">
      <w:pPr>
        <w:pStyle w:val="SingleTxt"/>
        <w:rPr>
          <w:rFonts w:hint="cs"/>
          <w:rtl/>
          <w:lang w:eastAsia="ja-JP"/>
        </w:rPr>
      </w:pPr>
      <w:r>
        <w:rPr>
          <w:rFonts w:hint="cs"/>
          <w:rtl/>
          <w:lang w:eastAsia="ja-JP"/>
        </w:rPr>
        <w:tab/>
        <w:t xml:space="preserve">وخلال الفترة التي شملها هذا التقرير، اضطلعت الحكومة البرازيلية أيضا بدعم وتنظيم حملات لمكافحة العنف ضد المرأة. وفي عام 2004، دعمت الحكومة حملة </w:t>
      </w:r>
      <w:r>
        <w:rPr>
          <w:rFonts w:hint="eastAsia"/>
          <w:rtl/>
          <w:lang w:eastAsia="ja-JP"/>
        </w:rPr>
        <w:t>”الشريط الأبيض</w:t>
      </w:r>
      <w:r>
        <w:rPr>
          <w:rFonts w:hint="cs"/>
          <w:rtl/>
          <w:lang w:eastAsia="ja-JP"/>
        </w:rPr>
        <w:t xml:space="preserve">“ في البرازيل، </w:t>
      </w:r>
      <w:r w:rsidR="0083333E">
        <w:rPr>
          <w:rFonts w:hint="cs"/>
          <w:rtl/>
          <w:lang w:eastAsia="ja-JP"/>
        </w:rPr>
        <w:t>من جل</w:t>
      </w:r>
      <w:r>
        <w:rPr>
          <w:rFonts w:hint="cs"/>
          <w:rtl/>
          <w:lang w:eastAsia="ja-JP"/>
        </w:rPr>
        <w:t xml:space="preserve"> إشراك الرجال في المكافحة بغية إنهاء العنف ضد المرأة، وتعبئتهم لهذا الغرض، كما دعمت الحكومة حملة </w:t>
      </w:r>
      <w:r w:rsidR="0083333E">
        <w:rPr>
          <w:rFonts w:hint="eastAsia"/>
          <w:rtl/>
          <w:lang w:eastAsia="ja-JP"/>
        </w:rPr>
        <w:t>”حي</w:t>
      </w:r>
      <w:r w:rsidR="0083333E">
        <w:rPr>
          <w:rFonts w:hint="cs"/>
          <w:rtl/>
          <w:lang w:eastAsia="ja-JP"/>
        </w:rPr>
        <w:t>ث</w:t>
      </w:r>
      <w:r>
        <w:rPr>
          <w:rFonts w:hint="eastAsia"/>
          <w:rtl/>
          <w:lang w:eastAsia="ja-JP"/>
        </w:rPr>
        <w:t>ما يكون هناك عنف، يخسر الجميع</w:t>
      </w:r>
      <w:r>
        <w:rPr>
          <w:rFonts w:hint="cs"/>
          <w:rtl/>
          <w:lang w:eastAsia="ja-JP"/>
        </w:rPr>
        <w:t xml:space="preserve">“ التي نظمها معهد باتريشيا غالفايو. وفضلا عن ذلك، شنت الأمانة الخاصة لسياسات المرأة حملتها الخاصة بها، وعنوانها </w:t>
      </w:r>
      <w:r>
        <w:rPr>
          <w:rFonts w:hint="eastAsia"/>
          <w:rtl/>
          <w:lang w:eastAsia="ja-JP"/>
        </w:rPr>
        <w:t>”حياتك تبدأ من جديد عندما ينتهي العنف</w:t>
      </w:r>
      <w:r>
        <w:rPr>
          <w:rFonts w:hint="cs"/>
          <w:rtl/>
          <w:lang w:eastAsia="ja-JP"/>
        </w:rPr>
        <w:t>“، واستخدمت لذلك الغرض فترات تلفزيونية وإذاعية، بالإضافة إلى المواد المطبوعة.</w:t>
      </w:r>
    </w:p>
    <w:p w:rsidR="003E432F" w:rsidRPr="003E432F" w:rsidRDefault="003E432F" w:rsidP="003E432F">
      <w:pPr>
        <w:pStyle w:val="SingleTxt"/>
        <w:spacing w:after="0" w:line="120" w:lineRule="exact"/>
        <w:rPr>
          <w:rFonts w:hint="cs"/>
          <w:sz w:val="10"/>
          <w:rtl/>
          <w:lang w:eastAsia="ja-JP"/>
        </w:rPr>
      </w:pPr>
    </w:p>
    <w:p w:rsidR="003E432F" w:rsidRDefault="003E432F" w:rsidP="003E43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ja-JP"/>
        </w:rPr>
      </w:pPr>
      <w:r>
        <w:rPr>
          <w:rFonts w:hint="cs"/>
          <w:rtl/>
          <w:lang w:eastAsia="ja-JP"/>
        </w:rPr>
        <w:tab/>
      </w:r>
      <w:r>
        <w:rPr>
          <w:rFonts w:hint="cs"/>
          <w:rtl/>
          <w:lang w:eastAsia="ja-JP"/>
        </w:rPr>
        <w:tab/>
        <w:t>المادة 7 من اتفاقية القضاء على جميع أشكال التمييز ضد المرأة</w:t>
      </w:r>
    </w:p>
    <w:p w:rsidR="003E432F" w:rsidRDefault="003E432F" w:rsidP="006B7EF4">
      <w:pPr>
        <w:pStyle w:val="SingleTxt"/>
        <w:rPr>
          <w:rFonts w:hint="cs"/>
          <w:rtl/>
          <w:lang w:eastAsia="ja-JP"/>
        </w:rPr>
      </w:pPr>
      <w:r>
        <w:rPr>
          <w:rFonts w:hint="cs"/>
          <w:rtl/>
          <w:lang w:eastAsia="ja-JP"/>
        </w:rPr>
        <w:tab/>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3E432F" w:rsidRDefault="003E432F" w:rsidP="006B7EF4">
      <w:pPr>
        <w:pStyle w:val="SingleTxt"/>
        <w:rPr>
          <w:rFonts w:hint="cs"/>
          <w:rtl/>
          <w:lang w:eastAsia="ja-JP"/>
        </w:rPr>
      </w:pPr>
      <w:r>
        <w:rPr>
          <w:rFonts w:hint="cs"/>
          <w:rtl/>
          <w:lang w:eastAsia="ja-JP"/>
        </w:rPr>
        <w:tab/>
        <w:t>(أ)</w:t>
      </w:r>
      <w:r>
        <w:rPr>
          <w:rFonts w:hint="cs"/>
          <w:rtl/>
          <w:lang w:eastAsia="ja-JP"/>
        </w:rPr>
        <w:tab/>
        <w:t>التصويت في جميع الانتخابات والاستفتاءات العامة، وأهلية الانتخاب لجميع الهيئات التي ينتخب أعضاؤها بالاقتراع العام؛</w:t>
      </w:r>
    </w:p>
    <w:p w:rsidR="003E432F" w:rsidRDefault="003E432F" w:rsidP="006B7EF4">
      <w:pPr>
        <w:pStyle w:val="SingleTxt"/>
        <w:rPr>
          <w:rFonts w:hint="cs"/>
          <w:rtl/>
          <w:lang w:eastAsia="ja-JP"/>
        </w:rPr>
      </w:pPr>
      <w:r>
        <w:rPr>
          <w:rFonts w:hint="cs"/>
          <w:rtl/>
          <w:lang w:eastAsia="ja-JP"/>
        </w:rPr>
        <w:tab/>
        <w:t>(ب)</w:t>
      </w:r>
      <w:r>
        <w:rPr>
          <w:rFonts w:hint="cs"/>
          <w:rtl/>
          <w:lang w:eastAsia="ja-JP"/>
        </w:rPr>
        <w:tab/>
        <w:t>المشاركة في صياغة سياسة الحكومة وتنفيذ هذه السياسة وفي شغل الوظائف العامة وتأدية جميع المهام العامة على جميع المستويات الحكومية؛</w:t>
      </w:r>
    </w:p>
    <w:p w:rsidR="003E432F" w:rsidRDefault="003E432F" w:rsidP="006B7EF4">
      <w:pPr>
        <w:pStyle w:val="SingleTxt"/>
        <w:rPr>
          <w:rFonts w:hint="cs"/>
          <w:rtl/>
          <w:lang w:eastAsia="ja-JP"/>
        </w:rPr>
      </w:pPr>
      <w:r>
        <w:rPr>
          <w:rFonts w:hint="cs"/>
          <w:rtl/>
          <w:lang w:eastAsia="ja-JP"/>
        </w:rPr>
        <w:tab/>
        <w:t>(ج)</w:t>
      </w:r>
      <w:r>
        <w:rPr>
          <w:rFonts w:hint="cs"/>
          <w:rtl/>
          <w:lang w:eastAsia="ja-JP"/>
        </w:rPr>
        <w:tab/>
        <w:t>المشاركة في جميع المنظمات والجمعيات غير الحكومية التي تعنى بالحياة العامة والسياسية للبلد.</w:t>
      </w:r>
    </w:p>
    <w:p w:rsidR="003E432F" w:rsidRDefault="003E432F" w:rsidP="006B7EF4">
      <w:pPr>
        <w:pStyle w:val="SingleTxt"/>
        <w:rPr>
          <w:rFonts w:hint="cs"/>
          <w:rtl/>
          <w:lang w:eastAsia="ja-JP"/>
        </w:rPr>
      </w:pPr>
      <w:r>
        <w:rPr>
          <w:rFonts w:hint="cs"/>
          <w:rtl/>
          <w:lang w:eastAsia="ja-JP"/>
        </w:rPr>
        <w:tab/>
        <w:t>اعتمدت الحكومة البرازيلية تدابير متنوعة امتثالا لهذه المادة من الاتفاقية، وامتثالا أيضا للتوصية رقم 11 للجنة المعنية بالقضاء على التمييز ضد المرأة، التي تدعو إلى زيادة مشاركة المرأة في مستويات صنع القرار في الساحة السياسية، والتوصية رقم 12، التي تتناول اعتماد سياسات عملية تهدف إلى زيادة مشاركة المرأة في مناصب السلطة.</w:t>
      </w:r>
    </w:p>
    <w:p w:rsidR="00E74579" w:rsidRDefault="00E74579" w:rsidP="006B7EF4">
      <w:pPr>
        <w:pStyle w:val="SingleTxt"/>
        <w:rPr>
          <w:rFonts w:hint="cs"/>
          <w:rtl/>
          <w:lang w:eastAsia="ja-JP"/>
        </w:rPr>
      </w:pPr>
      <w:r>
        <w:rPr>
          <w:rFonts w:hint="cs"/>
          <w:rtl/>
          <w:lang w:eastAsia="ja-JP"/>
        </w:rPr>
        <w:tab/>
        <w:t>ويجري الاضطلاع بكثير من هذه الأعمال من خلال الشراكة بين السلطتين التنفيذية والتشريعية في البرازيل. وتعمل الأمانة الخاصة لسياسات المرأة والمجموعة النسائية في الكونغرس الوطني معا من أجل الدفاع عن حقوق المرأة وتعزيز تلك الحقوق عن طريق تنظيم الحلقات الدراسية والاجتماعات والمناقشات العامة والضغط من أجل الموافقة على سن تشريع ضد التمييز.</w:t>
      </w:r>
    </w:p>
    <w:p w:rsidR="00E74579" w:rsidRDefault="00E74579" w:rsidP="006B7EF4">
      <w:pPr>
        <w:pStyle w:val="SingleTxt"/>
        <w:rPr>
          <w:rFonts w:hint="cs"/>
          <w:rtl/>
          <w:lang w:eastAsia="ja-JP"/>
        </w:rPr>
      </w:pPr>
      <w:r>
        <w:rPr>
          <w:rFonts w:hint="cs"/>
          <w:rtl/>
          <w:lang w:eastAsia="ja-JP"/>
        </w:rPr>
        <w:tab/>
        <w:t>وحتى إذا كان من المستطاع الآن أن ندرك هذه التغيرات، فعندما ننظر إلى من يشغل أعلى مناصب السلطة، يتضح أن الذكر لا يزال يهيمن على المشاركة في الحياة السياسية والعامة إلى أقصى حد.</w:t>
      </w:r>
    </w:p>
    <w:p w:rsidR="00E74579" w:rsidRDefault="00E74579" w:rsidP="0083333E">
      <w:pPr>
        <w:pStyle w:val="SingleTxt"/>
        <w:rPr>
          <w:rFonts w:hint="cs"/>
          <w:rtl/>
          <w:lang w:eastAsia="ja-JP"/>
        </w:rPr>
      </w:pPr>
      <w:r>
        <w:rPr>
          <w:rFonts w:hint="cs"/>
          <w:rtl/>
          <w:lang w:eastAsia="ja-JP"/>
        </w:rPr>
        <w:tab/>
        <w:t xml:space="preserve">ومنذ صدور التقرير الماضي، </w:t>
      </w:r>
      <w:r w:rsidR="0083333E">
        <w:rPr>
          <w:rFonts w:hint="cs"/>
          <w:rtl/>
          <w:lang w:eastAsia="ja-JP"/>
        </w:rPr>
        <w:t>نقص</w:t>
      </w:r>
      <w:r>
        <w:rPr>
          <w:rFonts w:hint="cs"/>
          <w:rtl/>
          <w:lang w:eastAsia="ja-JP"/>
        </w:rPr>
        <w:t xml:space="preserve"> عدد الوزيرات في البرازيل. وفي بداية عهد الإدارة الحالية، شغلت خمس نساء مناصب وزارية في وزارات المناجم والطاقة، والبيئة، والمساعدة الاجتماعية، والأمانة الخاصة لسياسات المرأة، والأمانة الخاصة لتعزيز المساواة العنصرية. أما الآن فلدى البلد أربع وزيرات، بعد تغيير وزيرة المساعدة الاجتماعية.</w:t>
      </w:r>
    </w:p>
    <w:p w:rsidR="00E74579" w:rsidRDefault="00E74579" w:rsidP="004E605D">
      <w:pPr>
        <w:pStyle w:val="SingleTxt"/>
        <w:rPr>
          <w:rFonts w:hint="cs"/>
          <w:rtl/>
          <w:lang w:eastAsia="ja-JP"/>
        </w:rPr>
      </w:pPr>
      <w:r>
        <w:rPr>
          <w:rFonts w:hint="cs"/>
          <w:rtl/>
          <w:lang w:eastAsia="ja-JP"/>
        </w:rPr>
        <w:tab/>
        <w:t>وكانت هناك زيادة طفيفة في مشاركة المرأة في الكونغرس الوطني نتيجة لانتخابات عام 2002، فتوجد 8 عضات في مجلس الشيوخ (14.8 في</w:t>
      </w:r>
      <w:r w:rsidR="004E605D">
        <w:rPr>
          <w:rFonts w:hint="cs"/>
          <w:rtl/>
          <w:lang w:eastAsia="ja-JP"/>
        </w:rPr>
        <w:t xml:space="preserve"> المائة من المجموع) و</w:t>
      </w:r>
      <w:r w:rsidR="004E605D">
        <w:rPr>
          <w:rFonts w:hint="eastAsia"/>
          <w:rtl/>
          <w:lang w:eastAsia="ja-JP"/>
        </w:rPr>
        <w:t> </w:t>
      </w:r>
      <w:r w:rsidR="004E605D">
        <w:rPr>
          <w:rFonts w:hint="cs"/>
          <w:rtl/>
          <w:lang w:eastAsia="ja-JP"/>
        </w:rPr>
        <w:t>42</w:t>
      </w:r>
      <w:r w:rsidR="004E605D">
        <w:rPr>
          <w:rFonts w:hint="eastAsia"/>
          <w:rtl/>
          <w:lang w:eastAsia="ja-JP"/>
        </w:rPr>
        <w:t> </w:t>
      </w:r>
      <w:r w:rsidR="004E605D">
        <w:rPr>
          <w:rFonts w:hint="cs"/>
          <w:rtl/>
          <w:lang w:eastAsia="ja-JP"/>
        </w:rPr>
        <w:t>عضوة في مجلس النواب الاتحادي (8.2 في المائة من المجموع).</w:t>
      </w:r>
    </w:p>
    <w:p w:rsidR="004E605D" w:rsidRDefault="004E605D" w:rsidP="0083333E">
      <w:pPr>
        <w:pStyle w:val="SingleTxt"/>
        <w:rPr>
          <w:rFonts w:hint="cs"/>
          <w:rtl/>
          <w:lang w:eastAsia="ja-JP"/>
        </w:rPr>
      </w:pPr>
      <w:r>
        <w:rPr>
          <w:rFonts w:hint="cs"/>
          <w:rtl/>
          <w:lang w:eastAsia="ja-JP"/>
        </w:rPr>
        <w:tab/>
        <w:t>وأدت الانتخابات البلدية لعام 2004 إلى زيادة طفيفة في وجود المرأة في السياسة. وجرى انتخاب 554 6 امرأة (12.65 في المائة من مجموع المنتخبين)</w:t>
      </w:r>
      <w:r w:rsidR="0083333E">
        <w:rPr>
          <w:rFonts w:hint="cs"/>
          <w:rtl/>
          <w:lang w:eastAsia="ja-JP"/>
        </w:rPr>
        <w:t>،</w:t>
      </w:r>
      <w:r>
        <w:rPr>
          <w:rFonts w:hint="cs"/>
          <w:rtl/>
          <w:lang w:eastAsia="ja-JP"/>
        </w:rPr>
        <w:t xml:space="preserve"> و 240 45 رجلا (87.33 في المائة) من مجموع المرشحين للمجلس البلدي</w:t>
      </w:r>
      <w:r w:rsidR="00B264BC">
        <w:rPr>
          <w:rFonts w:hint="cs"/>
          <w:rtl/>
          <w:lang w:eastAsia="ja-JP"/>
        </w:rPr>
        <w:t>،</w:t>
      </w:r>
      <w:r>
        <w:rPr>
          <w:rFonts w:hint="cs"/>
          <w:rtl/>
          <w:lang w:eastAsia="ja-JP"/>
        </w:rPr>
        <w:t xml:space="preserve"> وهو 819 51 مرشحا. وفي عام 2000 جرى انتخاب 001 7 امرأة (11.61 في المائة)</w:t>
      </w:r>
      <w:r w:rsidR="00B264BC">
        <w:rPr>
          <w:rFonts w:hint="cs"/>
          <w:rtl/>
          <w:lang w:eastAsia="ja-JP"/>
        </w:rPr>
        <w:t>،</w:t>
      </w:r>
      <w:r>
        <w:rPr>
          <w:rFonts w:hint="cs"/>
          <w:rtl/>
          <w:lang w:eastAsia="ja-JP"/>
        </w:rPr>
        <w:t xml:space="preserve"> و 266 53 رجلا (88.35 في المائة) من مجموع المرشحين</w:t>
      </w:r>
      <w:r w:rsidR="00B264BC">
        <w:rPr>
          <w:rFonts w:hint="cs"/>
          <w:rtl/>
          <w:lang w:eastAsia="ja-JP"/>
        </w:rPr>
        <w:t>،</w:t>
      </w:r>
      <w:r>
        <w:rPr>
          <w:rFonts w:hint="cs"/>
          <w:rtl/>
          <w:lang w:eastAsia="ja-JP"/>
        </w:rPr>
        <w:t xml:space="preserve"> وهو 287 60 مرشحا.</w:t>
      </w:r>
    </w:p>
    <w:p w:rsidR="00963C98" w:rsidRDefault="00963C98" w:rsidP="004E605D">
      <w:pPr>
        <w:pStyle w:val="SingleTxt"/>
        <w:rPr>
          <w:rFonts w:hint="cs"/>
          <w:rtl/>
          <w:lang w:eastAsia="ja-JP"/>
        </w:rPr>
      </w:pPr>
      <w:r>
        <w:rPr>
          <w:rFonts w:hint="cs"/>
          <w:rtl/>
          <w:lang w:eastAsia="ja-JP"/>
        </w:rPr>
        <w:tab/>
        <w:t>وحتى مع هبوط العدد المطلق للنساء المنتخبات في انتخابات عام 2004، نجد أن مشاركة المرأة زادت بنسبة 1 في المائة، من 11.61 في المائة إلى 12.65 في المائة، وذلك عند مقارنتها بانتخابات عام 2000 (نظرا لتخفيض قدرة 000 8 مقعد في مقاعد المجلسين التشريعيين).</w:t>
      </w:r>
    </w:p>
    <w:p w:rsidR="00963C98" w:rsidRDefault="00963C98" w:rsidP="00963C98">
      <w:pPr>
        <w:pStyle w:val="SingleTxt"/>
        <w:rPr>
          <w:rFonts w:hint="cs"/>
          <w:rtl/>
          <w:lang w:eastAsia="ja-JP"/>
        </w:rPr>
      </w:pPr>
      <w:r>
        <w:rPr>
          <w:rFonts w:hint="cs"/>
          <w:rtl/>
          <w:lang w:eastAsia="ja-JP"/>
        </w:rPr>
        <w:tab/>
        <w:t>وفي عام 2004، جرى انتخاب 407 من النساء (7.32 في المائة من المجموع)</w:t>
      </w:r>
      <w:r w:rsidR="00B264BC">
        <w:rPr>
          <w:rFonts w:hint="cs"/>
          <w:rtl/>
          <w:lang w:eastAsia="ja-JP"/>
        </w:rPr>
        <w:t>،</w:t>
      </w:r>
      <w:r>
        <w:rPr>
          <w:rFonts w:hint="cs"/>
          <w:rtl/>
          <w:lang w:eastAsia="ja-JP"/>
        </w:rPr>
        <w:t xml:space="preserve"> و</w:t>
      </w:r>
      <w:r>
        <w:rPr>
          <w:rFonts w:hint="eastAsia"/>
          <w:rtl/>
          <w:lang w:eastAsia="ja-JP"/>
        </w:rPr>
        <w:t> </w:t>
      </w:r>
      <w:r>
        <w:rPr>
          <w:rFonts w:hint="cs"/>
          <w:rtl/>
          <w:lang w:eastAsia="ja-JP"/>
        </w:rPr>
        <w:t>111</w:t>
      </w:r>
      <w:r>
        <w:rPr>
          <w:rFonts w:hint="eastAsia"/>
          <w:rtl/>
          <w:lang w:eastAsia="ja-JP"/>
        </w:rPr>
        <w:t> </w:t>
      </w:r>
      <w:r>
        <w:rPr>
          <w:rFonts w:hint="cs"/>
          <w:rtl/>
          <w:lang w:eastAsia="ja-JP"/>
        </w:rPr>
        <w:t>5</w:t>
      </w:r>
      <w:r w:rsidR="00025DB7">
        <w:rPr>
          <w:rFonts w:hint="cs"/>
          <w:rtl/>
          <w:lang w:eastAsia="ja-JP"/>
        </w:rPr>
        <w:t xml:space="preserve"> رجلا (91.96 في المائة) لمنصب رئيس بلدية. وبلغ العدد الإجمالي للمرشحين 558 5 مرشحا، بما فيهم 40 مرشحا لم يعلنوا عن نوع جنسهم. وفي عام 2000 انتخبت لمنصب رئيس بلدية 317 امرأة (5.70 في المائة)</w:t>
      </w:r>
      <w:r w:rsidR="00B264BC">
        <w:rPr>
          <w:rFonts w:hint="cs"/>
          <w:rtl/>
          <w:lang w:eastAsia="ja-JP"/>
        </w:rPr>
        <w:t>،</w:t>
      </w:r>
      <w:r w:rsidR="00025DB7">
        <w:rPr>
          <w:rFonts w:hint="cs"/>
          <w:rtl/>
          <w:lang w:eastAsia="ja-JP"/>
        </w:rPr>
        <w:t xml:space="preserve"> و 241 5 رجلا (94.28 في المائة)</w:t>
      </w:r>
      <w:r w:rsidR="00B264BC">
        <w:rPr>
          <w:rFonts w:hint="cs"/>
          <w:rtl/>
          <w:lang w:eastAsia="ja-JP"/>
        </w:rPr>
        <w:t>،</w:t>
      </w:r>
      <w:r w:rsidR="00025DB7">
        <w:rPr>
          <w:rFonts w:hint="cs"/>
          <w:rtl/>
          <w:lang w:eastAsia="ja-JP"/>
        </w:rPr>
        <w:t xml:space="preserve"> وبلغ العدد الإجمالي 559 5 رئيس بلدية. ومثلت الزيادة الم</w:t>
      </w:r>
      <w:r w:rsidR="00093AC0">
        <w:rPr>
          <w:rFonts w:hint="cs"/>
          <w:rtl/>
          <w:lang w:eastAsia="ja-JP"/>
        </w:rPr>
        <w:t>طلقة في عدد النساء المنتخبات 90</w:t>
      </w:r>
      <w:r w:rsidR="00093AC0">
        <w:rPr>
          <w:rFonts w:hint="eastAsia"/>
          <w:rtl/>
          <w:lang w:eastAsia="ja-JP"/>
        </w:rPr>
        <w:t> </w:t>
      </w:r>
      <w:r w:rsidR="00025DB7">
        <w:rPr>
          <w:rFonts w:hint="cs"/>
          <w:rtl/>
          <w:lang w:eastAsia="ja-JP"/>
        </w:rPr>
        <w:t>مقعدا، وهي زيادة نسبتها حوالي 28 في المائة.</w:t>
      </w:r>
    </w:p>
    <w:p w:rsidR="00025DB7" w:rsidRDefault="00025DB7" w:rsidP="00093AC0">
      <w:pPr>
        <w:pStyle w:val="SingleTxt"/>
        <w:rPr>
          <w:rFonts w:hint="cs"/>
          <w:rtl/>
          <w:lang w:eastAsia="ja-JP"/>
        </w:rPr>
      </w:pPr>
      <w:r>
        <w:rPr>
          <w:rFonts w:hint="cs"/>
          <w:rtl/>
          <w:lang w:eastAsia="ja-JP"/>
        </w:rPr>
        <w:tab/>
        <w:t>وفي عام 2000 رشحت 321 70 امرأة لمنصب مستشارة للمدينة، انتخبت منهن 7001 امرأة، ومثل ذلك نسبة 9.95 في المائة من المرشحات. وفي نفس السنة، بلغ مجموع المرشحات لمنصب رئيس بلدية 139 1 امرأة، انتخبت منهن 317 امرأة (27.83 في</w:t>
      </w:r>
      <w:r w:rsidR="00093AC0">
        <w:rPr>
          <w:rFonts w:hint="eastAsia"/>
          <w:rtl/>
          <w:lang w:eastAsia="ja-JP"/>
        </w:rPr>
        <w:t> </w:t>
      </w:r>
      <w:r>
        <w:rPr>
          <w:rFonts w:hint="cs"/>
          <w:rtl/>
          <w:lang w:eastAsia="ja-JP"/>
        </w:rPr>
        <w:t>المائة).</w:t>
      </w:r>
    </w:p>
    <w:p w:rsidR="006B7EF4" w:rsidRDefault="006B7EF4" w:rsidP="00B264BC">
      <w:pPr>
        <w:pStyle w:val="SingleTxt"/>
        <w:rPr>
          <w:rFonts w:hint="cs"/>
          <w:rtl/>
          <w:lang w:eastAsia="ja-JP"/>
        </w:rPr>
      </w:pPr>
      <w:r>
        <w:rPr>
          <w:rFonts w:hint="cs"/>
          <w:rtl/>
          <w:lang w:eastAsia="ja-JP"/>
        </w:rPr>
        <w:tab/>
      </w:r>
      <w:r w:rsidR="00093AC0">
        <w:rPr>
          <w:rFonts w:hint="cs"/>
          <w:rtl/>
          <w:lang w:eastAsia="ja-JP"/>
        </w:rPr>
        <w:t>وفي انتخابات عام 2004، كانت هناك 551 76 امرأة مرشحة لمنصب مستشارة للمدينة، انتخبت منهن 554 6 امرأة، أي بنسبة 8.56 في المائة من المرشحات. وفي انتخابات رئيس البلدية</w:t>
      </w:r>
      <w:r w:rsidR="00B264BC">
        <w:rPr>
          <w:rFonts w:hint="cs"/>
          <w:rtl/>
          <w:lang w:eastAsia="ja-JP"/>
        </w:rPr>
        <w:t>،</w:t>
      </w:r>
      <w:r w:rsidR="00093AC0">
        <w:rPr>
          <w:rFonts w:hint="cs"/>
          <w:rtl/>
          <w:lang w:eastAsia="ja-JP"/>
        </w:rPr>
        <w:t xml:space="preserve"> انتخبت 407 امرأة من مجموع المرشحات</w:t>
      </w:r>
      <w:r w:rsidR="00B264BC">
        <w:rPr>
          <w:rFonts w:hint="cs"/>
          <w:rtl/>
          <w:lang w:eastAsia="ja-JP"/>
        </w:rPr>
        <w:t>،</w:t>
      </w:r>
      <w:r w:rsidR="00093AC0">
        <w:rPr>
          <w:rFonts w:hint="cs"/>
          <w:rtl/>
          <w:lang w:eastAsia="ja-JP"/>
        </w:rPr>
        <w:t xml:space="preserve"> وهو 498 1 امرأة مما مثل نسبة 29.96 في المائة.</w:t>
      </w:r>
    </w:p>
    <w:p w:rsidR="00093AC0" w:rsidRDefault="00093AC0" w:rsidP="006B7EF4">
      <w:pPr>
        <w:pStyle w:val="SingleTxt"/>
        <w:rPr>
          <w:rFonts w:hint="cs"/>
          <w:rtl/>
          <w:lang w:eastAsia="ja-JP"/>
        </w:rPr>
      </w:pPr>
      <w:r>
        <w:rPr>
          <w:rFonts w:hint="cs"/>
          <w:rtl/>
          <w:lang w:eastAsia="ja-JP"/>
        </w:rPr>
        <w:tab/>
        <w:t>واحتفظت النساء بمراكزهن التي انتخبن لها، بل وزاد عددهن في مجالس المدن؛ وحتى مع الأخذ في الحسبان بتخفيض عدد المقاعد في مجلس النواب، زاد وجودهن نسبيا في المجالس التشريعية للبلديات في جميع أنحاء البلد.</w:t>
      </w:r>
    </w:p>
    <w:p w:rsidR="009F67B8" w:rsidRPr="009F67B8" w:rsidRDefault="00063EF0" w:rsidP="009F67B8">
      <w:pPr>
        <w:pStyle w:val="SingleTxt"/>
        <w:spacing w:after="0" w:line="120" w:lineRule="exact"/>
        <w:rPr>
          <w:rFonts w:hint="cs"/>
          <w:b/>
          <w:bCs/>
          <w:sz w:val="10"/>
          <w:rtl/>
          <w:lang w:eastAsia="ja-JP"/>
        </w:rPr>
      </w:pPr>
      <w:r>
        <w:rPr>
          <w:b/>
          <w:bCs/>
          <w:sz w:val="10"/>
          <w:rtl/>
          <w:lang w:eastAsia="ja-JP"/>
        </w:rPr>
        <w:br w:type="page"/>
      </w:r>
    </w:p>
    <w:tbl>
      <w:tblPr>
        <w:bidiVisual/>
        <w:tblW w:w="0" w:type="auto"/>
        <w:jc w:val="center"/>
        <w:tblInd w:w="-118" w:type="dxa"/>
        <w:tblLayout w:type="fixed"/>
        <w:tblCellMar>
          <w:left w:w="70" w:type="dxa"/>
          <w:right w:w="70" w:type="dxa"/>
        </w:tblCellMar>
        <w:tblLook w:val="0000" w:firstRow="0" w:lastRow="0" w:firstColumn="0" w:lastColumn="0" w:noHBand="0" w:noVBand="0"/>
      </w:tblPr>
      <w:tblGrid>
        <w:gridCol w:w="3015"/>
        <w:gridCol w:w="1801"/>
        <w:gridCol w:w="2520"/>
      </w:tblGrid>
      <w:tr w:rsidR="009F67B8" w:rsidRPr="008D26BD">
        <w:trPr>
          <w:cantSplit/>
          <w:tblHeader/>
          <w:jc w:val="center"/>
        </w:trPr>
        <w:tc>
          <w:tcPr>
            <w:tcW w:w="7336" w:type="dxa"/>
            <w:gridSpan w:val="3"/>
            <w:tcBorders>
              <w:top w:val="single" w:sz="4" w:space="0" w:color="auto"/>
              <w:bottom w:val="single" w:sz="4" w:space="0" w:color="auto"/>
            </w:tcBorders>
            <w:shd w:val="clear" w:color="auto" w:fill="auto"/>
            <w:vAlign w:val="bottom"/>
          </w:tcPr>
          <w:p w:rsidR="009F67B8" w:rsidRPr="004C21FC" w:rsidRDefault="009F67B8" w:rsidP="009F67B8">
            <w:pPr>
              <w:pStyle w:val="SingleTxt"/>
              <w:spacing w:before="80" w:after="80" w:line="240" w:lineRule="exact"/>
              <w:ind w:left="0" w:right="144"/>
              <w:jc w:val="center"/>
              <w:rPr>
                <w:b/>
                <w:bCs/>
                <w:i/>
                <w:iCs/>
                <w:sz w:val="16"/>
                <w:szCs w:val="24"/>
              </w:rPr>
            </w:pPr>
            <w:r w:rsidRPr="004C21FC">
              <w:rPr>
                <w:rFonts w:hint="cs"/>
                <w:b/>
                <w:bCs/>
                <w:sz w:val="16"/>
                <w:szCs w:val="26"/>
                <w:rtl/>
                <w:lang w:eastAsia="ja-JP"/>
              </w:rPr>
              <w:t>المرأة في السلطتين التشريعية والتنفيذية في البرازيل 2002/2004</w:t>
            </w:r>
          </w:p>
        </w:tc>
      </w:tr>
      <w:tr w:rsidR="008D26BD" w:rsidRPr="008D26BD">
        <w:trPr>
          <w:cantSplit/>
          <w:tblHeader/>
          <w:jc w:val="center"/>
        </w:trPr>
        <w:tc>
          <w:tcPr>
            <w:tcW w:w="3015" w:type="dxa"/>
            <w:tcBorders>
              <w:top w:val="single" w:sz="4" w:space="0" w:color="auto"/>
              <w:bottom w:val="single" w:sz="12" w:space="0" w:color="auto"/>
            </w:tcBorders>
            <w:shd w:val="clear" w:color="auto" w:fill="auto"/>
            <w:vAlign w:val="bottom"/>
          </w:tcPr>
          <w:p w:rsidR="008D26BD" w:rsidRPr="002D4FDC" w:rsidRDefault="002D4FDC" w:rsidP="008D26BD">
            <w:pPr>
              <w:pStyle w:val="SingleTxt"/>
              <w:spacing w:after="80" w:line="240" w:lineRule="exact"/>
              <w:ind w:left="0"/>
              <w:rPr>
                <w:rFonts w:eastAsia="Batang" w:hint="cs"/>
                <w:i/>
                <w:iCs/>
                <w:sz w:val="16"/>
                <w:szCs w:val="24"/>
                <w:rtl/>
                <w:lang w:eastAsia="ko-KR" w:bidi="ar-EG"/>
              </w:rPr>
            </w:pPr>
            <w:r>
              <w:rPr>
                <w:rFonts w:eastAsia="Batang" w:hint="cs"/>
                <w:i/>
                <w:iCs/>
                <w:sz w:val="16"/>
                <w:szCs w:val="24"/>
                <w:rtl/>
                <w:lang w:eastAsia="ko-KR" w:bidi="ar-EG"/>
              </w:rPr>
              <w:t>المنصب</w:t>
            </w:r>
          </w:p>
        </w:tc>
        <w:tc>
          <w:tcPr>
            <w:tcW w:w="1801" w:type="dxa"/>
            <w:tcBorders>
              <w:top w:val="single" w:sz="4" w:space="0" w:color="auto"/>
              <w:bottom w:val="single" w:sz="12" w:space="0" w:color="auto"/>
            </w:tcBorders>
            <w:shd w:val="clear" w:color="auto" w:fill="auto"/>
            <w:vAlign w:val="bottom"/>
          </w:tcPr>
          <w:p w:rsidR="008D26BD" w:rsidRPr="008D26BD" w:rsidRDefault="00CC1A6D" w:rsidP="008D26BD">
            <w:pPr>
              <w:pStyle w:val="SingleTxt"/>
              <w:spacing w:after="80" w:line="240" w:lineRule="exact"/>
              <w:ind w:left="0" w:right="144"/>
              <w:rPr>
                <w:rFonts w:hint="cs"/>
                <w:i/>
                <w:iCs/>
                <w:sz w:val="16"/>
                <w:szCs w:val="24"/>
                <w:rtl/>
                <w:lang w:bidi="ar-EG"/>
              </w:rPr>
            </w:pPr>
            <w:r>
              <w:rPr>
                <w:rFonts w:hint="cs"/>
                <w:i/>
                <w:iCs/>
                <w:sz w:val="16"/>
                <w:szCs w:val="24"/>
                <w:rtl/>
                <w:lang w:bidi="ar-EG"/>
              </w:rPr>
              <w:t>عام الانتخاب</w:t>
            </w:r>
          </w:p>
        </w:tc>
        <w:tc>
          <w:tcPr>
            <w:tcW w:w="2520" w:type="dxa"/>
            <w:tcBorders>
              <w:top w:val="single" w:sz="4" w:space="0" w:color="auto"/>
              <w:bottom w:val="single" w:sz="12" w:space="0" w:color="auto"/>
            </w:tcBorders>
            <w:shd w:val="clear" w:color="auto" w:fill="auto"/>
            <w:vAlign w:val="bottom"/>
          </w:tcPr>
          <w:p w:rsidR="008D26BD" w:rsidRPr="008D26BD" w:rsidRDefault="00CC1A6D" w:rsidP="008D26BD">
            <w:pPr>
              <w:pStyle w:val="SingleTxt"/>
              <w:spacing w:after="80" w:line="240" w:lineRule="exact"/>
              <w:ind w:left="0" w:right="144"/>
              <w:rPr>
                <w:i/>
                <w:iCs/>
                <w:sz w:val="16"/>
                <w:szCs w:val="24"/>
                <w:lang w:bidi="ar-EG"/>
              </w:rPr>
            </w:pPr>
            <w:r w:rsidRPr="00CC1A6D">
              <w:rPr>
                <w:rFonts w:hint="cs"/>
                <w:i/>
                <w:iCs/>
                <w:sz w:val="16"/>
                <w:szCs w:val="24"/>
                <w:rtl/>
                <w:lang w:bidi="ar-EG"/>
              </w:rPr>
              <w:t>النسبة المئوية للنساء المنتخبات/مجموع المنتخبون</w:t>
            </w:r>
          </w:p>
        </w:tc>
      </w:tr>
      <w:tr w:rsidR="008D26BD" w:rsidRPr="008D26BD">
        <w:trPr>
          <w:cantSplit/>
          <w:trHeight w:hRule="exact" w:val="115"/>
          <w:tblHeader/>
          <w:jc w:val="center"/>
        </w:trPr>
        <w:tc>
          <w:tcPr>
            <w:tcW w:w="3015" w:type="dxa"/>
            <w:tcBorders>
              <w:top w:val="single" w:sz="12" w:space="0" w:color="auto"/>
            </w:tcBorders>
            <w:shd w:val="clear" w:color="auto" w:fill="auto"/>
            <w:vAlign w:val="bottom"/>
          </w:tcPr>
          <w:p w:rsidR="008D26BD" w:rsidRPr="008D26BD" w:rsidRDefault="008D26BD" w:rsidP="008D26BD">
            <w:pPr>
              <w:pStyle w:val="SingleTxt"/>
              <w:spacing w:before="40" w:after="80" w:line="240" w:lineRule="exact"/>
              <w:ind w:left="0"/>
              <w:rPr>
                <w:sz w:val="16"/>
                <w:szCs w:val="24"/>
              </w:rPr>
            </w:pPr>
          </w:p>
        </w:tc>
        <w:tc>
          <w:tcPr>
            <w:tcW w:w="1801" w:type="dxa"/>
            <w:tcBorders>
              <w:top w:val="single" w:sz="12" w:space="0" w:color="auto"/>
            </w:tcBorders>
            <w:shd w:val="clear" w:color="auto" w:fill="auto"/>
            <w:vAlign w:val="bottom"/>
          </w:tcPr>
          <w:p w:rsidR="008D26BD" w:rsidRPr="008D26BD" w:rsidRDefault="008D26BD" w:rsidP="008D26BD">
            <w:pPr>
              <w:pStyle w:val="SingleTxt"/>
              <w:spacing w:before="40" w:after="80" w:line="240" w:lineRule="exact"/>
              <w:ind w:left="0" w:right="144"/>
              <w:rPr>
                <w:sz w:val="16"/>
                <w:szCs w:val="24"/>
              </w:rPr>
            </w:pPr>
          </w:p>
        </w:tc>
        <w:tc>
          <w:tcPr>
            <w:tcW w:w="2520" w:type="dxa"/>
            <w:tcBorders>
              <w:top w:val="single" w:sz="12" w:space="0" w:color="auto"/>
            </w:tcBorders>
            <w:shd w:val="clear" w:color="auto" w:fill="auto"/>
            <w:vAlign w:val="bottom"/>
          </w:tcPr>
          <w:p w:rsidR="008D26BD" w:rsidRPr="008D26BD" w:rsidRDefault="008D26BD" w:rsidP="008D26BD">
            <w:pPr>
              <w:pStyle w:val="SingleTxt"/>
              <w:spacing w:before="40" w:after="80" w:line="240" w:lineRule="exact"/>
              <w:ind w:left="0" w:right="144"/>
              <w:rPr>
                <w:sz w:val="16"/>
                <w:szCs w:val="24"/>
              </w:rPr>
            </w:pPr>
          </w:p>
        </w:tc>
      </w:tr>
      <w:tr w:rsidR="008D26BD" w:rsidRPr="008D26BD">
        <w:trPr>
          <w:cantSplit/>
          <w:jc w:val="center"/>
        </w:trPr>
        <w:tc>
          <w:tcPr>
            <w:tcW w:w="3015" w:type="dxa"/>
            <w:shd w:val="clear" w:color="auto" w:fill="auto"/>
            <w:vAlign w:val="bottom"/>
          </w:tcPr>
          <w:p w:rsidR="008D26BD" w:rsidRPr="008D26BD" w:rsidRDefault="00C56E7E" w:rsidP="008D26BD">
            <w:pPr>
              <w:pStyle w:val="SingleTxt"/>
              <w:spacing w:before="40" w:after="80" w:line="240" w:lineRule="exact"/>
              <w:ind w:left="0"/>
              <w:rPr>
                <w:rFonts w:hint="cs"/>
                <w:sz w:val="16"/>
                <w:szCs w:val="24"/>
                <w:rtl/>
                <w:lang w:bidi="ar-EG"/>
              </w:rPr>
            </w:pPr>
            <w:r>
              <w:rPr>
                <w:rFonts w:hint="cs"/>
                <w:sz w:val="16"/>
                <w:szCs w:val="24"/>
                <w:rtl/>
                <w:lang w:bidi="ar-EG"/>
              </w:rPr>
              <w:t>رئيس بلدية</w:t>
            </w:r>
          </w:p>
        </w:tc>
        <w:tc>
          <w:tcPr>
            <w:tcW w:w="1801" w:type="dxa"/>
            <w:shd w:val="clear" w:color="auto" w:fill="auto"/>
            <w:vAlign w:val="bottom"/>
          </w:tcPr>
          <w:p w:rsidR="008D26BD" w:rsidRPr="008D26BD" w:rsidRDefault="008D26BD" w:rsidP="008D26BD">
            <w:pPr>
              <w:pStyle w:val="SingleTxt"/>
              <w:spacing w:before="40" w:after="80" w:line="240" w:lineRule="exact"/>
              <w:ind w:left="0" w:right="144"/>
              <w:rPr>
                <w:sz w:val="16"/>
                <w:szCs w:val="24"/>
              </w:rPr>
            </w:pPr>
            <w:r w:rsidRPr="008D26BD">
              <w:rPr>
                <w:rFonts w:hint="cs"/>
                <w:sz w:val="16"/>
                <w:szCs w:val="24"/>
                <w:rtl/>
              </w:rPr>
              <w:t>2004</w:t>
            </w:r>
          </w:p>
        </w:tc>
        <w:tc>
          <w:tcPr>
            <w:tcW w:w="2520" w:type="dxa"/>
            <w:shd w:val="clear" w:color="auto" w:fill="auto"/>
            <w:vAlign w:val="bottom"/>
          </w:tcPr>
          <w:p w:rsidR="008D26BD" w:rsidRPr="00C56E7E" w:rsidRDefault="00C56E7E" w:rsidP="00C56E7E">
            <w:pPr>
              <w:pStyle w:val="SingleTxt"/>
              <w:spacing w:before="40" w:after="80" w:line="240" w:lineRule="exact"/>
              <w:ind w:left="0" w:right="144" w:firstLine="485"/>
              <w:jc w:val="left"/>
              <w:rPr>
                <w:rFonts w:eastAsia="Batang" w:hint="cs"/>
                <w:sz w:val="16"/>
                <w:szCs w:val="24"/>
                <w:rtl/>
                <w:lang w:eastAsia="ko-KR" w:bidi="ar-EG"/>
              </w:rPr>
            </w:pPr>
            <w:r>
              <w:rPr>
                <w:rFonts w:eastAsia="Batang" w:hint="cs"/>
                <w:sz w:val="16"/>
                <w:szCs w:val="24"/>
                <w:rtl/>
                <w:lang w:eastAsia="ko-KR" w:bidi="ar-EG"/>
              </w:rPr>
              <w:t>7.3 في المائة</w:t>
            </w:r>
          </w:p>
        </w:tc>
      </w:tr>
      <w:tr w:rsidR="008D26BD" w:rsidRPr="008D26BD">
        <w:trPr>
          <w:cantSplit/>
          <w:jc w:val="center"/>
        </w:trPr>
        <w:tc>
          <w:tcPr>
            <w:tcW w:w="3015" w:type="dxa"/>
            <w:shd w:val="clear" w:color="auto" w:fill="auto"/>
            <w:vAlign w:val="bottom"/>
          </w:tcPr>
          <w:p w:rsidR="008D26BD" w:rsidRPr="008D26BD" w:rsidRDefault="00C56E7E" w:rsidP="008D26BD">
            <w:pPr>
              <w:pStyle w:val="SingleTxt"/>
              <w:spacing w:before="40" w:after="80" w:line="240" w:lineRule="exact"/>
              <w:ind w:left="0"/>
              <w:rPr>
                <w:rFonts w:hint="cs"/>
                <w:sz w:val="16"/>
                <w:szCs w:val="24"/>
              </w:rPr>
            </w:pPr>
            <w:r>
              <w:rPr>
                <w:rFonts w:hint="cs"/>
                <w:sz w:val="16"/>
                <w:szCs w:val="24"/>
                <w:rtl/>
              </w:rPr>
              <w:t>مستشار</w:t>
            </w:r>
          </w:p>
        </w:tc>
        <w:tc>
          <w:tcPr>
            <w:tcW w:w="1801" w:type="dxa"/>
            <w:shd w:val="clear" w:color="auto" w:fill="auto"/>
            <w:vAlign w:val="bottom"/>
          </w:tcPr>
          <w:p w:rsidR="000E497B" w:rsidRPr="008D26BD" w:rsidRDefault="008D26BD" w:rsidP="008D26BD">
            <w:pPr>
              <w:pStyle w:val="SingleTxt"/>
              <w:spacing w:before="40" w:after="80" w:line="240" w:lineRule="exact"/>
              <w:ind w:left="0" w:right="144"/>
              <w:rPr>
                <w:sz w:val="16"/>
                <w:szCs w:val="24"/>
              </w:rPr>
            </w:pPr>
            <w:r w:rsidRPr="008D26BD">
              <w:rPr>
                <w:rFonts w:hint="cs"/>
                <w:sz w:val="16"/>
                <w:szCs w:val="24"/>
                <w:rtl/>
              </w:rPr>
              <w:t>2004</w:t>
            </w:r>
          </w:p>
        </w:tc>
        <w:tc>
          <w:tcPr>
            <w:tcW w:w="2520" w:type="dxa"/>
            <w:shd w:val="clear" w:color="auto" w:fill="auto"/>
            <w:vAlign w:val="bottom"/>
          </w:tcPr>
          <w:p w:rsidR="000E497B" w:rsidRPr="002D4FDC" w:rsidRDefault="00C56E7E" w:rsidP="00C56E7E">
            <w:pPr>
              <w:pStyle w:val="SingleTxt"/>
              <w:spacing w:before="40" w:after="80" w:line="240" w:lineRule="exact"/>
              <w:ind w:left="0" w:right="144" w:firstLine="485"/>
              <w:jc w:val="left"/>
              <w:rPr>
                <w:rFonts w:eastAsia="Batang" w:hint="cs"/>
                <w:sz w:val="16"/>
                <w:szCs w:val="24"/>
                <w:lang w:eastAsia="ko-KR" w:bidi="ar-EG"/>
              </w:rPr>
            </w:pPr>
            <w:r>
              <w:rPr>
                <w:rFonts w:eastAsia="Batang" w:hint="cs"/>
                <w:sz w:val="16"/>
                <w:szCs w:val="24"/>
                <w:rtl/>
                <w:lang w:eastAsia="ko-KR" w:bidi="ar-EG"/>
              </w:rPr>
              <w:t>12.6 في المائة</w:t>
            </w:r>
          </w:p>
        </w:tc>
      </w:tr>
      <w:tr w:rsidR="008D26BD" w:rsidRPr="008D26BD">
        <w:trPr>
          <w:cantSplit/>
          <w:jc w:val="center"/>
        </w:trPr>
        <w:tc>
          <w:tcPr>
            <w:tcW w:w="3015" w:type="dxa"/>
            <w:shd w:val="clear" w:color="auto" w:fill="auto"/>
            <w:vAlign w:val="bottom"/>
          </w:tcPr>
          <w:p w:rsidR="008D26BD" w:rsidRPr="008D26BD" w:rsidRDefault="00C56E7E" w:rsidP="00C56E7E">
            <w:pPr>
              <w:pStyle w:val="SingleTxt"/>
              <w:spacing w:before="40" w:after="80" w:line="240" w:lineRule="exact"/>
              <w:ind w:left="0" w:right="355"/>
              <w:rPr>
                <w:rFonts w:hint="cs"/>
                <w:sz w:val="16"/>
                <w:szCs w:val="24"/>
              </w:rPr>
            </w:pPr>
            <w:r>
              <w:rPr>
                <w:rFonts w:hint="cs"/>
                <w:sz w:val="16"/>
                <w:szCs w:val="24"/>
                <w:rtl/>
              </w:rPr>
              <w:t>نائب على مستوى الولاية</w:t>
            </w:r>
          </w:p>
        </w:tc>
        <w:tc>
          <w:tcPr>
            <w:tcW w:w="1801" w:type="dxa"/>
            <w:shd w:val="clear" w:color="auto" w:fill="auto"/>
            <w:vAlign w:val="bottom"/>
          </w:tcPr>
          <w:p w:rsidR="008D26BD" w:rsidRPr="008D26BD" w:rsidRDefault="008D26BD" w:rsidP="008D26BD">
            <w:pPr>
              <w:pStyle w:val="SingleTxt"/>
              <w:spacing w:before="40" w:after="80" w:line="240" w:lineRule="exact"/>
              <w:ind w:left="0" w:right="144"/>
              <w:rPr>
                <w:sz w:val="16"/>
                <w:szCs w:val="24"/>
              </w:rPr>
            </w:pPr>
            <w:r w:rsidRPr="008D26BD">
              <w:rPr>
                <w:rFonts w:hint="cs"/>
                <w:sz w:val="16"/>
                <w:szCs w:val="24"/>
                <w:rtl/>
              </w:rPr>
              <w:t>2002</w:t>
            </w:r>
          </w:p>
        </w:tc>
        <w:tc>
          <w:tcPr>
            <w:tcW w:w="2520" w:type="dxa"/>
            <w:shd w:val="clear" w:color="auto" w:fill="auto"/>
            <w:vAlign w:val="bottom"/>
          </w:tcPr>
          <w:p w:rsidR="008D26BD" w:rsidRPr="002D4FDC" w:rsidRDefault="00C56E7E" w:rsidP="00C56E7E">
            <w:pPr>
              <w:pStyle w:val="SingleTxt"/>
              <w:spacing w:before="40" w:after="80" w:line="240" w:lineRule="exact"/>
              <w:ind w:left="0" w:right="144" w:firstLine="485"/>
              <w:jc w:val="left"/>
              <w:rPr>
                <w:rFonts w:eastAsia="Batang" w:hint="cs"/>
                <w:sz w:val="16"/>
                <w:szCs w:val="24"/>
                <w:lang w:eastAsia="ko-KR" w:bidi="ar-EG"/>
              </w:rPr>
            </w:pPr>
            <w:r>
              <w:rPr>
                <w:rFonts w:eastAsia="Batang" w:hint="cs"/>
                <w:sz w:val="16"/>
                <w:szCs w:val="24"/>
                <w:rtl/>
                <w:lang w:eastAsia="ko-KR" w:bidi="ar-EG"/>
              </w:rPr>
              <w:t>12.5 في المائة</w:t>
            </w:r>
          </w:p>
        </w:tc>
      </w:tr>
      <w:tr w:rsidR="008D26BD" w:rsidRPr="008D26BD">
        <w:trPr>
          <w:cantSplit/>
          <w:jc w:val="center"/>
        </w:trPr>
        <w:tc>
          <w:tcPr>
            <w:tcW w:w="3015" w:type="dxa"/>
            <w:shd w:val="clear" w:color="auto" w:fill="auto"/>
            <w:vAlign w:val="bottom"/>
          </w:tcPr>
          <w:p w:rsidR="008D26BD" w:rsidRPr="008D26BD" w:rsidRDefault="00C56E7E" w:rsidP="00C56E7E">
            <w:pPr>
              <w:pStyle w:val="SingleTxt"/>
              <w:spacing w:before="40" w:after="80" w:line="240" w:lineRule="exact"/>
              <w:ind w:left="0" w:right="252"/>
              <w:rPr>
                <w:rFonts w:hint="cs"/>
                <w:sz w:val="16"/>
                <w:szCs w:val="24"/>
              </w:rPr>
            </w:pPr>
            <w:r>
              <w:rPr>
                <w:rFonts w:hint="cs"/>
                <w:sz w:val="16"/>
                <w:szCs w:val="24"/>
                <w:rtl/>
              </w:rPr>
              <w:t>نائب على مستوى الاتحاد</w:t>
            </w:r>
          </w:p>
        </w:tc>
        <w:tc>
          <w:tcPr>
            <w:tcW w:w="1801" w:type="dxa"/>
            <w:shd w:val="clear" w:color="auto" w:fill="auto"/>
            <w:vAlign w:val="bottom"/>
          </w:tcPr>
          <w:p w:rsidR="008D26BD" w:rsidRPr="008D26BD" w:rsidRDefault="008D26BD" w:rsidP="008D26BD">
            <w:pPr>
              <w:pStyle w:val="SingleTxt"/>
              <w:spacing w:before="40" w:after="80" w:line="240" w:lineRule="exact"/>
              <w:ind w:left="0" w:right="144"/>
              <w:rPr>
                <w:sz w:val="16"/>
                <w:szCs w:val="24"/>
              </w:rPr>
            </w:pPr>
            <w:r w:rsidRPr="008D26BD">
              <w:rPr>
                <w:rFonts w:hint="cs"/>
                <w:sz w:val="16"/>
                <w:szCs w:val="24"/>
                <w:rtl/>
              </w:rPr>
              <w:t>2002</w:t>
            </w:r>
          </w:p>
        </w:tc>
        <w:tc>
          <w:tcPr>
            <w:tcW w:w="2520" w:type="dxa"/>
            <w:shd w:val="clear" w:color="auto" w:fill="auto"/>
            <w:vAlign w:val="bottom"/>
          </w:tcPr>
          <w:p w:rsidR="008D26BD" w:rsidRPr="002D4FDC" w:rsidRDefault="00C56E7E" w:rsidP="00C56E7E">
            <w:pPr>
              <w:pStyle w:val="SingleTxt"/>
              <w:spacing w:before="40" w:after="80" w:line="240" w:lineRule="exact"/>
              <w:ind w:left="0" w:right="144" w:firstLine="485"/>
              <w:jc w:val="left"/>
              <w:rPr>
                <w:rFonts w:eastAsia="Batang" w:hint="cs"/>
                <w:sz w:val="16"/>
                <w:szCs w:val="24"/>
                <w:lang w:eastAsia="ko-KR" w:bidi="ar-EG"/>
              </w:rPr>
            </w:pPr>
            <w:r>
              <w:rPr>
                <w:rFonts w:eastAsia="Batang" w:hint="cs"/>
                <w:sz w:val="16"/>
                <w:szCs w:val="24"/>
                <w:rtl/>
                <w:lang w:eastAsia="ko-KR" w:bidi="ar-EG"/>
              </w:rPr>
              <w:t>8.2 في المائة</w:t>
            </w:r>
          </w:p>
        </w:tc>
      </w:tr>
      <w:tr w:rsidR="008D26BD" w:rsidRPr="008D26BD">
        <w:trPr>
          <w:cantSplit/>
          <w:jc w:val="center"/>
        </w:trPr>
        <w:tc>
          <w:tcPr>
            <w:tcW w:w="3015" w:type="dxa"/>
            <w:shd w:val="clear" w:color="auto" w:fill="auto"/>
            <w:vAlign w:val="bottom"/>
          </w:tcPr>
          <w:p w:rsidR="008D26BD" w:rsidRPr="008D26BD" w:rsidRDefault="00C56E7E" w:rsidP="008D26BD">
            <w:pPr>
              <w:pStyle w:val="SingleTxt"/>
              <w:spacing w:before="40" w:after="80" w:line="240" w:lineRule="exact"/>
              <w:ind w:left="0"/>
              <w:rPr>
                <w:rFonts w:hint="cs"/>
                <w:sz w:val="16"/>
                <w:szCs w:val="24"/>
              </w:rPr>
            </w:pPr>
            <w:r>
              <w:rPr>
                <w:rFonts w:hint="cs"/>
                <w:sz w:val="16"/>
                <w:szCs w:val="24"/>
                <w:rtl/>
              </w:rPr>
              <w:t>شيخ</w:t>
            </w:r>
          </w:p>
        </w:tc>
        <w:tc>
          <w:tcPr>
            <w:tcW w:w="1801" w:type="dxa"/>
            <w:shd w:val="clear" w:color="auto" w:fill="auto"/>
            <w:vAlign w:val="bottom"/>
          </w:tcPr>
          <w:p w:rsidR="008D26BD" w:rsidRPr="008D26BD" w:rsidRDefault="008D26BD" w:rsidP="008D26BD">
            <w:pPr>
              <w:pStyle w:val="SingleTxt"/>
              <w:spacing w:before="40" w:after="80" w:line="240" w:lineRule="exact"/>
              <w:ind w:left="0" w:right="144"/>
              <w:rPr>
                <w:sz w:val="16"/>
                <w:szCs w:val="24"/>
              </w:rPr>
            </w:pPr>
            <w:r w:rsidRPr="008D26BD">
              <w:rPr>
                <w:rFonts w:hint="cs"/>
                <w:sz w:val="16"/>
                <w:szCs w:val="24"/>
                <w:rtl/>
              </w:rPr>
              <w:t>2002</w:t>
            </w:r>
          </w:p>
        </w:tc>
        <w:tc>
          <w:tcPr>
            <w:tcW w:w="2520" w:type="dxa"/>
            <w:shd w:val="clear" w:color="auto" w:fill="auto"/>
            <w:vAlign w:val="bottom"/>
          </w:tcPr>
          <w:p w:rsidR="008D26BD" w:rsidRPr="002D4FDC" w:rsidRDefault="00C56E7E" w:rsidP="00C56E7E">
            <w:pPr>
              <w:pStyle w:val="SingleTxt"/>
              <w:spacing w:before="40" w:after="80" w:line="240" w:lineRule="exact"/>
              <w:ind w:left="0" w:right="144" w:firstLine="485"/>
              <w:jc w:val="left"/>
              <w:rPr>
                <w:rFonts w:eastAsia="Batang" w:hint="cs"/>
                <w:sz w:val="16"/>
                <w:szCs w:val="24"/>
                <w:lang w:eastAsia="ko-KR" w:bidi="ar-EG"/>
              </w:rPr>
            </w:pPr>
            <w:r>
              <w:rPr>
                <w:rFonts w:eastAsia="Batang" w:hint="cs"/>
                <w:sz w:val="16"/>
                <w:szCs w:val="24"/>
                <w:rtl/>
                <w:lang w:eastAsia="ko-KR" w:bidi="ar-EG"/>
              </w:rPr>
              <w:t>14.8 في المائة</w:t>
            </w:r>
          </w:p>
        </w:tc>
      </w:tr>
      <w:tr w:rsidR="008D26BD" w:rsidRPr="008D26BD">
        <w:trPr>
          <w:cantSplit/>
          <w:jc w:val="center"/>
        </w:trPr>
        <w:tc>
          <w:tcPr>
            <w:tcW w:w="3015" w:type="dxa"/>
            <w:tcBorders>
              <w:bottom w:val="single" w:sz="12" w:space="0" w:color="auto"/>
            </w:tcBorders>
            <w:shd w:val="clear" w:color="auto" w:fill="auto"/>
            <w:vAlign w:val="bottom"/>
          </w:tcPr>
          <w:p w:rsidR="008D26BD" w:rsidRPr="008D26BD" w:rsidRDefault="00C56E7E" w:rsidP="008D26BD">
            <w:pPr>
              <w:pStyle w:val="SingleTxt"/>
              <w:spacing w:before="40" w:after="80" w:line="240" w:lineRule="exact"/>
              <w:ind w:left="0"/>
              <w:rPr>
                <w:rFonts w:hint="cs"/>
                <w:sz w:val="16"/>
                <w:szCs w:val="24"/>
                <w:lang w:bidi="ar-EG"/>
              </w:rPr>
            </w:pPr>
            <w:r>
              <w:rPr>
                <w:rFonts w:hint="cs"/>
                <w:sz w:val="16"/>
                <w:szCs w:val="24"/>
                <w:rtl/>
                <w:lang w:bidi="ar-EG"/>
              </w:rPr>
              <w:t>حاكم ولاية</w:t>
            </w:r>
          </w:p>
        </w:tc>
        <w:tc>
          <w:tcPr>
            <w:tcW w:w="1801" w:type="dxa"/>
            <w:tcBorders>
              <w:bottom w:val="single" w:sz="12" w:space="0" w:color="auto"/>
            </w:tcBorders>
            <w:shd w:val="clear" w:color="auto" w:fill="auto"/>
            <w:vAlign w:val="bottom"/>
          </w:tcPr>
          <w:p w:rsidR="008D26BD" w:rsidRPr="008D26BD" w:rsidRDefault="008D26BD" w:rsidP="008D26BD">
            <w:pPr>
              <w:pStyle w:val="SingleTxt"/>
              <w:spacing w:before="40" w:after="80" w:line="240" w:lineRule="exact"/>
              <w:ind w:left="0" w:right="144"/>
              <w:rPr>
                <w:sz w:val="16"/>
                <w:szCs w:val="24"/>
              </w:rPr>
            </w:pPr>
            <w:r w:rsidRPr="008D26BD">
              <w:rPr>
                <w:rFonts w:hint="cs"/>
                <w:sz w:val="16"/>
                <w:szCs w:val="24"/>
                <w:rtl/>
              </w:rPr>
              <w:t>2002</w:t>
            </w:r>
          </w:p>
        </w:tc>
        <w:tc>
          <w:tcPr>
            <w:tcW w:w="2520" w:type="dxa"/>
            <w:tcBorders>
              <w:bottom w:val="single" w:sz="12" w:space="0" w:color="auto"/>
            </w:tcBorders>
            <w:shd w:val="clear" w:color="auto" w:fill="auto"/>
            <w:vAlign w:val="bottom"/>
          </w:tcPr>
          <w:p w:rsidR="008D26BD" w:rsidRPr="002D4FDC" w:rsidRDefault="00C56E7E" w:rsidP="00C56E7E">
            <w:pPr>
              <w:pStyle w:val="SingleTxt"/>
              <w:spacing w:before="40" w:after="80" w:line="240" w:lineRule="exact"/>
              <w:ind w:left="0" w:right="144" w:firstLine="485"/>
              <w:jc w:val="left"/>
              <w:rPr>
                <w:rFonts w:eastAsia="Batang" w:hint="cs"/>
                <w:sz w:val="16"/>
                <w:szCs w:val="24"/>
                <w:lang w:eastAsia="ko-KR" w:bidi="ar-EG"/>
              </w:rPr>
            </w:pPr>
            <w:r>
              <w:rPr>
                <w:rFonts w:eastAsia="Batang" w:hint="cs"/>
                <w:sz w:val="16"/>
                <w:szCs w:val="24"/>
                <w:rtl/>
                <w:lang w:eastAsia="ko-KR" w:bidi="ar-EG"/>
              </w:rPr>
              <w:t>7.4 في المائة</w:t>
            </w:r>
          </w:p>
        </w:tc>
      </w:tr>
    </w:tbl>
    <w:p w:rsidR="00B25673" w:rsidRPr="00B25673" w:rsidRDefault="00B25673" w:rsidP="00B25673">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rPr>
      </w:pPr>
    </w:p>
    <w:p w:rsidR="00B25673" w:rsidRDefault="00B25673" w:rsidP="00B25673">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86BF2">
        <w:rPr>
          <w:rFonts w:hint="cs"/>
          <w:i/>
          <w:iCs/>
          <w:rtl/>
        </w:rPr>
        <w:t>المصدر</w:t>
      </w:r>
      <w:r>
        <w:rPr>
          <w:rFonts w:hint="cs"/>
          <w:rtl/>
        </w:rPr>
        <w:t>:</w:t>
      </w:r>
      <w:r>
        <w:rPr>
          <w:rFonts w:hint="cs"/>
          <w:rtl/>
        </w:rPr>
        <w:tab/>
        <w:t>المحكمة الانتخابية العليا.</w:t>
      </w:r>
    </w:p>
    <w:p w:rsidR="007C18B4" w:rsidRPr="007C18B4" w:rsidRDefault="007C18B4" w:rsidP="007C18B4">
      <w:pPr>
        <w:pStyle w:val="SingleTxt"/>
        <w:spacing w:after="0" w:line="120" w:lineRule="exact"/>
        <w:rPr>
          <w:rFonts w:hint="cs"/>
          <w:sz w:val="10"/>
          <w:rtl/>
        </w:rPr>
      </w:pPr>
    </w:p>
    <w:p w:rsidR="008D26BD" w:rsidRDefault="00F364C2" w:rsidP="00B264BC">
      <w:pPr>
        <w:pStyle w:val="SingleTxt"/>
        <w:rPr>
          <w:rFonts w:hint="cs"/>
          <w:rtl/>
        </w:rPr>
      </w:pPr>
      <w:r>
        <w:rPr>
          <w:rFonts w:hint="cs"/>
          <w:rtl/>
        </w:rPr>
        <w:tab/>
      </w:r>
      <w:r w:rsidR="00B264BC">
        <w:rPr>
          <w:rFonts w:hint="cs"/>
          <w:rtl/>
        </w:rPr>
        <w:t>والحقيقة هي أن القانون رقم 9504</w:t>
      </w:r>
      <w:r>
        <w:rPr>
          <w:rFonts w:hint="cs"/>
          <w:rtl/>
        </w:rPr>
        <w:t xml:space="preserve"> المؤرخ 30 أيلول/سبتمبر 1997، الذي ينص على نظام للحصص، لا يكفي في حد ذاته لضمان مشاركة المرأة على نحو أكبر في الأحزاب السياسية، وبالتالي في المناصب السياسية. ولا بد أن يتضمن القانون أحكاما تفرض جزاءات وآليات فعالة أخرى بغية ضمان الامتثال للأحكام المعمول بها التي تفرض نسبة مئوية كحد أدنى ونسبة مئوية كحد أقصى وفقا لنوع الجنس للمرشحين للمناصب التي يجري شغلها على نحو متناسب عن طريق الانتخاب</w:t>
      </w:r>
      <w:r w:rsidR="00B264BC">
        <w:rPr>
          <w:rFonts w:hint="cs"/>
          <w:rtl/>
        </w:rPr>
        <w:t xml:space="preserve"> في</w:t>
      </w:r>
      <w:r>
        <w:rPr>
          <w:rFonts w:hint="cs"/>
          <w:rtl/>
        </w:rPr>
        <w:t xml:space="preserve"> مجلس النواب الاتحادي، والمجالس التشريعية للولايات، ومجلس النواب لمنطقة العاصمة الاتحادية، ومجالس المدن.</w:t>
      </w:r>
    </w:p>
    <w:p w:rsidR="00F364C2" w:rsidRDefault="00F364C2" w:rsidP="00A9226D">
      <w:pPr>
        <w:pStyle w:val="SingleTxt"/>
        <w:rPr>
          <w:rFonts w:hint="cs"/>
          <w:rtl/>
        </w:rPr>
      </w:pPr>
      <w:r>
        <w:rPr>
          <w:rFonts w:hint="cs"/>
          <w:rtl/>
        </w:rPr>
        <w:tab/>
        <w:t xml:space="preserve">وتجري مناقشة مشاريع قوانين في الكونغرس الوطني من شأنها </w:t>
      </w:r>
      <w:r w:rsidR="00A9226D">
        <w:rPr>
          <w:rFonts w:hint="cs"/>
          <w:rtl/>
        </w:rPr>
        <w:t>أن</w:t>
      </w:r>
      <w:r>
        <w:rPr>
          <w:rFonts w:hint="cs"/>
          <w:rtl/>
        </w:rPr>
        <w:t xml:space="preserve"> تعدل القانون الحالي بشأن الحصص عن طريق زيادة النسبة، وفرض جزاءات على الأطراف التي لا تمتثل للحد الأدنى للحصص، وتخصيص حصص في المجالات السياسية الأخرى. وتقوم الأمانة الخاصة لسياسات المرأة والمجموعة النسائية في الكونغرس الوطني بممارسة الضغط من أجل الموافقة على هذه التشريعات الجديدة.</w:t>
      </w:r>
    </w:p>
    <w:p w:rsidR="00F364C2" w:rsidRDefault="00F364C2" w:rsidP="00202C39">
      <w:pPr>
        <w:pStyle w:val="SingleTxt"/>
        <w:rPr>
          <w:rFonts w:hint="cs"/>
          <w:rtl/>
        </w:rPr>
      </w:pPr>
      <w:r>
        <w:rPr>
          <w:rFonts w:hint="cs"/>
          <w:rtl/>
        </w:rPr>
        <w:tab/>
        <w:t>وفي عام 2004، جرى الاضطلاع بمجموعة من الأعمال لبناء قدرات المرشحات بغية الارتقاء بوعي المرأة إزاء المشاركة السياسية.</w:t>
      </w:r>
    </w:p>
    <w:p w:rsidR="00F364C2" w:rsidRDefault="00F364C2" w:rsidP="00B264BC">
      <w:pPr>
        <w:pStyle w:val="SingleTxt"/>
        <w:rPr>
          <w:rFonts w:hint="cs"/>
          <w:rtl/>
        </w:rPr>
      </w:pPr>
      <w:r>
        <w:rPr>
          <w:rFonts w:hint="cs"/>
          <w:rtl/>
        </w:rPr>
        <w:tab/>
        <w:t xml:space="preserve">ويجدر إيلاء اهتمام خاص للمؤتمرات المرئية المعنونة </w:t>
      </w:r>
      <w:r>
        <w:rPr>
          <w:rFonts w:hint="eastAsia"/>
          <w:rtl/>
        </w:rPr>
        <w:t>”مكان المرأة في السياسة</w:t>
      </w:r>
      <w:r>
        <w:rPr>
          <w:rFonts w:hint="cs"/>
          <w:rtl/>
        </w:rPr>
        <w:t>“. وأثناء المؤتمر المرئي الأول الذي عقد في 15 أيلول/سبتمبر 2004، تركزت المناقشة على ترشيح المرأة في الانتخابات البلدية لعام 2004. وشاركت في المناقشة نساء من مجالس ولايات بيرنامبيوكو، وألاغواس، وساو باولو، وباهيا، وماتو غروسو، وغوياس، وبارانا، وسييرا، وبياوي، وريو غراندي دو سول، وأمابا. وأثناء المؤتمر المرئي الثاني، الذي عقد في 9</w:t>
      </w:r>
      <w:r>
        <w:rPr>
          <w:rFonts w:hint="eastAsia"/>
          <w:rtl/>
        </w:rPr>
        <w:t> </w:t>
      </w:r>
      <w:r>
        <w:rPr>
          <w:rFonts w:hint="cs"/>
          <w:rtl/>
        </w:rPr>
        <w:t>تشرين الثاني/نوفمبر 2004، جرى تقديم موجز لمشاركة المرأة في العملية الانتخابية.</w:t>
      </w:r>
    </w:p>
    <w:p w:rsidR="00A771EF" w:rsidRDefault="00A771EF" w:rsidP="00202C39">
      <w:pPr>
        <w:pStyle w:val="SingleTxt"/>
        <w:rPr>
          <w:rFonts w:hint="cs"/>
          <w:rtl/>
        </w:rPr>
      </w:pPr>
      <w:r>
        <w:rPr>
          <w:rFonts w:hint="cs"/>
          <w:rtl/>
        </w:rPr>
        <w:tab/>
        <w:t>وشكل المؤتمران المرئيان مبادرة لعام 2004 اتخذتها لجنة المرأة لمجلس</w:t>
      </w:r>
      <w:r w:rsidR="00B264BC">
        <w:rPr>
          <w:rFonts w:hint="cs"/>
          <w:rtl/>
        </w:rPr>
        <w:t>ي</w:t>
      </w:r>
      <w:r>
        <w:rPr>
          <w:rFonts w:hint="cs"/>
          <w:rtl/>
        </w:rPr>
        <w:t xml:space="preserve"> الشيوخ والنواب، والمجموعة النسائية في الكونغرس الوطني، وإنترليغيس (نظام تكنولوجيا المعلومات لزيادة المشاركة العامة في العملية التشريعية</w:t>
      </w:r>
      <w:r w:rsidR="00B264BC">
        <w:rPr>
          <w:rFonts w:hint="cs"/>
          <w:rtl/>
        </w:rPr>
        <w:t>)</w:t>
      </w:r>
      <w:r>
        <w:rPr>
          <w:rFonts w:hint="cs"/>
          <w:rtl/>
        </w:rPr>
        <w:t>، ومركز المرأة للدراسات والمساعدات. وشاركت الأمانة الخاصة لسياسات المرأة في المؤتمرين.</w:t>
      </w:r>
    </w:p>
    <w:p w:rsidR="00A771EF" w:rsidRPr="00063EF0" w:rsidRDefault="00A771EF" w:rsidP="00202C39">
      <w:pPr>
        <w:pStyle w:val="SingleTxt"/>
        <w:rPr>
          <w:rFonts w:hint="cs"/>
          <w:w w:val="100"/>
          <w:rtl/>
        </w:rPr>
      </w:pPr>
      <w:r>
        <w:rPr>
          <w:rFonts w:hint="cs"/>
          <w:rtl/>
        </w:rPr>
        <w:tab/>
      </w:r>
      <w:r w:rsidRPr="00063EF0">
        <w:rPr>
          <w:rFonts w:hint="cs"/>
          <w:w w:val="100"/>
          <w:rtl/>
        </w:rPr>
        <w:t xml:space="preserve">واضطلعت الأمانة الخاصة لسياسات المرأة بتصميم مجموعة أعمال لبناء القدرات للمرشحات، ودراسات عن المشاركة السياسية للمرأة. وفي عام 2004، كانت الأمانة شريكا في مشروع المرأة والديمقراطية، وهو عمل يجري القيام به عن طريق الشبكات بغية تشجيع ودعم ترشيح المرأة وولاياتها في المنطقة الشمالية الشرقية، وتنفيذ الاستراتيجيات اللازمة لإزالة القيود الثقافية المفروضة على وجود المرأة في مواقع السلطة في الجمهورية. وفي عام 2004 أيضا، شاركت </w:t>
      </w:r>
      <w:r w:rsidR="00635541" w:rsidRPr="00063EF0">
        <w:rPr>
          <w:rFonts w:hint="cs"/>
          <w:w w:val="100"/>
          <w:rtl/>
        </w:rPr>
        <w:t>الأمانة في دورة لبناء القدرات للمرشحات في ولاية سانتا كاترينا.</w:t>
      </w:r>
    </w:p>
    <w:p w:rsidR="00635541" w:rsidRDefault="00635541" w:rsidP="00202C39">
      <w:pPr>
        <w:pStyle w:val="SingleTxt"/>
        <w:rPr>
          <w:rFonts w:hint="cs"/>
          <w:rtl/>
        </w:rPr>
      </w:pPr>
      <w:r>
        <w:rPr>
          <w:rFonts w:hint="cs"/>
          <w:rtl/>
        </w:rPr>
        <w:tab/>
        <w:t>ومع ذلك، لا يزال صحيحا أن تواجد المرأة يتزايد في المستويات المهنية الدنيا والمتوسطة، إلا أنها ما زالت غائبة عن أعلى المستويات. ويجدر بنا أن نذكر مثالا واحدا، وهو أنه رغم أن النساء يشكلن نسبة 43.9 في المائة من موظفي الإدارة العامة الاتحادية، فإن نسبة النساء في مناصب اللجان تبلغ 47.8 في المائة في المستوى الأدنى (</w:t>
      </w:r>
      <w:r>
        <w:t>DAS-1</w:t>
      </w:r>
      <w:r>
        <w:rPr>
          <w:rFonts w:hint="cs"/>
          <w:rtl/>
        </w:rPr>
        <w:t>)</w:t>
      </w:r>
      <w:r w:rsidR="00B264BC">
        <w:rPr>
          <w:rFonts w:hint="cs"/>
          <w:rtl/>
        </w:rPr>
        <w:t>،</w:t>
      </w:r>
      <w:r>
        <w:rPr>
          <w:rFonts w:hint="cs"/>
          <w:rtl/>
        </w:rPr>
        <w:t xml:space="preserve"> و 16.6 في المائة في المستوى الأعلى (</w:t>
      </w:r>
      <w:r>
        <w:t>DAS-6</w:t>
      </w:r>
      <w:r>
        <w:rPr>
          <w:rFonts w:hint="cs"/>
          <w:rtl/>
        </w:rPr>
        <w:t>).</w:t>
      </w:r>
    </w:p>
    <w:p w:rsidR="00635541" w:rsidRDefault="00635541" w:rsidP="00202C39">
      <w:pPr>
        <w:pStyle w:val="SingleTxt"/>
        <w:rPr>
          <w:rFonts w:hint="cs"/>
          <w:rtl/>
        </w:rPr>
      </w:pPr>
      <w:r>
        <w:rPr>
          <w:rFonts w:hint="cs"/>
          <w:rtl/>
        </w:rPr>
        <w:tab/>
        <w:t>وفيما يتعلق بالسلطة القضائية، كانت هناك زيادة كبيرة منذ بداية التسعينات في عدد النساء ال</w:t>
      </w:r>
      <w:r w:rsidR="00B264BC">
        <w:rPr>
          <w:rFonts w:hint="cs"/>
          <w:rtl/>
        </w:rPr>
        <w:t>لاتي ينخرطن في مهن قضائية. وتنتج</w:t>
      </w:r>
      <w:r>
        <w:rPr>
          <w:rFonts w:hint="cs"/>
          <w:rtl/>
        </w:rPr>
        <w:t xml:space="preserve"> هذه الظاهرة عن الحافز المقدم في امتحانات القبول العامة، حيث يكون معياري القبول والتصنيف فيه</w:t>
      </w:r>
      <w:r w:rsidR="00B264BC">
        <w:rPr>
          <w:rFonts w:hint="cs"/>
          <w:rtl/>
        </w:rPr>
        <w:t>ا</w:t>
      </w:r>
      <w:r>
        <w:rPr>
          <w:rFonts w:hint="cs"/>
          <w:rtl/>
        </w:rPr>
        <w:t xml:space="preserve"> غير تمييزي</w:t>
      </w:r>
      <w:r w:rsidR="00B264BC">
        <w:rPr>
          <w:rFonts w:hint="cs"/>
          <w:rtl/>
        </w:rPr>
        <w:t>ين</w:t>
      </w:r>
      <w:r>
        <w:rPr>
          <w:rFonts w:hint="cs"/>
          <w:rtl/>
        </w:rPr>
        <w:t>.</w:t>
      </w:r>
    </w:p>
    <w:p w:rsidR="00635541" w:rsidRPr="00B264BC" w:rsidRDefault="00635541" w:rsidP="00202C39">
      <w:pPr>
        <w:pStyle w:val="SingleTxt"/>
        <w:rPr>
          <w:rFonts w:hint="cs"/>
          <w:w w:val="100"/>
          <w:rtl/>
        </w:rPr>
      </w:pPr>
      <w:r>
        <w:rPr>
          <w:rFonts w:hint="cs"/>
          <w:rtl/>
        </w:rPr>
        <w:tab/>
      </w:r>
      <w:r w:rsidRPr="00B264BC">
        <w:rPr>
          <w:rFonts w:hint="cs"/>
          <w:w w:val="100"/>
          <w:rtl/>
        </w:rPr>
        <w:t>وعلى مدى السنوات الخمس الماضية، بدأت المرأة تشغل مناصب في المستويات العليا للمحاكم، وهذه حقيقة لم يسبق لها مثيل في تاريخ البلد. ومع ذلك، لا يزال وجود المرأة مقيدا إلى حد كبير في مناصب المستوى الأعلى التي تشغل بالتعيين، كما يتضح من البيانات التالية.</w:t>
      </w:r>
    </w:p>
    <w:p w:rsidR="007C18B4" w:rsidRPr="007C18B4" w:rsidRDefault="007C18B4" w:rsidP="007C18B4">
      <w:pPr>
        <w:pStyle w:val="SingleTxt"/>
        <w:spacing w:after="0" w:line="120" w:lineRule="exact"/>
        <w:rPr>
          <w:rFonts w:hint="cs"/>
          <w:sz w:val="10"/>
          <w:rtl/>
        </w:rPr>
      </w:pPr>
    </w:p>
    <w:tbl>
      <w:tblPr>
        <w:bidiVisual/>
        <w:tblW w:w="7327" w:type="dxa"/>
        <w:jc w:val="center"/>
        <w:tblLayout w:type="fixed"/>
        <w:tblCellMar>
          <w:left w:w="70" w:type="dxa"/>
          <w:right w:w="70" w:type="dxa"/>
        </w:tblCellMar>
        <w:tblLook w:val="0000" w:firstRow="0" w:lastRow="0" w:firstColumn="0" w:lastColumn="0" w:noHBand="0" w:noVBand="0"/>
      </w:tblPr>
      <w:tblGrid>
        <w:gridCol w:w="3366"/>
        <w:gridCol w:w="1318"/>
        <w:gridCol w:w="1116"/>
        <w:gridCol w:w="1527"/>
      </w:tblGrid>
      <w:tr w:rsidR="005672BF" w:rsidRPr="00447144">
        <w:trPr>
          <w:cantSplit/>
          <w:tblHeader/>
          <w:jc w:val="center"/>
        </w:trPr>
        <w:tc>
          <w:tcPr>
            <w:tcW w:w="7327" w:type="dxa"/>
            <w:gridSpan w:val="4"/>
            <w:tcBorders>
              <w:top w:val="single" w:sz="4" w:space="0" w:color="auto"/>
              <w:bottom w:val="single" w:sz="4" w:space="0" w:color="auto"/>
            </w:tcBorders>
            <w:shd w:val="clear" w:color="auto" w:fill="auto"/>
            <w:vAlign w:val="bottom"/>
          </w:tcPr>
          <w:p w:rsidR="005672BF" w:rsidRPr="004C21FC" w:rsidRDefault="005672BF" w:rsidP="005672BF">
            <w:pPr>
              <w:spacing w:before="80" w:after="80" w:line="240" w:lineRule="exact"/>
              <w:ind w:right="144"/>
              <w:jc w:val="center"/>
              <w:rPr>
                <w:rFonts w:hint="cs"/>
                <w:b/>
                <w:bCs/>
                <w:sz w:val="16"/>
                <w:szCs w:val="24"/>
                <w:rtl/>
              </w:rPr>
            </w:pPr>
            <w:r w:rsidRPr="004C21FC">
              <w:rPr>
                <w:rFonts w:hint="cs"/>
                <w:b/>
                <w:bCs/>
                <w:sz w:val="18"/>
                <w:szCs w:val="26"/>
                <w:rtl/>
              </w:rPr>
              <w:t>المحكمة الاتحادية العليا - شباط/فبراير 2005</w:t>
            </w:r>
          </w:p>
        </w:tc>
      </w:tr>
      <w:tr w:rsidR="005672BF" w:rsidRPr="00447144">
        <w:trPr>
          <w:cantSplit/>
          <w:tblHeader/>
          <w:jc w:val="center"/>
        </w:trPr>
        <w:tc>
          <w:tcPr>
            <w:tcW w:w="7327" w:type="dxa"/>
            <w:gridSpan w:val="4"/>
            <w:tcBorders>
              <w:top w:val="single" w:sz="4" w:space="0" w:color="auto"/>
              <w:bottom w:val="single" w:sz="4" w:space="0" w:color="auto"/>
            </w:tcBorders>
            <w:shd w:val="clear" w:color="auto" w:fill="auto"/>
            <w:vAlign w:val="bottom"/>
          </w:tcPr>
          <w:p w:rsidR="005672BF" w:rsidRPr="00447144" w:rsidRDefault="005672BF" w:rsidP="005672BF">
            <w:pPr>
              <w:spacing w:after="80" w:line="240" w:lineRule="exact"/>
              <w:ind w:right="144"/>
              <w:jc w:val="center"/>
              <w:rPr>
                <w:rFonts w:hint="cs"/>
                <w:i/>
                <w:iCs/>
                <w:sz w:val="16"/>
                <w:szCs w:val="24"/>
                <w:rtl/>
              </w:rPr>
            </w:pPr>
            <w:r>
              <w:rPr>
                <w:rFonts w:hint="cs"/>
                <w:i/>
                <w:iCs/>
                <w:sz w:val="16"/>
                <w:szCs w:val="24"/>
                <w:rtl/>
              </w:rPr>
              <w:t>قاضي المحكمة</w:t>
            </w:r>
          </w:p>
        </w:tc>
      </w:tr>
      <w:tr w:rsidR="005672BF" w:rsidRPr="00447144">
        <w:trPr>
          <w:cantSplit/>
          <w:tblHeader/>
          <w:jc w:val="center"/>
        </w:trPr>
        <w:tc>
          <w:tcPr>
            <w:tcW w:w="3366" w:type="dxa"/>
            <w:tcBorders>
              <w:top w:val="single" w:sz="4" w:space="0" w:color="auto"/>
            </w:tcBorders>
            <w:shd w:val="clear" w:color="auto" w:fill="auto"/>
            <w:vAlign w:val="bottom"/>
          </w:tcPr>
          <w:p w:rsidR="005672BF" w:rsidRPr="00447144" w:rsidRDefault="005672BF" w:rsidP="00C83534">
            <w:pPr>
              <w:bidi w:val="0"/>
              <w:spacing w:after="80" w:line="240" w:lineRule="exact"/>
              <w:jc w:val="right"/>
              <w:rPr>
                <w:rFonts w:hint="cs"/>
                <w:i/>
                <w:iCs/>
                <w:sz w:val="16"/>
                <w:szCs w:val="24"/>
                <w:rtl/>
              </w:rPr>
            </w:pPr>
          </w:p>
        </w:tc>
        <w:tc>
          <w:tcPr>
            <w:tcW w:w="2434" w:type="dxa"/>
            <w:gridSpan w:val="2"/>
            <w:tcBorders>
              <w:top w:val="single" w:sz="4" w:space="0" w:color="auto"/>
              <w:bottom w:val="single" w:sz="4" w:space="0" w:color="auto"/>
            </w:tcBorders>
            <w:shd w:val="clear" w:color="auto" w:fill="auto"/>
            <w:vAlign w:val="bottom"/>
          </w:tcPr>
          <w:p w:rsidR="005672BF" w:rsidRPr="00447144" w:rsidRDefault="005672BF" w:rsidP="005672BF">
            <w:pPr>
              <w:spacing w:after="80" w:line="240" w:lineRule="exact"/>
              <w:ind w:right="144"/>
              <w:jc w:val="center"/>
              <w:rPr>
                <w:rFonts w:hint="cs"/>
                <w:i/>
                <w:iCs/>
                <w:sz w:val="16"/>
                <w:szCs w:val="24"/>
                <w:rtl/>
              </w:rPr>
            </w:pPr>
            <w:r>
              <w:rPr>
                <w:rFonts w:hint="cs"/>
                <w:i/>
                <w:iCs/>
                <w:sz w:val="16"/>
                <w:szCs w:val="24"/>
                <w:rtl/>
              </w:rPr>
              <w:t>مناصب مشغولة</w:t>
            </w:r>
          </w:p>
        </w:tc>
        <w:tc>
          <w:tcPr>
            <w:tcW w:w="1527" w:type="dxa"/>
            <w:tcBorders>
              <w:top w:val="single" w:sz="4" w:space="0" w:color="auto"/>
            </w:tcBorders>
            <w:shd w:val="clear" w:color="auto" w:fill="auto"/>
            <w:vAlign w:val="bottom"/>
          </w:tcPr>
          <w:p w:rsidR="005672BF" w:rsidRPr="00447144" w:rsidRDefault="005672BF" w:rsidP="00C83534">
            <w:pPr>
              <w:bidi w:val="0"/>
              <w:spacing w:after="80" w:line="240" w:lineRule="exact"/>
              <w:ind w:right="144"/>
              <w:jc w:val="right"/>
              <w:rPr>
                <w:i/>
                <w:iCs/>
                <w:sz w:val="16"/>
                <w:szCs w:val="24"/>
                <w:rtl/>
              </w:rPr>
            </w:pPr>
          </w:p>
        </w:tc>
      </w:tr>
      <w:tr w:rsidR="00447144" w:rsidRPr="00447144">
        <w:trPr>
          <w:cantSplit/>
          <w:tblHeader/>
          <w:jc w:val="center"/>
        </w:trPr>
        <w:tc>
          <w:tcPr>
            <w:tcW w:w="3366" w:type="dxa"/>
            <w:tcBorders>
              <w:bottom w:val="single" w:sz="12" w:space="0" w:color="auto"/>
            </w:tcBorders>
            <w:shd w:val="clear" w:color="auto" w:fill="auto"/>
            <w:vAlign w:val="bottom"/>
          </w:tcPr>
          <w:p w:rsidR="00447144" w:rsidRPr="00447144" w:rsidRDefault="005672BF" w:rsidP="005672BF">
            <w:pPr>
              <w:spacing w:after="80" w:line="240" w:lineRule="exact"/>
              <w:jc w:val="left"/>
              <w:rPr>
                <w:rFonts w:hint="cs"/>
                <w:i/>
                <w:iCs/>
                <w:sz w:val="16"/>
                <w:szCs w:val="24"/>
                <w:rtl/>
                <w:lang w:bidi="ar-EG"/>
              </w:rPr>
            </w:pPr>
            <w:r>
              <w:rPr>
                <w:rFonts w:hint="cs"/>
                <w:i/>
                <w:iCs/>
                <w:sz w:val="16"/>
                <w:szCs w:val="24"/>
                <w:rtl/>
                <w:lang w:bidi="ar-EG"/>
              </w:rPr>
              <w:t>وظائف ينص عليها الدستور الاتحادي</w:t>
            </w:r>
          </w:p>
        </w:tc>
        <w:tc>
          <w:tcPr>
            <w:tcW w:w="1318" w:type="dxa"/>
            <w:tcBorders>
              <w:bottom w:val="single" w:sz="12" w:space="0" w:color="auto"/>
            </w:tcBorders>
            <w:shd w:val="clear" w:color="auto" w:fill="auto"/>
            <w:vAlign w:val="bottom"/>
          </w:tcPr>
          <w:p w:rsidR="00447144" w:rsidRPr="00447144" w:rsidRDefault="005672BF" w:rsidP="005672BF">
            <w:pPr>
              <w:spacing w:after="80" w:line="240" w:lineRule="exact"/>
              <w:ind w:right="144"/>
              <w:jc w:val="center"/>
              <w:rPr>
                <w:rFonts w:hint="cs"/>
                <w:i/>
                <w:iCs/>
                <w:sz w:val="16"/>
                <w:szCs w:val="24"/>
                <w:rtl/>
                <w:lang w:bidi="ar-EG"/>
              </w:rPr>
            </w:pPr>
            <w:r>
              <w:rPr>
                <w:rFonts w:hint="cs"/>
                <w:i/>
                <w:iCs/>
                <w:sz w:val="16"/>
                <w:szCs w:val="24"/>
                <w:rtl/>
                <w:lang w:bidi="ar-EG"/>
              </w:rPr>
              <w:t>قضاة</w:t>
            </w:r>
          </w:p>
        </w:tc>
        <w:tc>
          <w:tcPr>
            <w:tcW w:w="1116" w:type="dxa"/>
            <w:tcBorders>
              <w:bottom w:val="single" w:sz="12" w:space="0" w:color="auto"/>
            </w:tcBorders>
            <w:shd w:val="clear" w:color="auto" w:fill="auto"/>
            <w:vAlign w:val="bottom"/>
          </w:tcPr>
          <w:p w:rsidR="00447144" w:rsidRPr="00447144" w:rsidRDefault="005672BF" w:rsidP="005672BF">
            <w:pPr>
              <w:spacing w:after="80" w:line="240" w:lineRule="exact"/>
              <w:ind w:right="144"/>
              <w:jc w:val="center"/>
              <w:rPr>
                <w:rFonts w:hint="cs"/>
                <w:i/>
                <w:iCs/>
                <w:sz w:val="16"/>
                <w:szCs w:val="24"/>
                <w:rtl/>
                <w:lang w:bidi="ar-EG"/>
              </w:rPr>
            </w:pPr>
            <w:r>
              <w:rPr>
                <w:rFonts w:hint="cs"/>
                <w:i/>
                <w:iCs/>
                <w:sz w:val="16"/>
                <w:szCs w:val="24"/>
                <w:rtl/>
                <w:lang w:bidi="ar-EG"/>
              </w:rPr>
              <w:t>قاضيات</w:t>
            </w:r>
          </w:p>
        </w:tc>
        <w:tc>
          <w:tcPr>
            <w:tcW w:w="1527" w:type="dxa"/>
            <w:tcBorders>
              <w:bottom w:val="single" w:sz="12" w:space="0" w:color="auto"/>
            </w:tcBorders>
            <w:shd w:val="clear" w:color="auto" w:fill="auto"/>
            <w:vAlign w:val="bottom"/>
          </w:tcPr>
          <w:p w:rsidR="00447144" w:rsidRPr="00447144" w:rsidRDefault="005672BF" w:rsidP="005672BF">
            <w:pPr>
              <w:spacing w:after="80" w:line="240" w:lineRule="exact"/>
              <w:ind w:right="144"/>
              <w:jc w:val="center"/>
              <w:rPr>
                <w:rFonts w:hint="cs"/>
                <w:i/>
                <w:iCs/>
                <w:sz w:val="16"/>
                <w:szCs w:val="24"/>
                <w:rtl/>
                <w:lang w:bidi="ar-EG"/>
              </w:rPr>
            </w:pPr>
            <w:r>
              <w:rPr>
                <w:rFonts w:hint="cs"/>
                <w:i/>
                <w:iCs/>
                <w:sz w:val="16"/>
                <w:szCs w:val="24"/>
                <w:rtl/>
                <w:lang w:bidi="ar-EG"/>
              </w:rPr>
              <w:t>مناصب شاغرة</w:t>
            </w:r>
          </w:p>
        </w:tc>
      </w:tr>
      <w:tr w:rsidR="00447144" w:rsidRPr="00447144">
        <w:trPr>
          <w:cantSplit/>
          <w:trHeight w:hRule="exact" w:val="115"/>
          <w:tblHeader/>
          <w:jc w:val="center"/>
        </w:trPr>
        <w:tc>
          <w:tcPr>
            <w:tcW w:w="3366" w:type="dxa"/>
            <w:tcBorders>
              <w:top w:val="single" w:sz="12" w:space="0" w:color="auto"/>
            </w:tcBorders>
            <w:shd w:val="clear" w:color="auto" w:fill="auto"/>
            <w:vAlign w:val="bottom"/>
          </w:tcPr>
          <w:p w:rsidR="00447144" w:rsidRPr="00447144" w:rsidRDefault="00447144" w:rsidP="00C83534">
            <w:pPr>
              <w:bidi w:val="0"/>
              <w:spacing w:before="40" w:after="80" w:line="240" w:lineRule="exact"/>
              <w:jc w:val="right"/>
              <w:rPr>
                <w:rFonts w:hint="cs"/>
                <w:sz w:val="16"/>
                <w:szCs w:val="24"/>
                <w:rtl/>
              </w:rPr>
            </w:pPr>
          </w:p>
        </w:tc>
        <w:tc>
          <w:tcPr>
            <w:tcW w:w="1318" w:type="dxa"/>
            <w:tcBorders>
              <w:top w:val="single" w:sz="12" w:space="0" w:color="auto"/>
            </w:tcBorders>
            <w:shd w:val="clear" w:color="auto" w:fill="auto"/>
            <w:vAlign w:val="bottom"/>
          </w:tcPr>
          <w:p w:rsidR="00447144" w:rsidRPr="00447144" w:rsidRDefault="00447144" w:rsidP="00C83534">
            <w:pPr>
              <w:bidi w:val="0"/>
              <w:spacing w:before="40" w:after="80" w:line="240" w:lineRule="exact"/>
              <w:ind w:right="144"/>
              <w:jc w:val="right"/>
              <w:rPr>
                <w:rFonts w:hint="cs"/>
                <w:sz w:val="16"/>
                <w:szCs w:val="24"/>
                <w:rtl/>
              </w:rPr>
            </w:pPr>
          </w:p>
        </w:tc>
        <w:tc>
          <w:tcPr>
            <w:tcW w:w="1116" w:type="dxa"/>
            <w:tcBorders>
              <w:top w:val="single" w:sz="12" w:space="0" w:color="auto"/>
            </w:tcBorders>
            <w:shd w:val="clear" w:color="auto" w:fill="auto"/>
            <w:vAlign w:val="bottom"/>
          </w:tcPr>
          <w:p w:rsidR="00447144" w:rsidRPr="00447144" w:rsidRDefault="00447144" w:rsidP="00C83534">
            <w:pPr>
              <w:bidi w:val="0"/>
              <w:spacing w:before="40" w:after="80" w:line="240" w:lineRule="exact"/>
              <w:ind w:right="144"/>
              <w:jc w:val="right"/>
              <w:rPr>
                <w:rFonts w:hint="cs"/>
                <w:sz w:val="16"/>
                <w:szCs w:val="24"/>
                <w:rtl/>
              </w:rPr>
            </w:pPr>
          </w:p>
        </w:tc>
        <w:tc>
          <w:tcPr>
            <w:tcW w:w="1527" w:type="dxa"/>
            <w:tcBorders>
              <w:top w:val="single" w:sz="12" w:space="0" w:color="auto"/>
            </w:tcBorders>
            <w:shd w:val="clear" w:color="auto" w:fill="auto"/>
            <w:vAlign w:val="bottom"/>
          </w:tcPr>
          <w:p w:rsidR="00447144" w:rsidRPr="00447144" w:rsidRDefault="00447144" w:rsidP="00C83534">
            <w:pPr>
              <w:bidi w:val="0"/>
              <w:spacing w:before="40" w:after="80" w:line="240" w:lineRule="exact"/>
              <w:ind w:right="144"/>
              <w:jc w:val="right"/>
              <w:rPr>
                <w:rFonts w:hint="cs"/>
                <w:sz w:val="16"/>
                <w:szCs w:val="24"/>
                <w:rtl/>
              </w:rPr>
            </w:pPr>
          </w:p>
        </w:tc>
      </w:tr>
      <w:tr w:rsidR="00EE3884" w:rsidRPr="00447144">
        <w:trPr>
          <w:cantSplit/>
          <w:jc w:val="center"/>
        </w:trPr>
        <w:tc>
          <w:tcPr>
            <w:tcW w:w="3366" w:type="dxa"/>
            <w:tcBorders>
              <w:bottom w:val="single" w:sz="12" w:space="0" w:color="auto"/>
            </w:tcBorders>
            <w:shd w:val="clear" w:color="auto" w:fill="auto"/>
            <w:vAlign w:val="bottom"/>
          </w:tcPr>
          <w:p w:rsidR="00EE3884" w:rsidRPr="00447144" w:rsidRDefault="00EE3884" w:rsidP="00B630CB">
            <w:pPr>
              <w:bidi w:val="0"/>
              <w:spacing w:before="40" w:after="80" w:line="240" w:lineRule="exact"/>
              <w:ind w:left="754"/>
              <w:jc w:val="center"/>
              <w:rPr>
                <w:sz w:val="16"/>
                <w:szCs w:val="24"/>
                <w:lang w:eastAsia="pt-BR"/>
              </w:rPr>
            </w:pPr>
            <w:r w:rsidRPr="00447144">
              <w:rPr>
                <w:rFonts w:hint="cs"/>
                <w:sz w:val="16"/>
                <w:szCs w:val="24"/>
                <w:rtl/>
              </w:rPr>
              <w:t>11</w:t>
            </w:r>
          </w:p>
        </w:tc>
        <w:tc>
          <w:tcPr>
            <w:tcW w:w="1318" w:type="dxa"/>
            <w:tcBorders>
              <w:bottom w:val="single" w:sz="12" w:space="0" w:color="auto"/>
            </w:tcBorders>
            <w:shd w:val="clear" w:color="auto" w:fill="auto"/>
            <w:vAlign w:val="bottom"/>
          </w:tcPr>
          <w:p w:rsidR="00EE3884" w:rsidRPr="00447144" w:rsidRDefault="00EE3884" w:rsidP="005672BF">
            <w:pPr>
              <w:spacing w:before="40" w:after="80" w:line="240" w:lineRule="exact"/>
              <w:ind w:right="144"/>
              <w:jc w:val="center"/>
              <w:rPr>
                <w:sz w:val="16"/>
                <w:szCs w:val="24"/>
                <w:lang w:eastAsia="pt-BR"/>
              </w:rPr>
            </w:pPr>
            <w:r w:rsidRPr="00447144">
              <w:rPr>
                <w:rFonts w:hint="cs"/>
                <w:sz w:val="16"/>
                <w:szCs w:val="24"/>
                <w:rtl/>
              </w:rPr>
              <w:t>10</w:t>
            </w:r>
          </w:p>
        </w:tc>
        <w:tc>
          <w:tcPr>
            <w:tcW w:w="1116" w:type="dxa"/>
            <w:tcBorders>
              <w:bottom w:val="single" w:sz="12" w:space="0" w:color="auto"/>
            </w:tcBorders>
            <w:shd w:val="clear" w:color="auto" w:fill="auto"/>
            <w:vAlign w:val="bottom"/>
          </w:tcPr>
          <w:p w:rsidR="00EE3884" w:rsidRPr="00447144" w:rsidRDefault="00EE3884" w:rsidP="005672BF">
            <w:pPr>
              <w:spacing w:before="40" w:after="80" w:line="240" w:lineRule="exact"/>
              <w:ind w:right="144"/>
              <w:jc w:val="center"/>
              <w:rPr>
                <w:sz w:val="16"/>
                <w:szCs w:val="24"/>
                <w:lang w:eastAsia="pt-BR"/>
              </w:rPr>
            </w:pPr>
            <w:r w:rsidRPr="00447144">
              <w:rPr>
                <w:rFonts w:hint="cs"/>
                <w:sz w:val="16"/>
                <w:szCs w:val="24"/>
                <w:rtl/>
              </w:rPr>
              <w:t>1</w:t>
            </w:r>
          </w:p>
        </w:tc>
        <w:tc>
          <w:tcPr>
            <w:tcW w:w="1527" w:type="dxa"/>
            <w:tcBorders>
              <w:bottom w:val="single" w:sz="12" w:space="0" w:color="auto"/>
            </w:tcBorders>
            <w:shd w:val="clear" w:color="auto" w:fill="auto"/>
            <w:vAlign w:val="bottom"/>
          </w:tcPr>
          <w:p w:rsidR="00EE3884" w:rsidRPr="00447144" w:rsidRDefault="00C83534" w:rsidP="005672BF">
            <w:pPr>
              <w:spacing w:before="40" w:after="80" w:line="240" w:lineRule="exact"/>
              <w:ind w:right="144"/>
              <w:jc w:val="center"/>
              <w:rPr>
                <w:sz w:val="16"/>
                <w:szCs w:val="24"/>
                <w:lang w:eastAsia="pt-BR"/>
              </w:rPr>
            </w:pPr>
            <w:r>
              <w:rPr>
                <w:rFonts w:hint="cs"/>
                <w:sz w:val="16"/>
                <w:szCs w:val="24"/>
                <w:rtl/>
              </w:rPr>
              <w:t>صفر</w:t>
            </w:r>
          </w:p>
        </w:tc>
      </w:tr>
    </w:tbl>
    <w:p w:rsidR="00F7650F" w:rsidRPr="00731686" w:rsidRDefault="00F7650F" w:rsidP="00731686">
      <w:pPr>
        <w:pStyle w:val="SingleTxt"/>
        <w:spacing w:after="0" w:line="120" w:lineRule="exact"/>
        <w:rPr>
          <w:rFonts w:hint="cs"/>
          <w:sz w:val="10"/>
          <w:rtl/>
        </w:rPr>
      </w:pPr>
    </w:p>
    <w:p w:rsidR="00731686" w:rsidRPr="00731686" w:rsidRDefault="00731686" w:rsidP="00731686">
      <w:pPr>
        <w:pStyle w:val="SingleTxt"/>
        <w:spacing w:after="0" w:line="120" w:lineRule="exact"/>
        <w:rPr>
          <w:rFonts w:hint="cs"/>
          <w:sz w:val="10"/>
          <w:rtl/>
        </w:rPr>
      </w:pPr>
    </w:p>
    <w:tbl>
      <w:tblPr>
        <w:bidiVisual/>
        <w:tblW w:w="0" w:type="auto"/>
        <w:jc w:val="center"/>
        <w:tblLayout w:type="fixed"/>
        <w:tblCellMar>
          <w:left w:w="70" w:type="dxa"/>
          <w:right w:w="70" w:type="dxa"/>
        </w:tblCellMar>
        <w:tblLook w:val="0000" w:firstRow="0" w:lastRow="0" w:firstColumn="0" w:lastColumn="0" w:noHBand="0" w:noVBand="0"/>
      </w:tblPr>
      <w:tblGrid>
        <w:gridCol w:w="3193"/>
        <w:gridCol w:w="1339"/>
        <w:gridCol w:w="1133"/>
        <w:gridCol w:w="1648"/>
      </w:tblGrid>
      <w:tr w:rsidR="00731686" w:rsidRPr="00447144">
        <w:trPr>
          <w:cantSplit/>
          <w:tblHeader/>
          <w:jc w:val="center"/>
        </w:trPr>
        <w:tc>
          <w:tcPr>
            <w:tcW w:w="7313" w:type="dxa"/>
            <w:gridSpan w:val="4"/>
            <w:tcBorders>
              <w:top w:val="single" w:sz="4" w:space="0" w:color="auto"/>
              <w:bottom w:val="single" w:sz="4" w:space="0" w:color="auto"/>
            </w:tcBorders>
            <w:shd w:val="clear" w:color="auto" w:fill="auto"/>
            <w:vAlign w:val="bottom"/>
          </w:tcPr>
          <w:p w:rsidR="00731686" w:rsidRPr="004C21FC" w:rsidRDefault="00731686" w:rsidP="00853224">
            <w:pPr>
              <w:spacing w:before="80" w:after="80" w:line="240" w:lineRule="exact"/>
              <w:ind w:right="144"/>
              <w:jc w:val="center"/>
              <w:rPr>
                <w:rFonts w:hint="cs"/>
                <w:b/>
                <w:bCs/>
                <w:sz w:val="16"/>
                <w:szCs w:val="24"/>
                <w:rtl/>
              </w:rPr>
            </w:pPr>
            <w:r w:rsidRPr="004C21FC">
              <w:rPr>
                <w:rFonts w:hint="cs"/>
                <w:b/>
                <w:bCs/>
                <w:sz w:val="18"/>
                <w:szCs w:val="26"/>
                <w:rtl/>
              </w:rPr>
              <w:t>محكمة العدل الكبرى - شباط/فبراير 2005</w:t>
            </w:r>
          </w:p>
        </w:tc>
      </w:tr>
      <w:tr w:rsidR="00731686" w:rsidRPr="00447144">
        <w:trPr>
          <w:cantSplit/>
          <w:tblHeader/>
          <w:jc w:val="center"/>
        </w:trPr>
        <w:tc>
          <w:tcPr>
            <w:tcW w:w="7313" w:type="dxa"/>
            <w:gridSpan w:val="4"/>
            <w:tcBorders>
              <w:top w:val="single" w:sz="4" w:space="0" w:color="auto"/>
              <w:bottom w:val="single" w:sz="4"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rPr>
            </w:pPr>
            <w:r>
              <w:rPr>
                <w:rFonts w:hint="cs"/>
                <w:i/>
                <w:iCs/>
                <w:sz w:val="16"/>
                <w:szCs w:val="24"/>
                <w:rtl/>
              </w:rPr>
              <w:t>قاضي المحكمة</w:t>
            </w:r>
          </w:p>
        </w:tc>
      </w:tr>
      <w:tr w:rsidR="00731686" w:rsidRPr="00447144">
        <w:trPr>
          <w:cantSplit/>
          <w:tblHeader/>
          <w:jc w:val="center"/>
        </w:trPr>
        <w:tc>
          <w:tcPr>
            <w:tcW w:w="3193" w:type="dxa"/>
            <w:tcBorders>
              <w:top w:val="single" w:sz="4" w:space="0" w:color="auto"/>
            </w:tcBorders>
            <w:shd w:val="clear" w:color="auto" w:fill="auto"/>
            <w:vAlign w:val="bottom"/>
          </w:tcPr>
          <w:p w:rsidR="00731686" w:rsidRPr="00447144" w:rsidRDefault="00731686" w:rsidP="00853224">
            <w:pPr>
              <w:bidi w:val="0"/>
              <w:spacing w:after="80" w:line="240" w:lineRule="exact"/>
              <w:jc w:val="right"/>
              <w:rPr>
                <w:rFonts w:hint="cs"/>
                <w:i/>
                <w:iCs/>
                <w:sz w:val="16"/>
                <w:szCs w:val="24"/>
                <w:rtl/>
              </w:rPr>
            </w:pPr>
          </w:p>
        </w:tc>
        <w:tc>
          <w:tcPr>
            <w:tcW w:w="2472" w:type="dxa"/>
            <w:gridSpan w:val="2"/>
            <w:tcBorders>
              <w:top w:val="single" w:sz="4" w:space="0" w:color="auto"/>
              <w:bottom w:val="single" w:sz="4"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rPr>
            </w:pPr>
            <w:r>
              <w:rPr>
                <w:rFonts w:hint="cs"/>
                <w:i/>
                <w:iCs/>
                <w:sz w:val="16"/>
                <w:szCs w:val="24"/>
                <w:rtl/>
              </w:rPr>
              <w:t>مناصب مشغولة</w:t>
            </w:r>
          </w:p>
        </w:tc>
        <w:tc>
          <w:tcPr>
            <w:tcW w:w="1648" w:type="dxa"/>
            <w:tcBorders>
              <w:top w:val="single" w:sz="4" w:space="0" w:color="auto"/>
            </w:tcBorders>
            <w:shd w:val="clear" w:color="auto" w:fill="auto"/>
            <w:vAlign w:val="bottom"/>
          </w:tcPr>
          <w:p w:rsidR="00731686" w:rsidRPr="00447144" w:rsidRDefault="00731686" w:rsidP="00853224">
            <w:pPr>
              <w:bidi w:val="0"/>
              <w:spacing w:after="80" w:line="240" w:lineRule="exact"/>
              <w:ind w:right="144"/>
              <w:jc w:val="right"/>
              <w:rPr>
                <w:i/>
                <w:iCs/>
                <w:sz w:val="16"/>
                <w:szCs w:val="24"/>
                <w:rtl/>
              </w:rPr>
            </w:pPr>
          </w:p>
        </w:tc>
      </w:tr>
      <w:tr w:rsidR="00731686" w:rsidRPr="00447144">
        <w:trPr>
          <w:cantSplit/>
          <w:tblHeader/>
          <w:jc w:val="center"/>
        </w:trPr>
        <w:tc>
          <w:tcPr>
            <w:tcW w:w="3193" w:type="dxa"/>
            <w:tcBorders>
              <w:bottom w:val="single" w:sz="12" w:space="0" w:color="auto"/>
            </w:tcBorders>
            <w:shd w:val="clear" w:color="auto" w:fill="auto"/>
            <w:vAlign w:val="bottom"/>
          </w:tcPr>
          <w:p w:rsidR="00731686" w:rsidRPr="00447144" w:rsidRDefault="00731686" w:rsidP="00853224">
            <w:pPr>
              <w:spacing w:after="80" w:line="240" w:lineRule="exact"/>
              <w:jc w:val="left"/>
              <w:rPr>
                <w:rFonts w:hint="cs"/>
                <w:i/>
                <w:iCs/>
                <w:sz w:val="16"/>
                <w:szCs w:val="24"/>
                <w:rtl/>
                <w:lang w:bidi="ar-EG"/>
              </w:rPr>
            </w:pPr>
            <w:r>
              <w:rPr>
                <w:rFonts w:hint="cs"/>
                <w:i/>
                <w:iCs/>
                <w:sz w:val="16"/>
                <w:szCs w:val="24"/>
                <w:rtl/>
                <w:lang w:bidi="ar-EG"/>
              </w:rPr>
              <w:t>وظائف ينص عليها الدستور الاتحادي</w:t>
            </w:r>
          </w:p>
        </w:tc>
        <w:tc>
          <w:tcPr>
            <w:tcW w:w="1339"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قضاة</w:t>
            </w:r>
          </w:p>
        </w:tc>
        <w:tc>
          <w:tcPr>
            <w:tcW w:w="1133"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قاضيات</w:t>
            </w:r>
          </w:p>
        </w:tc>
        <w:tc>
          <w:tcPr>
            <w:tcW w:w="1648"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مناصب شاغرة</w:t>
            </w:r>
          </w:p>
        </w:tc>
      </w:tr>
      <w:tr w:rsidR="00731686" w:rsidRPr="00447144">
        <w:trPr>
          <w:cantSplit/>
          <w:trHeight w:hRule="exact" w:val="115"/>
          <w:tblHeader/>
          <w:jc w:val="center"/>
        </w:trPr>
        <w:tc>
          <w:tcPr>
            <w:tcW w:w="3193" w:type="dxa"/>
            <w:tcBorders>
              <w:top w:val="single" w:sz="12" w:space="0" w:color="auto"/>
            </w:tcBorders>
            <w:shd w:val="clear" w:color="auto" w:fill="auto"/>
            <w:vAlign w:val="bottom"/>
          </w:tcPr>
          <w:p w:rsidR="00731686" w:rsidRPr="00447144" w:rsidRDefault="00731686" w:rsidP="00853224">
            <w:pPr>
              <w:bidi w:val="0"/>
              <w:spacing w:before="40" w:after="80" w:line="240" w:lineRule="exact"/>
              <w:jc w:val="right"/>
              <w:rPr>
                <w:rFonts w:hint="cs"/>
                <w:sz w:val="16"/>
                <w:szCs w:val="24"/>
                <w:rtl/>
              </w:rPr>
            </w:pPr>
          </w:p>
        </w:tc>
        <w:tc>
          <w:tcPr>
            <w:tcW w:w="1339"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sz w:val="16"/>
                <w:szCs w:val="24"/>
                <w:rtl/>
              </w:rPr>
            </w:pPr>
          </w:p>
        </w:tc>
        <w:tc>
          <w:tcPr>
            <w:tcW w:w="1133"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rFonts w:hint="cs"/>
                <w:sz w:val="16"/>
                <w:szCs w:val="24"/>
                <w:rtl/>
              </w:rPr>
            </w:pPr>
          </w:p>
        </w:tc>
        <w:tc>
          <w:tcPr>
            <w:tcW w:w="1648"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rFonts w:hint="cs"/>
                <w:sz w:val="16"/>
                <w:szCs w:val="24"/>
                <w:rtl/>
              </w:rPr>
            </w:pPr>
          </w:p>
        </w:tc>
      </w:tr>
      <w:tr w:rsidR="00731686" w:rsidRPr="00447144">
        <w:trPr>
          <w:cantSplit/>
          <w:jc w:val="center"/>
        </w:trPr>
        <w:tc>
          <w:tcPr>
            <w:tcW w:w="3193" w:type="dxa"/>
            <w:tcBorders>
              <w:bottom w:val="single" w:sz="12" w:space="0" w:color="auto"/>
            </w:tcBorders>
            <w:shd w:val="clear" w:color="auto" w:fill="auto"/>
            <w:vAlign w:val="bottom"/>
          </w:tcPr>
          <w:p w:rsidR="00731686" w:rsidRPr="00447144" w:rsidRDefault="00731686" w:rsidP="00731686">
            <w:pPr>
              <w:spacing w:before="40" w:after="80" w:line="240" w:lineRule="exact"/>
              <w:ind w:right="754"/>
              <w:jc w:val="center"/>
              <w:rPr>
                <w:rFonts w:hint="cs"/>
                <w:sz w:val="16"/>
                <w:szCs w:val="24"/>
                <w:lang w:eastAsia="pt-BR"/>
              </w:rPr>
            </w:pPr>
            <w:r>
              <w:rPr>
                <w:rFonts w:hint="cs"/>
                <w:sz w:val="16"/>
                <w:szCs w:val="24"/>
                <w:rtl/>
              </w:rPr>
              <w:t>33</w:t>
            </w:r>
          </w:p>
        </w:tc>
        <w:tc>
          <w:tcPr>
            <w:tcW w:w="1339" w:type="dxa"/>
            <w:tcBorders>
              <w:bottom w:val="single" w:sz="12" w:space="0" w:color="auto"/>
            </w:tcBorders>
            <w:shd w:val="clear" w:color="auto" w:fill="auto"/>
            <w:vAlign w:val="bottom"/>
          </w:tcPr>
          <w:p w:rsidR="00731686" w:rsidRPr="00447144" w:rsidRDefault="00731686" w:rsidP="00853224">
            <w:pPr>
              <w:spacing w:before="40" w:after="80" w:line="240" w:lineRule="exact"/>
              <w:ind w:right="144"/>
              <w:jc w:val="center"/>
              <w:rPr>
                <w:sz w:val="16"/>
                <w:szCs w:val="24"/>
                <w:lang w:eastAsia="pt-BR"/>
              </w:rPr>
            </w:pPr>
            <w:r>
              <w:rPr>
                <w:rFonts w:hint="cs"/>
                <w:sz w:val="16"/>
                <w:szCs w:val="24"/>
                <w:rtl/>
              </w:rPr>
              <w:t>29</w:t>
            </w:r>
          </w:p>
        </w:tc>
        <w:tc>
          <w:tcPr>
            <w:tcW w:w="1133" w:type="dxa"/>
            <w:tcBorders>
              <w:bottom w:val="single" w:sz="12" w:space="0" w:color="auto"/>
            </w:tcBorders>
            <w:shd w:val="clear" w:color="auto" w:fill="auto"/>
            <w:vAlign w:val="bottom"/>
          </w:tcPr>
          <w:p w:rsidR="00731686" w:rsidRPr="00447144" w:rsidRDefault="00731686" w:rsidP="00853224">
            <w:pPr>
              <w:spacing w:before="40" w:after="80" w:line="240" w:lineRule="exact"/>
              <w:ind w:right="144"/>
              <w:jc w:val="center"/>
              <w:rPr>
                <w:sz w:val="16"/>
                <w:szCs w:val="24"/>
                <w:lang w:eastAsia="pt-BR"/>
              </w:rPr>
            </w:pPr>
            <w:r>
              <w:rPr>
                <w:rFonts w:hint="cs"/>
                <w:sz w:val="16"/>
                <w:szCs w:val="24"/>
                <w:rtl/>
              </w:rPr>
              <w:t>4</w:t>
            </w:r>
          </w:p>
        </w:tc>
        <w:tc>
          <w:tcPr>
            <w:tcW w:w="1648" w:type="dxa"/>
            <w:tcBorders>
              <w:bottom w:val="single" w:sz="12" w:space="0" w:color="auto"/>
            </w:tcBorders>
            <w:shd w:val="clear" w:color="auto" w:fill="auto"/>
            <w:vAlign w:val="bottom"/>
          </w:tcPr>
          <w:p w:rsidR="00731686" w:rsidRPr="00447144" w:rsidRDefault="00731686" w:rsidP="00853224">
            <w:pPr>
              <w:spacing w:before="40" w:after="80" w:line="240" w:lineRule="exact"/>
              <w:ind w:right="144"/>
              <w:jc w:val="center"/>
              <w:rPr>
                <w:sz w:val="16"/>
                <w:szCs w:val="24"/>
                <w:lang w:eastAsia="pt-BR"/>
              </w:rPr>
            </w:pPr>
            <w:r>
              <w:rPr>
                <w:rFonts w:hint="cs"/>
                <w:sz w:val="16"/>
                <w:szCs w:val="24"/>
                <w:rtl/>
              </w:rPr>
              <w:t>صفر</w:t>
            </w:r>
          </w:p>
        </w:tc>
      </w:tr>
    </w:tbl>
    <w:p w:rsidR="00731686" w:rsidRPr="00731686" w:rsidRDefault="00731686" w:rsidP="00731686">
      <w:pPr>
        <w:pStyle w:val="SingleTxt"/>
        <w:spacing w:after="0" w:line="120" w:lineRule="exact"/>
        <w:rPr>
          <w:rFonts w:hint="cs"/>
          <w:sz w:val="10"/>
          <w:rtl/>
        </w:rPr>
      </w:pPr>
    </w:p>
    <w:p w:rsidR="00F7650F" w:rsidRPr="00731686" w:rsidRDefault="00F7650F" w:rsidP="00731686">
      <w:pPr>
        <w:pStyle w:val="SingleTxt"/>
        <w:spacing w:after="0" w:line="120" w:lineRule="exact"/>
        <w:rPr>
          <w:rFonts w:hint="cs"/>
          <w:sz w:val="10"/>
          <w:rtl/>
        </w:rPr>
      </w:pPr>
    </w:p>
    <w:tbl>
      <w:tblPr>
        <w:bidiVisual/>
        <w:tblW w:w="0" w:type="auto"/>
        <w:jc w:val="center"/>
        <w:tblLayout w:type="fixed"/>
        <w:tblCellMar>
          <w:left w:w="70" w:type="dxa"/>
          <w:right w:w="70" w:type="dxa"/>
        </w:tblCellMar>
        <w:tblLook w:val="0000" w:firstRow="0" w:lastRow="0" w:firstColumn="0" w:lastColumn="0" w:noHBand="0" w:noVBand="0"/>
      </w:tblPr>
      <w:tblGrid>
        <w:gridCol w:w="3193"/>
        <w:gridCol w:w="1339"/>
        <w:gridCol w:w="1133"/>
        <w:gridCol w:w="1648"/>
      </w:tblGrid>
      <w:tr w:rsidR="00731686" w:rsidRPr="00447144">
        <w:trPr>
          <w:cantSplit/>
          <w:tblHeader/>
          <w:jc w:val="center"/>
        </w:trPr>
        <w:tc>
          <w:tcPr>
            <w:tcW w:w="7313" w:type="dxa"/>
            <w:gridSpan w:val="4"/>
            <w:tcBorders>
              <w:top w:val="single" w:sz="4" w:space="0" w:color="auto"/>
              <w:bottom w:val="single" w:sz="4" w:space="0" w:color="auto"/>
            </w:tcBorders>
            <w:shd w:val="clear" w:color="auto" w:fill="auto"/>
            <w:vAlign w:val="bottom"/>
          </w:tcPr>
          <w:p w:rsidR="00731686" w:rsidRPr="00BC471B" w:rsidRDefault="00731686" w:rsidP="00853224">
            <w:pPr>
              <w:spacing w:before="80" w:after="80" w:line="240" w:lineRule="exact"/>
              <w:ind w:right="144"/>
              <w:jc w:val="center"/>
              <w:rPr>
                <w:rFonts w:hint="cs"/>
                <w:b/>
                <w:bCs/>
                <w:sz w:val="16"/>
                <w:szCs w:val="24"/>
                <w:rtl/>
              </w:rPr>
            </w:pPr>
            <w:r w:rsidRPr="00BC471B">
              <w:rPr>
                <w:rFonts w:hint="cs"/>
                <w:b/>
                <w:bCs/>
                <w:sz w:val="18"/>
                <w:szCs w:val="26"/>
                <w:rtl/>
              </w:rPr>
              <w:t>محكمة الع</w:t>
            </w:r>
            <w:r w:rsidR="00F7650F" w:rsidRPr="00BC471B">
              <w:rPr>
                <w:rFonts w:hint="cs"/>
                <w:b/>
                <w:bCs/>
                <w:sz w:val="18"/>
                <w:szCs w:val="26"/>
                <w:rtl/>
              </w:rPr>
              <w:t>م</w:t>
            </w:r>
            <w:r w:rsidRPr="00BC471B">
              <w:rPr>
                <w:rFonts w:hint="cs"/>
                <w:b/>
                <w:bCs/>
                <w:sz w:val="18"/>
                <w:szCs w:val="26"/>
                <w:rtl/>
              </w:rPr>
              <w:t>ل الكبرى - شباط/فبراير 2005</w:t>
            </w:r>
          </w:p>
        </w:tc>
      </w:tr>
      <w:tr w:rsidR="00731686" w:rsidRPr="00447144">
        <w:trPr>
          <w:cantSplit/>
          <w:tblHeader/>
          <w:jc w:val="center"/>
        </w:trPr>
        <w:tc>
          <w:tcPr>
            <w:tcW w:w="7313" w:type="dxa"/>
            <w:gridSpan w:val="4"/>
            <w:tcBorders>
              <w:top w:val="single" w:sz="4" w:space="0" w:color="auto"/>
              <w:bottom w:val="single" w:sz="4"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rPr>
            </w:pPr>
            <w:r>
              <w:rPr>
                <w:rFonts w:hint="cs"/>
                <w:i/>
                <w:iCs/>
                <w:sz w:val="16"/>
                <w:szCs w:val="24"/>
                <w:rtl/>
              </w:rPr>
              <w:t>قاضي المحكمة</w:t>
            </w:r>
          </w:p>
        </w:tc>
      </w:tr>
      <w:tr w:rsidR="00731686" w:rsidRPr="00447144">
        <w:trPr>
          <w:cantSplit/>
          <w:tblHeader/>
          <w:jc w:val="center"/>
        </w:trPr>
        <w:tc>
          <w:tcPr>
            <w:tcW w:w="3193" w:type="dxa"/>
            <w:tcBorders>
              <w:top w:val="single" w:sz="4" w:space="0" w:color="auto"/>
            </w:tcBorders>
            <w:shd w:val="clear" w:color="auto" w:fill="auto"/>
            <w:vAlign w:val="bottom"/>
          </w:tcPr>
          <w:p w:rsidR="00731686" w:rsidRPr="00447144" w:rsidRDefault="00731686" w:rsidP="00853224">
            <w:pPr>
              <w:bidi w:val="0"/>
              <w:spacing w:after="80" w:line="240" w:lineRule="exact"/>
              <w:jc w:val="right"/>
              <w:rPr>
                <w:rFonts w:hint="cs"/>
                <w:i/>
                <w:iCs/>
                <w:sz w:val="16"/>
                <w:szCs w:val="24"/>
                <w:rtl/>
              </w:rPr>
            </w:pPr>
          </w:p>
        </w:tc>
        <w:tc>
          <w:tcPr>
            <w:tcW w:w="2472" w:type="dxa"/>
            <w:gridSpan w:val="2"/>
            <w:tcBorders>
              <w:top w:val="single" w:sz="4" w:space="0" w:color="auto"/>
              <w:bottom w:val="single" w:sz="4"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rPr>
            </w:pPr>
            <w:r>
              <w:rPr>
                <w:rFonts w:hint="cs"/>
                <w:i/>
                <w:iCs/>
                <w:sz w:val="16"/>
                <w:szCs w:val="24"/>
                <w:rtl/>
              </w:rPr>
              <w:t>مناصب مشغولة</w:t>
            </w:r>
          </w:p>
        </w:tc>
        <w:tc>
          <w:tcPr>
            <w:tcW w:w="1648" w:type="dxa"/>
            <w:tcBorders>
              <w:top w:val="single" w:sz="4" w:space="0" w:color="auto"/>
            </w:tcBorders>
            <w:shd w:val="clear" w:color="auto" w:fill="auto"/>
            <w:vAlign w:val="bottom"/>
          </w:tcPr>
          <w:p w:rsidR="00731686" w:rsidRPr="00447144" w:rsidRDefault="00731686" w:rsidP="00853224">
            <w:pPr>
              <w:bidi w:val="0"/>
              <w:spacing w:after="80" w:line="240" w:lineRule="exact"/>
              <w:ind w:right="144"/>
              <w:jc w:val="right"/>
              <w:rPr>
                <w:i/>
                <w:iCs/>
                <w:sz w:val="16"/>
                <w:szCs w:val="24"/>
                <w:rtl/>
              </w:rPr>
            </w:pPr>
          </w:p>
        </w:tc>
      </w:tr>
      <w:tr w:rsidR="00731686" w:rsidRPr="00447144">
        <w:trPr>
          <w:cantSplit/>
          <w:tblHeader/>
          <w:jc w:val="center"/>
        </w:trPr>
        <w:tc>
          <w:tcPr>
            <w:tcW w:w="3193" w:type="dxa"/>
            <w:tcBorders>
              <w:bottom w:val="single" w:sz="12" w:space="0" w:color="auto"/>
            </w:tcBorders>
            <w:shd w:val="clear" w:color="auto" w:fill="auto"/>
            <w:vAlign w:val="bottom"/>
          </w:tcPr>
          <w:p w:rsidR="00731686" w:rsidRPr="00447144" w:rsidRDefault="00731686" w:rsidP="00853224">
            <w:pPr>
              <w:spacing w:after="80" w:line="240" w:lineRule="exact"/>
              <w:jc w:val="left"/>
              <w:rPr>
                <w:rFonts w:hint="cs"/>
                <w:i/>
                <w:iCs/>
                <w:sz w:val="16"/>
                <w:szCs w:val="24"/>
                <w:rtl/>
                <w:lang w:bidi="ar-EG"/>
              </w:rPr>
            </w:pPr>
            <w:r>
              <w:rPr>
                <w:rFonts w:hint="cs"/>
                <w:i/>
                <w:iCs/>
                <w:sz w:val="16"/>
                <w:szCs w:val="24"/>
                <w:rtl/>
                <w:lang w:bidi="ar-EG"/>
              </w:rPr>
              <w:t>وظائف ينص عليها الدستور الاتحادي</w:t>
            </w:r>
          </w:p>
        </w:tc>
        <w:tc>
          <w:tcPr>
            <w:tcW w:w="1339"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قضاة</w:t>
            </w:r>
          </w:p>
        </w:tc>
        <w:tc>
          <w:tcPr>
            <w:tcW w:w="1133"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قاضيات</w:t>
            </w:r>
          </w:p>
        </w:tc>
        <w:tc>
          <w:tcPr>
            <w:tcW w:w="1648" w:type="dxa"/>
            <w:tcBorders>
              <w:bottom w:val="single" w:sz="12" w:space="0" w:color="auto"/>
            </w:tcBorders>
            <w:shd w:val="clear" w:color="auto" w:fill="auto"/>
            <w:vAlign w:val="bottom"/>
          </w:tcPr>
          <w:p w:rsidR="00731686" w:rsidRPr="00447144" w:rsidRDefault="00731686" w:rsidP="00853224">
            <w:pPr>
              <w:spacing w:after="80" w:line="240" w:lineRule="exact"/>
              <w:ind w:right="144"/>
              <w:jc w:val="center"/>
              <w:rPr>
                <w:rFonts w:hint="cs"/>
                <w:i/>
                <w:iCs/>
                <w:sz w:val="16"/>
                <w:szCs w:val="24"/>
                <w:rtl/>
                <w:lang w:bidi="ar-EG"/>
              </w:rPr>
            </w:pPr>
            <w:r>
              <w:rPr>
                <w:rFonts w:hint="cs"/>
                <w:i/>
                <w:iCs/>
                <w:sz w:val="16"/>
                <w:szCs w:val="24"/>
                <w:rtl/>
                <w:lang w:bidi="ar-EG"/>
              </w:rPr>
              <w:t>مناصب شاغرة</w:t>
            </w:r>
          </w:p>
        </w:tc>
      </w:tr>
      <w:tr w:rsidR="00731686" w:rsidRPr="00447144">
        <w:trPr>
          <w:cantSplit/>
          <w:trHeight w:hRule="exact" w:val="115"/>
          <w:tblHeader/>
          <w:jc w:val="center"/>
        </w:trPr>
        <w:tc>
          <w:tcPr>
            <w:tcW w:w="3193" w:type="dxa"/>
            <w:tcBorders>
              <w:top w:val="single" w:sz="12" w:space="0" w:color="auto"/>
            </w:tcBorders>
            <w:shd w:val="clear" w:color="auto" w:fill="auto"/>
            <w:vAlign w:val="bottom"/>
          </w:tcPr>
          <w:p w:rsidR="00731686" w:rsidRPr="00447144" w:rsidRDefault="00731686" w:rsidP="00853224">
            <w:pPr>
              <w:bidi w:val="0"/>
              <w:spacing w:before="40" w:after="80" w:line="240" w:lineRule="exact"/>
              <w:jc w:val="right"/>
              <w:rPr>
                <w:rFonts w:hint="cs"/>
                <w:sz w:val="16"/>
                <w:szCs w:val="24"/>
                <w:rtl/>
              </w:rPr>
            </w:pPr>
          </w:p>
        </w:tc>
        <w:tc>
          <w:tcPr>
            <w:tcW w:w="1339"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sz w:val="16"/>
                <w:szCs w:val="24"/>
                <w:rtl/>
              </w:rPr>
            </w:pPr>
          </w:p>
        </w:tc>
        <w:tc>
          <w:tcPr>
            <w:tcW w:w="1133"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rFonts w:hint="cs"/>
                <w:sz w:val="16"/>
                <w:szCs w:val="24"/>
                <w:rtl/>
              </w:rPr>
            </w:pPr>
          </w:p>
        </w:tc>
        <w:tc>
          <w:tcPr>
            <w:tcW w:w="1648" w:type="dxa"/>
            <w:tcBorders>
              <w:top w:val="single" w:sz="12" w:space="0" w:color="auto"/>
            </w:tcBorders>
            <w:shd w:val="clear" w:color="auto" w:fill="auto"/>
            <w:vAlign w:val="bottom"/>
          </w:tcPr>
          <w:p w:rsidR="00731686" w:rsidRPr="00447144" w:rsidRDefault="00731686" w:rsidP="00853224">
            <w:pPr>
              <w:bidi w:val="0"/>
              <w:spacing w:before="40" w:after="80" w:line="240" w:lineRule="exact"/>
              <w:ind w:right="144"/>
              <w:jc w:val="right"/>
              <w:rPr>
                <w:rFonts w:hint="cs"/>
                <w:sz w:val="16"/>
                <w:szCs w:val="24"/>
                <w:rtl/>
              </w:rPr>
            </w:pPr>
          </w:p>
        </w:tc>
      </w:tr>
      <w:tr w:rsidR="00731686" w:rsidRPr="00447144">
        <w:trPr>
          <w:cantSplit/>
          <w:jc w:val="center"/>
        </w:trPr>
        <w:tc>
          <w:tcPr>
            <w:tcW w:w="3193" w:type="dxa"/>
            <w:tcBorders>
              <w:bottom w:val="single" w:sz="12" w:space="0" w:color="auto"/>
            </w:tcBorders>
            <w:shd w:val="clear" w:color="auto" w:fill="auto"/>
            <w:vAlign w:val="bottom"/>
          </w:tcPr>
          <w:p w:rsidR="00731686" w:rsidRPr="00447144" w:rsidRDefault="00F7650F" w:rsidP="00853224">
            <w:pPr>
              <w:spacing w:before="40" w:after="80" w:line="240" w:lineRule="exact"/>
              <w:ind w:right="754"/>
              <w:jc w:val="center"/>
              <w:rPr>
                <w:rFonts w:hint="cs"/>
                <w:sz w:val="16"/>
                <w:szCs w:val="24"/>
                <w:lang w:eastAsia="pt-BR"/>
              </w:rPr>
            </w:pPr>
            <w:r>
              <w:rPr>
                <w:rFonts w:hint="cs"/>
                <w:sz w:val="16"/>
                <w:szCs w:val="24"/>
                <w:rtl/>
              </w:rPr>
              <w:t>17</w:t>
            </w:r>
          </w:p>
        </w:tc>
        <w:tc>
          <w:tcPr>
            <w:tcW w:w="1339" w:type="dxa"/>
            <w:tcBorders>
              <w:bottom w:val="single" w:sz="12" w:space="0" w:color="auto"/>
            </w:tcBorders>
            <w:shd w:val="clear" w:color="auto" w:fill="auto"/>
            <w:vAlign w:val="bottom"/>
          </w:tcPr>
          <w:p w:rsidR="00731686" w:rsidRPr="00447144" w:rsidRDefault="00F7650F" w:rsidP="00853224">
            <w:pPr>
              <w:spacing w:before="40" w:after="80" w:line="240" w:lineRule="exact"/>
              <w:ind w:right="144"/>
              <w:jc w:val="center"/>
              <w:rPr>
                <w:sz w:val="16"/>
                <w:szCs w:val="24"/>
                <w:lang w:eastAsia="pt-BR"/>
              </w:rPr>
            </w:pPr>
            <w:r>
              <w:rPr>
                <w:rFonts w:hint="cs"/>
                <w:sz w:val="16"/>
                <w:szCs w:val="24"/>
                <w:rtl/>
              </w:rPr>
              <w:t>16</w:t>
            </w:r>
          </w:p>
        </w:tc>
        <w:tc>
          <w:tcPr>
            <w:tcW w:w="1133" w:type="dxa"/>
            <w:tcBorders>
              <w:bottom w:val="single" w:sz="12" w:space="0" w:color="auto"/>
            </w:tcBorders>
            <w:shd w:val="clear" w:color="auto" w:fill="auto"/>
            <w:vAlign w:val="bottom"/>
          </w:tcPr>
          <w:p w:rsidR="00731686" w:rsidRPr="00447144" w:rsidRDefault="00F7650F" w:rsidP="00853224">
            <w:pPr>
              <w:spacing w:before="40" w:after="80" w:line="240" w:lineRule="exact"/>
              <w:ind w:right="144"/>
              <w:jc w:val="center"/>
              <w:rPr>
                <w:sz w:val="16"/>
                <w:szCs w:val="24"/>
                <w:lang w:eastAsia="pt-BR"/>
              </w:rPr>
            </w:pPr>
            <w:r>
              <w:rPr>
                <w:rFonts w:hint="cs"/>
                <w:sz w:val="16"/>
                <w:szCs w:val="24"/>
                <w:rtl/>
              </w:rPr>
              <w:t>1</w:t>
            </w:r>
          </w:p>
        </w:tc>
        <w:tc>
          <w:tcPr>
            <w:tcW w:w="1648" w:type="dxa"/>
            <w:tcBorders>
              <w:bottom w:val="single" w:sz="12" w:space="0" w:color="auto"/>
            </w:tcBorders>
            <w:shd w:val="clear" w:color="auto" w:fill="auto"/>
            <w:vAlign w:val="bottom"/>
          </w:tcPr>
          <w:p w:rsidR="00731686" w:rsidRPr="00447144" w:rsidRDefault="00731686" w:rsidP="00853224">
            <w:pPr>
              <w:spacing w:before="40" w:after="80" w:line="240" w:lineRule="exact"/>
              <w:ind w:right="144"/>
              <w:jc w:val="center"/>
              <w:rPr>
                <w:sz w:val="16"/>
                <w:szCs w:val="24"/>
                <w:lang w:eastAsia="pt-BR"/>
              </w:rPr>
            </w:pPr>
            <w:r>
              <w:rPr>
                <w:rFonts w:hint="cs"/>
                <w:sz w:val="16"/>
                <w:szCs w:val="24"/>
                <w:rtl/>
              </w:rPr>
              <w:t>صفر</w:t>
            </w:r>
          </w:p>
        </w:tc>
      </w:tr>
    </w:tbl>
    <w:p w:rsidR="002225B6" w:rsidRPr="00B86BF2" w:rsidRDefault="002225B6" w:rsidP="00B86BF2">
      <w:pPr>
        <w:pStyle w:val="SingleTxt"/>
        <w:spacing w:after="0" w:line="60" w:lineRule="exact"/>
        <w:rPr>
          <w:rFonts w:hint="cs"/>
          <w:i/>
          <w:iCs/>
          <w:sz w:val="2"/>
          <w:szCs w:val="12"/>
          <w:rtl/>
        </w:rPr>
      </w:pPr>
    </w:p>
    <w:tbl>
      <w:tblPr>
        <w:bidiVisual/>
        <w:tblW w:w="7339" w:type="dxa"/>
        <w:jc w:val="center"/>
        <w:tblInd w:w="-139" w:type="dxa"/>
        <w:tblLayout w:type="fixed"/>
        <w:tblCellMar>
          <w:left w:w="70" w:type="dxa"/>
          <w:right w:w="70" w:type="dxa"/>
        </w:tblCellMar>
        <w:tblLook w:val="0000" w:firstRow="0" w:lastRow="0" w:firstColumn="0" w:lastColumn="0" w:noHBand="0" w:noVBand="0"/>
      </w:tblPr>
      <w:tblGrid>
        <w:gridCol w:w="1179"/>
        <w:gridCol w:w="1545"/>
        <w:gridCol w:w="927"/>
        <w:gridCol w:w="721"/>
        <w:gridCol w:w="206"/>
        <w:gridCol w:w="721"/>
        <w:gridCol w:w="927"/>
        <w:gridCol w:w="1113"/>
      </w:tblGrid>
      <w:tr w:rsidR="006D76E4" w:rsidRPr="00447144">
        <w:trPr>
          <w:cantSplit/>
          <w:tblHeader/>
          <w:jc w:val="center"/>
        </w:trPr>
        <w:tc>
          <w:tcPr>
            <w:tcW w:w="7339" w:type="dxa"/>
            <w:gridSpan w:val="8"/>
            <w:tcBorders>
              <w:top w:val="single" w:sz="4" w:space="0" w:color="auto"/>
              <w:bottom w:val="single" w:sz="4" w:space="0" w:color="auto"/>
            </w:tcBorders>
            <w:shd w:val="clear" w:color="auto" w:fill="auto"/>
            <w:vAlign w:val="bottom"/>
          </w:tcPr>
          <w:p w:rsidR="006D76E4" w:rsidRPr="00BC471B" w:rsidRDefault="006D76E4" w:rsidP="006D76E4">
            <w:pPr>
              <w:spacing w:before="80" w:after="80" w:line="240" w:lineRule="exact"/>
              <w:ind w:right="144"/>
              <w:jc w:val="center"/>
              <w:rPr>
                <w:rFonts w:hint="cs"/>
                <w:b/>
                <w:bCs/>
                <w:sz w:val="16"/>
                <w:szCs w:val="24"/>
                <w:rtl/>
              </w:rPr>
            </w:pPr>
            <w:r w:rsidRPr="00BC471B">
              <w:rPr>
                <w:rFonts w:hint="cs"/>
                <w:b/>
                <w:bCs/>
                <w:sz w:val="18"/>
                <w:szCs w:val="26"/>
                <w:rtl/>
              </w:rPr>
              <w:t>المحكمة الانتخابية الكبرى - شباط/فبراير 2005</w:t>
            </w:r>
          </w:p>
        </w:tc>
      </w:tr>
      <w:tr w:rsidR="006D76E4" w:rsidRPr="00447144">
        <w:trPr>
          <w:cantSplit/>
          <w:tblHeader/>
          <w:jc w:val="center"/>
        </w:trPr>
        <w:tc>
          <w:tcPr>
            <w:tcW w:w="4372" w:type="dxa"/>
            <w:gridSpan w:val="4"/>
            <w:tcBorders>
              <w:top w:val="single" w:sz="4" w:space="0" w:color="auto"/>
              <w:bottom w:val="single" w:sz="4" w:space="0" w:color="auto"/>
            </w:tcBorders>
            <w:shd w:val="clear" w:color="auto" w:fill="auto"/>
            <w:vAlign w:val="bottom"/>
          </w:tcPr>
          <w:p w:rsidR="006D76E4" w:rsidRPr="00447144" w:rsidRDefault="006D76E4" w:rsidP="006D76E4">
            <w:pPr>
              <w:spacing w:after="80" w:line="240" w:lineRule="exact"/>
              <w:ind w:right="144"/>
              <w:jc w:val="center"/>
              <w:rPr>
                <w:rFonts w:hint="cs"/>
                <w:i/>
                <w:iCs/>
                <w:sz w:val="16"/>
                <w:szCs w:val="24"/>
                <w:rtl/>
              </w:rPr>
            </w:pPr>
            <w:r>
              <w:rPr>
                <w:rFonts w:hint="cs"/>
                <w:i/>
                <w:iCs/>
                <w:sz w:val="16"/>
                <w:szCs w:val="24"/>
                <w:rtl/>
              </w:rPr>
              <w:t>وظائف شاغرة منصوص عليها في الدستور الاتحادي</w:t>
            </w:r>
          </w:p>
        </w:tc>
        <w:tc>
          <w:tcPr>
            <w:tcW w:w="206" w:type="dxa"/>
            <w:tcBorders>
              <w:top w:val="single" w:sz="4" w:space="0" w:color="auto"/>
            </w:tcBorders>
            <w:shd w:val="clear" w:color="auto" w:fill="auto"/>
            <w:vAlign w:val="bottom"/>
          </w:tcPr>
          <w:p w:rsidR="006D76E4" w:rsidRPr="00447144" w:rsidRDefault="006D76E4" w:rsidP="00F7650F">
            <w:pPr>
              <w:spacing w:after="80" w:line="240" w:lineRule="exact"/>
              <w:ind w:right="144"/>
              <w:jc w:val="left"/>
              <w:rPr>
                <w:rFonts w:hint="cs"/>
                <w:i/>
                <w:iCs/>
                <w:sz w:val="16"/>
                <w:szCs w:val="24"/>
                <w:rtl/>
              </w:rPr>
            </w:pPr>
          </w:p>
        </w:tc>
        <w:tc>
          <w:tcPr>
            <w:tcW w:w="1648" w:type="dxa"/>
            <w:gridSpan w:val="2"/>
            <w:tcBorders>
              <w:top w:val="single" w:sz="4" w:space="0" w:color="auto"/>
              <w:bottom w:val="single" w:sz="4" w:space="0" w:color="auto"/>
            </w:tcBorders>
            <w:shd w:val="clear" w:color="auto" w:fill="auto"/>
            <w:vAlign w:val="bottom"/>
          </w:tcPr>
          <w:p w:rsidR="006D76E4" w:rsidRPr="00447144" w:rsidRDefault="006D76E4" w:rsidP="006D76E4">
            <w:pPr>
              <w:spacing w:after="80" w:line="240" w:lineRule="exact"/>
              <w:ind w:right="144"/>
              <w:jc w:val="center"/>
              <w:rPr>
                <w:rFonts w:hint="cs"/>
                <w:i/>
                <w:iCs/>
                <w:sz w:val="16"/>
                <w:szCs w:val="24"/>
                <w:rtl/>
              </w:rPr>
            </w:pPr>
            <w:r>
              <w:rPr>
                <w:rFonts w:hint="cs"/>
                <w:i/>
                <w:iCs/>
                <w:sz w:val="16"/>
                <w:szCs w:val="24"/>
                <w:rtl/>
              </w:rPr>
              <w:t>مناصب مشغولة</w:t>
            </w:r>
          </w:p>
        </w:tc>
        <w:tc>
          <w:tcPr>
            <w:tcW w:w="1113" w:type="dxa"/>
            <w:tcBorders>
              <w:top w:val="single" w:sz="4" w:space="0" w:color="auto"/>
            </w:tcBorders>
            <w:shd w:val="clear" w:color="auto" w:fill="auto"/>
            <w:vAlign w:val="bottom"/>
          </w:tcPr>
          <w:p w:rsidR="006D76E4" w:rsidRPr="00447144" w:rsidRDefault="006D76E4" w:rsidP="00F7650F">
            <w:pPr>
              <w:spacing w:after="80" w:line="240" w:lineRule="exact"/>
              <w:ind w:right="144"/>
              <w:jc w:val="left"/>
              <w:rPr>
                <w:rFonts w:hint="cs"/>
                <w:i/>
                <w:iCs/>
                <w:sz w:val="16"/>
                <w:szCs w:val="24"/>
                <w:rtl/>
              </w:rPr>
            </w:pPr>
          </w:p>
        </w:tc>
      </w:tr>
      <w:tr w:rsidR="00447144" w:rsidRPr="00447144">
        <w:trPr>
          <w:cantSplit/>
          <w:tblHeader/>
          <w:jc w:val="center"/>
        </w:trPr>
        <w:tc>
          <w:tcPr>
            <w:tcW w:w="1179" w:type="dxa"/>
            <w:tcBorders>
              <w:bottom w:val="single" w:sz="12" w:space="0" w:color="auto"/>
            </w:tcBorders>
            <w:shd w:val="clear" w:color="auto" w:fill="auto"/>
            <w:vAlign w:val="bottom"/>
          </w:tcPr>
          <w:p w:rsidR="00447144" w:rsidRPr="00447144" w:rsidRDefault="00F7650F" w:rsidP="00F7650F">
            <w:pPr>
              <w:spacing w:after="80" w:line="240" w:lineRule="exact"/>
              <w:jc w:val="left"/>
              <w:rPr>
                <w:rFonts w:hint="cs"/>
                <w:i/>
                <w:iCs/>
                <w:sz w:val="16"/>
                <w:szCs w:val="24"/>
                <w:rtl/>
              </w:rPr>
            </w:pPr>
            <w:r>
              <w:rPr>
                <w:rFonts w:hint="cs"/>
                <w:i/>
                <w:iCs/>
                <w:sz w:val="16"/>
                <w:szCs w:val="24"/>
                <w:rtl/>
              </w:rPr>
              <w:t>قضاة المحكم</w:t>
            </w:r>
            <w:r w:rsidR="006D76E4">
              <w:rPr>
                <w:rFonts w:hint="cs"/>
                <w:i/>
                <w:iCs/>
                <w:sz w:val="16"/>
                <w:szCs w:val="24"/>
                <w:rtl/>
              </w:rPr>
              <w:t>ــ</w:t>
            </w:r>
            <w:r>
              <w:rPr>
                <w:rFonts w:hint="cs"/>
                <w:i/>
                <w:iCs/>
                <w:sz w:val="16"/>
                <w:szCs w:val="24"/>
                <w:rtl/>
              </w:rPr>
              <w:t>ة الاتحادية العليا</w:t>
            </w:r>
          </w:p>
        </w:tc>
        <w:tc>
          <w:tcPr>
            <w:tcW w:w="1545" w:type="dxa"/>
            <w:tcBorders>
              <w:bottom w:val="single" w:sz="12" w:space="0" w:color="auto"/>
            </w:tcBorders>
            <w:shd w:val="clear" w:color="auto" w:fill="auto"/>
            <w:vAlign w:val="bottom"/>
          </w:tcPr>
          <w:p w:rsidR="00447144" w:rsidRPr="00447144" w:rsidRDefault="00F7650F" w:rsidP="006D76E4">
            <w:pPr>
              <w:spacing w:after="80" w:line="240" w:lineRule="exact"/>
              <w:jc w:val="left"/>
              <w:rPr>
                <w:rFonts w:hint="cs"/>
                <w:i/>
                <w:iCs/>
                <w:sz w:val="16"/>
                <w:szCs w:val="24"/>
                <w:rtl/>
              </w:rPr>
            </w:pPr>
            <w:r>
              <w:rPr>
                <w:rFonts w:hint="cs"/>
                <w:i/>
                <w:iCs/>
                <w:sz w:val="16"/>
                <w:szCs w:val="24"/>
                <w:rtl/>
              </w:rPr>
              <w:t>قضاة محكمة العدل الكبرى</w:t>
            </w:r>
          </w:p>
        </w:tc>
        <w:tc>
          <w:tcPr>
            <w:tcW w:w="927" w:type="dxa"/>
            <w:tcBorders>
              <w:bottom w:val="single" w:sz="12" w:space="0" w:color="auto"/>
            </w:tcBorders>
            <w:shd w:val="clear" w:color="auto" w:fill="auto"/>
            <w:vAlign w:val="bottom"/>
          </w:tcPr>
          <w:p w:rsidR="00447144" w:rsidRPr="00447144" w:rsidRDefault="00F7650F" w:rsidP="00F7650F">
            <w:pPr>
              <w:spacing w:after="80" w:line="240" w:lineRule="exact"/>
              <w:ind w:right="144"/>
              <w:jc w:val="left"/>
              <w:rPr>
                <w:rFonts w:hint="cs"/>
                <w:i/>
                <w:iCs/>
                <w:sz w:val="16"/>
                <w:szCs w:val="24"/>
                <w:rtl/>
              </w:rPr>
            </w:pPr>
            <w:r>
              <w:rPr>
                <w:rFonts w:hint="cs"/>
                <w:i/>
                <w:iCs/>
                <w:sz w:val="16"/>
                <w:szCs w:val="24"/>
                <w:rtl/>
              </w:rPr>
              <w:t>محامون</w:t>
            </w:r>
          </w:p>
        </w:tc>
        <w:tc>
          <w:tcPr>
            <w:tcW w:w="927" w:type="dxa"/>
            <w:gridSpan w:val="2"/>
            <w:tcBorders>
              <w:bottom w:val="single" w:sz="12" w:space="0" w:color="auto"/>
            </w:tcBorders>
            <w:shd w:val="clear" w:color="auto" w:fill="auto"/>
            <w:vAlign w:val="bottom"/>
          </w:tcPr>
          <w:p w:rsidR="00447144" w:rsidRPr="00447144" w:rsidRDefault="00F7650F" w:rsidP="00F7650F">
            <w:pPr>
              <w:spacing w:after="80" w:line="240" w:lineRule="exact"/>
              <w:ind w:right="144"/>
              <w:jc w:val="left"/>
              <w:rPr>
                <w:rFonts w:hint="cs"/>
                <w:i/>
                <w:iCs/>
                <w:sz w:val="16"/>
                <w:szCs w:val="24"/>
                <w:rtl/>
              </w:rPr>
            </w:pPr>
            <w:r>
              <w:rPr>
                <w:rFonts w:hint="cs"/>
                <w:i/>
                <w:iCs/>
                <w:sz w:val="16"/>
                <w:szCs w:val="24"/>
                <w:rtl/>
              </w:rPr>
              <w:t>المجموع</w:t>
            </w:r>
          </w:p>
        </w:tc>
        <w:tc>
          <w:tcPr>
            <w:tcW w:w="721" w:type="dxa"/>
            <w:tcBorders>
              <w:bottom w:val="single" w:sz="12" w:space="0" w:color="auto"/>
            </w:tcBorders>
            <w:shd w:val="clear" w:color="auto" w:fill="auto"/>
            <w:vAlign w:val="bottom"/>
          </w:tcPr>
          <w:p w:rsidR="00447144" w:rsidRPr="00447144" w:rsidRDefault="00F7650F" w:rsidP="00F7650F">
            <w:pPr>
              <w:spacing w:after="80" w:line="240" w:lineRule="exact"/>
              <w:ind w:right="144"/>
              <w:jc w:val="left"/>
              <w:rPr>
                <w:rFonts w:hint="cs"/>
                <w:i/>
                <w:iCs/>
                <w:sz w:val="16"/>
                <w:szCs w:val="24"/>
                <w:rtl/>
              </w:rPr>
            </w:pPr>
            <w:r>
              <w:rPr>
                <w:rFonts w:hint="cs"/>
                <w:i/>
                <w:iCs/>
                <w:sz w:val="16"/>
                <w:szCs w:val="24"/>
                <w:rtl/>
              </w:rPr>
              <w:t>قضاة</w:t>
            </w:r>
          </w:p>
        </w:tc>
        <w:tc>
          <w:tcPr>
            <w:tcW w:w="927" w:type="dxa"/>
            <w:tcBorders>
              <w:bottom w:val="single" w:sz="12" w:space="0" w:color="auto"/>
            </w:tcBorders>
            <w:shd w:val="clear" w:color="auto" w:fill="auto"/>
            <w:vAlign w:val="bottom"/>
          </w:tcPr>
          <w:p w:rsidR="00447144" w:rsidRPr="00447144" w:rsidRDefault="00F7650F" w:rsidP="00F7650F">
            <w:pPr>
              <w:spacing w:after="80" w:line="240" w:lineRule="exact"/>
              <w:ind w:right="144"/>
              <w:jc w:val="left"/>
              <w:rPr>
                <w:rFonts w:hint="cs"/>
                <w:i/>
                <w:iCs/>
                <w:sz w:val="16"/>
                <w:szCs w:val="24"/>
                <w:rtl/>
              </w:rPr>
            </w:pPr>
            <w:r>
              <w:rPr>
                <w:rFonts w:hint="cs"/>
                <w:i/>
                <w:iCs/>
                <w:sz w:val="16"/>
                <w:szCs w:val="24"/>
                <w:rtl/>
              </w:rPr>
              <w:t>قاضيات</w:t>
            </w:r>
          </w:p>
        </w:tc>
        <w:tc>
          <w:tcPr>
            <w:tcW w:w="1113" w:type="dxa"/>
            <w:tcBorders>
              <w:bottom w:val="single" w:sz="12" w:space="0" w:color="auto"/>
            </w:tcBorders>
            <w:shd w:val="clear" w:color="auto" w:fill="auto"/>
            <w:vAlign w:val="bottom"/>
          </w:tcPr>
          <w:p w:rsidR="00447144" w:rsidRPr="00447144" w:rsidRDefault="00F7650F" w:rsidP="006D76E4">
            <w:pPr>
              <w:spacing w:after="80" w:line="240" w:lineRule="exact"/>
              <w:jc w:val="left"/>
              <w:rPr>
                <w:rFonts w:hint="cs"/>
                <w:i/>
                <w:iCs/>
                <w:sz w:val="16"/>
                <w:szCs w:val="24"/>
                <w:rtl/>
              </w:rPr>
            </w:pPr>
            <w:r>
              <w:rPr>
                <w:rFonts w:hint="cs"/>
                <w:i/>
                <w:iCs/>
                <w:sz w:val="16"/>
                <w:szCs w:val="24"/>
                <w:rtl/>
              </w:rPr>
              <w:t>مناصب شاغرة</w:t>
            </w:r>
          </w:p>
        </w:tc>
      </w:tr>
      <w:tr w:rsidR="00447144" w:rsidRPr="00447144">
        <w:trPr>
          <w:cantSplit/>
          <w:trHeight w:hRule="exact" w:val="115"/>
          <w:tblHeader/>
          <w:jc w:val="center"/>
        </w:trPr>
        <w:tc>
          <w:tcPr>
            <w:tcW w:w="1179" w:type="dxa"/>
            <w:tcBorders>
              <w:top w:val="single" w:sz="12" w:space="0" w:color="auto"/>
            </w:tcBorders>
            <w:shd w:val="clear" w:color="auto" w:fill="auto"/>
            <w:vAlign w:val="bottom"/>
          </w:tcPr>
          <w:p w:rsidR="00447144" w:rsidRPr="00447144" w:rsidRDefault="00447144" w:rsidP="00447144">
            <w:pPr>
              <w:bidi w:val="0"/>
              <w:spacing w:before="40" w:after="80" w:line="240" w:lineRule="exact"/>
              <w:jc w:val="right"/>
              <w:rPr>
                <w:rFonts w:hint="cs"/>
                <w:sz w:val="16"/>
                <w:szCs w:val="24"/>
                <w:rtl/>
              </w:rPr>
            </w:pPr>
          </w:p>
        </w:tc>
        <w:tc>
          <w:tcPr>
            <w:tcW w:w="1545" w:type="dxa"/>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c>
          <w:tcPr>
            <w:tcW w:w="927" w:type="dxa"/>
            <w:gridSpan w:val="2"/>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c>
          <w:tcPr>
            <w:tcW w:w="721" w:type="dxa"/>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c>
          <w:tcPr>
            <w:tcW w:w="1113" w:type="dxa"/>
            <w:tcBorders>
              <w:top w:val="single" w:sz="12" w:space="0" w:color="auto"/>
            </w:tcBorders>
            <w:shd w:val="clear" w:color="auto" w:fill="auto"/>
            <w:vAlign w:val="bottom"/>
          </w:tcPr>
          <w:p w:rsidR="00447144" w:rsidRPr="00447144" w:rsidRDefault="00447144" w:rsidP="00447144">
            <w:pPr>
              <w:bidi w:val="0"/>
              <w:spacing w:before="40" w:after="80" w:line="240" w:lineRule="exact"/>
              <w:ind w:right="144"/>
              <w:jc w:val="right"/>
              <w:rPr>
                <w:rFonts w:hint="cs"/>
                <w:sz w:val="16"/>
                <w:szCs w:val="24"/>
                <w:rtl/>
              </w:rPr>
            </w:pPr>
          </w:p>
        </w:tc>
      </w:tr>
      <w:tr w:rsidR="000E497B" w:rsidRPr="00447144">
        <w:trPr>
          <w:cantSplit/>
          <w:jc w:val="center"/>
        </w:trPr>
        <w:tc>
          <w:tcPr>
            <w:tcW w:w="1179" w:type="dxa"/>
            <w:tcBorders>
              <w:bottom w:val="single" w:sz="12" w:space="0" w:color="auto"/>
            </w:tcBorders>
            <w:shd w:val="clear" w:color="auto" w:fill="auto"/>
            <w:vAlign w:val="bottom"/>
          </w:tcPr>
          <w:p w:rsidR="000E497B" w:rsidRPr="00447144" w:rsidRDefault="000E497B" w:rsidP="00447144">
            <w:pPr>
              <w:bidi w:val="0"/>
              <w:spacing w:before="40" w:after="80" w:line="240" w:lineRule="exact"/>
              <w:jc w:val="right"/>
              <w:rPr>
                <w:sz w:val="16"/>
                <w:szCs w:val="24"/>
                <w:lang w:eastAsia="pt-BR"/>
              </w:rPr>
            </w:pPr>
            <w:r w:rsidRPr="00447144">
              <w:rPr>
                <w:rFonts w:hint="cs"/>
                <w:sz w:val="16"/>
                <w:szCs w:val="24"/>
                <w:rtl/>
              </w:rPr>
              <w:t>3</w:t>
            </w:r>
          </w:p>
        </w:tc>
        <w:tc>
          <w:tcPr>
            <w:tcW w:w="1545" w:type="dxa"/>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2</w:t>
            </w:r>
          </w:p>
        </w:tc>
        <w:tc>
          <w:tcPr>
            <w:tcW w:w="927" w:type="dxa"/>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2</w:t>
            </w:r>
          </w:p>
        </w:tc>
        <w:tc>
          <w:tcPr>
            <w:tcW w:w="927" w:type="dxa"/>
            <w:gridSpan w:val="2"/>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7</w:t>
            </w:r>
          </w:p>
        </w:tc>
        <w:tc>
          <w:tcPr>
            <w:tcW w:w="721" w:type="dxa"/>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7</w:t>
            </w:r>
          </w:p>
        </w:tc>
        <w:tc>
          <w:tcPr>
            <w:tcW w:w="927" w:type="dxa"/>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0</w:t>
            </w:r>
          </w:p>
        </w:tc>
        <w:tc>
          <w:tcPr>
            <w:tcW w:w="1113" w:type="dxa"/>
            <w:tcBorders>
              <w:bottom w:val="single" w:sz="12" w:space="0" w:color="auto"/>
            </w:tcBorders>
            <w:shd w:val="clear" w:color="auto" w:fill="auto"/>
            <w:vAlign w:val="bottom"/>
          </w:tcPr>
          <w:p w:rsidR="000E497B" w:rsidRPr="00447144" w:rsidRDefault="000E497B" w:rsidP="00447144">
            <w:pPr>
              <w:bidi w:val="0"/>
              <w:spacing w:before="40" w:after="80" w:line="240" w:lineRule="exact"/>
              <w:ind w:right="144"/>
              <w:jc w:val="right"/>
              <w:rPr>
                <w:sz w:val="16"/>
                <w:szCs w:val="24"/>
                <w:lang w:eastAsia="pt-BR"/>
              </w:rPr>
            </w:pPr>
            <w:r w:rsidRPr="00447144">
              <w:rPr>
                <w:rFonts w:hint="cs"/>
                <w:sz w:val="16"/>
                <w:szCs w:val="24"/>
                <w:rtl/>
              </w:rPr>
              <w:t>0</w:t>
            </w:r>
          </w:p>
        </w:tc>
      </w:tr>
    </w:tbl>
    <w:p w:rsidR="00B86BF2" w:rsidRPr="00B86BF2" w:rsidRDefault="00B86BF2" w:rsidP="00B86BF2">
      <w:pPr>
        <w:pStyle w:val="SingleTxt"/>
        <w:spacing w:after="0" w:line="120" w:lineRule="exact"/>
        <w:rPr>
          <w:rFonts w:hint="cs"/>
          <w:sz w:val="10"/>
          <w:rtl/>
        </w:rPr>
      </w:pPr>
    </w:p>
    <w:p w:rsidR="00B86BF2" w:rsidRPr="00B86BF2" w:rsidRDefault="00B86BF2" w:rsidP="00B86BF2">
      <w:pPr>
        <w:pStyle w:val="SingleTxt"/>
        <w:spacing w:after="0" w:line="120" w:lineRule="exact"/>
        <w:rPr>
          <w:rFonts w:hint="cs"/>
          <w:sz w:val="10"/>
          <w:rtl/>
        </w:rPr>
      </w:pPr>
    </w:p>
    <w:tbl>
      <w:tblPr>
        <w:bidiVisual/>
        <w:tblW w:w="0" w:type="auto"/>
        <w:jc w:val="center"/>
        <w:tblLayout w:type="fixed"/>
        <w:tblCellMar>
          <w:left w:w="70" w:type="dxa"/>
          <w:right w:w="70" w:type="dxa"/>
        </w:tblCellMar>
        <w:tblLook w:val="0000" w:firstRow="0" w:lastRow="0" w:firstColumn="0" w:lastColumn="0" w:noHBand="0" w:noVBand="0"/>
      </w:tblPr>
      <w:tblGrid>
        <w:gridCol w:w="1581"/>
        <w:gridCol w:w="2575"/>
        <w:gridCol w:w="927"/>
        <w:gridCol w:w="1025"/>
        <w:gridCol w:w="1212"/>
      </w:tblGrid>
      <w:tr w:rsidR="00B86BF2" w:rsidRPr="00447144">
        <w:trPr>
          <w:cantSplit/>
          <w:tblHeader/>
          <w:jc w:val="center"/>
        </w:trPr>
        <w:tc>
          <w:tcPr>
            <w:tcW w:w="7320" w:type="dxa"/>
            <w:gridSpan w:val="5"/>
            <w:tcBorders>
              <w:top w:val="single" w:sz="4" w:space="0" w:color="auto"/>
              <w:bottom w:val="single" w:sz="4" w:space="0" w:color="auto"/>
            </w:tcBorders>
            <w:shd w:val="clear" w:color="auto" w:fill="auto"/>
            <w:vAlign w:val="bottom"/>
          </w:tcPr>
          <w:p w:rsidR="00B86BF2" w:rsidRPr="00BC471B" w:rsidRDefault="00B86BF2" w:rsidP="00B86BF2">
            <w:pPr>
              <w:spacing w:before="80" w:after="80" w:line="240" w:lineRule="exact"/>
              <w:ind w:right="144"/>
              <w:jc w:val="center"/>
              <w:rPr>
                <w:rFonts w:hint="cs"/>
                <w:b/>
                <w:bCs/>
                <w:sz w:val="16"/>
                <w:szCs w:val="24"/>
                <w:rtl/>
                <w:lang w:val="fr-FR"/>
              </w:rPr>
            </w:pPr>
            <w:r w:rsidRPr="00BC471B">
              <w:rPr>
                <w:rFonts w:hint="cs"/>
                <w:b/>
                <w:bCs/>
                <w:sz w:val="18"/>
                <w:szCs w:val="26"/>
                <w:rtl/>
                <w:lang w:val="fr-FR"/>
              </w:rPr>
              <w:t>المحكمة العسكرية الكبرى - شباط/فبراير 2005</w:t>
            </w:r>
          </w:p>
        </w:tc>
      </w:tr>
      <w:tr w:rsidR="00B86BF2" w:rsidRPr="00447144">
        <w:trPr>
          <w:cantSplit/>
          <w:tblHeader/>
          <w:jc w:val="center"/>
        </w:trPr>
        <w:tc>
          <w:tcPr>
            <w:tcW w:w="1581" w:type="dxa"/>
            <w:tcBorders>
              <w:top w:val="single" w:sz="4" w:space="0" w:color="auto"/>
            </w:tcBorders>
            <w:shd w:val="clear" w:color="auto" w:fill="auto"/>
            <w:vAlign w:val="bottom"/>
          </w:tcPr>
          <w:p w:rsidR="00B86BF2" w:rsidRPr="00B25673" w:rsidRDefault="00B86BF2" w:rsidP="00B25673">
            <w:pPr>
              <w:spacing w:after="80" w:line="240" w:lineRule="exact"/>
              <w:jc w:val="left"/>
              <w:rPr>
                <w:i/>
                <w:iCs/>
                <w:sz w:val="16"/>
                <w:szCs w:val="24"/>
              </w:rPr>
            </w:pPr>
          </w:p>
        </w:tc>
        <w:tc>
          <w:tcPr>
            <w:tcW w:w="2575" w:type="dxa"/>
            <w:tcBorders>
              <w:top w:val="single" w:sz="4" w:space="0" w:color="auto"/>
            </w:tcBorders>
            <w:shd w:val="clear" w:color="auto" w:fill="auto"/>
            <w:vAlign w:val="bottom"/>
          </w:tcPr>
          <w:p w:rsidR="00B86BF2" w:rsidRPr="00B25673" w:rsidRDefault="00B86BF2" w:rsidP="00B25673">
            <w:pPr>
              <w:spacing w:after="80" w:line="240" w:lineRule="exact"/>
              <w:ind w:right="144"/>
              <w:jc w:val="left"/>
              <w:rPr>
                <w:rFonts w:hint="cs"/>
                <w:i/>
                <w:iCs/>
                <w:sz w:val="16"/>
                <w:szCs w:val="24"/>
                <w:rtl/>
                <w:lang w:val="fr-FR"/>
              </w:rPr>
            </w:pPr>
          </w:p>
        </w:tc>
        <w:tc>
          <w:tcPr>
            <w:tcW w:w="1952" w:type="dxa"/>
            <w:gridSpan w:val="2"/>
            <w:tcBorders>
              <w:top w:val="single" w:sz="4" w:space="0" w:color="auto"/>
              <w:bottom w:val="single" w:sz="4" w:space="0" w:color="auto"/>
            </w:tcBorders>
            <w:shd w:val="clear" w:color="auto" w:fill="auto"/>
            <w:vAlign w:val="bottom"/>
          </w:tcPr>
          <w:p w:rsidR="00B86BF2" w:rsidRPr="00B25673" w:rsidRDefault="00B86BF2" w:rsidP="00B25673">
            <w:pPr>
              <w:spacing w:after="80" w:line="240" w:lineRule="exact"/>
              <w:ind w:right="144"/>
              <w:jc w:val="center"/>
              <w:rPr>
                <w:rFonts w:hint="cs"/>
                <w:i/>
                <w:iCs/>
                <w:sz w:val="16"/>
                <w:szCs w:val="24"/>
                <w:rtl/>
                <w:lang w:val="fr-FR"/>
              </w:rPr>
            </w:pPr>
            <w:r w:rsidRPr="00B25673">
              <w:rPr>
                <w:rFonts w:hint="cs"/>
                <w:i/>
                <w:iCs/>
                <w:sz w:val="16"/>
                <w:szCs w:val="24"/>
                <w:rtl/>
                <w:lang w:val="fr-FR"/>
              </w:rPr>
              <w:t>مناصب مشغولة</w:t>
            </w:r>
          </w:p>
        </w:tc>
        <w:tc>
          <w:tcPr>
            <w:tcW w:w="1212" w:type="dxa"/>
            <w:tcBorders>
              <w:top w:val="single" w:sz="4" w:space="0" w:color="auto"/>
            </w:tcBorders>
            <w:shd w:val="clear" w:color="auto" w:fill="auto"/>
            <w:vAlign w:val="bottom"/>
          </w:tcPr>
          <w:p w:rsidR="00B86BF2" w:rsidRPr="00B25673" w:rsidRDefault="00B86BF2" w:rsidP="00B25673">
            <w:pPr>
              <w:spacing w:after="80" w:line="240" w:lineRule="exact"/>
              <w:ind w:right="144"/>
              <w:jc w:val="left"/>
              <w:rPr>
                <w:rFonts w:hint="cs"/>
                <w:i/>
                <w:iCs/>
                <w:sz w:val="16"/>
                <w:szCs w:val="24"/>
                <w:rtl/>
                <w:lang w:val="fr-FR"/>
              </w:rPr>
            </w:pPr>
          </w:p>
        </w:tc>
      </w:tr>
      <w:tr w:rsidR="00447144" w:rsidRPr="00447144">
        <w:trPr>
          <w:cantSplit/>
          <w:tblHeader/>
          <w:jc w:val="center"/>
        </w:trPr>
        <w:tc>
          <w:tcPr>
            <w:tcW w:w="1581" w:type="dxa"/>
            <w:tcBorders>
              <w:bottom w:val="single" w:sz="12" w:space="0" w:color="auto"/>
            </w:tcBorders>
            <w:shd w:val="clear" w:color="auto" w:fill="auto"/>
            <w:vAlign w:val="bottom"/>
          </w:tcPr>
          <w:p w:rsidR="00447144" w:rsidRPr="00B25673" w:rsidRDefault="00B86BF2" w:rsidP="00B25673">
            <w:pPr>
              <w:spacing w:after="80" w:line="240" w:lineRule="exact"/>
              <w:jc w:val="left"/>
              <w:rPr>
                <w:rFonts w:hint="cs"/>
                <w:i/>
                <w:iCs/>
                <w:sz w:val="16"/>
                <w:szCs w:val="24"/>
              </w:rPr>
            </w:pPr>
            <w:r w:rsidRPr="00B25673">
              <w:rPr>
                <w:rFonts w:hint="cs"/>
                <w:i/>
                <w:iCs/>
                <w:sz w:val="16"/>
                <w:szCs w:val="24"/>
                <w:rtl/>
              </w:rPr>
              <w:t>قاضي المحكمة</w:t>
            </w:r>
          </w:p>
        </w:tc>
        <w:tc>
          <w:tcPr>
            <w:tcW w:w="2575" w:type="dxa"/>
            <w:tcBorders>
              <w:bottom w:val="single" w:sz="12" w:space="0" w:color="auto"/>
            </w:tcBorders>
            <w:shd w:val="clear" w:color="auto" w:fill="auto"/>
            <w:vAlign w:val="bottom"/>
          </w:tcPr>
          <w:p w:rsidR="00447144" w:rsidRPr="00B25673" w:rsidRDefault="00B86BF2" w:rsidP="00B25673">
            <w:pPr>
              <w:spacing w:after="80" w:line="240" w:lineRule="exact"/>
              <w:ind w:right="144"/>
              <w:jc w:val="left"/>
              <w:rPr>
                <w:rFonts w:hint="cs"/>
                <w:i/>
                <w:iCs/>
                <w:sz w:val="16"/>
                <w:szCs w:val="24"/>
                <w:rtl/>
                <w:lang w:val="fr-FR"/>
              </w:rPr>
            </w:pPr>
            <w:r w:rsidRPr="00B25673">
              <w:rPr>
                <w:rFonts w:hint="cs"/>
                <w:i/>
                <w:iCs/>
                <w:sz w:val="16"/>
                <w:szCs w:val="24"/>
                <w:rtl/>
                <w:lang w:val="fr-FR"/>
              </w:rPr>
              <w:t>منصوص عليها في الدستور الاتحادي</w:t>
            </w:r>
          </w:p>
        </w:tc>
        <w:tc>
          <w:tcPr>
            <w:tcW w:w="927" w:type="dxa"/>
            <w:tcBorders>
              <w:bottom w:val="single" w:sz="12" w:space="0" w:color="auto"/>
            </w:tcBorders>
            <w:shd w:val="clear" w:color="auto" w:fill="auto"/>
            <w:vAlign w:val="bottom"/>
          </w:tcPr>
          <w:p w:rsidR="00447144" w:rsidRPr="00B25673" w:rsidRDefault="00B86BF2" w:rsidP="00B25673">
            <w:pPr>
              <w:spacing w:after="80" w:line="240" w:lineRule="exact"/>
              <w:ind w:right="144"/>
              <w:jc w:val="center"/>
              <w:rPr>
                <w:rFonts w:hint="cs"/>
                <w:i/>
                <w:iCs/>
                <w:sz w:val="16"/>
                <w:szCs w:val="24"/>
                <w:rtl/>
                <w:lang w:val="fr-FR"/>
              </w:rPr>
            </w:pPr>
            <w:r w:rsidRPr="00B25673">
              <w:rPr>
                <w:rFonts w:hint="cs"/>
                <w:i/>
                <w:iCs/>
                <w:sz w:val="16"/>
                <w:szCs w:val="24"/>
                <w:rtl/>
                <w:lang w:val="fr-FR"/>
              </w:rPr>
              <w:t>قضاة</w:t>
            </w:r>
          </w:p>
        </w:tc>
        <w:tc>
          <w:tcPr>
            <w:tcW w:w="1025" w:type="dxa"/>
            <w:tcBorders>
              <w:bottom w:val="single" w:sz="12" w:space="0" w:color="auto"/>
            </w:tcBorders>
            <w:shd w:val="clear" w:color="auto" w:fill="auto"/>
            <w:vAlign w:val="bottom"/>
          </w:tcPr>
          <w:p w:rsidR="00447144" w:rsidRPr="00B25673" w:rsidRDefault="00B86BF2" w:rsidP="00B25673">
            <w:pPr>
              <w:spacing w:after="80" w:line="240" w:lineRule="exact"/>
              <w:ind w:right="144"/>
              <w:jc w:val="center"/>
              <w:rPr>
                <w:rFonts w:hint="cs"/>
                <w:i/>
                <w:iCs/>
                <w:sz w:val="16"/>
                <w:szCs w:val="24"/>
                <w:rtl/>
                <w:lang w:val="fr-FR"/>
              </w:rPr>
            </w:pPr>
            <w:r w:rsidRPr="00B25673">
              <w:rPr>
                <w:rFonts w:hint="cs"/>
                <w:i/>
                <w:iCs/>
                <w:sz w:val="16"/>
                <w:szCs w:val="24"/>
                <w:rtl/>
                <w:lang w:val="fr-FR"/>
              </w:rPr>
              <w:t>قاضيات</w:t>
            </w:r>
          </w:p>
        </w:tc>
        <w:tc>
          <w:tcPr>
            <w:tcW w:w="1212" w:type="dxa"/>
            <w:tcBorders>
              <w:bottom w:val="single" w:sz="12" w:space="0" w:color="auto"/>
            </w:tcBorders>
            <w:shd w:val="clear" w:color="auto" w:fill="auto"/>
            <w:vAlign w:val="bottom"/>
          </w:tcPr>
          <w:p w:rsidR="00447144" w:rsidRPr="00B25673" w:rsidRDefault="00B86BF2" w:rsidP="00B25673">
            <w:pPr>
              <w:spacing w:after="80" w:line="240" w:lineRule="exact"/>
              <w:jc w:val="center"/>
              <w:rPr>
                <w:rFonts w:hint="cs"/>
                <w:i/>
                <w:iCs/>
                <w:sz w:val="16"/>
                <w:szCs w:val="24"/>
                <w:rtl/>
                <w:lang w:val="fr-FR"/>
              </w:rPr>
            </w:pPr>
            <w:r w:rsidRPr="00B25673">
              <w:rPr>
                <w:rFonts w:hint="cs"/>
                <w:i/>
                <w:iCs/>
                <w:sz w:val="16"/>
                <w:szCs w:val="24"/>
                <w:rtl/>
                <w:lang w:val="fr-FR"/>
              </w:rPr>
              <w:t>مناصب شاغرة</w:t>
            </w:r>
          </w:p>
        </w:tc>
      </w:tr>
      <w:tr w:rsidR="00447144" w:rsidRPr="00447144">
        <w:trPr>
          <w:cantSplit/>
          <w:trHeight w:hRule="exact" w:val="115"/>
          <w:tblHeader/>
          <w:jc w:val="center"/>
        </w:trPr>
        <w:tc>
          <w:tcPr>
            <w:tcW w:w="1581" w:type="dxa"/>
            <w:tcBorders>
              <w:top w:val="single" w:sz="12" w:space="0" w:color="auto"/>
            </w:tcBorders>
            <w:shd w:val="clear" w:color="auto" w:fill="auto"/>
            <w:vAlign w:val="bottom"/>
          </w:tcPr>
          <w:p w:rsidR="00447144" w:rsidRPr="00B25673" w:rsidRDefault="00447144" w:rsidP="001E4EE6">
            <w:pPr>
              <w:spacing w:before="40" w:after="80" w:line="240" w:lineRule="exact"/>
              <w:jc w:val="left"/>
              <w:rPr>
                <w:sz w:val="16"/>
                <w:szCs w:val="24"/>
              </w:rPr>
            </w:pPr>
          </w:p>
        </w:tc>
        <w:tc>
          <w:tcPr>
            <w:tcW w:w="2575" w:type="dxa"/>
            <w:tcBorders>
              <w:top w:val="single" w:sz="12" w:space="0" w:color="auto"/>
            </w:tcBorders>
            <w:shd w:val="clear" w:color="auto" w:fill="auto"/>
            <w:vAlign w:val="bottom"/>
          </w:tcPr>
          <w:p w:rsidR="00447144" w:rsidRPr="00B25673" w:rsidRDefault="00447144" w:rsidP="00447144">
            <w:pPr>
              <w:bidi w:val="0"/>
              <w:spacing w:before="40" w:after="80" w:line="240" w:lineRule="exact"/>
              <w:ind w:right="144"/>
              <w:jc w:val="right"/>
              <w:rPr>
                <w:rFonts w:hint="cs"/>
                <w:sz w:val="16"/>
                <w:szCs w:val="24"/>
                <w:rtl/>
                <w:lang w:val="fr-FR"/>
              </w:rPr>
            </w:pPr>
          </w:p>
        </w:tc>
        <w:tc>
          <w:tcPr>
            <w:tcW w:w="927" w:type="dxa"/>
            <w:tcBorders>
              <w:top w:val="single" w:sz="12" w:space="0" w:color="auto"/>
            </w:tcBorders>
            <w:shd w:val="clear" w:color="auto" w:fill="auto"/>
            <w:vAlign w:val="bottom"/>
          </w:tcPr>
          <w:p w:rsidR="00447144" w:rsidRPr="00B25673" w:rsidRDefault="00447144" w:rsidP="00B25673">
            <w:pPr>
              <w:bidi w:val="0"/>
              <w:spacing w:before="40" w:after="80" w:line="240" w:lineRule="exact"/>
              <w:ind w:right="144"/>
              <w:jc w:val="center"/>
              <w:rPr>
                <w:rFonts w:hint="cs"/>
                <w:sz w:val="16"/>
                <w:szCs w:val="24"/>
                <w:rtl/>
                <w:lang w:val="fr-FR"/>
              </w:rPr>
            </w:pPr>
          </w:p>
        </w:tc>
        <w:tc>
          <w:tcPr>
            <w:tcW w:w="1025" w:type="dxa"/>
            <w:tcBorders>
              <w:top w:val="single" w:sz="12" w:space="0" w:color="auto"/>
            </w:tcBorders>
            <w:shd w:val="clear" w:color="auto" w:fill="auto"/>
            <w:vAlign w:val="bottom"/>
          </w:tcPr>
          <w:p w:rsidR="00447144" w:rsidRPr="00B25673" w:rsidRDefault="00447144" w:rsidP="00B25673">
            <w:pPr>
              <w:bidi w:val="0"/>
              <w:spacing w:before="40" w:after="80" w:line="240" w:lineRule="exact"/>
              <w:ind w:right="144"/>
              <w:jc w:val="center"/>
              <w:rPr>
                <w:rFonts w:hint="cs"/>
                <w:sz w:val="16"/>
                <w:szCs w:val="24"/>
                <w:rtl/>
                <w:lang w:val="fr-FR"/>
              </w:rPr>
            </w:pPr>
          </w:p>
        </w:tc>
        <w:tc>
          <w:tcPr>
            <w:tcW w:w="1212" w:type="dxa"/>
            <w:tcBorders>
              <w:top w:val="single" w:sz="12" w:space="0" w:color="auto"/>
            </w:tcBorders>
            <w:shd w:val="clear" w:color="auto" w:fill="auto"/>
            <w:vAlign w:val="bottom"/>
          </w:tcPr>
          <w:p w:rsidR="00447144" w:rsidRPr="00B25673" w:rsidRDefault="00447144" w:rsidP="00B25673">
            <w:pPr>
              <w:bidi w:val="0"/>
              <w:spacing w:before="40" w:after="80" w:line="240" w:lineRule="exact"/>
              <w:ind w:right="144"/>
              <w:jc w:val="center"/>
              <w:rPr>
                <w:rFonts w:hint="cs"/>
                <w:sz w:val="16"/>
                <w:szCs w:val="24"/>
                <w:rtl/>
                <w:lang w:val="fr-FR"/>
              </w:rPr>
            </w:pPr>
          </w:p>
        </w:tc>
      </w:tr>
      <w:tr w:rsidR="000E497B" w:rsidRPr="00447144">
        <w:trPr>
          <w:cantSplit/>
          <w:jc w:val="center"/>
        </w:trPr>
        <w:tc>
          <w:tcPr>
            <w:tcW w:w="1581" w:type="dxa"/>
            <w:shd w:val="clear" w:color="auto" w:fill="auto"/>
            <w:vAlign w:val="bottom"/>
          </w:tcPr>
          <w:p w:rsidR="000E497B" w:rsidRPr="00B25673" w:rsidRDefault="00B86BF2" w:rsidP="001E4EE6">
            <w:pPr>
              <w:spacing w:before="40" w:after="80" w:line="240" w:lineRule="exact"/>
              <w:jc w:val="left"/>
              <w:rPr>
                <w:rFonts w:hint="cs"/>
                <w:sz w:val="16"/>
                <w:szCs w:val="24"/>
                <w:rtl/>
                <w:lang w:eastAsia="pt-BR" w:bidi="ar-EG"/>
              </w:rPr>
            </w:pPr>
            <w:r w:rsidRPr="00B25673">
              <w:rPr>
                <w:rFonts w:hint="cs"/>
                <w:sz w:val="16"/>
                <w:szCs w:val="24"/>
                <w:rtl/>
                <w:lang w:eastAsia="pt-BR" w:bidi="ar-EG"/>
              </w:rPr>
              <w:t xml:space="preserve">موظفون </w:t>
            </w:r>
            <w:r w:rsidR="001E4EE6" w:rsidRPr="00B25673">
              <w:rPr>
                <w:rFonts w:hint="cs"/>
                <w:sz w:val="16"/>
                <w:szCs w:val="24"/>
                <w:rtl/>
                <w:lang w:eastAsia="pt-BR" w:bidi="ar-EG"/>
              </w:rPr>
              <w:t>عسكريون</w:t>
            </w:r>
          </w:p>
        </w:tc>
        <w:tc>
          <w:tcPr>
            <w:tcW w:w="2575" w:type="dxa"/>
            <w:shd w:val="clear" w:color="auto" w:fill="auto"/>
            <w:vAlign w:val="bottom"/>
          </w:tcPr>
          <w:p w:rsidR="000E497B" w:rsidRPr="00B25673" w:rsidRDefault="000E497B" w:rsidP="00B25673">
            <w:pPr>
              <w:spacing w:before="40" w:after="80" w:line="240" w:lineRule="exact"/>
              <w:ind w:right="144"/>
              <w:jc w:val="center"/>
              <w:rPr>
                <w:sz w:val="16"/>
                <w:szCs w:val="24"/>
                <w:lang w:val="fr-FR" w:eastAsia="pt-BR"/>
              </w:rPr>
            </w:pPr>
            <w:r w:rsidRPr="00B25673">
              <w:rPr>
                <w:rFonts w:hint="cs"/>
                <w:sz w:val="16"/>
                <w:szCs w:val="24"/>
                <w:rtl/>
                <w:lang w:val="fr-FR"/>
              </w:rPr>
              <w:t>10</w:t>
            </w:r>
          </w:p>
        </w:tc>
        <w:tc>
          <w:tcPr>
            <w:tcW w:w="927" w:type="dxa"/>
            <w:shd w:val="clear" w:color="auto" w:fill="auto"/>
            <w:vAlign w:val="bottom"/>
          </w:tcPr>
          <w:p w:rsidR="000E497B" w:rsidRPr="00B25673" w:rsidRDefault="000E497B" w:rsidP="00B25673">
            <w:pPr>
              <w:spacing w:before="40" w:after="80" w:line="240" w:lineRule="exact"/>
              <w:ind w:right="144"/>
              <w:jc w:val="center"/>
              <w:rPr>
                <w:sz w:val="16"/>
                <w:szCs w:val="24"/>
                <w:lang w:val="fr-FR" w:eastAsia="pt-BR"/>
              </w:rPr>
            </w:pPr>
            <w:r w:rsidRPr="00B25673">
              <w:rPr>
                <w:rFonts w:hint="cs"/>
                <w:sz w:val="16"/>
                <w:szCs w:val="24"/>
                <w:rtl/>
                <w:lang w:val="fr-FR"/>
              </w:rPr>
              <w:t>10</w:t>
            </w:r>
          </w:p>
        </w:tc>
        <w:tc>
          <w:tcPr>
            <w:tcW w:w="1025" w:type="dxa"/>
            <w:shd w:val="clear" w:color="auto" w:fill="auto"/>
            <w:vAlign w:val="bottom"/>
          </w:tcPr>
          <w:p w:rsidR="000E497B" w:rsidRPr="00B25673" w:rsidRDefault="00B86BF2" w:rsidP="00B25673">
            <w:pPr>
              <w:spacing w:before="40" w:after="80" w:line="240" w:lineRule="exact"/>
              <w:ind w:right="144"/>
              <w:jc w:val="center"/>
              <w:rPr>
                <w:sz w:val="16"/>
                <w:szCs w:val="24"/>
                <w:lang w:val="fr-FR" w:eastAsia="pt-BR"/>
              </w:rPr>
            </w:pPr>
            <w:r w:rsidRPr="00B25673">
              <w:rPr>
                <w:rFonts w:hint="cs"/>
                <w:sz w:val="16"/>
                <w:szCs w:val="24"/>
                <w:rtl/>
                <w:lang w:val="fr-FR"/>
              </w:rPr>
              <w:t>صفر</w:t>
            </w:r>
          </w:p>
        </w:tc>
        <w:tc>
          <w:tcPr>
            <w:tcW w:w="1212" w:type="dxa"/>
            <w:shd w:val="clear" w:color="auto" w:fill="auto"/>
            <w:vAlign w:val="bottom"/>
          </w:tcPr>
          <w:p w:rsidR="000E497B" w:rsidRPr="00B25673" w:rsidRDefault="00B86BF2" w:rsidP="00B25673">
            <w:pPr>
              <w:spacing w:before="40" w:after="80" w:line="240" w:lineRule="exact"/>
              <w:ind w:right="144"/>
              <w:jc w:val="center"/>
              <w:rPr>
                <w:sz w:val="16"/>
                <w:szCs w:val="24"/>
                <w:lang w:val="fr-FR" w:eastAsia="pt-BR"/>
              </w:rPr>
            </w:pPr>
            <w:r w:rsidRPr="00B25673">
              <w:rPr>
                <w:rFonts w:hint="cs"/>
                <w:sz w:val="16"/>
                <w:szCs w:val="24"/>
                <w:rtl/>
                <w:lang w:val="fr-FR"/>
              </w:rPr>
              <w:t>صفر</w:t>
            </w:r>
          </w:p>
        </w:tc>
      </w:tr>
      <w:tr w:rsidR="000E497B" w:rsidRPr="00447144">
        <w:trPr>
          <w:cantSplit/>
          <w:jc w:val="center"/>
        </w:trPr>
        <w:tc>
          <w:tcPr>
            <w:tcW w:w="1581" w:type="dxa"/>
            <w:shd w:val="clear" w:color="auto" w:fill="auto"/>
            <w:vAlign w:val="bottom"/>
          </w:tcPr>
          <w:p w:rsidR="000E497B" w:rsidRPr="00B25673" w:rsidRDefault="00B86BF2" w:rsidP="001E4EE6">
            <w:pPr>
              <w:spacing w:before="40" w:after="80" w:line="240" w:lineRule="exact"/>
              <w:jc w:val="left"/>
              <w:rPr>
                <w:rFonts w:hint="cs"/>
                <w:sz w:val="16"/>
                <w:szCs w:val="24"/>
                <w:lang w:val="fr-FR" w:eastAsia="pt-BR"/>
              </w:rPr>
            </w:pPr>
            <w:r w:rsidRPr="00B25673">
              <w:rPr>
                <w:rFonts w:hint="cs"/>
                <w:sz w:val="16"/>
                <w:szCs w:val="24"/>
                <w:rtl/>
                <w:lang w:val="fr-FR" w:eastAsia="pt-BR"/>
              </w:rPr>
              <w:t xml:space="preserve">موظفون </w:t>
            </w:r>
            <w:r w:rsidR="001E4EE6" w:rsidRPr="00B25673">
              <w:rPr>
                <w:rFonts w:hint="cs"/>
                <w:sz w:val="16"/>
                <w:szCs w:val="24"/>
                <w:rtl/>
                <w:lang w:val="fr-FR" w:eastAsia="pt-BR"/>
              </w:rPr>
              <w:t>مدنيون</w:t>
            </w:r>
          </w:p>
        </w:tc>
        <w:tc>
          <w:tcPr>
            <w:tcW w:w="2575" w:type="dxa"/>
            <w:shd w:val="clear" w:color="auto" w:fill="auto"/>
            <w:vAlign w:val="bottom"/>
          </w:tcPr>
          <w:p w:rsidR="000E497B" w:rsidRPr="00B25673" w:rsidRDefault="000E497B" w:rsidP="00B25673">
            <w:pPr>
              <w:spacing w:before="40" w:after="80" w:line="240" w:lineRule="exact"/>
              <w:ind w:right="144"/>
              <w:jc w:val="center"/>
              <w:rPr>
                <w:sz w:val="16"/>
                <w:szCs w:val="24"/>
                <w:lang w:val="fr-FR" w:eastAsia="pt-BR"/>
              </w:rPr>
            </w:pPr>
            <w:r w:rsidRPr="00B25673">
              <w:rPr>
                <w:rFonts w:hint="cs"/>
                <w:sz w:val="16"/>
                <w:szCs w:val="24"/>
                <w:rtl/>
                <w:lang w:val="fr-FR"/>
              </w:rPr>
              <w:t>5</w:t>
            </w:r>
          </w:p>
        </w:tc>
        <w:tc>
          <w:tcPr>
            <w:tcW w:w="927" w:type="dxa"/>
            <w:shd w:val="clear" w:color="auto" w:fill="auto"/>
            <w:vAlign w:val="bottom"/>
          </w:tcPr>
          <w:p w:rsidR="000E497B" w:rsidRPr="00B25673" w:rsidRDefault="000E497B" w:rsidP="00B25673">
            <w:pPr>
              <w:spacing w:before="40" w:after="80" w:line="240" w:lineRule="exact"/>
              <w:ind w:right="144"/>
              <w:jc w:val="center"/>
              <w:rPr>
                <w:rFonts w:hint="cs"/>
                <w:sz w:val="16"/>
                <w:szCs w:val="24"/>
                <w:lang w:val="fr-FR" w:eastAsia="pt-BR"/>
              </w:rPr>
            </w:pPr>
            <w:r w:rsidRPr="00B25673">
              <w:rPr>
                <w:rFonts w:hint="cs"/>
                <w:sz w:val="16"/>
                <w:szCs w:val="24"/>
                <w:rtl/>
                <w:lang w:val="fr-FR"/>
              </w:rPr>
              <w:t>4</w:t>
            </w:r>
          </w:p>
        </w:tc>
        <w:tc>
          <w:tcPr>
            <w:tcW w:w="1025" w:type="dxa"/>
            <w:shd w:val="clear" w:color="auto" w:fill="auto"/>
            <w:vAlign w:val="bottom"/>
          </w:tcPr>
          <w:p w:rsidR="000E497B" w:rsidRPr="00B25673" w:rsidRDefault="00B86BF2" w:rsidP="00B25673">
            <w:pPr>
              <w:spacing w:before="40" w:after="80" w:line="240" w:lineRule="exact"/>
              <w:ind w:right="144"/>
              <w:jc w:val="center"/>
              <w:rPr>
                <w:sz w:val="16"/>
                <w:szCs w:val="24"/>
                <w:lang w:val="fr-FR" w:eastAsia="pt-BR"/>
              </w:rPr>
            </w:pPr>
            <w:r w:rsidRPr="00B25673">
              <w:rPr>
                <w:rFonts w:hint="cs"/>
                <w:sz w:val="16"/>
                <w:szCs w:val="24"/>
                <w:rtl/>
                <w:lang w:val="fr-FR"/>
              </w:rPr>
              <w:t>صفر</w:t>
            </w:r>
          </w:p>
        </w:tc>
        <w:tc>
          <w:tcPr>
            <w:tcW w:w="1212" w:type="dxa"/>
            <w:shd w:val="clear" w:color="auto" w:fill="auto"/>
            <w:vAlign w:val="bottom"/>
          </w:tcPr>
          <w:p w:rsidR="000E497B" w:rsidRPr="00B25673" w:rsidRDefault="000E497B" w:rsidP="00B25673">
            <w:pPr>
              <w:spacing w:before="40" w:after="80" w:line="240" w:lineRule="exact"/>
              <w:ind w:right="144"/>
              <w:jc w:val="center"/>
              <w:rPr>
                <w:sz w:val="16"/>
                <w:szCs w:val="24"/>
                <w:lang w:val="fr-FR" w:eastAsia="pt-BR"/>
              </w:rPr>
            </w:pPr>
            <w:r w:rsidRPr="00B25673">
              <w:rPr>
                <w:rFonts w:hint="cs"/>
                <w:sz w:val="16"/>
                <w:szCs w:val="24"/>
                <w:rtl/>
                <w:lang w:val="fr-FR"/>
              </w:rPr>
              <w:t>1</w:t>
            </w:r>
          </w:p>
        </w:tc>
      </w:tr>
      <w:tr w:rsidR="000E497B" w:rsidRPr="00447144">
        <w:trPr>
          <w:cantSplit/>
          <w:jc w:val="center"/>
        </w:trPr>
        <w:tc>
          <w:tcPr>
            <w:tcW w:w="1581" w:type="dxa"/>
            <w:tcBorders>
              <w:bottom w:val="single" w:sz="12" w:space="0" w:color="auto"/>
            </w:tcBorders>
            <w:shd w:val="clear" w:color="auto" w:fill="auto"/>
            <w:vAlign w:val="bottom"/>
          </w:tcPr>
          <w:p w:rsidR="000E497B" w:rsidRPr="00B25673" w:rsidRDefault="00CC1A6D" w:rsidP="001E4EE6">
            <w:pPr>
              <w:spacing w:before="40" w:after="80" w:line="240" w:lineRule="exact"/>
              <w:jc w:val="left"/>
              <w:rPr>
                <w:rFonts w:hint="cs"/>
                <w:sz w:val="16"/>
                <w:szCs w:val="24"/>
                <w:lang w:val="fr-FR" w:eastAsia="pt-BR"/>
              </w:rPr>
            </w:pPr>
            <w:r w:rsidRPr="00B25673">
              <w:rPr>
                <w:rFonts w:hint="cs"/>
                <w:sz w:val="16"/>
                <w:szCs w:val="24"/>
                <w:rtl/>
                <w:lang w:val="fr-FR" w:eastAsia="pt-BR"/>
              </w:rPr>
              <w:t>المجموع</w:t>
            </w:r>
          </w:p>
        </w:tc>
        <w:tc>
          <w:tcPr>
            <w:tcW w:w="2575" w:type="dxa"/>
            <w:tcBorders>
              <w:bottom w:val="single" w:sz="12" w:space="0" w:color="auto"/>
            </w:tcBorders>
            <w:shd w:val="clear" w:color="auto" w:fill="auto"/>
            <w:vAlign w:val="bottom"/>
          </w:tcPr>
          <w:p w:rsidR="000E497B" w:rsidRPr="00B25673" w:rsidRDefault="000E497B" w:rsidP="00B25673">
            <w:pPr>
              <w:spacing w:before="40" w:after="80" w:line="240" w:lineRule="exact"/>
              <w:ind w:right="144"/>
              <w:jc w:val="center"/>
              <w:rPr>
                <w:sz w:val="16"/>
                <w:szCs w:val="24"/>
                <w:lang w:eastAsia="pt-BR"/>
              </w:rPr>
            </w:pPr>
            <w:r w:rsidRPr="00B25673">
              <w:rPr>
                <w:rFonts w:hint="cs"/>
                <w:sz w:val="16"/>
                <w:szCs w:val="24"/>
                <w:rtl/>
              </w:rPr>
              <w:t>15</w:t>
            </w:r>
          </w:p>
        </w:tc>
        <w:tc>
          <w:tcPr>
            <w:tcW w:w="927" w:type="dxa"/>
            <w:tcBorders>
              <w:bottom w:val="single" w:sz="12" w:space="0" w:color="auto"/>
            </w:tcBorders>
            <w:shd w:val="clear" w:color="auto" w:fill="auto"/>
            <w:vAlign w:val="bottom"/>
          </w:tcPr>
          <w:p w:rsidR="000E497B" w:rsidRPr="00B25673" w:rsidRDefault="000E497B" w:rsidP="00B25673">
            <w:pPr>
              <w:spacing w:before="40" w:after="80" w:line="240" w:lineRule="exact"/>
              <w:ind w:right="144"/>
              <w:jc w:val="center"/>
              <w:rPr>
                <w:sz w:val="16"/>
                <w:szCs w:val="24"/>
                <w:lang w:eastAsia="pt-BR"/>
              </w:rPr>
            </w:pPr>
            <w:r w:rsidRPr="00B25673">
              <w:rPr>
                <w:rFonts w:hint="cs"/>
                <w:sz w:val="16"/>
                <w:szCs w:val="24"/>
                <w:rtl/>
              </w:rPr>
              <w:t>14</w:t>
            </w:r>
          </w:p>
        </w:tc>
        <w:tc>
          <w:tcPr>
            <w:tcW w:w="1025" w:type="dxa"/>
            <w:tcBorders>
              <w:bottom w:val="single" w:sz="12" w:space="0" w:color="auto"/>
            </w:tcBorders>
            <w:shd w:val="clear" w:color="auto" w:fill="auto"/>
            <w:vAlign w:val="bottom"/>
          </w:tcPr>
          <w:p w:rsidR="000E497B" w:rsidRPr="00B25673" w:rsidRDefault="00B86BF2" w:rsidP="00B25673">
            <w:pPr>
              <w:spacing w:before="40" w:after="80" w:line="240" w:lineRule="exact"/>
              <w:ind w:right="144"/>
              <w:jc w:val="center"/>
              <w:rPr>
                <w:sz w:val="16"/>
                <w:szCs w:val="24"/>
                <w:lang w:eastAsia="pt-BR"/>
              </w:rPr>
            </w:pPr>
            <w:r w:rsidRPr="00B25673">
              <w:rPr>
                <w:rFonts w:hint="cs"/>
                <w:sz w:val="16"/>
                <w:szCs w:val="24"/>
                <w:rtl/>
              </w:rPr>
              <w:t>صفر</w:t>
            </w:r>
          </w:p>
        </w:tc>
        <w:tc>
          <w:tcPr>
            <w:tcW w:w="1212" w:type="dxa"/>
            <w:tcBorders>
              <w:bottom w:val="single" w:sz="12" w:space="0" w:color="auto"/>
            </w:tcBorders>
            <w:shd w:val="clear" w:color="auto" w:fill="auto"/>
            <w:vAlign w:val="bottom"/>
          </w:tcPr>
          <w:p w:rsidR="000E497B" w:rsidRPr="00B25673" w:rsidRDefault="000E497B" w:rsidP="00B25673">
            <w:pPr>
              <w:spacing w:before="40" w:after="80" w:line="240" w:lineRule="exact"/>
              <w:ind w:right="144"/>
              <w:jc w:val="center"/>
              <w:rPr>
                <w:sz w:val="16"/>
                <w:szCs w:val="24"/>
                <w:lang w:eastAsia="pt-BR"/>
              </w:rPr>
            </w:pPr>
            <w:r w:rsidRPr="00B25673">
              <w:rPr>
                <w:rFonts w:hint="cs"/>
                <w:sz w:val="16"/>
                <w:szCs w:val="24"/>
                <w:rtl/>
              </w:rPr>
              <w:t>1</w:t>
            </w:r>
          </w:p>
        </w:tc>
      </w:tr>
    </w:tbl>
    <w:p w:rsidR="00B86BF2" w:rsidRPr="00B86BF2" w:rsidRDefault="00B86BF2" w:rsidP="00B86BF2">
      <w:pPr>
        <w:pStyle w:val="SingleTxt"/>
        <w:spacing w:after="0" w:line="120" w:lineRule="exact"/>
        <w:rPr>
          <w:rFonts w:hint="cs"/>
          <w:sz w:val="10"/>
          <w:rtl/>
        </w:rPr>
      </w:pPr>
    </w:p>
    <w:p w:rsidR="000E497B" w:rsidRDefault="00B86BF2" w:rsidP="00B86BF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sidRPr="00B86BF2">
        <w:rPr>
          <w:rFonts w:hint="cs"/>
          <w:i/>
          <w:iCs/>
          <w:rtl/>
        </w:rPr>
        <w:t>المصدر</w:t>
      </w:r>
      <w:r>
        <w:rPr>
          <w:rFonts w:hint="cs"/>
          <w:rtl/>
        </w:rPr>
        <w:t>:</w:t>
      </w:r>
      <w:r>
        <w:rPr>
          <w:rFonts w:hint="cs"/>
          <w:rtl/>
        </w:rPr>
        <w:tab/>
        <w:t>المحاكم الكبرى.</w:t>
      </w:r>
    </w:p>
    <w:p w:rsidR="00A25063" w:rsidRPr="00A25063" w:rsidRDefault="00A25063" w:rsidP="00A25063">
      <w:pPr>
        <w:pStyle w:val="SingleTxt"/>
        <w:spacing w:after="0" w:line="120" w:lineRule="exact"/>
        <w:rPr>
          <w:rFonts w:hint="cs"/>
          <w:sz w:val="10"/>
          <w:rtl/>
        </w:rPr>
      </w:pPr>
    </w:p>
    <w:p w:rsidR="00A25063" w:rsidRPr="00A25063" w:rsidRDefault="00A25063" w:rsidP="00A25063">
      <w:pPr>
        <w:pStyle w:val="SingleTxt"/>
        <w:spacing w:after="0" w:line="120" w:lineRule="exact"/>
        <w:rPr>
          <w:rFonts w:hint="cs"/>
          <w:sz w:val="10"/>
          <w:rtl/>
        </w:rPr>
      </w:pPr>
    </w:p>
    <w:p w:rsidR="000E497B" w:rsidRDefault="00A25063" w:rsidP="00202C39">
      <w:pPr>
        <w:pStyle w:val="SingleTxt"/>
        <w:rPr>
          <w:rFonts w:hint="cs"/>
          <w:rtl/>
        </w:rPr>
      </w:pPr>
      <w:r>
        <w:rPr>
          <w:rFonts w:hint="cs"/>
          <w:rtl/>
        </w:rPr>
        <w:tab/>
        <w:t>ومن الأمثلة الأخرى على التقدم المحرز في السنوات القليلة الماضية تزايد وجود الإناث في القوات المسلحة</w:t>
      </w:r>
      <w:r w:rsidRPr="00A25063">
        <w:rPr>
          <w:vertAlign w:val="superscript"/>
          <w:rtl/>
        </w:rPr>
        <w:t>(</w:t>
      </w:r>
      <w:r>
        <w:rPr>
          <w:rStyle w:val="FootnoteReference"/>
          <w:rtl/>
        </w:rPr>
        <w:footnoteReference w:id="3"/>
      </w:r>
      <w:r w:rsidRPr="00A25063">
        <w:rPr>
          <w:vertAlign w:val="superscript"/>
          <w:rtl/>
        </w:rPr>
        <w:t>)</w:t>
      </w:r>
      <w:r>
        <w:rPr>
          <w:rFonts w:hint="cs"/>
          <w:rtl/>
        </w:rPr>
        <w:t>.</w:t>
      </w:r>
    </w:p>
    <w:p w:rsidR="00853224" w:rsidRDefault="00853224" w:rsidP="00202C39">
      <w:pPr>
        <w:pStyle w:val="SingleTxt"/>
        <w:rPr>
          <w:rFonts w:hint="cs"/>
          <w:rtl/>
        </w:rPr>
      </w:pPr>
      <w:r>
        <w:rPr>
          <w:rFonts w:hint="cs"/>
          <w:rtl/>
        </w:rPr>
        <w:tab/>
        <w:t xml:space="preserve">وبموجب دستور البرازيل، </w:t>
      </w:r>
      <w:r w:rsidR="00EE42D8">
        <w:rPr>
          <w:rFonts w:hint="cs"/>
          <w:rtl/>
        </w:rPr>
        <w:t>تعفى المرأة من الخدمة العسكرية. ومع ذلك، ففي واقع الأمر، ما كانت يوما مهنة تقتصر على الذكور أصبحت في السنوات القليلة الماضية ميدانا جديدا لعمل النساء اللائي يعتزمن الانخراط في المهن العسكرية.</w:t>
      </w:r>
    </w:p>
    <w:p w:rsidR="00EE42D8" w:rsidRDefault="00EE42D8" w:rsidP="00202C39">
      <w:pPr>
        <w:pStyle w:val="SingleTxt"/>
        <w:rPr>
          <w:rFonts w:hint="cs"/>
          <w:rtl/>
        </w:rPr>
      </w:pPr>
      <w:r>
        <w:rPr>
          <w:rFonts w:hint="cs"/>
          <w:rtl/>
        </w:rPr>
        <w:tab/>
        <w:t>ونظرا لتزايد اهتمام المرأة، بدأ جيش البرازيل يشرك المرأة في مجالات متنوعة يعمل بها موظفوه. وفي عام 1992، التحقت أول مجموعة مكونة من 49 امرأة بمدرسة الجيش الإدارية في سلفادور، في ولاية باهيا، وأصبحن ضابطات (بدرجة ملازم أول) في الفيلق التكميلي. وفي عام 2001 بلغ هذا العدد 170 2 من الضباط الإناث اللاتي يعملن في الخدمة الفعلية. وتشير بيانات شباط/فبراير 2005 إلى أن 617 3 امرأة سيشكلن الفرقة.</w:t>
      </w:r>
    </w:p>
    <w:p w:rsidR="00EE42D8" w:rsidRDefault="00EE42D8" w:rsidP="00B264BC">
      <w:pPr>
        <w:pStyle w:val="SingleTxt"/>
        <w:rPr>
          <w:rFonts w:hint="cs"/>
          <w:rtl/>
        </w:rPr>
      </w:pPr>
      <w:r>
        <w:rPr>
          <w:rFonts w:hint="cs"/>
          <w:rtl/>
        </w:rPr>
        <w:tab/>
        <w:t>ويتلقى ج</w:t>
      </w:r>
      <w:r w:rsidR="00B264BC">
        <w:rPr>
          <w:rFonts w:hint="cs"/>
          <w:rtl/>
        </w:rPr>
        <w:t>ميع الطلبة، سواء كانوا رجالا أم</w:t>
      </w:r>
      <w:r>
        <w:rPr>
          <w:rFonts w:hint="cs"/>
          <w:rtl/>
        </w:rPr>
        <w:t xml:space="preserve"> نساء، نفس التدريب الأساسي أثناء دورات مدرسة الجيش الإدارية، ولا </w:t>
      </w:r>
      <w:r w:rsidR="00B264BC">
        <w:rPr>
          <w:rFonts w:hint="cs"/>
          <w:rtl/>
        </w:rPr>
        <w:t>ي</w:t>
      </w:r>
      <w:r>
        <w:rPr>
          <w:rFonts w:hint="cs"/>
          <w:rtl/>
        </w:rPr>
        <w:t xml:space="preserve">قيد </w:t>
      </w:r>
      <w:r w:rsidR="00B264BC">
        <w:rPr>
          <w:rFonts w:hint="cs"/>
          <w:rtl/>
        </w:rPr>
        <w:t xml:space="preserve">المسار الوظيفي </w:t>
      </w:r>
      <w:r>
        <w:rPr>
          <w:rFonts w:hint="cs"/>
          <w:rtl/>
        </w:rPr>
        <w:t xml:space="preserve">العسكري للمرأة إلا في مجال القتال. ولم تنشئ المؤسسة </w:t>
      </w:r>
      <w:r>
        <w:rPr>
          <w:rFonts w:hint="eastAsia"/>
          <w:rtl/>
        </w:rPr>
        <w:t>”فيلق للإناث</w:t>
      </w:r>
      <w:r>
        <w:rPr>
          <w:rFonts w:hint="cs"/>
          <w:rtl/>
        </w:rPr>
        <w:t>“. وتلتحق النساء بالوظائف السابق وجودها. فيعملن في ظل نفس الظروف التي يعمل فيها الضباط الذكور، ويتنافس</w:t>
      </w:r>
      <w:r w:rsidR="00B264BC">
        <w:rPr>
          <w:rFonts w:hint="cs"/>
          <w:rtl/>
        </w:rPr>
        <w:t>ن</w:t>
      </w:r>
      <w:r>
        <w:rPr>
          <w:rFonts w:hint="cs"/>
          <w:rtl/>
        </w:rPr>
        <w:t xml:space="preserve"> على قدم المساواة للحصول على الترقيات.</w:t>
      </w:r>
    </w:p>
    <w:p w:rsidR="00EE42D8" w:rsidRDefault="00EE42D8" w:rsidP="00202C39">
      <w:pPr>
        <w:pStyle w:val="SingleTxt"/>
        <w:rPr>
          <w:rFonts w:hint="cs"/>
          <w:rtl/>
        </w:rPr>
      </w:pPr>
      <w:r>
        <w:rPr>
          <w:rFonts w:hint="cs"/>
          <w:rtl/>
        </w:rPr>
        <w:tab/>
        <w:t xml:space="preserve">ووجود المرأة في المجالس التنفيذية للنقابات مثل آخر على ازدياد إمكانية وصول المرأة إلى مناصب السلطة. وقام المعهد البرازيلي للجغرافيا والإحصاءات بإجراء دراسة استقصائية بعنوان </w:t>
      </w:r>
      <w:r>
        <w:rPr>
          <w:rFonts w:hint="eastAsia"/>
          <w:rtl/>
        </w:rPr>
        <w:t>”النقابات - المؤشرات الاجتماعية لعام 2001</w:t>
      </w:r>
      <w:r>
        <w:rPr>
          <w:rFonts w:hint="cs"/>
          <w:rtl/>
        </w:rPr>
        <w:t>“ بغية تحليل وجود المرأة في النقابات، ضمن جملة أمور. ويتبين من هذه الدراسة الاستقصائية أنه في عام 1984، بدأت بعض فروع الحركة النقابية تدرج في نظمها الأساسية حصصا تتعلق بنوع الجنس في مجالسها التنفيذية كوسيلة للإقلال من التباين في مشاركة المرأة في سوق العمل وفي إدارة النقابات.</w:t>
      </w:r>
    </w:p>
    <w:p w:rsidR="00EE42D8" w:rsidRDefault="004F12B2" w:rsidP="00B264BC">
      <w:pPr>
        <w:pStyle w:val="SingleTxt"/>
        <w:rPr>
          <w:rFonts w:hint="cs"/>
          <w:rtl/>
        </w:rPr>
      </w:pPr>
      <w:r>
        <w:rPr>
          <w:rFonts w:hint="cs"/>
          <w:rtl/>
        </w:rPr>
        <w:tab/>
        <w:t>وتشير البيانات المجمعة من الدراستين الاستقصائيتين للنقابات لعامي 1992 و</w:t>
      </w:r>
      <w:r>
        <w:rPr>
          <w:rFonts w:hint="eastAsia"/>
          <w:rtl/>
        </w:rPr>
        <w:t> </w:t>
      </w:r>
      <w:r>
        <w:rPr>
          <w:rFonts w:hint="cs"/>
          <w:rtl/>
        </w:rPr>
        <w:t>2001 إلى زيادة مشاركة المرأة في المجالس التنفيذية للنقابات</w:t>
      </w:r>
      <w:r w:rsidR="00B264BC">
        <w:rPr>
          <w:rFonts w:hint="cs"/>
          <w:rtl/>
        </w:rPr>
        <w:t>،</w:t>
      </w:r>
      <w:r>
        <w:rPr>
          <w:rFonts w:hint="cs"/>
          <w:rtl/>
        </w:rPr>
        <w:t xml:space="preserve"> رغم أنها لا تزال في مراحلها الأولى في بعض أنواع النقابات. وكان الدليل الرئيسي الذي قدمته هاتان الدراستان الاستقصائيتان، فيما يتعلق بمشاركة المرأة، هو وجود زيادة في نسبة النقابات التي يوجد بها مجالس تنفيذية يشترك فيها الجنسان، وذلك نتيجة لتناقص </w:t>
      </w:r>
      <w:r w:rsidR="004F0004">
        <w:rPr>
          <w:rFonts w:hint="cs"/>
          <w:rtl/>
        </w:rPr>
        <w:t xml:space="preserve">عدد </w:t>
      </w:r>
      <w:r>
        <w:rPr>
          <w:rFonts w:hint="cs"/>
          <w:rtl/>
        </w:rPr>
        <w:t>النقابات التي تقتصر الإدارة فيها على الذكور، ونتيجة للثبات الضئيل في نسبة النقابات التي تقتصر الإدارة فيها على الإناث.</w:t>
      </w:r>
    </w:p>
    <w:p w:rsidR="000F42D9" w:rsidRPr="000F42D9" w:rsidRDefault="00063EF0" w:rsidP="000F42D9">
      <w:pPr>
        <w:pStyle w:val="SingleTxt"/>
        <w:spacing w:after="0" w:line="120" w:lineRule="exact"/>
        <w:rPr>
          <w:rFonts w:hint="cs"/>
          <w:sz w:val="10"/>
          <w:rtl/>
          <w:lang w:bidi="ar-EG"/>
        </w:rPr>
      </w:pPr>
      <w:r>
        <w:rPr>
          <w:sz w:val="10"/>
          <w:rtl/>
          <w:lang w:bidi="ar-EG"/>
        </w:rPr>
        <w:br w:type="page"/>
      </w:r>
    </w:p>
    <w:tbl>
      <w:tblPr>
        <w:bidiVisual/>
        <w:tblW w:w="9896" w:type="dxa"/>
        <w:jc w:val="center"/>
        <w:tblInd w:w="-55" w:type="dxa"/>
        <w:tblLayout w:type="fixed"/>
        <w:tblCellMar>
          <w:left w:w="0" w:type="dxa"/>
          <w:right w:w="0" w:type="dxa"/>
        </w:tblCellMar>
        <w:tblLook w:val="01E0" w:firstRow="1" w:lastRow="1" w:firstColumn="1" w:lastColumn="1" w:noHBand="0" w:noVBand="0"/>
      </w:tblPr>
      <w:tblGrid>
        <w:gridCol w:w="9"/>
        <w:gridCol w:w="8"/>
        <w:gridCol w:w="3150"/>
        <w:gridCol w:w="9"/>
        <w:gridCol w:w="11"/>
        <w:gridCol w:w="3482"/>
        <w:gridCol w:w="9"/>
        <w:gridCol w:w="11"/>
        <w:gridCol w:w="3185"/>
        <w:gridCol w:w="9"/>
        <w:gridCol w:w="13"/>
      </w:tblGrid>
      <w:tr w:rsidR="000F42D9" w:rsidRPr="00A8073D">
        <w:trPr>
          <w:gridAfter w:val="2"/>
          <w:wAfter w:w="22" w:type="dxa"/>
          <w:cantSplit/>
          <w:tblHeader/>
          <w:jc w:val="center"/>
        </w:trPr>
        <w:tc>
          <w:tcPr>
            <w:tcW w:w="9874" w:type="dxa"/>
            <w:gridSpan w:val="9"/>
            <w:tcBorders>
              <w:top w:val="single" w:sz="4" w:space="0" w:color="auto"/>
              <w:bottom w:val="single" w:sz="4" w:space="0" w:color="auto"/>
            </w:tcBorders>
            <w:shd w:val="clear" w:color="auto" w:fill="auto"/>
            <w:vAlign w:val="bottom"/>
          </w:tcPr>
          <w:p w:rsidR="000F42D9" w:rsidRPr="00BC471B" w:rsidRDefault="000F42D9" w:rsidP="00A8073D">
            <w:pPr>
              <w:autoSpaceDE w:val="0"/>
              <w:autoSpaceDN w:val="0"/>
              <w:adjustRightInd w:val="0"/>
              <w:spacing w:before="80" w:after="80" w:line="300" w:lineRule="exact"/>
              <w:ind w:right="144"/>
              <w:jc w:val="center"/>
              <w:rPr>
                <w:rFonts w:hint="cs"/>
                <w:b/>
                <w:bCs/>
                <w:sz w:val="18"/>
                <w:szCs w:val="26"/>
                <w:rtl/>
              </w:rPr>
            </w:pPr>
            <w:r w:rsidRPr="00BC471B">
              <w:rPr>
                <w:rFonts w:hint="cs"/>
                <w:b/>
                <w:bCs/>
                <w:sz w:val="18"/>
                <w:szCs w:val="26"/>
                <w:rtl/>
              </w:rPr>
              <w:t>الموظفون - النقابات، وفقا لبعض مؤشرات نوع جنس الموظفين التنفيذيين</w:t>
            </w:r>
            <w:r w:rsidRPr="00BC471B">
              <w:rPr>
                <w:b/>
                <w:bCs/>
                <w:sz w:val="18"/>
                <w:szCs w:val="26"/>
                <w:rtl/>
              </w:rPr>
              <w:br/>
            </w:r>
            <w:r w:rsidRPr="00BC471B">
              <w:rPr>
                <w:rFonts w:hint="cs"/>
                <w:b/>
                <w:bCs/>
                <w:sz w:val="18"/>
                <w:szCs w:val="26"/>
                <w:rtl/>
              </w:rPr>
              <w:t>البرازيل 1992/2001</w:t>
            </w:r>
          </w:p>
        </w:tc>
      </w:tr>
      <w:tr w:rsidR="001B2034" w:rsidRPr="00A8073D">
        <w:trPr>
          <w:gridAfter w:val="2"/>
          <w:wAfter w:w="22" w:type="dxa"/>
          <w:cantSplit/>
          <w:tblHeader/>
          <w:jc w:val="center"/>
        </w:trPr>
        <w:tc>
          <w:tcPr>
            <w:tcW w:w="3167" w:type="dxa"/>
            <w:gridSpan w:val="3"/>
            <w:tcBorders>
              <w:top w:val="single" w:sz="4" w:space="0" w:color="auto"/>
            </w:tcBorders>
            <w:shd w:val="clear" w:color="auto" w:fill="auto"/>
            <w:vAlign w:val="bottom"/>
          </w:tcPr>
          <w:p w:rsidR="000F42D9" w:rsidRPr="00A8073D" w:rsidRDefault="000F42D9" w:rsidP="00A8073D">
            <w:pPr>
              <w:autoSpaceDE w:val="0"/>
              <w:autoSpaceDN w:val="0"/>
              <w:adjustRightInd w:val="0"/>
              <w:spacing w:after="80" w:line="300" w:lineRule="exact"/>
              <w:jc w:val="left"/>
              <w:rPr>
                <w:i/>
                <w:iCs/>
                <w:sz w:val="18"/>
                <w:szCs w:val="26"/>
              </w:rPr>
            </w:pPr>
          </w:p>
        </w:tc>
        <w:tc>
          <w:tcPr>
            <w:tcW w:w="6707" w:type="dxa"/>
            <w:gridSpan w:val="6"/>
            <w:tcBorders>
              <w:top w:val="single" w:sz="4" w:space="0" w:color="auto"/>
              <w:bottom w:val="single" w:sz="4" w:space="0" w:color="auto"/>
            </w:tcBorders>
            <w:shd w:val="clear" w:color="auto" w:fill="auto"/>
            <w:vAlign w:val="bottom"/>
          </w:tcPr>
          <w:p w:rsidR="000F42D9" w:rsidRPr="00A8073D" w:rsidRDefault="000F42D9" w:rsidP="00A8073D">
            <w:pPr>
              <w:autoSpaceDE w:val="0"/>
              <w:autoSpaceDN w:val="0"/>
              <w:adjustRightInd w:val="0"/>
              <w:spacing w:after="80" w:line="300" w:lineRule="exact"/>
              <w:ind w:right="144"/>
              <w:jc w:val="center"/>
              <w:rPr>
                <w:rFonts w:hint="cs"/>
                <w:i/>
                <w:iCs/>
                <w:sz w:val="18"/>
                <w:szCs w:val="26"/>
                <w:rtl/>
              </w:rPr>
            </w:pPr>
            <w:r w:rsidRPr="00A8073D">
              <w:rPr>
                <w:rFonts w:hint="cs"/>
                <w:i/>
                <w:iCs/>
                <w:sz w:val="18"/>
                <w:szCs w:val="26"/>
                <w:rtl/>
              </w:rPr>
              <w:t>النقابات</w:t>
            </w:r>
          </w:p>
        </w:tc>
      </w:tr>
      <w:tr w:rsidR="00A8073D" w:rsidRPr="00A8073D">
        <w:trPr>
          <w:gridAfter w:val="2"/>
          <w:wAfter w:w="22" w:type="dxa"/>
          <w:cantSplit/>
          <w:tblHeader/>
          <w:jc w:val="center"/>
        </w:trPr>
        <w:tc>
          <w:tcPr>
            <w:tcW w:w="3167" w:type="dxa"/>
            <w:gridSpan w:val="3"/>
            <w:tcBorders>
              <w:bottom w:val="single" w:sz="12" w:space="0" w:color="auto"/>
            </w:tcBorders>
            <w:shd w:val="clear" w:color="auto" w:fill="auto"/>
            <w:vAlign w:val="bottom"/>
          </w:tcPr>
          <w:p w:rsidR="00447144" w:rsidRPr="00A8073D" w:rsidRDefault="000F42D9" w:rsidP="00A8073D">
            <w:pPr>
              <w:autoSpaceDE w:val="0"/>
              <w:autoSpaceDN w:val="0"/>
              <w:adjustRightInd w:val="0"/>
              <w:spacing w:after="80" w:line="300" w:lineRule="exact"/>
              <w:jc w:val="left"/>
              <w:rPr>
                <w:rFonts w:hint="cs"/>
                <w:i/>
                <w:iCs/>
                <w:sz w:val="18"/>
                <w:szCs w:val="26"/>
              </w:rPr>
            </w:pPr>
            <w:r w:rsidRPr="00A8073D">
              <w:rPr>
                <w:rFonts w:hint="cs"/>
                <w:i/>
                <w:iCs/>
                <w:sz w:val="18"/>
                <w:szCs w:val="26"/>
                <w:rtl/>
              </w:rPr>
              <w:t>مؤشرات نوع جنس الموظفين التنفيذيين</w:t>
            </w:r>
          </w:p>
        </w:tc>
        <w:tc>
          <w:tcPr>
            <w:tcW w:w="3502" w:type="dxa"/>
            <w:gridSpan w:val="3"/>
            <w:tcBorders>
              <w:bottom w:val="single" w:sz="12" w:space="0" w:color="auto"/>
            </w:tcBorders>
            <w:shd w:val="clear" w:color="auto" w:fill="auto"/>
            <w:vAlign w:val="bottom"/>
          </w:tcPr>
          <w:p w:rsidR="00447144" w:rsidRPr="00A8073D" w:rsidRDefault="000F42D9" w:rsidP="00A8073D">
            <w:pPr>
              <w:autoSpaceDE w:val="0"/>
              <w:autoSpaceDN w:val="0"/>
              <w:adjustRightInd w:val="0"/>
              <w:spacing w:after="80" w:line="300" w:lineRule="exact"/>
              <w:ind w:right="144"/>
              <w:jc w:val="center"/>
              <w:rPr>
                <w:rFonts w:hint="cs"/>
                <w:i/>
                <w:iCs/>
                <w:sz w:val="18"/>
                <w:szCs w:val="26"/>
                <w:rtl/>
                <w:lang w:bidi="ar-EG"/>
              </w:rPr>
            </w:pPr>
            <w:r w:rsidRPr="00A8073D">
              <w:rPr>
                <w:rFonts w:hint="cs"/>
                <w:i/>
                <w:iCs/>
                <w:sz w:val="18"/>
                <w:szCs w:val="26"/>
                <w:rtl/>
                <w:lang w:bidi="ar-EG"/>
              </w:rPr>
              <w:t>1992</w:t>
            </w:r>
          </w:p>
        </w:tc>
        <w:tc>
          <w:tcPr>
            <w:tcW w:w="3205" w:type="dxa"/>
            <w:gridSpan w:val="3"/>
            <w:tcBorders>
              <w:bottom w:val="single" w:sz="12" w:space="0" w:color="auto"/>
            </w:tcBorders>
            <w:shd w:val="clear" w:color="auto" w:fill="auto"/>
            <w:vAlign w:val="bottom"/>
          </w:tcPr>
          <w:p w:rsidR="00447144" w:rsidRPr="00A8073D" w:rsidRDefault="000F42D9" w:rsidP="00A8073D">
            <w:pPr>
              <w:autoSpaceDE w:val="0"/>
              <w:autoSpaceDN w:val="0"/>
              <w:adjustRightInd w:val="0"/>
              <w:spacing w:after="80" w:line="300" w:lineRule="exact"/>
              <w:ind w:right="144"/>
              <w:jc w:val="center"/>
              <w:rPr>
                <w:rFonts w:hint="cs"/>
                <w:i/>
                <w:iCs/>
                <w:sz w:val="18"/>
                <w:szCs w:val="26"/>
                <w:rtl/>
              </w:rPr>
            </w:pPr>
            <w:r w:rsidRPr="00A8073D">
              <w:rPr>
                <w:rFonts w:hint="cs"/>
                <w:i/>
                <w:iCs/>
                <w:sz w:val="18"/>
                <w:szCs w:val="26"/>
                <w:rtl/>
              </w:rPr>
              <w:t>2001</w:t>
            </w:r>
          </w:p>
        </w:tc>
      </w:tr>
      <w:tr w:rsidR="00A8073D" w:rsidRPr="00A8073D">
        <w:trPr>
          <w:gridAfter w:val="2"/>
          <w:wAfter w:w="22" w:type="dxa"/>
          <w:cantSplit/>
          <w:trHeight w:hRule="exact" w:val="115"/>
          <w:tblHeader/>
          <w:jc w:val="center"/>
        </w:trPr>
        <w:tc>
          <w:tcPr>
            <w:tcW w:w="3167" w:type="dxa"/>
            <w:gridSpan w:val="3"/>
            <w:tcBorders>
              <w:top w:val="single" w:sz="12" w:space="0" w:color="auto"/>
            </w:tcBorders>
            <w:shd w:val="clear" w:color="auto" w:fill="auto"/>
            <w:vAlign w:val="bottom"/>
          </w:tcPr>
          <w:p w:rsidR="00447144" w:rsidRPr="00A8073D" w:rsidRDefault="00447144" w:rsidP="00A8073D">
            <w:pPr>
              <w:autoSpaceDE w:val="0"/>
              <w:autoSpaceDN w:val="0"/>
              <w:bidi w:val="0"/>
              <w:adjustRightInd w:val="0"/>
              <w:spacing w:before="40" w:after="80" w:line="300" w:lineRule="exact"/>
              <w:jc w:val="right"/>
              <w:rPr>
                <w:sz w:val="18"/>
                <w:szCs w:val="26"/>
              </w:rPr>
            </w:pPr>
          </w:p>
        </w:tc>
        <w:tc>
          <w:tcPr>
            <w:tcW w:w="3502" w:type="dxa"/>
            <w:gridSpan w:val="3"/>
            <w:tcBorders>
              <w:top w:val="single" w:sz="12" w:space="0" w:color="auto"/>
            </w:tcBorders>
            <w:shd w:val="clear" w:color="auto" w:fill="auto"/>
            <w:vAlign w:val="bottom"/>
          </w:tcPr>
          <w:p w:rsidR="00447144" w:rsidRPr="00A8073D" w:rsidRDefault="00447144" w:rsidP="00A8073D">
            <w:pPr>
              <w:autoSpaceDE w:val="0"/>
              <w:autoSpaceDN w:val="0"/>
              <w:bidi w:val="0"/>
              <w:adjustRightInd w:val="0"/>
              <w:spacing w:before="40" w:after="80" w:line="300" w:lineRule="exact"/>
              <w:ind w:right="144"/>
              <w:jc w:val="right"/>
              <w:rPr>
                <w:rFonts w:hint="cs"/>
                <w:sz w:val="18"/>
                <w:szCs w:val="26"/>
                <w:rtl/>
              </w:rPr>
            </w:pPr>
          </w:p>
        </w:tc>
        <w:tc>
          <w:tcPr>
            <w:tcW w:w="3205" w:type="dxa"/>
            <w:gridSpan w:val="3"/>
            <w:tcBorders>
              <w:top w:val="single" w:sz="12" w:space="0" w:color="auto"/>
            </w:tcBorders>
            <w:shd w:val="clear" w:color="auto" w:fill="auto"/>
            <w:vAlign w:val="bottom"/>
          </w:tcPr>
          <w:p w:rsidR="00447144" w:rsidRPr="00A8073D" w:rsidRDefault="00447144" w:rsidP="00A8073D">
            <w:pPr>
              <w:autoSpaceDE w:val="0"/>
              <w:autoSpaceDN w:val="0"/>
              <w:bidi w:val="0"/>
              <w:adjustRightInd w:val="0"/>
              <w:spacing w:before="40" w:after="80" w:line="300" w:lineRule="exact"/>
              <w:ind w:right="144"/>
              <w:jc w:val="right"/>
              <w:rPr>
                <w:rFonts w:hint="cs"/>
                <w:sz w:val="18"/>
                <w:szCs w:val="26"/>
                <w:rtl/>
              </w:rPr>
            </w:pPr>
          </w:p>
        </w:tc>
      </w:tr>
      <w:tr w:rsidR="00A8073D" w:rsidRPr="00A8073D">
        <w:trPr>
          <w:gridAfter w:val="2"/>
          <w:wAfter w:w="22" w:type="dxa"/>
          <w:cantSplit/>
          <w:jc w:val="center"/>
        </w:trPr>
        <w:tc>
          <w:tcPr>
            <w:tcW w:w="3167" w:type="dxa"/>
            <w:gridSpan w:val="3"/>
            <w:shd w:val="clear" w:color="auto" w:fill="auto"/>
            <w:vAlign w:val="bottom"/>
          </w:tcPr>
          <w:p w:rsidR="000E497B" w:rsidRPr="00A8073D" w:rsidRDefault="000F42D9"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 xml:space="preserve">النسبة المئوية للنقابات ذات </w:t>
            </w:r>
            <w:r w:rsidR="004F0004">
              <w:rPr>
                <w:rFonts w:hint="cs"/>
                <w:sz w:val="18"/>
                <w:szCs w:val="26"/>
                <w:rtl/>
                <w:lang w:eastAsia="pt-BR"/>
              </w:rPr>
              <w:t>ال</w:t>
            </w:r>
            <w:r w:rsidRPr="00A8073D">
              <w:rPr>
                <w:rFonts w:hint="cs"/>
                <w:sz w:val="18"/>
                <w:szCs w:val="26"/>
                <w:rtl/>
                <w:lang w:eastAsia="pt-BR"/>
              </w:rPr>
              <w:t xml:space="preserve">مجالس </w:t>
            </w:r>
            <w:r w:rsidR="004F0004">
              <w:rPr>
                <w:rFonts w:hint="cs"/>
                <w:sz w:val="18"/>
                <w:szCs w:val="26"/>
                <w:rtl/>
                <w:lang w:eastAsia="pt-BR"/>
              </w:rPr>
              <w:t>ال</w:t>
            </w:r>
            <w:r w:rsidRPr="00A8073D">
              <w:rPr>
                <w:rFonts w:hint="cs"/>
                <w:sz w:val="18"/>
                <w:szCs w:val="26"/>
                <w:rtl/>
                <w:lang w:eastAsia="pt-BR"/>
              </w:rPr>
              <w:t xml:space="preserve">تنفيذية </w:t>
            </w:r>
            <w:r w:rsidR="004F0004">
              <w:rPr>
                <w:rFonts w:hint="cs"/>
                <w:sz w:val="18"/>
                <w:szCs w:val="26"/>
                <w:rtl/>
                <w:lang w:eastAsia="pt-BR"/>
              </w:rPr>
              <w:t>ال</w:t>
            </w:r>
            <w:r w:rsidRPr="00A8073D">
              <w:rPr>
                <w:rFonts w:hint="cs"/>
                <w:sz w:val="18"/>
                <w:szCs w:val="26"/>
                <w:rtl/>
                <w:lang w:eastAsia="pt-BR"/>
              </w:rPr>
              <w:t>قاصرة على الذكور</w:t>
            </w:r>
          </w:p>
        </w:tc>
        <w:tc>
          <w:tcPr>
            <w:tcW w:w="3502" w:type="dxa"/>
            <w:gridSpan w:val="3"/>
            <w:shd w:val="clear" w:color="auto" w:fill="auto"/>
          </w:tcPr>
          <w:p w:rsidR="000E497B" w:rsidRPr="00A8073D" w:rsidRDefault="000E497B" w:rsidP="00A8073D">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50</w:t>
            </w:r>
          </w:p>
        </w:tc>
        <w:tc>
          <w:tcPr>
            <w:tcW w:w="3205" w:type="dxa"/>
            <w:gridSpan w:val="3"/>
            <w:shd w:val="clear" w:color="auto" w:fill="auto"/>
          </w:tcPr>
          <w:p w:rsidR="000E497B" w:rsidRPr="00A8073D" w:rsidRDefault="000E497B" w:rsidP="00A8073D">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35</w:t>
            </w:r>
          </w:p>
        </w:tc>
      </w:tr>
      <w:tr w:rsidR="00A8073D" w:rsidRPr="00A8073D">
        <w:trPr>
          <w:gridAfter w:val="2"/>
          <w:wAfter w:w="22" w:type="dxa"/>
          <w:cantSplit/>
          <w:jc w:val="center"/>
        </w:trPr>
        <w:tc>
          <w:tcPr>
            <w:tcW w:w="3167" w:type="dxa"/>
            <w:gridSpan w:val="3"/>
            <w:shd w:val="clear" w:color="auto" w:fill="auto"/>
            <w:vAlign w:val="bottom"/>
          </w:tcPr>
          <w:p w:rsidR="000E497B" w:rsidRPr="00A8073D" w:rsidRDefault="00930DE7"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النسبة المئوية للنقابات ذات المجالس التنفيذية التي يشارك فيها الجنسان</w:t>
            </w:r>
          </w:p>
        </w:tc>
        <w:tc>
          <w:tcPr>
            <w:tcW w:w="3502" w:type="dxa"/>
            <w:gridSpan w:val="3"/>
            <w:shd w:val="clear" w:color="auto" w:fill="auto"/>
          </w:tcPr>
          <w:p w:rsidR="000E497B" w:rsidRPr="00A8073D" w:rsidRDefault="000E497B" w:rsidP="00A8073D">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49</w:t>
            </w:r>
          </w:p>
        </w:tc>
        <w:tc>
          <w:tcPr>
            <w:tcW w:w="3205" w:type="dxa"/>
            <w:gridSpan w:val="3"/>
            <w:shd w:val="clear" w:color="auto" w:fill="auto"/>
          </w:tcPr>
          <w:p w:rsidR="000E497B" w:rsidRPr="00A8073D" w:rsidRDefault="000E497B" w:rsidP="00A8073D">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64</w:t>
            </w:r>
          </w:p>
        </w:tc>
      </w:tr>
      <w:tr w:rsidR="00A8073D" w:rsidRPr="00A8073D">
        <w:trPr>
          <w:gridBefore w:val="2"/>
          <w:wBefore w:w="17" w:type="dxa"/>
          <w:cantSplit/>
          <w:jc w:val="center"/>
        </w:trPr>
        <w:tc>
          <w:tcPr>
            <w:tcW w:w="3170" w:type="dxa"/>
            <w:gridSpan w:val="3"/>
            <w:shd w:val="clear" w:color="auto" w:fill="auto"/>
          </w:tcPr>
          <w:p w:rsidR="000E497B" w:rsidRPr="00A8073D" w:rsidRDefault="00930DE7"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نقابات يغلب فيها وجود مجالس تنفيذية قاصرة على الذكور</w:t>
            </w:r>
          </w:p>
        </w:tc>
        <w:tc>
          <w:tcPr>
            <w:tcW w:w="3502" w:type="dxa"/>
            <w:gridSpan w:val="3"/>
            <w:shd w:val="clear" w:color="auto" w:fill="auto"/>
          </w:tcPr>
          <w:p w:rsidR="00930DE7"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1 -</w:t>
            </w:r>
            <w:r w:rsidR="001B2034">
              <w:rPr>
                <w:sz w:val="18"/>
                <w:szCs w:val="26"/>
                <w:rtl/>
                <w:lang w:eastAsia="pt-BR"/>
              </w:rPr>
              <w:tab/>
            </w:r>
            <w:r w:rsidRPr="00A8073D">
              <w:rPr>
                <w:rFonts w:hint="cs"/>
                <w:sz w:val="18"/>
                <w:szCs w:val="26"/>
                <w:rtl/>
                <w:lang w:eastAsia="pt-BR"/>
              </w:rPr>
              <w:t>عمال مؤقتون (97 في المائة)</w:t>
            </w:r>
          </w:p>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2 -</w:t>
            </w:r>
            <w:r w:rsidR="001B2034">
              <w:rPr>
                <w:sz w:val="18"/>
                <w:szCs w:val="26"/>
                <w:rtl/>
                <w:lang w:eastAsia="pt-BR"/>
              </w:rPr>
              <w:tab/>
            </w:r>
            <w:r w:rsidRPr="00A8073D">
              <w:rPr>
                <w:rFonts w:hint="cs"/>
                <w:sz w:val="18"/>
                <w:szCs w:val="26"/>
                <w:rtl/>
                <w:lang w:eastAsia="pt-BR"/>
              </w:rPr>
              <w:t>أصحاب عمل في الريف (85 في المائة)</w:t>
            </w:r>
          </w:p>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3 -</w:t>
            </w:r>
            <w:r w:rsidR="001B2034">
              <w:rPr>
                <w:sz w:val="18"/>
                <w:szCs w:val="26"/>
                <w:rtl/>
                <w:lang w:eastAsia="pt-BR"/>
              </w:rPr>
              <w:tab/>
            </w:r>
            <w:r w:rsidRPr="00A8073D">
              <w:rPr>
                <w:rFonts w:hint="cs"/>
                <w:sz w:val="18"/>
                <w:szCs w:val="26"/>
                <w:rtl/>
                <w:lang w:eastAsia="pt-BR"/>
              </w:rPr>
              <w:t>وكلاء (77 في المائة)</w:t>
            </w:r>
          </w:p>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4 -</w:t>
            </w:r>
            <w:r w:rsidR="001B2034">
              <w:rPr>
                <w:sz w:val="18"/>
                <w:szCs w:val="26"/>
                <w:rtl/>
                <w:lang w:eastAsia="pt-BR"/>
              </w:rPr>
              <w:tab/>
            </w:r>
            <w:r w:rsidRPr="00A8073D">
              <w:rPr>
                <w:rFonts w:hint="cs"/>
                <w:sz w:val="18"/>
                <w:szCs w:val="26"/>
                <w:rtl/>
                <w:lang w:eastAsia="pt-BR"/>
              </w:rPr>
              <w:t>أصحاب عمل في الحضر (65 في المائة)</w:t>
            </w:r>
          </w:p>
          <w:p w:rsidR="00B47AFC" w:rsidRPr="00A8073D" w:rsidRDefault="00B47AFC" w:rsidP="00A8073D">
            <w:pPr>
              <w:tabs>
                <w:tab w:val="left" w:pos="515"/>
              </w:tabs>
              <w:autoSpaceDE w:val="0"/>
              <w:autoSpaceDN w:val="0"/>
              <w:adjustRightInd w:val="0"/>
              <w:spacing w:before="40" w:after="80" w:line="300" w:lineRule="exact"/>
              <w:ind w:right="144"/>
              <w:jc w:val="left"/>
              <w:rPr>
                <w:rFonts w:hint="cs"/>
                <w:sz w:val="18"/>
                <w:szCs w:val="26"/>
                <w:lang w:eastAsia="pt-BR"/>
              </w:rPr>
            </w:pPr>
            <w:r w:rsidRPr="00A8073D">
              <w:rPr>
                <w:rFonts w:hint="cs"/>
                <w:sz w:val="18"/>
                <w:szCs w:val="26"/>
                <w:rtl/>
                <w:lang w:eastAsia="pt-BR"/>
              </w:rPr>
              <w:t>5 -</w:t>
            </w:r>
            <w:r w:rsidR="001B2034">
              <w:rPr>
                <w:sz w:val="18"/>
                <w:szCs w:val="26"/>
                <w:rtl/>
                <w:lang w:eastAsia="pt-BR"/>
              </w:rPr>
              <w:tab/>
            </w:r>
            <w:r w:rsidRPr="00A8073D">
              <w:rPr>
                <w:rFonts w:hint="cs"/>
                <w:sz w:val="18"/>
                <w:szCs w:val="26"/>
                <w:rtl/>
                <w:lang w:eastAsia="pt-BR"/>
              </w:rPr>
              <w:t>مستشارون (62 في المائة)</w:t>
            </w:r>
          </w:p>
        </w:tc>
        <w:tc>
          <w:tcPr>
            <w:tcW w:w="3207" w:type="dxa"/>
            <w:gridSpan w:val="3"/>
            <w:shd w:val="clear" w:color="auto" w:fill="auto"/>
          </w:tcPr>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rtl/>
                <w:lang w:eastAsia="pt-BR"/>
              </w:rPr>
            </w:pPr>
            <w:r w:rsidRPr="00A8073D">
              <w:rPr>
                <w:rFonts w:hint="cs"/>
                <w:sz w:val="18"/>
                <w:szCs w:val="26"/>
                <w:rtl/>
                <w:lang w:eastAsia="pt-BR"/>
              </w:rPr>
              <w:t>1 -</w:t>
            </w:r>
            <w:r w:rsidR="001B2034">
              <w:rPr>
                <w:sz w:val="18"/>
                <w:szCs w:val="26"/>
                <w:rtl/>
                <w:lang w:eastAsia="pt-BR"/>
              </w:rPr>
              <w:tab/>
            </w:r>
            <w:r w:rsidRPr="00A8073D">
              <w:rPr>
                <w:rFonts w:hint="cs"/>
                <w:sz w:val="18"/>
                <w:szCs w:val="26"/>
                <w:rtl/>
                <w:lang w:eastAsia="pt-BR"/>
              </w:rPr>
              <w:t>عمال مؤقتون (92 في المائة)</w:t>
            </w:r>
          </w:p>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rtl/>
                <w:lang w:eastAsia="pt-BR"/>
              </w:rPr>
            </w:pPr>
            <w:r w:rsidRPr="00A8073D">
              <w:rPr>
                <w:rFonts w:hint="cs"/>
                <w:sz w:val="18"/>
                <w:szCs w:val="26"/>
                <w:rtl/>
                <w:lang w:eastAsia="pt-BR"/>
              </w:rPr>
              <w:t>2 -</w:t>
            </w:r>
            <w:r w:rsidR="001B2034">
              <w:rPr>
                <w:sz w:val="18"/>
                <w:szCs w:val="26"/>
                <w:rtl/>
                <w:lang w:eastAsia="pt-BR"/>
              </w:rPr>
              <w:tab/>
            </w:r>
            <w:r w:rsidRPr="00A8073D">
              <w:rPr>
                <w:rFonts w:hint="cs"/>
                <w:sz w:val="18"/>
                <w:szCs w:val="26"/>
                <w:rtl/>
                <w:lang w:eastAsia="pt-BR"/>
              </w:rPr>
              <w:t>أصحاب عمل في الريف (70 في المائة)</w:t>
            </w:r>
          </w:p>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lang w:eastAsia="pt-BR"/>
              </w:rPr>
            </w:pPr>
            <w:r w:rsidRPr="00A8073D">
              <w:rPr>
                <w:rFonts w:hint="cs"/>
                <w:sz w:val="18"/>
                <w:szCs w:val="26"/>
                <w:rtl/>
                <w:lang w:eastAsia="pt-BR"/>
              </w:rPr>
              <w:t>3 -</w:t>
            </w:r>
            <w:r w:rsidR="001B2034">
              <w:rPr>
                <w:sz w:val="18"/>
                <w:szCs w:val="26"/>
                <w:rtl/>
                <w:lang w:eastAsia="pt-BR"/>
              </w:rPr>
              <w:tab/>
            </w:r>
            <w:r w:rsidRPr="00A8073D">
              <w:rPr>
                <w:rFonts w:hint="cs"/>
                <w:sz w:val="18"/>
                <w:szCs w:val="26"/>
                <w:rtl/>
                <w:lang w:eastAsia="pt-BR"/>
              </w:rPr>
              <w:t>مستشارون (59 في المائة)</w:t>
            </w:r>
          </w:p>
        </w:tc>
      </w:tr>
      <w:tr w:rsidR="00A8073D" w:rsidRPr="00A8073D">
        <w:trPr>
          <w:gridBefore w:val="1"/>
          <w:gridAfter w:val="1"/>
          <w:wBefore w:w="9" w:type="dxa"/>
          <w:wAfter w:w="13" w:type="dxa"/>
          <w:cantSplit/>
          <w:jc w:val="center"/>
        </w:trPr>
        <w:tc>
          <w:tcPr>
            <w:tcW w:w="3167" w:type="dxa"/>
            <w:gridSpan w:val="3"/>
            <w:shd w:val="clear" w:color="auto" w:fill="auto"/>
          </w:tcPr>
          <w:p w:rsidR="00B47AFC" w:rsidRPr="00A8073D" w:rsidRDefault="00B47AFC"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نقابات يغلب فيها وجود مجالس تنفيذية يشارك فيها الجنسان</w:t>
            </w:r>
          </w:p>
        </w:tc>
        <w:tc>
          <w:tcPr>
            <w:tcW w:w="3502" w:type="dxa"/>
            <w:gridSpan w:val="3"/>
            <w:shd w:val="clear" w:color="auto" w:fill="auto"/>
          </w:tcPr>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1 -</w:t>
            </w:r>
            <w:r w:rsidR="001B2034">
              <w:rPr>
                <w:sz w:val="18"/>
                <w:szCs w:val="26"/>
                <w:rtl/>
                <w:lang w:eastAsia="pt-BR"/>
              </w:rPr>
              <w:tab/>
            </w:r>
            <w:r w:rsidRPr="00A8073D">
              <w:rPr>
                <w:rFonts w:hint="cs"/>
                <w:sz w:val="18"/>
                <w:szCs w:val="26"/>
                <w:rtl/>
                <w:lang w:eastAsia="pt-BR"/>
              </w:rPr>
              <w:t>مهنيون معينون (76 في المائة)</w:t>
            </w:r>
          </w:p>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rtl/>
                <w:lang w:eastAsia="pt-BR"/>
              </w:rPr>
            </w:pPr>
            <w:r w:rsidRPr="00A8073D">
              <w:rPr>
                <w:rFonts w:hint="cs"/>
                <w:sz w:val="18"/>
                <w:szCs w:val="26"/>
                <w:rtl/>
                <w:lang w:eastAsia="pt-BR"/>
              </w:rPr>
              <w:t>2 -</w:t>
            </w:r>
            <w:r w:rsidR="001B2034">
              <w:rPr>
                <w:sz w:val="18"/>
                <w:szCs w:val="26"/>
                <w:rtl/>
                <w:lang w:eastAsia="pt-BR"/>
              </w:rPr>
              <w:tab/>
            </w:r>
            <w:r w:rsidRPr="00A8073D">
              <w:rPr>
                <w:rFonts w:hint="cs"/>
                <w:sz w:val="18"/>
                <w:szCs w:val="26"/>
                <w:rtl/>
                <w:lang w:eastAsia="pt-BR"/>
              </w:rPr>
              <w:t>موظفون في الحضر (69 في المائة)</w:t>
            </w:r>
          </w:p>
          <w:p w:rsidR="00B47AFC" w:rsidRPr="00A8073D" w:rsidRDefault="00B47AFC" w:rsidP="001B2034">
            <w:pPr>
              <w:tabs>
                <w:tab w:val="left" w:pos="515"/>
              </w:tabs>
              <w:autoSpaceDE w:val="0"/>
              <w:autoSpaceDN w:val="0"/>
              <w:adjustRightInd w:val="0"/>
              <w:spacing w:before="40" w:after="80" w:line="300" w:lineRule="exact"/>
              <w:ind w:right="144"/>
              <w:jc w:val="left"/>
              <w:rPr>
                <w:rFonts w:hint="cs"/>
                <w:sz w:val="18"/>
                <w:szCs w:val="26"/>
                <w:lang w:eastAsia="pt-BR"/>
              </w:rPr>
            </w:pPr>
            <w:r w:rsidRPr="00A8073D">
              <w:rPr>
                <w:rFonts w:hint="cs"/>
                <w:sz w:val="18"/>
                <w:szCs w:val="26"/>
                <w:rtl/>
                <w:lang w:eastAsia="pt-BR"/>
              </w:rPr>
              <w:t>3 -</w:t>
            </w:r>
            <w:r w:rsidR="001B2034">
              <w:rPr>
                <w:sz w:val="18"/>
                <w:szCs w:val="26"/>
                <w:rtl/>
                <w:lang w:eastAsia="pt-BR"/>
              </w:rPr>
              <w:tab/>
            </w:r>
            <w:r w:rsidRPr="00A8073D">
              <w:rPr>
                <w:rFonts w:hint="cs"/>
                <w:sz w:val="18"/>
                <w:szCs w:val="26"/>
                <w:rtl/>
                <w:lang w:eastAsia="pt-BR"/>
              </w:rPr>
              <w:t>عاملون في الريف (53 في المائة)</w:t>
            </w:r>
          </w:p>
        </w:tc>
        <w:tc>
          <w:tcPr>
            <w:tcW w:w="3205" w:type="dxa"/>
            <w:gridSpan w:val="3"/>
            <w:shd w:val="clear" w:color="auto" w:fill="auto"/>
          </w:tcPr>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rtl/>
                <w:lang w:eastAsia="pt-BR"/>
              </w:rPr>
            </w:pPr>
            <w:r w:rsidRPr="00A8073D">
              <w:rPr>
                <w:rFonts w:hint="cs"/>
                <w:sz w:val="18"/>
                <w:szCs w:val="26"/>
                <w:rtl/>
                <w:lang w:eastAsia="pt-BR"/>
              </w:rPr>
              <w:t>1 -</w:t>
            </w:r>
            <w:r w:rsidR="001B2034">
              <w:rPr>
                <w:sz w:val="18"/>
                <w:szCs w:val="26"/>
                <w:rtl/>
                <w:lang w:eastAsia="pt-BR"/>
              </w:rPr>
              <w:tab/>
            </w:r>
            <w:r w:rsidRPr="00A8073D">
              <w:rPr>
                <w:rFonts w:hint="cs"/>
                <w:sz w:val="18"/>
                <w:szCs w:val="26"/>
                <w:rtl/>
                <w:lang w:eastAsia="pt-BR"/>
              </w:rPr>
              <w:t>عاملون في الريف (84 في المائة)</w:t>
            </w:r>
          </w:p>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rtl/>
                <w:lang w:eastAsia="pt-BR"/>
              </w:rPr>
            </w:pPr>
            <w:r w:rsidRPr="00A8073D">
              <w:rPr>
                <w:rFonts w:hint="cs"/>
                <w:sz w:val="18"/>
                <w:szCs w:val="26"/>
                <w:rtl/>
                <w:lang w:eastAsia="pt-BR"/>
              </w:rPr>
              <w:t>2 -</w:t>
            </w:r>
            <w:r w:rsidR="001B2034">
              <w:rPr>
                <w:sz w:val="18"/>
                <w:szCs w:val="26"/>
                <w:rtl/>
                <w:lang w:eastAsia="pt-BR"/>
              </w:rPr>
              <w:tab/>
            </w:r>
            <w:r w:rsidRPr="00A8073D">
              <w:rPr>
                <w:rFonts w:hint="cs"/>
                <w:sz w:val="18"/>
                <w:szCs w:val="26"/>
                <w:rtl/>
                <w:lang w:eastAsia="pt-BR"/>
              </w:rPr>
              <w:t>مهنيون معينون (80 في المائة)</w:t>
            </w:r>
          </w:p>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rtl/>
                <w:lang w:eastAsia="pt-BR"/>
              </w:rPr>
            </w:pPr>
            <w:r w:rsidRPr="00A8073D">
              <w:rPr>
                <w:rFonts w:hint="cs"/>
                <w:sz w:val="18"/>
                <w:szCs w:val="26"/>
                <w:rtl/>
                <w:lang w:eastAsia="pt-BR"/>
              </w:rPr>
              <w:t>3 -</w:t>
            </w:r>
            <w:r w:rsidR="001B2034">
              <w:rPr>
                <w:sz w:val="18"/>
                <w:szCs w:val="26"/>
                <w:rtl/>
                <w:lang w:eastAsia="pt-BR"/>
              </w:rPr>
              <w:tab/>
            </w:r>
            <w:r w:rsidRPr="00A8073D">
              <w:rPr>
                <w:rFonts w:hint="cs"/>
                <w:sz w:val="18"/>
                <w:szCs w:val="26"/>
                <w:rtl/>
                <w:lang w:eastAsia="pt-BR"/>
              </w:rPr>
              <w:t>موظفون في الحضر (72 في المائة)</w:t>
            </w:r>
          </w:p>
          <w:p w:rsidR="00B47AFC" w:rsidRPr="00A8073D" w:rsidRDefault="00B47AFC" w:rsidP="001B2034">
            <w:pPr>
              <w:tabs>
                <w:tab w:val="left" w:pos="515"/>
              </w:tabs>
              <w:autoSpaceDE w:val="0"/>
              <w:autoSpaceDN w:val="0"/>
              <w:adjustRightInd w:val="0"/>
              <w:spacing w:before="40" w:after="80" w:line="300" w:lineRule="exact"/>
              <w:ind w:right="12"/>
              <w:jc w:val="left"/>
              <w:rPr>
                <w:rFonts w:hint="cs"/>
                <w:sz w:val="18"/>
                <w:szCs w:val="26"/>
                <w:lang w:eastAsia="pt-BR"/>
              </w:rPr>
            </w:pPr>
            <w:r w:rsidRPr="00A8073D">
              <w:rPr>
                <w:rFonts w:hint="cs"/>
                <w:sz w:val="18"/>
                <w:szCs w:val="26"/>
                <w:rtl/>
                <w:lang w:eastAsia="pt-BR"/>
              </w:rPr>
              <w:t>4 -</w:t>
            </w:r>
            <w:r w:rsidR="001B2034">
              <w:rPr>
                <w:sz w:val="18"/>
                <w:szCs w:val="26"/>
                <w:rtl/>
                <w:lang w:eastAsia="pt-BR"/>
              </w:rPr>
              <w:tab/>
            </w:r>
            <w:r w:rsidRPr="00A8073D">
              <w:rPr>
                <w:rFonts w:hint="cs"/>
                <w:sz w:val="18"/>
                <w:szCs w:val="26"/>
                <w:rtl/>
                <w:lang w:eastAsia="pt-BR"/>
              </w:rPr>
              <w:t>وكلاء (63 في المائة)</w:t>
            </w:r>
          </w:p>
        </w:tc>
      </w:tr>
      <w:tr w:rsidR="00A8073D" w:rsidRPr="00A8073D">
        <w:trPr>
          <w:gridBefore w:val="1"/>
          <w:gridAfter w:val="1"/>
          <w:wBefore w:w="9" w:type="dxa"/>
          <w:wAfter w:w="13" w:type="dxa"/>
          <w:cantSplit/>
          <w:jc w:val="center"/>
        </w:trPr>
        <w:tc>
          <w:tcPr>
            <w:tcW w:w="3167" w:type="dxa"/>
            <w:gridSpan w:val="3"/>
            <w:shd w:val="clear" w:color="auto" w:fill="auto"/>
            <w:vAlign w:val="bottom"/>
          </w:tcPr>
          <w:p w:rsidR="00B47AFC" w:rsidRPr="00A8073D" w:rsidRDefault="00B47AFC"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النسبة المئوية للنقابات التي ترأسها امرأة</w:t>
            </w:r>
          </w:p>
        </w:tc>
        <w:tc>
          <w:tcPr>
            <w:tcW w:w="3502" w:type="dxa"/>
            <w:gridSpan w:val="3"/>
            <w:shd w:val="clear" w:color="auto" w:fill="auto"/>
          </w:tcPr>
          <w:p w:rsidR="00B47AFC" w:rsidRPr="00A8073D" w:rsidRDefault="00B47AFC" w:rsidP="001B2034">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6</w:t>
            </w:r>
          </w:p>
        </w:tc>
        <w:tc>
          <w:tcPr>
            <w:tcW w:w="3205" w:type="dxa"/>
            <w:gridSpan w:val="3"/>
            <w:shd w:val="clear" w:color="auto" w:fill="auto"/>
          </w:tcPr>
          <w:p w:rsidR="00B47AFC" w:rsidRPr="00A8073D" w:rsidRDefault="00B47AFC" w:rsidP="001B2034">
            <w:pPr>
              <w:autoSpaceDE w:val="0"/>
              <w:autoSpaceDN w:val="0"/>
              <w:adjustRightInd w:val="0"/>
              <w:spacing w:before="40" w:after="80" w:line="300" w:lineRule="exact"/>
              <w:ind w:right="12"/>
              <w:jc w:val="center"/>
              <w:rPr>
                <w:sz w:val="18"/>
                <w:szCs w:val="26"/>
                <w:lang w:eastAsia="pt-BR"/>
              </w:rPr>
            </w:pPr>
            <w:r w:rsidRPr="00A8073D">
              <w:rPr>
                <w:rFonts w:hint="cs"/>
                <w:sz w:val="18"/>
                <w:szCs w:val="26"/>
                <w:rtl/>
              </w:rPr>
              <w:t>10</w:t>
            </w:r>
          </w:p>
        </w:tc>
      </w:tr>
      <w:tr w:rsidR="00A8073D" w:rsidRPr="00A8073D">
        <w:trPr>
          <w:gridBefore w:val="1"/>
          <w:gridAfter w:val="1"/>
          <w:wBefore w:w="9" w:type="dxa"/>
          <w:wAfter w:w="13" w:type="dxa"/>
          <w:cantSplit/>
          <w:jc w:val="center"/>
        </w:trPr>
        <w:tc>
          <w:tcPr>
            <w:tcW w:w="3167" w:type="dxa"/>
            <w:gridSpan w:val="3"/>
            <w:shd w:val="clear" w:color="auto" w:fill="auto"/>
            <w:vAlign w:val="bottom"/>
          </w:tcPr>
          <w:p w:rsidR="00B47AFC" w:rsidRPr="00A8073D" w:rsidRDefault="00B47AFC"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النسبة المئوية للنقابات التي تشغل فيها امرأة منصب أمين أول</w:t>
            </w:r>
          </w:p>
        </w:tc>
        <w:tc>
          <w:tcPr>
            <w:tcW w:w="3502" w:type="dxa"/>
            <w:gridSpan w:val="3"/>
            <w:shd w:val="clear" w:color="auto" w:fill="auto"/>
          </w:tcPr>
          <w:p w:rsidR="00B47AFC" w:rsidRPr="00A8073D" w:rsidRDefault="00B47AFC" w:rsidP="001B2034">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14</w:t>
            </w:r>
          </w:p>
        </w:tc>
        <w:tc>
          <w:tcPr>
            <w:tcW w:w="3205" w:type="dxa"/>
            <w:gridSpan w:val="3"/>
            <w:shd w:val="clear" w:color="auto" w:fill="auto"/>
          </w:tcPr>
          <w:p w:rsidR="00B47AFC" w:rsidRPr="00A8073D" w:rsidRDefault="00B47AFC" w:rsidP="001B2034">
            <w:pPr>
              <w:autoSpaceDE w:val="0"/>
              <w:autoSpaceDN w:val="0"/>
              <w:adjustRightInd w:val="0"/>
              <w:spacing w:before="40" w:after="80" w:line="300" w:lineRule="exact"/>
              <w:ind w:right="12"/>
              <w:jc w:val="center"/>
              <w:rPr>
                <w:sz w:val="18"/>
                <w:szCs w:val="26"/>
                <w:lang w:eastAsia="pt-BR"/>
              </w:rPr>
            </w:pPr>
            <w:r w:rsidRPr="00A8073D">
              <w:rPr>
                <w:rFonts w:hint="cs"/>
                <w:sz w:val="18"/>
                <w:szCs w:val="26"/>
                <w:rtl/>
              </w:rPr>
              <w:t>24</w:t>
            </w:r>
          </w:p>
        </w:tc>
      </w:tr>
      <w:tr w:rsidR="00A8073D" w:rsidRPr="00A8073D">
        <w:trPr>
          <w:gridBefore w:val="1"/>
          <w:gridAfter w:val="1"/>
          <w:wBefore w:w="9" w:type="dxa"/>
          <w:wAfter w:w="13" w:type="dxa"/>
          <w:cantSplit/>
          <w:jc w:val="center"/>
        </w:trPr>
        <w:tc>
          <w:tcPr>
            <w:tcW w:w="3167" w:type="dxa"/>
            <w:gridSpan w:val="3"/>
            <w:tcBorders>
              <w:bottom w:val="single" w:sz="12" w:space="0" w:color="auto"/>
            </w:tcBorders>
            <w:shd w:val="clear" w:color="auto" w:fill="auto"/>
            <w:vAlign w:val="bottom"/>
          </w:tcPr>
          <w:p w:rsidR="00B47AFC" w:rsidRPr="00A8073D" w:rsidRDefault="00B47AFC" w:rsidP="00A8073D">
            <w:pPr>
              <w:autoSpaceDE w:val="0"/>
              <w:autoSpaceDN w:val="0"/>
              <w:adjustRightInd w:val="0"/>
              <w:spacing w:before="40" w:after="80" w:line="300" w:lineRule="exact"/>
              <w:ind w:right="412"/>
              <w:rPr>
                <w:rFonts w:hint="cs"/>
                <w:sz w:val="18"/>
                <w:szCs w:val="26"/>
                <w:lang w:eastAsia="pt-BR"/>
              </w:rPr>
            </w:pPr>
            <w:r w:rsidRPr="00A8073D">
              <w:rPr>
                <w:rFonts w:hint="cs"/>
                <w:sz w:val="18"/>
                <w:szCs w:val="26"/>
                <w:rtl/>
                <w:lang w:eastAsia="pt-BR"/>
              </w:rPr>
              <w:t>النسبة المئوية للنقابات التي تشغل فيها امرأة منصب أمين صندوق أول</w:t>
            </w:r>
          </w:p>
        </w:tc>
        <w:tc>
          <w:tcPr>
            <w:tcW w:w="3502" w:type="dxa"/>
            <w:gridSpan w:val="3"/>
            <w:tcBorders>
              <w:bottom w:val="single" w:sz="12" w:space="0" w:color="auto"/>
            </w:tcBorders>
            <w:shd w:val="clear" w:color="auto" w:fill="auto"/>
          </w:tcPr>
          <w:p w:rsidR="00B47AFC" w:rsidRPr="00A8073D" w:rsidRDefault="00B47AFC" w:rsidP="001B2034">
            <w:pPr>
              <w:autoSpaceDE w:val="0"/>
              <w:autoSpaceDN w:val="0"/>
              <w:adjustRightInd w:val="0"/>
              <w:spacing w:before="40" w:after="80" w:line="300" w:lineRule="exact"/>
              <w:ind w:right="144"/>
              <w:jc w:val="center"/>
              <w:rPr>
                <w:sz w:val="18"/>
                <w:szCs w:val="26"/>
                <w:lang w:eastAsia="pt-BR"/>
              </w:rPr>
            </w:pPr>
            <w:r w:rsidRPr="00A8073D">
              <w:rPr>
                <w:rFonts w:hint="cs"/>
                <w:sz w:val="18"/>
                <w:szCs w:val="26"/>
                <w:rtl/>
              </w:rPr>
              <w:t>10</w:t>
            </w:r>
          </w:p>
        </w:tc>
        <w:tc>
          <w:tcPr>
            <w:tcW w:w="3205" w:type="dxa"/>
            <w:gridSpan w:val="3"/>
            <w:tcBorders>
              <w:bottom w:val="single" w:sz="12" w:space="0" w:color="auto"/>
            </w:tcBorders>
            <w:shd w:val="clear" w:color="auto" w:fill="auto"/>
          </w:tcPr>
          <w:p w:rsidR="00B47AFC" w:rsidRPr="00A8073D" w:rsidRDefault="00B47AFC" w:rsidP="001B2034">
            <w:pPr>
              <w:autoSpaceDE w:val="0"/>
              <w:autoSpaceDN w:val="0"/>
              <w:adjustRightInd w:val="0"/>
              <w:spacing w:before="40" w:after="80" w:line="300" w:lineRule="exact"/>
              <w:ind w:right="12"/>
              <w:jc w:val="center"/>
              <w:rPr>
                <w:sz w:val="18"/>
                <w:szCs w:val="26"/>
                <w:lang w:eastAsia="pt-BR"/>
              </w:rPr>
            </w:pPr>
            <w:r w:rsidRPr="00A8073D">
              <w:rPr>
                <w:rFonts w:hint="cs"/>
                <w:sz w:val="18"/>
                <w:szCs w:val="26"/>
                <w:rtl/>
              </w:rPr>
              <w:t>16</w:t>
            </w:r>
          </w:p>
        </w:tc>
      </w:tr>
    </w:tbl>
    <w:p w:rsidR="00930DE7" w:rsidRPr="00930DE7" w:rsidRDefault="00930DE7" w:rsidP="00930DE7">
      <w:pPr>
        <w:pStyle w:val="SingleTxt"/>
        <w:spacing w:after="0" w:line="120" w:lineRule="exact"/>
        <w:rPr>
          <w:rFonts w:hint="cs"/>
          <w:sz w:val="10"/>
          <w:rtl/>
        </w:rPr>
      </w:pPr>
    </w:p>
    <w:p w:rsidR="000E497B" w:rsidRDefault="00930DE7" w:rsidP="001B2034">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rPr>
      </w:pPr>
      <w:r>
        <w:rPr>
          <w:rFonts w:hint="cs"/>
          <w:rtl/>
        </w:rPr>
        <w:tab/>
      </w:r>
      <w:r w:rsidRPr="00930DE7">
        <w:rPr>
          <w:rFonts w:hint="cs"/>
          <w:i/>
          <w:iCs/>
          <w:rtl/>
        </w:rPr>
        <w:t>المصدر</w:t>
      </w:r>
      <w:r>
        <w:rPr>
          <w:rFonts w:hint="cs"/>
          <w:rtl/>
        </w:rPr>
        <w:t>:</w:t>
      </w:r>
      <w:r>
        <w:rPr>
          <w:rFonts w:hint="cs"/>
          <w:rtl/>
        </w:rPr>
        <w:tab/>
        <w:t>المعهد البرازيلي للجغرافيا والإحصاءات، شعبة الدراسات الاستقصائية، إدارة السكان والمؤشرات الاجتماعية، الدراسة الاستقصائية للنقابات، 1992/2001.</w:t>
      </w:r>
    </w:p>
    <w:p w:rsidR="00D93AD9" w:rsidRPr="00D93AD9" w:rsidRDefault="00D93AD9" w:rsidP="00D93AD9">
      <w:pPr>
        <w:pStyle w:val="SingleTxt"/>
        <w:spacing w:after="0" w:line="120" w:lineRule="exact"/>
        <w:rPr>
          <w:sz w:val="10"/>
          <w:rtl/>
        </w:rPr>
      </w:pPr>
    </w:p>
    <w:p w:rsidR="00D93AD9" w:rsidRPr="00D93AD9" w:rsidRDefault="00D93AD9" w:rsidP="00D93AD9">
      <w:pPr>
        <w:pStyle w:val="SingleTxt"/>
        <w:spacing w:after="0" w:line="120" w:lineRule="exact"/>
        <w:rPr>
          <w:sz w:val="10"/>
          <w:rtl/>
        </w:rPr>
      </w:pPr>
    </w:p>
    <w:p w:rsidR="00D93AD9" w:rsidRPr="00D93AD9" w:rsidRDefault="00D93AD9" w:rsidP="00D93AD9">
      <w:pPr>
        <w:pStyle w:val="SingleTxt"/>
        <w:spacing w:after="0" w:line="120" w:lineRule="exact"/>
        <w:rPr>
          <w:sz w:val="10"/>
          <w:rtl/>
        </w:rPr>
      </w:pPr>
    </w:p>
    <w:p w:rsidR="00D93AD9" w:rsidRPr="007C18B4" w:rsidRDefault="00D93AD9" w:rsidP="00202C39">
      <w:pPr>
        <w:pStyle w:val="SingleTxt"/>
        <w:rPr>
          <w:rFonts w:hint="cs"/>
          <w:w w:val="100"/>
          <w:rtl/>
        </w:rPr>
      </w:pPr>
      <w:r>
        <w:rPr>
          <w:rFonts w:hint="cs"/>
          <w:rtl/>
        </w:rPr>
        <w:tab/>
      </w:r>
      <w:r w:rsidRPr="007C18B4">
        <w:rPr>
          <w:rFonts w:hint="cs"/>
          <w:w w:val="100"/>
          <w:rtl/>
        </w:rPr>
        <w:t>ورغم ما سبق، فلا تزال مشاركة المرأة في المجالس التنفيذية تتركز في المناصب الدنيا. وعادة ما تشغل المرأة مناصب لا تتضمن أهم ثلاثة مناصب، وهي مناصب الرئيس والأمين الأول وأمين أول الصندوق. ومن بين تلك المناصب الثلاثة، قلما تشغل المرأة منصب الرئيس، وإن كان وجودها يزداد زيادة طفيفة في منصب أمين أول الصندوق، كما يزداد زيادة أكبر في منصب الأمين الأول. ويبدو أن هذه المعلومات تؤكد فكرة أن تقسيم العمل المتضمنة في نظرية نوع الجنس لا تزال أقوى بكثير من العلاقات بين الذكر والأنثى داخل النقابات.</w:t>
      </w:r>
    </w:p>
    <w:p w:rsidR="00D93AD9" w:rsidRDefault="00D93AD9" w:rsidP="00202C39">
      <w:pPr>
        <w:pStyle w:val="SingleTxt"/>
        <w:rPr>
          <w:rFonts w:hint="cs"/>
          <w:rtl/>
        </w:rPr>
      </w:pPr>
      <w:r>
        <w:rPr>
          <w:rFonts w:hint="cs"/>
          <w:rtl/>
        </w:rPr>
        <w:tab/>
        <w:t>وتبين هذه الأمثلة المجالات التي تعمل فيها المرأة على زيادة مشاركتها في المجتمع البرازيلي والتوصل إلى المساواة في الظروف والفرص.</w:t>
      </w:r>
    </w:p>
    <w:p w:rsidR="00D93AD9" w:rsidRPr="00D93AD9" w:rsidRDefault="00D93AD9" w:rsidP="00D93AD9">
      <w:pPr>
        <w:pStyle w:val="SingleTxt"/>
        <w:spacing w:after="0" w:line="120" w:lineRule="exact"/>
        <w:rPr>
          <w:rFonts w:hint="cs"/>
          <w:sz w:val="10"/>
          <w:rtl/>
        </w:rPr>
      </w:pPr>
    </w:p>
    <w:p w:rsidR="00D93AD9" w:rsidRDefault="00D93AD9" w:rsidP="00D93A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 من اتفاقية القضاء على جميع أشكال التمييز ضد المرأة</w:t>
      </w:r>
    </w:p>
    <w:p w:rsidR="00D93AD9" w:rsidRDefault="00063EF0" w:rsidP="00063EF0">
      <w:pPr>
        <w:pStyle w:val="SingleTxt"/>
        <w:ind w:left="1930" w:hanging="663"/>
        <w:rPr>
          <w:rFonts w:hint="cs"/>
          <w:rtl/>
        </w:rPr>
      </w:pPr>
      <w:r>
        <w:rPr>
          <w:rFonts w:hint="cs"/>
          <w:rtl/>
        </w:rPr>
        <w:tab/>
      </w:r>
      <w:r w:rsidR="00D93AD9">
        <w:rPr>
          <w:rFonts w:hint="cs"/>
          <w:rtl/>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D93AD9" w:rsidRDefault="00D93AD9" w:rsidP="004F0004">
      <w:pPr>
        <w:pStyle w:val="SingleTxt"/>
        <w:rPr>
          <w:rFonts w:hint="cs"/>
          <w:rtl/>
        </w:rPr>
      </w:pPr>
      <w:r>
        <w:rPr>
          <w:rFonts w:hint="cs"/>
          <w:rtl/>
        </w:rPr>
        <w:tab/>
        <w:t xml:space="preserve">إن التعاون الوثيق الذي تطور طيلة العامين السابقين بين وزارة الخارجية والأمانة الخاصة لسياسات المرأة أدى </w:t>
      </w:r>
      <w:r w:rsidR="001F19C6">
        <w:rPr>
          <w:rFonts w:hint="cs"/>
          <w:rtl/>
        </w:rPr>
        <w:t>إلى مشاركة النساء البرازيليات مشاركة أكثر فعالية في المحافل المتعددة الأطراف المكرسة لهن.</w:t>
      </w:r>
    </w:p>
    <w:p w:rsidR="001F19C6" w:rsidRDefault="001F19C6" w:rsidP="00D93AD9">
      <w:pPr>
        <w:pStyle w:val="SingleTxt"/>
        <w:rPr>
          <w:rFonts w:hint="cs"/>
          <w:rtl/>
        </w:rPr>
      </w:pPr>
      <w:r>
        <w:rPr>
          <w:rFonts w:hint="cs"/>
          <w:rtl/>
        </w:rPr>
        <w:tab/>
        <w:t>والهدف الأساسي للأنشطة الدولية التي تضطلع بها الأمانة الخاصة لسياسات المرأة هو أن تستجيب للمبادرات العالمية بإدماج نوع الجنس في السياسات العامة، وأن تتحقق في البرازيل الالتزامات التي قطعتها الحكومة الاتحادية أمام الهيئات الدولية فيما يتعلق بحقوق الإنسان للمرأة.</w:t>
      </w:r>
    </w:p>
    <w:p w:rsidR="001F19C6" w:rsidRDefault="001F19C6" w:rsidP="001F19C6">
      <w:pPr>
        <w:pStyle w:val="SingleTxt"/>
        <w:rPr>
          <w:rFonts w:hint="cs"/>
          <w:rtl/>
        </w:rPr>
      </w:pPr>
      <w:r>
        <w:rPr>
          <w:rFonts w:hint="cs"/>
          <w:rtl/>
        </w:rPr>
        <w:tab/>
        <w:t>وفي الفترة التي تناولها هذا التقرير، استضاف</w:t>
      </w:r>
      <w:r w:rsidR="004F0004">
        <w:rPr>
          <w:rFonts w:hint="cs"/>
          <w:rtl/>
        </w:rPr>
        <w:t>ت</w:t>
      </w:r>
      <w:r>
        <w:rPr>
          <w:rFonts w:hint="cs"/>
          <w:rtl/>
        </w:rPr>
        <w:t xml:space="preserve"> البرازيل اجتماعات هامة للأمم المتحدة تتعلق بالمرأة، وشاركت بفعالية في الاجتماعات الدولية التي ترتبط ارتباطا مباشرا بصورة أكبر بتعزيز المساواة بين الجنسين.</w:t>
      </w:r>
    </w:p>
    <w:p w:rsidR="001F19C6" w:rsidRDefault="001F19C6" w:rsidP="001F19C6">
      <w:pPr>
        <w:pStyle w:val="SingleTxt"/>
        <w:rPr>
          <w:rFonts w:hint="cs"/>
          <w:rtl/>
        </w:rPr>
      </w:pPr>
      <w:r>
        <w:rPr>
          <w:rFonts w:hint="cs"/>
          <w:rtl/>
        </w:rPr>
        <w:tab/>
        <w:t>وفي تموز/يوليه 2003 قدمت البرازيل إلى اللجنة المعنية بالقضاء على التمييز ضد المرأة تقريرها الوطني الأول بشأن السياسات التي صيغت من أجل تنفيذ اتفاقية القضاء على جميع أشكال التمييز ضد المرأة في البلد. وعرض التقرير واستجابة وفد البرازيل لأسئلة وتوصيات لجنة الاتفاقية الموجهة إلى البرازيل أسفرا عن إصدار نشرة وزعت على نطاق واسع وأتيحت على موقع الأمانة الخاصة لسياسات المرأة على شبكة الإنترنت.</w:t>
      </w:r>
    </w:p>
    <w:p w:rsidR="001F19C6" w:rsidRDefault="001F19C6" w:rsidP="004F0004">
      <w:pPr>
        <w:pStyle w:val="SingleTxt"/>
        <w:rPr>
          <w:rFonts w:hint="cs"/>
          <w:rtl/>
        </w:rPr>
      </w:pPr>
      <w:r>
        <w:rPr>
          <w:rFonts w:hint="cs"/>
          <w:rtl/>
        </w:rPr>
        <w:tab/>
        <w:t>وأتاح اجتماعان تحضيريان نظمتهما الأمم المتحدة في البرازيل تبادلا مثمرا للأفكار والخبرات المتعلقة بمسائل تهم المرأة بشكل مباشر. وفي تشرين الأول/أكتوبر 2003 عقد في برازيليا اجتماع تقني تحضيري للدورة الثامنة والأربعين للجنة المعنية بوضع المرأة. ودارت المناقشات حول مشاركة الرجال والفتيان في عملية إيجاد مساواة بين الجنسين. وشارك في الاجتماع، الذي عقد في البرازيل، أخصائيون من مختلف البلدان ومراقبون من المنظمات البرازيلية الحكومية وغير الحكومية.</w:t>
      </w:r>
    </w:p>
    <w:p w:rsidR="001F19C6" w:rsidRDefault="001F19C6" w:rsidP="001F19C6">
      <w:pPr>
        <w:pStyle w:val="SingleTxt"/>
        <w:rPr>
          <w:rFonts w:hint="cs"/>
          <w:rtl/>
        </w:rPr>
      </w:pPr>
      <w:r>
        <w:rPr>
          <w:rFonts w:hint="cs"/>
          <w:rtl/>
        </w:rPr>
        <w:tab/>
        <w:t xml:space="preserve">وفي آذار/مارس 2004، عقد اجتماع دون إقليمي لأمريكا الجنوبية تحضيرا للمؤتمر الإقليمي التاسع المعني بالمرأة في أمريكا </w:t>
      </w:r>
      <w:r w:rsidR="00D462AB">
        <w:rPr>
          <w:rFonts w:hint="cs"/>
          <w:rtl/>
        </w:rPr>
        <w:t xml:space="preserve">اللاتينية ومنطقة البحر الكاريبي. واستضافت هذا الاجتماع اللجنة الاقتصادية لأمريكا اللاتينية ومنطقة البحر الكاريبي، وكانت المواضيع التي نوقشت فيه </w:t>
      </w:r>
      <w:r w:rsidR="00D462AB">
        <w:rPr>
          <w:rFonts w:hint="eastAsia"/>
          <w:rtl/>
        </w:rPr>
        <w:t>”الفقر</w:t>
      </w:r>
      <w:r w:rsidR="004F0004">
        <w:rPr>
          <w:rFonts w:hint="cs"/>
          <w:rtl/>
        </w:rPr>
        <w:t>،</w:t>
      </w:r>
      <w:r w:rsidR="00D462AB">
        <w:rPr>
          <w:rFonts w:hint="eastAsia"/>
          <w:rtl/>
        </w:rPr>
        <w:t xml:space="preserve"> والاقتصاد</w:t>
      </w:r>
      <w:r w:rsidR="004F0004">
        <w:rPr>
          <w:rFonts w:hint="cs"/>
          <w:rtl/>
        </w:rPr>
        <w:t>،</w:t>
      </w:r>
      <w:r w:rsidR="00D462AB">
        <w:rPr>
          <w:rFonts w:hint="eastAsia"/>
          <w:rtl/>
        </w:rPr>
        <w:t xml:space="preserve"> والعدل فيما يتعلق بنوع الجنس</w:t>
      </w:r>
      <w:r w:rsidR="00D462AB">
        <w:rPr>
          <w:rFonts w:hint="cs"/>
          <w:rtl/>
        </w:rPr>
        <w:t xml:space="preserve">“ و </w:t>
      </w:r>
      <w:r w:rsidR="00D462AB">
        <w:rPr>
          <w:rFonts w:hint="eastAsia"/>
          <w:rtl/>
        </w:rPr>
        <w:t>”التمكين، والتنمية المؤسسية، والعدل بين الجنسين</w:t>
      </w:r>
      <w:r w:rsidR="00D462AB">
        <w:rPr>
          <w:rFonts w:hint="cs"/>
          <w:rtl/>
        </w:rPr>
        <w:t>“.</w:t>
      </w:r>
    </w:p>
    <w:p w:rsidR="00D462AB" w:rsidRDefault="00D462AB" w:rsidP="001F19C6">
      <w:pPr>
        <w:pStyle w:val="SingleTxt"/>
        <w:rPr>
          <w:rFonts w:hint="cs"/>
          <w:rtl/>
        </w:rPr>
      </w:pPr>
      <w:r>
        <w:rPr>
          <w:rFonts w:hint="cs"/>
          <w:rtl/>
        </w:rPr>
        <w:tab/>
        <w:t>وخلال النصف الأول من عام 2004، تولت الأمانة الخاصة لسياسات المرأة - نيابة عن حكومة البرازيل - رئاسة الاجتماع النسائي المتخصص للسوق المشتركة لبلدان المخروط الجنوبي. ورسمت خطة عمل هذا الاجتماع للفترة 2005-2007 أثناء الاجتماع الثاني عشر الذي عقد في ريو دي جانيرو في تشرين الثاني/نوفمبر 2004. وتتركز خطة العمل هذه حول تحديد الأعمال اللازمة لمكافحة العنف ضد المرأة في البلدان الأعضاء في السوق (البرازيل، والأرجنتين، وباراغواي، وأوروغواي)، والبلدان المرتبطة (بوليفيا، وشيلي، وفنـزويلا)</w:t>
      </w:r>
      <w:r w:rsidR="004F0004">
        <w:rPr>
          <w:rFonts w:hint="cs"/>
          <w:rtl/>
        </w:rPr>
        <w:t>،</w:t>
      </w:r>
      <w:r>
        <w:rPr>
          <w:rFonts w:hint="cs"/>
          <w:rtl/>
        </w:rPr>
        <w:t xml:space="preserve"> والبلد المراقب (المكسيك).</w:t>
      </w:r>
    </w:p>
    <w:p w:rsidR="00D462AB" w:rsidRDefault="00D462AB" w:rsidP="001F19C6">
      <w:pPr>
        <w:pStyle w:val="SingleTxt"/>
        <w:rPr>
          <w:rFonts w:hint="cs"/>
          <w:rtl/>
        </w:rPr>
      </w:pPr>
      <w:r>
        <w:rPr>
          <w:rFonts w:hint="cs"/>
          <w:rtl/>
        </w:rPr>
        <w:tab/>
        <w:t>وفي آب/أغسطس 2004، انتخبت البرازيل الدكتورة سيلفيا بيمنتل، وهي حقوقية معروفة ومن المطالبات بالمساواة بين الجنسين، كخبيرة من خبراء اللجنة المعنية بالقضاء على التمييز ضد المرأة. وحتى ذلك الحين كانت البرازيل قد شاركت مرة واحدة في هذه اللجنة، وذلك عن طريق روث إسكوبار التي انتخبت عام 1985. وقد مكن من ترشيحها الارتباط الناجح بين الحكومة والحركات الاجتماعية للمرأة وحقوق الإنسان.</w:t>
      </w:r>
    </w:p>
    <w:p w:rsidR="00D462AB" w:rsidRDefault="00D462AB" w:rsidP="001F19C6">
      <w:pPr>
        <w:pStyle w:val="SingleTxt"/>
        <w:rPr>
          <w:rFonts w:hint="cs"/>
          <w:rtl/>
        </w:rPr>
      </w:pPr>
      <w:r>
        <w:rPr>
          <w:rFonts w:hint="cs"/>
          <w:rtl/>
        </w:rPr>
        <w:tab/>
        <w:t>وتولت الأمانة الخاصة لسياسات المرأة تمثيل البرازيل في المناقشات المتعلقة بحالة المرأة في أمريكا اللاتينية. ووزيرة الأمانة الخاصة عضوة في الوقت الحالي في اللجنة التوجيهية للجنة الاقتصادية لأمريكا اللاتينية.</w:t>
      </w:r>
    </w:p>
    <w:p w:rsidR="00D462AB" w:rsidRDefault="00D462AB" w:rsidP="004F0004">
      <w:pPr>
        <w:pStyle w:val="SingleTxt"/>
        <w:rPr>
          <w:rFonts w:hint="cs"/>
          <w:rtl/>
        </w:rPr>
      </w:pPr>
      <w:r>
        <w:rPr>
          <w:rFonts w:hint="cs"/>
          <w:rtl/>
        </w:rPr>
        <w:tab/>
        <w:t xml:space="preserve">وفي تشرين الأول/أكتوبر 2004، أصبحت الوزيرة </w:t>
      </w:r>
      <w:r w:rsidR="004F0004">
        <w:rPr>
          <w:rFonts w:hint="cs"/>
          <w:rtl/>
        </w:rPr>
        <w:t>ن</w:t>
      </w:r>
      <w:r>
        <w:rPr>
          <w:rFonts w:hint="cs"/>
          <w:rtl/>
        </w:rPr>
        <w:t xml:space="preserve">يولسيا فرييري، الأمينة العامة </w:t>
      </w:r>
      <w:r w:rsidR="00EB7B3E">
        <w:rPr>
          <w:rFonts w:hint="cs"/>
          <w:rtl/>
        </w:rPr>
        <w:t xml:space="preserve">لسياسات المرأة، أول امرأة برازيلية تنتخب رئيسة للجنة النسائية للبلدان الأمريكية، التابعة لمنظمة الدول الأمريكية، بأغلبية ساحقة </w:t>
      </w:r>
      <w:r w:rsidR="004F0004">
        <w:rPr>
          <w:rFonts w:hint="cs"/>
          <w:rtl/>
        </w:rPr>
        <w:t>قدرها</w:t>
      </w:r>
      <w:r w:rsidR="00EB7B3E">
        <w:rPr>
          <w:rFonts w:hint="cs"/>
          <w:rtl/>
        </w:rPr>
        <w:t xml:space="preserve"> 26 صوتا من 33 صوتا.</w:t>
      </w:r>
    </w:p>
    <w:p w:rsidR="00EB7B3E" w:rsidRDefault="00EB7B3E" w:rsidP="001F19C6">
      <w:pPr>
        <w:pStyle w:val="SingleTxt"/>
        <w:rPr>
          <w:rFonts w:hint="cs"/>
          <w:rtl/>
        </w:rPr>
      </w:pPr>
      <w:r>
        <w:rPr>
          <w:rFonts w:hint="cs"/>
          <w:rtl/>
        </w:rPr>
        <w:tab/>
        <w:t>وأثناء عقد المنتدى الاجتماعي العالمي في بورتو أليغري، وضعت البرازيل على جدول الأعمال إعلانا بالتأكيد من جديد على الالتزام بتطوير المساواة بين النساء والرجال، ووقعت عليه نيكول أميلين، وزيرة التكافؤ والمساواة المهنية في فرنسا والأستاذة وانغاري ماثاي الحائزة لجائزة نوبل للسلام.</w:t>
      </w:r>
    </w:p>
    <w:p w:rsidR="00EB7B3E" w:rsidRDefault="00EB7B3E" w:rsidP="004F0004">
      <w:pPr>
        <w:pStyle w:val="SingleTxt"/>
        <w:rPr>
          <w:rFonts w:hint="cs"/>
          <w:rtl/>
        </w:rPr>
      </w:pPr>
      <w:r>
        <w:rPr>
          <w:rFonts w:hint="cs"/>
          <w:rtl/>
        </w:rPr>
        <w:tab/>
        <w:t xml:space="preserve">ومشاركة البرازيل في مختلف هذه المنتديات زودت الحكومة بقدرات داخلية أكبر للعمل على الوفاء بما التزمت به في المجال الدولي من أجل تعزيز حقوق الإنسان للمرأة والدفاع عن تلك الحقوق. وتمكن هذه المشاركة البرازيل أيضا من </w:t>
      </w:r>
      <w:r w:rsidR="004F0004">
        <w:rPr>
          <w:rFonts w:hint="cs"/>
          <w:rtl/>
        </w:rPr>
        <w:t>اتخاذ قرار</w:t>
      </w:r>
      <w:r>
        <w:rPr>
          <w:rFonts w:hint="cs"/>
          <w:rtl/>
        </w:rPr>
        <w:t xml:space="preserve"> بطريقة إيجابية </w:t>
      </w:r>
      <w:r w:rsidR="004F0004">
        <w:rPr>
          <w:rFonts w:hint="cs"/>
          <w:rtl/>
        </w:rPr>
        <w:t xml:space="preserve">بشأن </w:t>
      </w:r>
      <w:r>
        <w:rPr>
          <w:rFonts w:hint="cs"/>
          <w:rtl/>
        </w:rPr>
        <w:t>جدول الأعمال واتجاه السياسات التي تشجعها النظم العالمية.</w:t>
      </w:r>
    </w:p>
    <w:p w:rsidR="00EB7B3E" w:rsidRDefault="00EB7B3E" w:rsidP="004F0004">
      <w:pPr>
        <w:pStyle w:val="SingleTxt"/>
        <w:rPr>
          <w:rFonts w:hint="cs"/>
          <w:rtl/>
        </w:rPr>
      </w:pPr>
      <w:r>
        <w:rPr>
          <w:rFonts w:hint="cs"/>
          <w:rtl/>
        </w:rPr>
        <w:tab/>
        <w:t xml:space="preserve">والسلك الدبلوماسي هو أقصر الطرق التي تؤدي إلى الساحة الدولية. وحصل دخول المرأة السلك الدبلوماسي في البرازيل على الموافقة القانونية </w:t>
      </w:r>
      <w:r w:rsidR="004F0004">
        <w:rPr>
          <w:rFonts w:hint="cs"/>
          <w:rtl/>
        </w:rPr>
        <w:t xml:space="preserve">عن طريق </w:t>
      </w:r>
      <w:r>
        <w:rPr>
          <w:rFonts w:hint="cs"/>
          <w:rtl/>
        </w:rPr>
        <w:t xml:space="preserve">إقرار القانون رقم 2171 المؤرخ 18 كانون الثاني/يناير 1954. وتنص المادة 1 من هذا القانون على أنه يجوز لمواطني البرازيل </w:t>
      </w:r>
      <w:r>
        <w:rPr>
          <w:rFonts w:hint="eastAsia"/>
          <w:rtl/>
        </w:rPr>
        <w:t>”بدون أي تمييز على أساس نوع الجنس</w:t>
      </w:r>
      <w:r>
        <w:rPr>
          <w:rFonts w:hint="cs"/>
          <w:rtl/>
        </w:rPr>
        <w:t>“ أن يلتحقوا بالسلك الدبلوماسي.</w:t>
      </w:r>
    </w:p>
    <w:p w:rsidR="00EB7B3E" w:rsidRPr="00063EF0" w:rsidRDefault="00EB7B3E" w:rsidP="004F0004">
      <w:pPr>
        <w:pStyle w:val="SingleTxt"/>
        <w:rPr>
          <w:rFonts w:hint="cs"/>
          <w:w w:val="100"/>
          <w:rtl/>
        </w:rPr>
      </w:pPr>
      <w:r>
        <w:rPr>
          <w:rFonts w:hint="cs"/>
          <w:rtl/>
        </w:rPr>
        <w:tab/>
      </w:r>
      <w:r w:rsidRPr="00063EF0">
        <w:rPr>
          <w:rFonts w:hint="cs"/>
          <w:w w:val="100"/>
          <w:rtl/>
        </w:rPr>
        <w:t xml:space="preserve">وبغض النظر عن هذا الحكم القانوني، تولى النظام القضائي فتح </w:t>
      </w:r>
      <w:r w:rsidR="004F0004" w:rsidRPr="00063EF0">
        <w:rPr>
          <w:rFonts w:hint="cs"/>
          <w:w w:val="100"/>
          <w:rtl/>
        </w:rPr>
        <w:t>الطريق أمام المرأة</w:t>
      </w:r>
      <w:r w:rsidRPr="00063EF0">
        <w:rPr>
          <w:rFonts w:hint="cs"/>
          <w:w w:val="100"/>
          <w:rtl/>
        </w:rPr>
        <w:t xml:space="preserve"> لأول مرة عندما نظرت المحكمة الاتحادية العليا في أمر امتثال تقدمت به ماريا ساندرا كوردييرو دي ميلو، وأعلنت أنها </w:t>
      </w:r>
      <w:r w:rsidRPr="00063EF0">
        <w:rPr>
          <w:rFonts w:hint="eastAsia"/>
          <w:w w:val="100"/>
          <w:rtl/>
        </w:rPr>
        <w:t>”تستطيع التسجيل في امتحان الالتحاق بالخدمة العامة عام 1952</w:t>
      </w:r>
      <w:r w:rsidRPr="00063EF0">
        <w:rPr>
          <w:rFonts w:hint="cs"/>
          <w:w w:val="100"/>
          <w:rtl/>
        </w:rPr>
        <w:t>“.</w:t>
      </w:r>
    </w:p>
    <w:p w:rsidR="00EB7B3E" w:rsidRDefault="00EB7B3E" w:rsidP="001F19C6">
      <w:pPr>
        <w:pStyle w:val="SingleTxt"/>
        <w:rPr>
          <w:rFonts w:hint="cs"/>
          <w:rtl/>
        </w:rPr>
      </w:pPr>
      <w:r>
        <w:rPr>
          <w:rFonts w:hint="cs"/>
          <w:rtl/>
        </w:rPr>
        <w:tab/>
        <w:t xml:space="preserve">وتحصل المرأة شيئا فشيئا على أماكن في السلك الدبلوماسي، رغم أن </w:t>
      </w:r>
      <w:r>
        <w:rPr>
          <w:rFonts w:hint="eastAsia"/>
          <w:rtl/>
        </w:rPr>
        <w:t>”السقف الزجاجي</w:t>
      </w:r>
      <w:r>
        <w:rPr>
          <w:rFonts w:hint="cs"/>
          <w:rtl/>
        </w:rPr>
        <w:t>“</w:t>
      </w:r>
      <w:r w:rsidR="00971A69" w:rsidRPr="00971A69">
        <w:rPr>
          <w:vertAlign w:val="superscript"/>
          <w:rtl/>
        </w:rPr>
        <w:t>(</w:t>
      </w:r>
      <w:r w:rsidR="00971A69">
        <w:rPr>
          <w:rStyle w:val="FootnoteReference"/>
          <w:rtl/>
        </w:rPr>
        <w:footnoteReference w:id="4"/>
      </w:r>
      <w:r w:rsidR="00971A69" w:rsidRPr="00971A69">
        <w:rPr>
          <w:vertAlign w:val="superscript"/>
          <w:rtl/>
        </w:rPr>
        <w:t>)</w:t>
      </w:r>
      <w:r>
        <w:rPr>
          <w:rFonts w:hint="cs"/>
          <w:rtl/>
        </w:rPr>
        <w:t xml:space="preserve"> لا يزال موجودا اليوم بحيث لا تصل أغل</w:t>
      </w:r>
      <w:r w:rsidR="00971A69">
        <w:rPr>
          <w:rFonts w:hint="cs"/>
          <w:rtl/>
        </w:rPr>
        <w:t>ب</w:t>
      </w:r>
      <w:r>
        <w:rPr>
          <w:rFonts w:hint="cs"/>
          <w:rtl/>
        </w:rPr>
        <w:t>ية الدبلوماسيات إلا إلى المستوى المتوسط للسلك الدبلوماسي، ويتعاقب زملاؤهن الذكور على تخطيهن.</w:t>
      </w:r>
    </w:p>
    <w:p w:rsidR="00307751" w:rsidRPr="00307751" w:rsidRDefault="00307751" w:rsidP="00307751">
      <w:pPr>
        <w:pStyle w:val="SingleTxt"/>
        <w:spacing w:after="0" w:line="120" w:lineRule="exact"/>
        <w:rPr>
          <w:rFonts w:hint="cs"/>
          <w:sz w:val="10"/>
          <w:rtl/>
        </w:rPr>
      </w:pPr>
    </w:p>
    <w:tbl>
      <w:tblPr>
        <w:bidiVisual/>
        <w:tblW w:w="0" w:type="auto"/>
        <w:jc w:val="center"/>
        <w:tblLayout w:type="fixed"/>
        <w:tblCellMar>
          <w:left w:w="70" w:type="dxa"/>
          <w:right w:w="70" w:type="dxa"/>
        </w:tblCellMar>
        <w:tblLook w:val="0000" w:firstRow="0" w:lastRow="0" w:firstColumn="0" w:lastColumn="0" w:noHBand="0" w:noVBand="0"/>
      </w:tblPr>
      <w:tblGrid>
        <w:gridCol w:w="3296"/>
        <w:gridCol w:w="824"/>
        <w:gridCol w:w="824"/>
        <w:gridCol w:w="927"/>
        <w:gridCol w:w="1442"/>
      </w:tblGrid>
      <w:tr w:rsidR="00307751" w:rsidRPr="00A3079D">
        <w:trPr>
          <w:cantSplit/>
          <w:tblHeader/>
          <w:jc w:val="center"/>
        </w:trPr>
        <w:tc>
          <w:tcPr>
            <w:tcW w:w="7313" w:type="dxa"/>
            <w:gridSpan w:val="5"/>
            <w:tcBorders>
              <w:top w:val="single" w:sz="4" w:space="0" w:color="auto"/>
              <w:bottom w:val="single" w:sz="4" w:space="0" w:color="auto"/>
            </w:tcBorders>
            <w:shd w:val="clear" w:color="auto" w:fill="auto"/>
            <w:vAlign w:val="bottom"/>
          </w:tcPr>
          <w:p w:rsidR="00307751" w:rsidRPr="00BC471B" w:rsidRDefault="00307751" w:rsidP="00307751">
            <w:pPr>
              <w:tabs>
                <w:tab w:val="left" w:pos="1335"/>
              </w:tabs>
              <w:spacing w:before="80" w:after="80" w:line="240" w:lineRule="exact"/>
              <w:ind w:right="144"/>
              <w:jc w:val="center"/>
              <w:rPr>
                <w:rFonts w:hint="cs"/>
                <w:b/>
                <w:bCs/>
                <w:sz w:val="16"/>
                <w:szCs w:val="24"/>
                <w:rtl/>
              </w:rPr>
            </w:pPr>
            <w:r w:rsidRPr="00BC471B">
              <w:rPr>
                <w:rFonts w:hint="cs"/>
                <w:b/>
                <w:bCs/>
                <w:sz w:val="18"/>
                <w:szCs w:val="26"/>
                <w:rtl/>
              </w:rPr>
              <w:t>التوزيع الحالي للدبلوماسيين البرازيليين، حسب الدرجة ونوع الجنس - 2004</w:t>
            </w:r>
          </w:p>
        </w:tc>
      </w:tr>
      <w:tr w:rsidR="00A3079D" w:rsidRPr="00A3079D">
        <w:trPr>
          <w:cantSplit/>
          <w:tblHeader/>
          <w:jc w:val="center"/>
        </w:trPr>
        <w:tc>
          <w:tcPr>
            <w:tcW w:w="3296" w:type="dxa"/>
            <w:tcBorders>
              <w:top w:val="single" w:sz="4" w:space="0" w:color="auto"/>
              <w:bottom w:val="single" w:sz="12" w:space="0" w:color="auto"/>
            </w:tcBorders>
            <w:shd w:val="clear" w:color="auto" w:fill="auto"/>
            <w:vAlign w:val="bottom"/>
          </w:tcPr>
          <w:p w:rsidR="00A3079D" w:rsidRPr="00A3079D" w:rsidRDefault="00307751" w:rsidP="00307751">
            <w:pPr>
              <w:pStyle w:val="Heading2"/>
              <w:spacing w:after="80" w:line="240" w:lineRule="exact"/>
              <w:rPr>
                <w:rFonts w:hint="cs"/>
                <w:b/>
                <w:i/>
                <w:iCs/>
                <w:sz w:val="16"/>
                <w:szCs w:val="24"/>
              </w:rPr>
            </w:pPr>
            <w:r>
              <w:rPr>
                <w:rFonts w:hint="cs"/>
                <w:b/>
                <w:i/>
                <w:iCs/>
                <w:sz w:val="16"/>
                <w:szCs w:val="24"/>
                <w:rtl/>
              </w:rPr>
              <w:t>التصنيف</w:t>
            </w:r>
          </w:p>
        </w:tc>
        <w:tc>
          <w:tcPr>
            <w:tcW w:w="824" w:type="dxa"/>
            <w:tcBorders>
              <w:top w:val="single" w:sz="4" w:space="0" w:color="auto"/>
              <w:bottom w:val="single" w:sz="12" w:space="0" w:color="auto"/>
            </w:tcBorders>
            <w:shd w:val="clear" w:color="auto" w:fill="auto"/>
            <w:vAlign w:val="bottom"/>
          </w:tcPr>
          <w:p w:rsidR="00A3079D" w:rsidRPr="00A3079D" w:rsidRDefault="00307751" w:rsidP="00307751">
            <w:pPr>
              <w:spacing w:after="80" w:line="240" w:lineRule="exact"/>
              <w:ind w:right="144"/>
              <w:jc w:val="left"/>
              <w:rPr>
                <w:rFonts w:hint="cs"/>
                <w:i/>
                <w:iCs/>
                <w:sz w:val="16"/>
                <w:szCs w:val="24"/>
                <w:rtl/>
              </w:rPr>
            </w:pPr>
            <w:r>
              <w:rPr>
                <w:rFonts w:hint="cs"/>
                <w:i/>
                <w:iCs/>
                <w:sz w:val="16"/>
                <w:szCs w:val="24"/>
                <w:rtl/>
              </w:rPr>
              <w:t>رجال</w:t>
            </w:r>
          </w:p>
        </w:tc>
        <w:tc>
          <w:tcPr>
            <w:tcW w:w="824" w:type="dxa"/>
            <w:tcBorders>
              <w:top w:val="single" w:sz="4" w:space="0" w:color="auto"/>
              <w:bottom w:val="single" w:sz="12" w:space="0" w:color="auto"/>
            </w:tcBorders>
            <w:shd w:val="clear" w:color="auto" w:fill="auto"/>
            <w:vAlign w:val="bottom"/>
          </w:tcPr>
          <w:p w:rsidR="00A3079D" w:rsidRPr="00A3079D" w:rsidRDefault="00307751" w:rsidP="00307751">
            <w:pPr>
              <w:spacing w:after="80" w:line="240" w:lineRule="exact"/>
              <w:ind w:right="144"/>
              <w:jc w:val="left"/>
              <w:rPr>
                <w:rFonts w:hint="cs"/>
                <w:i/>
                <w:iCs/>
                <w:sz w:val="16"/>
                <w:szCs w:val="24"/>
                <w:rtl/>
              </w:rPr>
            </w:pPr>
            <w:r>
              <w:rPr>
                <w:rFonts w:hint="cs"/>
                <w:i/>
                <w:iCs/>
                <w:sz w:val="16"/>
                <w:szCs w:val="24"/>
                <w:rtl/>
              </w:rPr>
              <w:t>نساء</w:t>
            </w:r>
          </w:p>
        </w:tc>
        <w:tc>
          <w:tcPr>
            <w:tcW w:w="927" w:type="dxa"/>
            <w:tcBorders>
              <w:top w:val="single" w:sz="4" w:space="0" w:color="auto"/>
              <w:bottom w:val="single" w:sz="12" w:space="0" w:color="auto"/>
            </w:tcBorders>
            <w:shd w:val="clear" w:color="auto" w:fill="auto"/>
            <w:vAlign w:val="bottom"/>
          </w:tcPr>
          <w:p w:rsidR="00A3079D" w:rsidRPr="00A3079D" w:rsidRDefault="00307751" w:rsidP="00307751">
            <w:pPr>
              <w:spacing w:after="80" w:line="240" w:lineRule="exact"/>
              <w:ind w:right="144"/>
              <w:jc w:val="left"/>
              <w:rPr>
                <w:rFonts w:hint="cs"/>
                <w:i/>
                <w:iCs/>
                <w:sz w:val="16"/>
                <w:szCs w:val="24"/>
                <w:rtl/>
              </w:rPr>
            </w:pPr>
            <w:r>
              <w:rPr>
                <w:rFonts w:hint="cs"/>
                <w:i/>
                <w:iCs/>
                <w:sz w:val="16"/>
                <w:szCs w:val="24"/>
                <w:rtl/>
              </w:rPr>
              <w:t>المجموع</w:t>
            </w:r>
          </w:p>
        </w:tc>
        <w:tc>
          <w:tcPr>
            <w:tcW w:w="1442" w:type="dxa"/>
            <w:tcBorders>
              <w:top w:val="single" w:sz="4" w:space="0" w:color="auto"/>
              <w:bottom w:val="single" w:sz="12" w:space="0" w:color="auto"/>
            </w:tcBorders>
            <w:shd w:val="clear" w:color="auto" w:fill="auto"/>
            <w:vAlign w:val="bottom"/>
          </w:tcPr>
          <w:p w:rsidR="00A3079D" w:rsidRPr="00A3079D" w:rsidRDefault="00307751" w:rsidP="00307751">
            <w:pPr>
              <w:spacing w:after="80" w:line="240" w:lineRule="exact"/>
              <w:ind w:right="33"/>
              <w:jc w:val="left"/>
              <w:rPr>
                <w:rFonts w:hint="cs"/>
                <w:i/>
                <w:iCs/>
                <w:sz w:val="16"/>
                <w:szCs w:val="24"/>
                <w:rtl/>
              </w:rPr>
            </w:pPr>
            <w:r>
              <w:rPr>
                <w:rFonts w:hint="cs"/>
                <w:i/>
                <w:iCs/>
                <w:sz w:val="16"/>
                <w:szCs w:val="24"/>
                <w:rtl/>
              </w:rPr>
              <w:t>النسبة المئوية للنساء</w:t>
            </w:r>
          </w:p>
        </w:tc>
      </w:tr>
      <w:tr w:rsidR="00A3079D" w:rsidRPr="00A3079D">
        <w:trPr>
          <w:cantSplit/>
          <w:trHeight w:hRule="exact" w:val="115"/>
          <w:tblHeader/>
          <w:jc w:val="center"/>
        </w:trPr>
        <w:tc>
          <w:tcPr>
            <w:tcW w:w="3296" w:type="dxa"/>
            <w:tcBorders>
              <w:top w:val="single" w:sz="12" w:space="0" w:color="auto"/>
            </w:tcBorders>
            <w:shd w:val="clear" w:color="auto" w:fill="auto"/>
            <w:vAlign w:val="bottom"/>
          </w:tcPr>
          <w:p w:rsidR="00A3079D" w:rsidRPr="00A3079D" w:rsidRDefault="00A3079D" w:rsidP="00307751">
            <w:pPr>
              <w:pStyle w:val="Heading2"/>
              <w:spacing w:before="40" w:after="80" w:line="240" w:lineRule="exact"/>
              <w:rPr>
                <w:b/>
                <w:sz w:val="16"/>
                <w:szCs w:val="24"/>
              </w:rPr>
            </w:pPr>
          </w:p>
        </w:tc>
        <w:tc>
          <w:tcPr>
            <w:tcW w:w="824" w:type="dxa"/>
            <w:tcBorders>
              <w:top w:val="single" w:sz="12" w:space="0" w:color="auto"/>
            </w:tcBorders>
            <w:shd w:val="clear" w:color="auto" w:fill="auto"/>
            <w:vAlign w:val="bottom"/>
          </w:tcPr>
          <w:p w:rsidR="00A3079D" w:rsidRPr="00A3079D" w:rsidRDefault="00A3079D" w:rsidP="00A3079D">
            <w:pPr>
              <w:bidi w:val="0"/>
              <w:spacing w:before="40" w:after="80" w:line="240" w:lineRule="exact"/>
              <w:ind w:right="144"/>
              <w:jc w:val="right"/>
              <w:rPr>
                <w:rFonts w:hint="cs"/>
                <w:sz w:val="16"/>
                <w:szCs w:val="24"/>
                <w:rtl/>
              </w:rPr>
            </w:pPr>
          </w:p>
        </w:tc>
        <w:tc>
          <w:tcPr>
            <w:tcW w:w="824" w:type="dxa"/>
            <w:tcBorders>
              <w:top w:val="single" w:sz="12" w:space="0" w:color="auto"/>
            </w:tcBorders>
            <w:shd w:val="clear" w:color="auto" w:fill="auto"/>
            <w:vAlign w:val="bottom"/>
          </w:tcPr>
          <w:p w:rsidR="00A3079D" w:rsidRPr="00A3079D" w:rsidRDefault="00A3079D" w:rsidP="00A3079D">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A3079D" w:rsidRPr="00A3079D" w:rsidRDefault="00A3079D" w:rsidP="00A3079D">
            <w:pPr>
              <w:bidi w:val="0"/>
              <w:spacing w:before="40" w:after="80" w:line="240" w:lineRule="exact"/>
              <w:ind w:right="144"/>
              <w:jc w:val="right"/>
              <w:rPr>
                <w:rFonts w:hint="cs"/>
                <w:sz w:val="16"/>
                <w:szCs w:val="24"/>
                <w:rtl/>
              </w:rPr>
            </w:pPr>
          </w:p>
        </w:tc>
        <w:tc>
          <w:tcPr>
            <w:tcW w:w="1442" w:type="dxa"/>
            <w:tcBorders>
              <w:top w:val="single" w:sz="12" w:space="0" w:color="auto"/>
            </w:tcBorders>
            <w:shd w:val="clear" w:color="auto" w:fill="auto"/>
            <w:vAlign w:val="bottom"/>
          </w:tcPr>
          <w:p w:rsidR="00A3079D" w:rsidRPr="00A3079D" w:rsidRDefault="00A3079D" w:rsidP="00A3079D">
            <w:pPr>
              <w:tabs>
                <w:tab w:val="left" w:pos="1335"/>
              </w:tabs>
              <w:bidi w:val="0"/>
              <w:spacing w:before="40" w:after="80" w:line="240" w:lineRule="exact"/>
              <w:ind w:right="144"/>
              <w:jc w:val="right"/>
              <w:rPr>
                <w:rFonts w:hint="cs"/>
                <w:sz w:val="16"/>
                <w:szCs w:val="24"/>
                <w:rtl/>
              </w:rPr>
            </w:pPr>
          </w:p>
        </w:tc>
      </w:tr>
      <w:tr w:rsidR="000E497B" w:rsidRPr="00A3079D">
        <w:trPr>
          <w:cantSplit/>
          <w:jc w:val="center"/>
        </w:trPr>
        <w:tc>
          <w:tcPr>
            <w:tcW w:w="3296" w:type="dxa"/>
            <w:shd w:val="clear" w:color="auto" w:fill="auto"/>
            <w:vAlign w:val="bottom"/>
          </w:tcPr>
          <w:p w:rsidR="000E497B" w:rsidRPr="00A3079D" w:rsidRDefault="00307751" w:rsidP="007C18B4">
            <w:pPr>
              <w:pStyle w:val="Heading2"/>
              <w:spacing w:after="40" w:line="240" w:lineRule="exact"/>
              <w:rPr>
                <w:rFonts w:hint="cs"/>
                <w:sz w:val="16"/>
                <w:szCs w:val="24"/>
                <w:lang w:eastAsia="pt-BR"/>
              </w:rPr>
            </w:pPr>
            <w:r>
              <w:rPr>
                <w:rFonts w:hint="cs"/>
                <w:sz w:val="16"/>
                <w:szCs w:val="24"/>
                <w:rtl/>
                <w:lang w:eastAsia="pt-BR"/>
              </w:rPr>
              <w:t>وزير من الدرجة الأولى (سفير)</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92</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6</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98</w:t>
            </w:r>
          </w:p>
        </w:tc>
        <w:tc>
          <w:tcPr>
            <w:tcW w:w="1442" w:type="dxa"/>
            <w:shd w:val="clear" w:color="auto" w:fill="auto"/>
            <w:vAlign w:val="bottom"/>
          </w:tcPr>
          <w:p w:rsidR="000E497B" w:rsidRPr="00A3079D" w:rsidRDefault="000E497B" w:rsidP="007C18B4">
            <w:pPr>
              <w:tabs>
                <w:tab w:val="left" w:pos="1335"/>
              </w:tabs>
              <w:bidi w:val="0"/>
              <w:spacing w:after="40" w:line="240" w:lineRule="exact"/>
              <w:ind w:right="144"/>
              <w:jc w:val="right"/>
              <w:rPr>
                <w:sz w:val="16"/>
                <w:szCs w:val="24"/>
                <w:lang w:eastAsia="pt-BR"/>
              </w:rPr>
            </w:pPr>
            <w:r w:rsidRPr="00A3079D">
              <w:rPr>
                <w:rFonts w:hint="cs"/>
                <w:sz w:val="16"/>
                <w:szCs w:val="24"/>
                <w:rtl/>
              </w:rPr>
              <w:t>6</w:t>
            </w:r>
            <w:r w:rsidR="00017BF5" w:rsidRPr="001E4EE6">
              <w:rPr>
                <w:rFonts w:cs="Akhbar MT" w:hint="cs"/>
                <w:sz w:val="16"/>
                <w:szCs w:val="24"/>
                <w:rtl/>
              </w:rPr>
              <w:t>%</w:t>
            </w:r>
            <w:r w:rsidRPr="00A3079D">
              <w:rPr>
                <w:sz w:val="16"/>
                <w:szCs w:val="24"/>
              </w:rPr>
              <w:t>,</w:t>
            </w:r>
            <w:r w:rsidRPr="00A3079D">
              <w:rPr>
                <w:rFonts w:hint="cs"/>
                <w:sz w:val="16"/>
                <w:szCs w:val="24"/>
                <w:rtl/>
              </w:rPr>
              <w:t>1</w:t>
            </w:r>
          </w:p>
        </w:tc>
      </w:tr>
      <w:tr w:rsidR="000E497B" w:rsidRPr="00A3079D">
        <w:trPr>
          <w:cantSplit/>
          <w:jc w:val="center"/>
        </w:trPr>
        <w:tc>
          <w:tcPr>
            <w:tcW w:w="3296" w:type="dxa"/>
            <w:shd w:val="clear" w:color="auto" w:fill="auto"/>
            <w:vAlign w:val="bottom"/>
          </w:tcPr>
          <w:p w:rsidR="000E497B" w:rsidRPr="00A3079D" w:rsidRDefault="00307751" w:rsidP="007C18B4">
            <w:pPr>
              <w:spacing w:after="40" w:line="240" w:lineRule="exact"/>
              <w:rPr>
                <w:rFonts w:hint="cs"/>
                <w:sz w:val="16"/>
                <w:szCs w:val="24"/>
                <w:lang w:eastAsia="pt-BR"/>
              </w:rPr>
            </w:pPr>
            <w:r>
              <w:rPr>
                <w:rFonts w:hint="cs"/>
                <w:sz w:val="16"/>
                <w:szCs w:val="24"/>
                <w:rtl/>
                <w:lang w:eastAsia="pt-BR"/>
              </w:rPr>
              <w:t>وزير من الدرجة الأولى (موظف بدرجة خاصة)</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42</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4</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46</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8</w:t>
            </w:r>
            <w:r w:rsidR="00017BF5" w:rsidRPr="001E4EE6">
              <w:rPr>
                <w:rFonts w:cs="Akhbar MT" w:hint="cs"/>
                <w:sz w:val="16"/>
                <w:szCs w:val="24"/>
                <w:rtl/>
              </w:rPr>
              <w:t>%</w:t>
            </w:r>
            <w:r w:rsidRPr="00A3079D">
              <w:rPr>
                <w:sz w:val="16"/>
                <w:szCs w:val="24"/>
              </w:rPr>
              <w:t>,</w:t>
            </w:r>
            <w:r w:rsidRPr="00A3079D">
              <w:rPr>
                <w:rFonts w:hint="cs"/>
                <w:sz w:val="16"/>
                <w:szCs w:val="24"/>
                <w:rtl/>
              </w:rPr>
              <w:t>6</w:t>
            </w:r>
          </w:p>
        </w:tc>
      </w:tr>
      <w:tr w:rsidR="000E497B" w:rsidRPr="00A3079D">
        <w:trPr>
          <w:cantSplit/>
          <w:jc w:val="center"/>
        </w:trPr>
        <w:tc>
          <w:tcPr>
            <w:tcW w:w="3296" w:type="dxa"/>
            <w:shd w:val="clear" w:color="auto" w:fill="auto"/>
            <w:vAlign w:val="bottom"/>
          </w:tcPr>
          <w:p w:rsidR="000E497B" w:rsidRPr="00A3079D" w:rsidRDefault="00307751" w:rsidP="007C18B4">
            <w:pPr>
              <w:pStyle w:val="Heading2"/>
              <w:spacing w:after="40" w:line="240" w:lineRule="exact"/>
              <w:rPr>
                <w:rFonts w:hint="cs"/>
                <w:sz w:val="16"/>
                <w:szCs w:val="24"/>
                <w:lang w:eastAsia="pt-BR"/>
              </w:rPr>
            </w:pPr>
            <w:r>
              <w:rPr>
                <w:rFonts w:hint="cs"/>
                <w:sz w:val="16"/>
                <w:szCs w:val="24"/>
                <w:rtl/>
                <w:lang w:eastAsia="pt-BR"/>
              </w:rPr>
              <w:t>وزير من الدرجة الثانية</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104</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25</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129</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19</w:t>
            </w:r>
            <w:r w:rsidR="00017BF5" w:rsidRPr="001E4EE6">
              <w:rPr>
                <w:rFonts w:cs="Akhbar MT" w:hint="cs"/>
                <w:sz w:val="16"/>
                <w:szCs w:val="24"/>
                <w:rtl/>
              </w:rPr>
              <w:t>%</w:t>
            </w:r>
            <w:r w:rsidRPr="00A3079D">
              <w:rPr>
                <w:sz w:val="16"/>
                <w:szCs w:val="24"/>
              </w:rPr>
              <w:t>,</w:t>
            </w:r>
            <w:r w:rsidRPr="00A3079D">
              <w:rPr>
                <w:rFonts w:hint="cs"/>
                <w:sz w:val="16"/>
                <w:szCs w:val="24"/>
                <w:rtl/>
              </w:rPr>
              <w:t>3</w:t>
            </w:r>
          </w:p>
        </w:tc>
      </w:tr>
      <w:tr w:rsidR="000E497B" w:rsidRPr="00A3079D">
        <w:trPr>
          <w:cantSplit/>
          <w:jc w:val="center"/>
        </w:trPr>
        <w:tc>
          <w:tcPr>
            <w:tcW w:w="3296" w:type="dxa"/>
            <w:shd w:val="clear" w:color="auto" w:fill="auto"/>
            <w:vAlign w:val="bottom"/>
          </w:tcPr>
          <w:p w:rsidR="000E497B" w:rsidRPr="00A3079D" w:rsidRDefault="00307751" w:rsidP="007C18B4">
            <w:pPr>
              <w:pStyle w:val="Heading2"/>
              <w:spacing w:after="40" w:line="240" w:lineRule="exact"/>
              <w:rPr>
                <w:rFonts w:hint="cs"/>
                <w:sz w:val="16"/>
                <w:szCs w:val="24"/>
                <w:lang w:eastAsia="pt-BR"/>
              </w:rPr>
            </w:pPr>
            <w:r>
              <w:rPr>
                <w:rFonts w:hint="cs"/>
                <w:sz w:val="16"/>
                <w:szCs w:val="24"/>
                <w:rtl/>
                <w:lang w:eastAsia="pt-BR"/>
              </w:rPr>
              <w:t>وزير من الدرجة الثانية (متقاعد)</w:t>
            </w:r>
          </w:p>
        </w:tc>
        <w:tc>
          <w:tcPr>
            <w:tcW w:w="824" w:type="dxa"/>
            <w:shd w:val="clear" w:color="auto" w:fill="auto"/>
            <w:vAlign w:val="bottom"/>
          </w:tcPr>
          <w:p w:rsidR="000E497B" w:rsidRPr="00A3079D" w:rsidRDefault="00A3079D" w:rsidP="007C18B4">
            <w:pPr>
              <w:bidi w:val="0"/>
              <w:spacing w:after="40" w:line="240" w:lineRule="exact"/>
              <w:ind w:right="33"/>
              <w:jc w:val="right"/>
              <w:rPr>
                <w:rFonts w:hint="cs"/>
                <w:sz w:val="16"/>
                <w:szCs w:val="24"/>
                <w:lang w:eastAsia="pt-BR"/>
              </w:rPr>
            </w:pPr>
            <w:r>
              <w:rPr>
                <w:rFonts w:hint="cs"/>
                <w:sz w:val="16"/>
                <w:szCs w:val="24"/>
                <w:rtl/>
                <w:lang w:eastAsia="pt-BR"/>
              </w:rPr>
              <w:t>33</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3</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36</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8</w:t>
            </w:r>
            <w:r w:rsidR="00017BF5" w:rsidRPr="00A3079D">
              <w:rPr>
                <w:rFonts w:cs="Akhbar MT" w:hint="cs"/>
                <w:sz w:val="16"/>
                <w:szCs w:val="24"/>
                <w:rtl/>
              </w:rPr>
              <w:t>%</w:t>
            </w:r>
            <w:r w:rsidRPr="00A3079D">
              <w:rPr>
                <w:sz w:val="16"/>
                <w:szCs w:val="24"/>
              </w:rPr>
              <w:t>,</w:t>
            </w:r>
            <w:r w:rsidRPr="00A3079D">
              <w:rPr>
                <w:rFonts w:hint="cs"/>
                <w:sz w:val="16"/>
                <w:szCs w:val="24"/>
                <w:rtl/>
              </w:rPr>
              <w:t>3</w:t>
            </w:r>
          </w:p>
        </w:tc>
      </w:tr>
      <w:tr w:rsidR="000E497B" w:rsidRPr="00A3079D">
        <w:trPr>
          <w:cantSplit/>
          <w:jc w:val="center"/>
        </w:trPr>
        <w:tc>
          <w:tcPr>
            <w:tcW w:w="3296" w:type="dxa"/>
            <w:shd w:val="clear" w:color="auto" w:fill="auto"/>
            <w:vAlign w:val="bottom"/>
          </w:tcPr>
          <w:p w:rsidR="000E497B" w:rsidRPr="00A3079D" w:rsidRDefault="00307751" w:rsidP="007C18B4">
            <w:pPr>
              <w:spacing w:after="40" w:line="240" w:lineRule="exact"/>
              <w:rPr>
                <w:rFonts w:hint="cs"/>
                <w:sz w:val="16"/>
                <w:szCs w:val="24"/>
                <w:lang w:eastAsia="pt-BR"/>
              </w:rPr>
            </w:pPr>
            <w:r>
              <w:rPr>
                <w:rFonts w:hint="cs"/>
                <w:sz w:val="16"/>
                <w:szCs w:val="24"/>
                <w:rtl/>
                <w:lang w:eastAsia="pt-BR"/>
              </w:rPr>
              <w:t>مستشار</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132</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38</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170</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22</w:t>
            </w:r>
            <w:r w:rsidR="00017BF5" w:rsidRPr="00A3079D">
              <w:rPr>
                <w:rFonts w:cs="Akhbar MT" w:hint="cs"/>
                <w:sz w:val="16"/>
                <w:szCs w:val="24"/>
                <w:rtl/>
              </w:rPr>
              <w:t>%</w:t>
            </w:r>
            <w:r w:rsidRPr="00A3079D">
              <w:rPr>
                <w:sz w:val="16"/>
                <w:szCs w:val="24"/>
              </w:rPr>
              <w:t>,</w:t>
            </w:r>
            <w:r w:rsidRPr="00A3079D">
              <w:rPr>
                <w:rFonts w:hint="cs"/>
                <w:sz w:val="16"/>
                <w:szCs w:val="24"/>
                <w:rtl/>
              </w:rPr>
              <w:t>3</w:t>
            </w:r>
          </w:p>
        </w:tc>
      </w:tr>
      <w:tr w:rsidR="000E497B" w:rsidRPr="00A3079D">
        <w:trPr>
          <w:cantSplit/>
          <w:jc w:val="center"/>
        </w:trPr>
        <w:tc>
          <w:tcPr>
            <w:tcW w:w="3296" w:type="dxa"/>
            <w:shd w:val="clear" w:color="auto" w:fill="auto"/>
            <w:vAlign w:val="bottom"/>
          </w:tcPr>
          <w:p w:rsidR="000E497B" w:rsidRPr="00A3079D" w:rsidRDefault="00307751" w:rsidP="007C18B4">
            <w:pPr>
              <w:spacing w:after="40" w:line="240" w:lineRule="exact"/>
              <w:rPr>
                <w:rFonts w:hint="cs"/>
                <w:color w:val="000000"/>
                <w:sz w:val="16"/>
                <w:szCs w:val="24"/>
                <w:lang w:eastAsia="pt-BR"/>
              </w:rPr>
            </w:pPr>
            <w:r>
              <w:rPr>
                <w:rFonts w:hint="cs"/>
                <w:color w:val="000000"/>
                <w:sz w:val="16"/>
                <w:szCs w:val="24"/>
                <w:rtl/>
                <w:lang w:eastAsia="pt-BR"/>
              </w:rPr>
              <w:t>مستشار (موظف بدرجة خاصة)</w:t>
            </w:r>
          </w:p>
        </w:tc>
        <w:tc>
          <w:tcPr>
            <w:tcW w:w="824" w:type="dxa"/>
            <w:shd w:val="clear" w:color="auto" w:fill="auto"/>
            <w:vAlign w:val="bottom"/>
          </w:tcPr>
          <w:p w:rsidR="000E497B" w:rsidRPr="00A3079D" w:rsidRDefault="000E497B" w:rsidP="007C18B4">
            <w:pPr>
              <w:bidi w:val="0"/>
              <w:spacing w:after="40" w:line="240" w:lineRule="exact"/>
              <w:ind w:right="33"/>
              <w:jc w:val="right"/>
              <w:rPr>
                <w:color w:val="000000"/>
                <w:sz w:val="16"/>
                <w:szCs w:val="24"/>
                <w:lang w:eastAsia="pt-BR"/>
              </w:rPr>
            </w:pPr>
            <w:r w:rsidRPr="00A3079D">
              <w:rPr>
                <w:rFonts w:hint="cs"/>
                <w:color w:val="000000"/>
                <w:sz w:val="16"/>
                <w:szCs w:val="24"/>
                <w:rtl/>
              </w:rPr>
              <w:t>41</w:t>
            </w:r>
          </w:p>
        </w:tc>
        <w:tc>
          <w:tcPr>
            <w:tcW w:w="824" w:type="dxa"/>
            <w:shd w:val="clear" w:color="auto" w:fill="auto"/>
            <w:vAlign w:val="bottom"/>
          </w:tcPr>
          <w:p w:rsidR="000E497B" w:rsidRPr="00A3079D" w:rsidRDefault="000E497B" w:rsidP="007C18B4">
            <w:pPr>
              <w:bidi w:val="0"/>
              <w:spacing w:after="40" w:line="240" w:lineRule="exact"/>
              <w:ind w:right="33"/>
              <w:jc w:val="right"/>
              <w:rPr>
                <w:color w:val="000000"/>
                <w:sz w:val="16"/>
                <w:szCs w:val="24"/>
                <w:lang w:eastAsia="pt-BR"/>
              </w:rPr>
            </w:pPr>
            <w:r w:rsidRPr="00A3079D">
              <w:rPr>
                <w:rFonts w:hint="cs"/>
                <w:color w:val="000000"/>
                <w:sz w:val="16"/>
                <w:szCs w:val="24"/>
                <w:rtl/>
              </w:rPr>
              <w:t>19</w:t>
            </w:r>
          </w:p>
        </w:tc>
        <w:tc>
          <w:tcPr>
            <w:tcW w:w="927" w:type="dxa"/>
            <w:shd w:val="clear" w:color="auto" w:fill="auto"/>
            <w:vAlign w:val="bottom"/>
          </w:tcPr>
          <w:p w:rsidR="000E497B" w:rsidRPr="00A3079D" w:rsidRDefault="000E497B" w:rsidP="007C18B4">
            <w:pPr>
              <w:bidi w:val="0"/>
              <w:spacing w:after="40" w:line="240" w:lineRule="exact"/>
              <w:ind w:right="33"/>
              <w:jc w:val="right"/>
              <w:rPr>
                <w:color w:val="000000"/>
                <w:sz w:val="16"/>
                <w:szCs w:val="24"/>
                <w:lang w:eastAsia="pt-BR"/>
              </w:rPr>
            </w:pPr>
            <w:r w:rsidRPr="00A3079D">
              <w:rPr>
                <w:rFonts w:hint="cs"/>
                <w:color w:val="000000"/>
                <w:sz w:val="16"/>
                <w:szCs w:val="24"/>
                <w:rtl/>
              </w:rPr>
              <w:t>60</w:t>
            </w:r>
          </w:p>
        </w:tc>
        <w:tc>
          <w:tcPr>
            <w:tcW w:w="1442" w:type="dxa"/>
            <w:shd w:val="clear" w:color="auto" w:fill="auto"/>
            <w:vAlign w:val="bottom"/>
          </w:tcPr>
          <w:p w:rsidR="000E497B" w:rsidRPr="00A3079D" w:rsidRDefault="000E497B" w:rsidP="007C18B4">
            <w:pPr>
              <w:bidi w:val="0"/>
              <w:spacing w:after="40" w:line="240" w:lineRule="exact"/>
              <w:ind w:right="144"/>
              <w:jc w:val="right"/>
              <w:rPr>
                <w:color w:val="000000"/>
                <w:sz w:val="16"/>
                <w:szCs w:val="24"/>
                <w:lang w:eastAsia="pt-BR"/>
              </w:rPr>
            </w:pPr>
            <w:r w:rsidRPr="00A3079D">
              <w:rPr>
                <w:rFonts w:hint="cs"/>
                <w:color w:val="000000"/>
                <w:sz w:val="16"/>
                <w:szCs w:val="24"/>
                <w:rtl/>
              </w:rPr>
              <w:t>31</w:t>
            </w:r>
            <w:r w:rsidR="00017BF5" w:rsidRPr="00A3079D">
              <w:rPr>
                <w:rFonts w:cs="Akhbar MT" w:hint="cs"/>
                <w:sz w:val="16"/>
                <w:szCs w:val="24"/>
                <w:rtl/>
              </w:rPr>
              <w:t>%</w:t>
            </w:r>
            <w:r w:rsidRPr="00A3079D">
              <w:rPr>
                <w:color w:val="000000"/>
                <w:sz w:val="16"/>
                <w:szCs w:val="24"/>
              </w:rPr>
              <w:t>,</w:t>
            </w:r>
            <w:r w:rsidRPr="00A3079D">
              <w:rPr>
                <w:rFonts w:hint="cs"/>
                <w:color w:val="000000"/>
                <w:sz w:val="16"/>
                <w:szCs w:val="24"/>
                <w:rtl/>
              </w:rPr>
              <w:t>6</w:t>
            </w:r>
          </w:p>
        </w:tc>
      </w:tr>
      <w:tr w:rsidR="000E497B" w:rsidRPr="00A3079D">
        <w:trPr>
          <w:cantSplit/>
          <w:jc w:val="center"/>
        </w:trPr>
        <w:tc>
          <w:tcPr>
            <w:tcW w:w="3296" w:type="dxa"/>
            <w:shd w:val="clear" w:color="auto" w:fill="auto"/>
            <w:vAlign w:val="bottom"/>
          </w:tcPr>
          <w:p w:rsidR="000E497B" w:rsidRPr="00A3079D" w:rsidRDefault="00307751" w:rsidP="007C18B4">
            <w:pPr>
              <w:pStyle w:val="xl28"/>
              <w:pBdr>
                <w:bottom w:val="none" w:sz="0" w:space="0" w:color="auto"/>
              </w:pBdr>
              <w:bidi/>
              <w:spacing w:before="0" w:beforeAutospacing="0" w:after="40" w:afterAutospacing="0" w:line="240" w:lineRule="exact"/>
              <w:jc w:val="lowKashida"/>
              <w:rPr>
                <w:rFonts w:ascii="Times New Roman" w:eastAsia="Times New Roman" w:hAnsi="Times New Roman" w:cs="Traditional Arabic" w:hint="cs"/>
                <w:sz w:val="16"/>
                <w:lang w:val="en-US"/>
              </w:rPr>
            </w:pPr>
            <w:r>
              <w:rPr>
                <w:rFonts w:ascii="Times New Roman" w:eastAsia="Times New Roman" w:hAnsi="Times New Roman" w:cs="Traditional Arabic" w:hint="cs"/>
                <w:sz w:val="16"/>
                <w:rtl/>
                <w:lang w:val="en-US"/>
              </w:rPr>
              <w:t>سكرتير أول</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142</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38</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180</w:t>
            </w:r>
          </w:p>
        </w:tc>
        <w:tc>
          <w:tcPr>
            <w:tcW w:w="1442" w:type="dxa"/>
            <w:shd w:val="clear" w:color="auto" w:fill="auto"/>
            <w:vAlign w:val="bottom"/>
          </w:tcPr>
          <w:p w:rsidR="000E497B" w:rsidRPr="00A3079D" w:rsidRDefault="00447144" w:rsidP="007C18B4">
            <w:pPr>
              <w:bidi w:val="0"/>
              <w:spacing w:after="40" w:line="240" w:lineRule="exact"/>
              <w:ind w:right="144"/>
              <w:jc w:val="right"/>
              <w:rPr>
                <w:sz w:val="16"/>
                <w:szCs w:val="24"/>
                <w:lang w:eastAsia="pt-BR" w:bidi="ar-EG"/>
              </w:rPr>
            </w:pPr>
            <w:r>
              <w:rPr>
                <w:rFonts w:hint="cs"/>
                <w:sz w:val="16"/>
                <w:szCs w:val="24"/>
                <w:rtl/>
                <w:lang w:bidi="ar-EG"/>
              </w:rPr>
              <w:t>21.1</w:t>
            </w:r>
            <w:r w:rsidRPr="00447144">
              <w:rPr>
                <w:rFonts w:cs="Akhbar MT" w:hint="cs"/>
                <w:sz w:val="16"/>
                <w:szCs w:val="24"/>
                <w:rtl/>
                <w:lang w:bidi="ar-EG"/>
              </w:rPr>
              <w:t>%</w:t>
            </w:r>
          </w:p>
        </w:tc>
      </w:tr>
      <w:tr w:rsidR="000E497B" w:rsidRPr="00A3079D">
        <w:trPr>
          <w:cantSplit/>
          <w:jc w:val="center"/>
        </w:trPr>
        <w:tc>
          <w:tcPr>
            <w:tcW w:w="3296" w:type="dxa"/>
            <w:shd w:val="clear" w:color="auto" w:fill="auto"/>
            <w:vAlign w:val="bottom"/>
          </w:tcPr>
          <w:p w:rsidR="000E497B" w:rsidRPr="00A3079D" w:rsidRDefault="00307751" w:rsidP="007C18B4">
            <w:pPr>
              <w:spacing w:after="40" w:line="240" w:lineRule="exact"/>
              <w:rPr>
                <w:rFonts w:hint="cs"/>
                <w:sz w:val="16"/>
                <w:szCs w:val="24"/>
                <w:lang w:eastAsia="pt-BR"/>
              </w:rPr>
            </w:pPr>
            <w:r>
              <w:rPr>
                <w:rFonts w:hint="cs"/>
                <w:sz w:val="16"/>
                <w:szCs w:val="24"/>
                <w:rtl/>
                <w:lang w:eastAsia="pt-BR"/>
              </w:rPr>
              <w:t>سكرتير ثان</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151</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41</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192</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21</w:t>
            </w:r>
            <w:r w:rsidR="00017BF5" w:rsidRPr="00A3079D">
              <w:rPr>
                <w:rFonts w:cs="Akhbar MT" w:hint="cs"/>
                <w:sz w:val="16"/>
                <w:szCs w:val="24"/>
                <w:rtl/>
              </w:rPr>
              <w:t>%</w:t>
            </w:r>
            <w:r w:rsidRPr="00A3079D">
              <w:rPr>
                <w:sz w:val="16"/>
                <w:szCs w:val="24"/>
              </w:rPr>
              <w:t>,</w:t>
            </w:r>
            <w:r w:rsidRPr="00A3079D">
              <w:rPr>
                <w:rFonts w:hint="cs"/>
                <w:sz w:val="16"/>
                <w:szCs w:val="24"/>
                <w:rtl/>
              </w:rPr>
              <w:t>3</w:t>
            </w:r>
          </w:p>
        </w:tc>
      </w:tr>
      <w:tr w:rsidR="000E497B" w:rsidRPr="00A3079D">
        <w:trPr>
          <w:cantSplit/>
          <w:jc w:val="center"/>
        </w:trPr>
        <w:tc>
          <w:tcPr>
            <w:tcW w:w="3296" w:type="dxa"/>
            <w:shd w:val="clear" w:color="auto" w:fill="auto"/>
            <w:vAlign w:val="bottom"/>
          </w:tcPr>
          <w:p w:rsidR="000E497B" w:rsidRPr="00A3079D" w:rsidRDefault="00307751" w:rsidP="007C18B4">
            <w:pPr>
              <w:spacing w:after="40" w:line="240" w:lineRule="exact"/>
              <w:rPr>
                <w:rFonts w:hint="cs"/>
                <w:sz w:val="16"/>
                <w:szCs w:val="24"/>
                <w:lang w:eastAsia="pt-BR"/>
              </w:rPr>
            </w:pPr>
            <w:r>
              <w:rPr>
                <w:rFonts w:hint="cs"/>
                <w:sz w:val="16"/>
                <w:szCs w:val="24"/>
                <w:rtl/>
                <w:lang w:eastAsia="pt-BR"/>
              </w:rPr>
              <w:t>سكرتير ثالث</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170</w:t>
            </w:r>
          </w:p>
        </w:tc>
        <w:tc>
          <w:tcPr>
            <w:tcW w:w="824"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41</w:t>
            </w:r>
          </w:p>
        </w:tc>
        <w:tc>
          <w:tcPr>
            <w:tcW w:w="927" w:type="dxa"/>
            <w:shd w:val="clear" w:color="auto" w:fill="auto"/>
            <w:vAlign w:val="bottom"/>
          </w:tcPr>
          <w:p w:rsidR="000E497B" w:rsidRPr="00A3079D" w:rsidRDefault="000E497B" w:rsidP="007C18B4">
            <w:pPr>
              <w:bidi w:val="0"/>
              <w:spacing w:after="40" w:line="240" w:lineRule="exact"/>
              <w:ind w:right="33"/>
              <w:jc w:val="right"/>
              <w:rPr>
                <w:sz w:val="16"/>
                <w:szCs w:val="24"/>
                <w:lang w:eastAsia="pt-BR"/>
              </w:rPr>
            </w:pPr>
            <w:r w:rsidRPr="00A3079D">
              <w:rPr>
                <w:rFonts w:hint="cs"/>
                <w:sz w:val="16"/>
                <w:szCs w:val="24"/>
                <w:rtl/>
              </w:rPr>
              <w:t>211</w:t>
            </w:r>
          </w:p>
        </w:tc>
        <w:tc>
          <w:tcPr>
            <w:tcW w:w="1442" w:type="dxa"/>
            <w:shd w:val="clear" w:color="auto" w:fill="auto"/>
            <w:vAlign w:val="bottom"/>
          </w:tcPr>
          <w:p w:rsidR="000E497B" w:rsidRPr="00A3079D" w:rsidRDefault="000E497B" w:rsidP="007C18B4">
            <w:pPr>
              <w:bidi w:val="0"/>
              <w:spacing w:after="40" w:line="240" w:lineRule="exact"/>
              <w:ind w:right="144"/>
              <w:jc w:val="right"/>
              <w:rPr>
                <w:sz w:val="16"/>
                <w:szCs w:val="24"/>
                <w:lang w:eastAsia="pt-BR"/>
              </w:rPr>
            </w:pPr>
            <w:r w:rsidRPr="00A3079D">
              <w:rPr>
                <w:rFonts w:hint="cs"/>
                <w:sz w:val="16"/>
                <w:szCs w:val="24"/>
                <w:rtl/>
              </w:rPr>
              <w:t>19</w:t>
            </w:r>
            <w:r w:rsidR="00017BF5" w:rsidRPr="00A3079D">
              <w:rPr>
                <w:rFonts w:cs="Akhbar MT" w:hint="cs"/>
                <w:sz w:val="16"/>
                <w:szCs w:val="24"/>
                <w:rtl/>
              </w:rPr>
              <w:t>%</w:t>
            </w:r>
            <w:r w:rsidRPr="00A3079D">
              <w:rPr>
                <w:sz w:val="16"/>
                <w:szCs w:val="24"/>
              </w:rPr>
              <w:t>,</w:t>
            </w:r>
            <w:r w:rsidRPr="00A3079D">
              <w:rPr>
                <w:rFonts w:hint="cs"/>
                <w:sz w:val="16"/>
                <w:szCs w:val="24"/>
                <w:rtl/>
              </w:rPr>
              <w:t>4</w:t>
            </w:r>
          </w:p>
        </w:tc>
      </w:tr>
      <w:tr w:rsidR="000E497B" w:rsidRPr="00A3079D">
        <w:trPr>
          <w:cantSplit/>
          <w:jc w:val="center"/>
        </w:trPr>
        <w:tc>
          <w:tcPr>
            <w:tcW w:w="3296" w:type="dxa"/>
            <w:shd w:val="clear" w:color="auto" w:fill="auto"/>
            <w:vAlign w:val="bottom"/>
          </w:tcPr>
          <w:p w:rsidR="000E497B" w:rsidRPr="00A3079D" w:rsidRDefault="00307751" w:rsidP="007C18B4">
            <w:pPr>
              <w:pStyle w:val="Heading4"/>
              <w:spacing w:before="0" w:after="40" w:line="240" w:lineRule="exact"/>
              <w:rPr>
                <w:rFonts w:cs="Traditional Arabic" w:hint="cs"/>
                <w:b w:val="0"/>
                <w:sz w:val="16"/>
                <w:szCs w:val="24"/>
                <w:lang w:eastAsia="pt-BR"/>
              </w:rPr>
            </w:pPr>
            <w:r>
              <w:rPr>
                <w:rFonts w:cs="Traditional Arabic" w:hint="cs"/>
                <w:b w:val="0"/>
                <w:sz w:val="16"/>
                <w:szCs w:val="24"/>
                <w:rtl/>
                <w:lang w:eastAsia="pt-BR"/>
              </w:rPr>
              <w:t>المجموع (للموظفين بدرجة خاصة)</w:t>
            </w:r>
          </w:p>
        </w:tc>
        <w:tc>
          <w:tcPr>
            <w:tcW w:w="824" w:type="dxa"/>
            <w:shd w:val="clear" w:color="auto" w:fill="auto"/>
            <w:vAlign w:val="bottom"/>
          </w:tcPr>
          <w:p w:rsidR="000E497B" w:rsidRPr="00D474AB" w:rsidRDefault="000E497B" w:rsidP="007C18B4">
            <w:pPr>
              <w:bidi w:val="0"/>
              <w:spacing w:after="40" w:line="240" w:lineRule="exact"/>
              <w:ind w:right="33"/>
              <w:jc w:val="right"/>
              <w:rPr>
                <w:b/>
                <w:bCs/>
                <w:sz w:val="16"/>
                <w:szCs w:val="24"/>
                <w:lang w:eastAsia="pt-BR"/>
              </w:rPr>
            </w:pPr>
            <w:r w:rsidRPr="00D474AB">
              <w:rPr>
                <w:rFonts w:hint="cs"/>
                <w:b/>
                <w:bCs/>
                <w:sz w:val="16"/>
                <w:szCs w:val="24"/>
                <w:rtl/>
              </w:rPr>
              <w:t>116</w:t>
            </w:r>
          </w:p>
        </w:tc>
        <w:tc>
          <w:tcPr>
            <w:tcW w:w="824" w:type="dxa"/>
            <w:shd w:val="clear" w:color="auto" w:fill="auto"/>
            <w:vAlign w:val="bottom"/>
          </w:tcPr>
          <w:p w:rsidR="000E497B" w:rsidRPr="00D474AB" w:rsidRDefault="000E497B" w:rsidP="007C18B4">
            <w:pPr>
              <w:bidi w:val="0"/>
              <w:spacing w:after="40" w:line="240" w:lineRule="exact"/>
              <w:ind w:right="33"/>
              <w:jc w:val="right"/>
              <w:rPr>
                <w:b/>
                <w:bCs/>
                <w:sz w:val="16"/>
                <w:szCs w:val="24"/>
                <w:lang w:eastAsia="pt-BR"/>
              </w:rPr>
            </w:pPr>
            <w:r w:rsidRPr="00D474AB">
              <w:rPr>
                <w:rFonts w:hint="cs"/>
                <w:b/>
                <w:bCs/>
                <w:sz w:val="16"/>
                <w:szCs w:val="24"/>
                <w:rtl/>
              </w:rPr>
              <w:t>26</w:t>
            </w:r>
          </w:p>
        </w:tc>
        <w:tc>
          <w:tcPr>
            <w:tcW w:w="927" w:type="dxa"/>
            <w:shd w:val="clear" w:color="auto" w:fill="auto"/>
            <w:vAlign w:val="bottom"/>
          </w:tcPr>
          <w:p w:rsidR="000E497B" w:rsidRPr="00D474AB" w:rsidRDefault="000E497B" w:rsidP="007C18B4">
            <w:pPr>
              <w:bidi w:val="0"/>
              <w:spacing w:after="40" w:line="240" w:lineRule="exact"/>
              <w:ind w:right="33"/>
              <w:jc w:val="right"/>
              <w:rPr>
                <w:b/>
                <w:bCs/>
                <w:sz w:val="16"/>
                <w:szCs w:val="24"/>
                <w:lang w:eastAsia="pt-BR"/>
              </w:rPr>
            </w:pPr>
            <w:r w:rsidRPr="00D474AB">
              <w:rPr>
                <w:rFonts w:hint="cs"/>
                <w:b/>
                <w:bCs/>
                <w:sz w:val="16"/>
                <w:szCs w:val="24"/>
                <w:rtl/>
              </w:rPr>
              <w:t>142</w:t>
            </w:r>
          </w:p>
        </w:tc>
        <w:tc>
          <w:tcPr>
            <w:tcW w:w="1442" w:type="dxa"/>
            <w:shd w:val="clear" w:color="auto" w:fill="auto"/>
            <w:vAlign w:val="bottom"/>
          </w:tcPr>
          <w:p w:rsidR="000E497B" w:rsidRPr="00D474AB" w:rsidRDefault="000E497B" w:rsidP="007C18B4">
            <w:pPr>
              <w:bidi w:val="0"/>
              <w:spacing w:after="40" w:line="240" w:lineRule="exact"/>
              <w:ind w:right="144"/>
              <w:jc w:val="right"/>
              <w:rPr>
                <w:b/>
                <w:bCs/>
                <w:sz w:val="16"/>
                <w:szCs w:val="24"/>
                <w:lang w:eastAsia="pt-BR"/>
              </w:rPr>
            </w:pPr>
            <w:r w:rsidRPr="00D474AB">
              <w:rPr>
                <w:rFonts w:hint="cs"/>
                <w:b/>
                <w:bCs/>
                <w:sz w:val="16"/>
                <w:szCs w:val="24"/>
                <w:rtl/>
              </w:rPr>
              <w:t>18</w:t>
            </w:r>
            <w:r w:rsidR="00017BF5" w:rsidRPr="00D474AB">
              <w:rPr>
                <w:rFonts w:cs="Akhbar MT" w:hint="cs"/>
                <w:b/>
                <w:bCs/>
                <w:sz w:val="16"/>
                <w:szCs w:val="24"/>
                <w:rtl/>
              </w:rPr>
              <w:t>%</w:t>
            </w:r>
            <w:r w:rsidRPr="00D474AB">
              <w:rPr>
                <w:b/>
                <w:bCs/>
                <w:sz w:val="16"/>
                <w:szCs w:val="24"/>
              </w:rPr>
              <w:t>,</w:t>
            </w:r>
            <w:r w:rsidRPr="00D474AB">
              <w:rPr>
                <w:rFonts w:hint="cs"/>
                <w:b/>
                <w:bCs/>
                <w:sz w:val="16"/>
                <w:szCs w:val="24"/>
                <w:rtl/>
              </w:rPr>
              <w:t>3</w:t>
            </w:r>
          </w:p>
        </w:tc>
      </w:tr>
      <w:tr w:rsidR="000E497B" w:rsidRPr="00A3079D">
        <w:trPr>
          <w:cantSplit/>
          <w:jc w:val="center"/>
        </w:trPr>
        <w:tc>
          <w:tcPr>
            <w:tcW w:w="3296" w:type="dxa"/>
            <w:tcBorders>
              <w:bottom w:val="single" w:sz="12" w:space="0" w:color="auto"/>
            </w:tcBorders>
            <w:shd w:val="clear" w:color="auto" w:fill="auto"/>
            <w:vAlign w:val="bottom"/>
          </w:tcPr>
          <w:p w:rsidR="000E497B" w:rsidRPr="00A3079D" w:rsidRDefault="00307751" w:rsidP="007C18B4">
            <w:pPr>
              <w:pStyle w:val="Heading4"/>
              <w:spacing w:before="0" w:after="40" w:line="240" w:lineRule="exact"/>
              <w:rPr>
                <w:rFonts w:cs="Traditional Arabic" w:hint="cs"/>
                <w:b w:val="0"/>
                <w:sz w:val="16"/>
                <w:szCs w:val="24"/>
                <w:lang w:eastAsia="pt-BR" w:bidi="ar-EG"/>
              </w:rPr>
            </w:pPr>
            <w:r>
              <w:rPr>
                <w:rFonts w:cs="Traditional Arabic" w:hint="cs"/>
                <w:b w:val="0"/>
                <w:sz w:val="16"/>
                <w:szCs w:val="24"/>
                <w:rtl/>
                <w:lang w:eastAsia="pt-BR" w:bidi="ar-EG"/>
              </w:rPr>
              <w:t>المجموع</w:t>
            </w:r>
          </w:p>
        </w:tc>
        <w:tc>
          <w:tcPr>
            <w:tcW w:w="824" w:type="dxa"/>
            <w:tcBorders>
              <w:bottom w:val="single" w:sz="12" w:space="0" w:color="auto"/>
            </w:tcBorders>
            <w:shd w:val="clear" w:color="auto" w:fill="auto"/>
            <w:vAlign w:val="bottom"/>
          </w:tcPr>
          <w:p w:rsidR="000E497B" w:rsidRPr="00307751" w:rsidRDefault="000E497B" w:rsidP="007C18B4">
            <w:pPr>
              <w:bidi w:val="0"/>
              <w:spacing w:after="40" w:line="240" w:lineRule="exact"/>
              <w:ind w:right="33"/>
              <w:jc w:val="right"/>
              <w:rPr>
                <w:b/>
                <w:bCs/>
                <w:sz w:val="16"/>
                <w:szCs w:val="24"/>
                <w:lang w:eastAsia="pt-BR"/>
              </w:rPr>
            </w:pPr>
            <w:r w:rsidRPr="00307751">
              <w:rPr>
                <w:rFonts w:hint="cs"/>
                <w:b/>
                <w:bCs/>
                <w:sz w:val="16"/>
                <w:szCs w:val="24"/>
                <w:rtl/>
              </w:rPr>
              <w:t>907</w:t>
            </w:r>
          </w:p>
        </w:tc>
        <w:tc>
          <w:tcPr>
            <w:tcW w:w="824" w:type="dxa"/>
            <w:tcBorders>
              <w:bottom w:val="single" w:sz="12" w:space="0" w:color="auto"/>
            </w:tcBorders>
            <w:shd w:val="clear" w:color="auto" w:fill="auto"/>
            <w:vAlign w:val="bottom"/>
          </w:tcPr>
          <w:p w:rsidR="000E497B" w:rsidRPr="00307751" w:rsidRDefault="000E497B" w:rsidP="007C18B4">
            <w:pPr>
              <w:bidi w:val="0"/>
              <w:spacing w:after="40" w:line="240" w:lineRule="exact"/>
              <w:ind w:right="33"/>
              <w:jc w:val="right"/>
              <w:rPr>
                <w:b/>
                <w:bCs/>
                <w:sz w:val="16"/>
                <w:szCs w:val="24"/>
                <w:lang w:eastAsia="pt-BR"/>
              </w:rPr>
            </w:pPr>
            <w:r w:rsidRPr="00307751">
              <w:rPr>
                <w:rFonts w:hint="cs"/>
                <w:b/>
                <w:bCs/>
                <w:sz w:val="16"/>
                <w:szCs w:val="24"/>
                <w:rtl/>
              </w:rPr>
              <w:t>215</w:t>
            </w:r>
          </w:p>
        </w:tc>
        <w:tc>
          <w:tcPr>
            <w:tcW w:w="927" w:type="dxa"/>
            <w:tcBorders>
              <w:bottom w:val="single" w:sz="12" w:space="0" w:color="auto"/>
            </w:tcBorders>
            <w:shd w:val="clear" w:color="auto" w:fill="auto"/>
            <w:vAlign w:val="bottom"/>
          </w:tcPr>
          <w:p w:rsidR="000E497B" w:rsidRPr="00307751" w:rsidRDefault="000E497B" w:rsidP="007C18B4">
            <w:pPr>
              <w:bidi w:val="0"/>
              <w:spacing w:after="40" w:line="240" w:lineRule="exact"/>
              <w:ind w:right="33"/>
              <w:jc w:val="right"/>
              <w:rPr>
                <w:b/>
                <w:bCs/>
                <w:sz w:val="16"/>
                <w:szCs w:val="24"/>
                <w:lang w:eastAsia="pt-BR"/>
              </w:rPr>
            </w:pPr>
            <w:r w:rsidRPr="00307751">
              <w:rPr>
                <w:rFonts w:hint="cs"/>
                <w:b/>
                <w:bCs/>
                <w:sz w:val="16"/>
                <w:szCs w:val="24"/>
                <w:rtl/>
              </w:rPr>
              <w:t>1</w:t>
            </w:r>
            <w:r w:rsidR="00307751" w:rsidRPr="00307751">
              <w:rPr>
                <w:b/>
                <w:bCs/>
                <w:sz w:val="16"/>
                <w:szCs w:val="24"/>
              </w:rPr>
              <w:t xml:space="preserve"> </w:t>
            </w:r>
            <w:r w:rsidRPr="00307751">
              <w:rPr>
                <w:rFonts w:hint="cs"/>
                <w:b/>
                <w:bCs/>
                <w:sz w:val="16"/>
                <w:szCs w:val="24"/>
                <w:rtl/>
              </w:rPr>
              <w:t>122</w:t>
            </w:r>
          </w:p>
        </w:tc>
        <w:tc>
          <w:tcPr>
            <w:tcW w:w="1442" w:type="dxa"/>
            <w:tcBorders>
              <w:bottom w:val="single" w:sz="12" w:space="0" w:color="auto"/>
            </w:tcBorders>
            <w:shd w:val="clear" w:color="auto" w:fill="auto"/>
            <w:vAlign w:val="bottom"/>
          </w:tcPr>
          <w:p w:rsidR="000E497B" w:rsidRPr="00307751" w:rsidRDefault="000E497B" w:rsidP="007C18B4">
            <w:pPr>
              <w:bidi w:val="0"/>
              <w:spacing w:after="40" w:line="240" w:lineRule="exact"/>
              <w:ind w:right="144"/>
              <w:jc w:val="right"/>
              <w:rPr>
                <w:b/>
                <w:bCs/>
                <w:sz w:val="16"/>
                <w:szCs w:val="24"/>
                <w:lang w:eastAsia="pt-BR"/>
              </w:rPr>
            </w:pPr>
            <w:r w:rsidRPr="00307751">
              <w:rPr>
                <w:rFonts w:hint="cs"/>
                <w:b/>
                <w:bCs/>
                <w:sz w:val="16"/>
                <w:szCs w:val="24"/>
                <w:rtl/>
              </w:rPr>
              <w:t>20</w:t>
            </w:r>
            <w:r w:rsidR="00017BF5" w:rsidRPr="00307751">
              <w:rPr>
                <w:rFonts w:cs="Akhbar MT" w:hint="cs"/>
                <w:b/>
                <w:bCs/>
                <w:sz w:val="16"/>
                <w:szCs w:val="24"/>
                <w:rtl/>
              </w:rPr>
              <w:t>%</w:t>
            </w:r>
            <w:r w:rsidRPr="00307751">
              <w:rPr>
                <w:b/>
                <w:bCs/>
                <w:sz w:val="16"/>
                <w:szCs w:val="24"/>
              </w:rPr>
              <w:t>,</w:t>
            </w:r>
            <w:r w:rsidRPr="00307751">
              <w:rPr>
                <w:rFonts w:hint="cs"/>
                <w:b/>
                <w:bCs/>
                <w:sz w:val="16"/>
                <w:szCs w:val="24"/>
                <w:rtl/>
              </w:rPr>
              <w:t>1</w:t>
            </w:r>
          </w:p>
        </w:tc>
      </w:tr>
    </w:tbl>
    <w:p w:rsidR="00307751" w:rsidRPr="00307751" w:rsidRDefault="00307751" w:rsidP="00307751">
      <w:pPr>
        <w:pStyle w:val="SingleTxt"/>
        <w:spacing w:after="0" w:line="120" w:lineRule="exact"/>
        <w:rPr>
          <w:rFonts w:hint="cs"/>
          <w:sz w:val="10"/>
          <w:rtl/>
        </w:rPr>
      </w:pPr>
    </w:p>
    <w:p w:rsidR="000E497B" w:rsidRPr="00307751" w:rsidRDefault="00307751" w:rsidP="0030775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نظام التصنيف للسلك الدبلوماسي - تموز/يوليه 2004.</w:t>
      </w:r>
    </w:p>
    <w:p w:rsidR="000E497B" w:rsidRDefault="00307751" w:rsidP="00D474AB">
      <w:pPr>
        <w:pStyle w:val="SingleTxt"/>
        <w:spacing w:after="100" w:line="380" w:lineRule="exact"/>
        <w:rPr>
          <w:rFonts w:hint="cs"/>
          <w:rtl/>
          <w:lang w:bidi="ar-EG"/>
        </w:rPr>
      </w:pPr>
      <w:r>
        <w:rPr>
          <w:rFonts w:hint="cs"/>
          <w:rtl/>
          <w:lang w:bidi="ar-EG"/>
        </w:rPr>
        <w:tab/>
        <w:t>ويوضح الجدول أعلاه أن أكبر تركيز للدبلوماسيات يوجد في مستوى المستشار، وهو أعلى مستوى متوسط في السلك الدبلوماسي، ويتشكل فوقه عنق زجاجة في مستوى الوزير من الدرجة الأولى ومستوى الوزير من الدرجة الثانية.</w:t>
      </w:r>
    </w:p>
    <w:p w:rsidR="00307751" w:rsidRDefault="00307751" w:rsidP="00D474AB">
      <w:pPr>
        <w:pStyle w:val="SingleTxt"/>
        <w:spacing w:after="100" w:line="380" w:lineRule="exact"/>
        <w:rPr>
          <w:rFonts w:hint="cs"/>
          <w:rtl/>
          <w:lang w:bidi="ar-EG"/>
        </w:rPr>
      </w:pPr>
      <w:r>
        <w:rPr>
          <w:rFonts w:hint="cs"/>
          <w:rtl/>
          <w:lang w:bidi="ar-EG"/>
        </w:rPr>
        <w:tab/>
        <w:t>ومن المهم بنفس القدر وجود تركيز كبير للنساء في المستوى الذي يسبق التقاعد مباشرة. ولما كان متوسط نسبة النساء لكل تصنيف في السلك الدبلوماسي حوالي 20 في المائة، وكانت هذه النسبة تزداد إلى 31 في المائة في تصنيف المستشارين من الموظفين الذين يقتربون من سن التقاعد، فإن ذلك يدل على أن أغلبية النساء ينهين خدمتهن الدبلوماسية في مستوى المستشار.</w:t>
      </w:r>
    </w:p>
    <w:p w:rsidR="00307751" w:rsidRDefault="00307751" w:rsidP="004F0004">
      <w:pPr>
        <w:pStyle w:val="SingleTxt"/>
        <w:spacing w:after="100" w:line="380" w:lineRule="exact"/>
        <w:rPr>
          <w:rFonts w:hint="cs"/>
          <w:rtl/>
          <w:lang w:bidi="ar-EG"/>
        </w:rPr>
      </w:pPr>
      <w:r>
        <w:rPr>
          <w:rFonts w:hint="cs"/>
          <w:rtl/>
          <w:lang w:bidi="ar-EG"/>
        </w:rPr>
        <w:tab/>
        <w:t xml:space="preserve">ومن الجدير بالذكر أيضا أنه رغم أن معدل مشاركة المرأة في مختلف تصنيفات السلك الدبلوماسي هو 20 في المائة، </w:t>
      </w:r>
      <w:r w:rsidR="004F0004">
        <w:rPr>
          <w:rFonts w:hint="cs"/>
          <w:rtl/>
          <w:lang w:bidi="ar-EG"/>
        </w:rPr>
        <w:t>فإن</w:t>
      </w:r>
      <w:r>
        <w:rPr>
          <w:rFonts w:hint="cs"/>
          <w:rtl/>
          <w:lang w:bidi="ar-EG"/>
        </w:rPr>
        <w:t xml:space="preserve"> هذا المعدل </w:t>
      </w:r>
      <w:r w:rsidR="004F0004">
        <w:rPr>
          <w:rFonts w:hint="cs"/>
          <w:rtl/>
          <w:lang w:bidi="ar-EG"/>
        </w:rPr>
        <w:t xml:space="preserve">يهبط </w:t>
      </w:r>
      <w:r>
        <w:rPr>
          <w:rFonts w:hint="cs"/>
          <w:rtl/>
          <w:lang w:bidi="ar-EG"/>
        </w:rPr>
        <w:t xml:space="preserve">إلى 6 في المائة في أعلى مستوى، </w:t>
      </w:r>
      <w:r w:rsidR="0050149F">
        <w:rPr>
          <w:rFonts w:hint="cs"/>
          <w:rtl/>
          <w:lang w:bidi="ar-EG"/>
        </w:rPr>
        <w:t>وهو مستوى الوزير من الدرجة الأولى. ويوضح الجدول أ</w:t>
      </w:r>
      <w:r w:rsidR="004F0004">
        <w:rPr>
          <w:rFonts w:hint="cs"/>
          <w:rtl/>
          <w:lang w:bidi="ar-EG"/>
        </w:rPr>
        <w:t>ع</w:t>
      </w:r>
      <w:r w:rsidR="0050149F">
        <w:rPr>
          <w:rFonts w:hint="cs"/>
          <w:rtl/>
          <w:lang w:bidi="ar-EG"/>
        </w:rPr>
        <w:t>لاه أيضا ظاهرة استمرت أثناء السنوات القليلة الماضية، وهي الهبوط الطفيف في عدد النساء اللاتي يلتحقن بالسلك الدبلوماسي. ولما كنت النساء يشكلن 51 في المائة من سكان البرازيل، فمن الواضح أن مشاركة المرأة في السلك الدبلوماسي تبعد كل البعد عن تمثيلها الديمغرافي.</w:t>
      </w:r>
    </w:p>
    <w:p w:rsidR="0050149F" w:rsidRPr="00D474AB" w:rsidRDefault="0050149F" w:rsidP="00D474AB">
      <w:pPr>
        <w:pStyle w:val="SingleTxt"/>
        <w:spacing w:after="100" w:line="380" w:lineRule="exact"/>
        <w:rPr>
          <w:rFonts w:hint="cs"/>
          <w:w w:val="100"/>
          <w:rtl/>
          <w:lang w:bidi="ar-EG"/>
        </w:rPr>
      </w:pPr>
      <w:r w:rsidRPr="00D474AB">
        <w:rPr>
          <w:rFonts w:hint="cs"/>
          <w:w w:val="100"/>
          <w:rtl/>
          <w:lang w:bidi="ar-EG"/>
        </w:rPr>
        <w:tab/>
        <w:t>ومقارنة ذلك بالبيانات الواردة في التقرير المقدم عام 2002 توضح زيادة في مشاركة المرأة في التصنيفات العليا للسلك الدبلوماسي. فبينما كانت نسبة الوزيرات من الدرجة الأولى 5.1 في المائة عام 2002، زادت هذه النسبة إلى 6.1 في المائة عام 2004؛ وقفزت نسبة الوزيرات من الدرجة الثانية من 3.9 في المائة إلى 19.3؛ وزادت نسبة مشاركة النساء في درجة المستشار من 3.5 في المائة إلى 22.3 في المائة؛ وانخفضت نسبة النساء في درجة السكرتير الأول من 24.8 في المائة إلى 21.1 في المائة؛ وزادت نسبة مشاركة النساء في درجة السكرتير الثاني من 20.1 في المائة إلى 21.3 في المائة؛ وأخيرا، فإن نسبة النساء في درجة السكرتير الثالث انخفضت من 21.2 في المائة إلى 19.4 في المائة. وهذا يوضح اتجاهين جديدين هما أن هناك زيادة في عدد الدبلوماسيات اللاتي تجري ترقيتهن إلى المستويات الأعلى للسلك الدبلوماسي، وهبوطا في عدد النساء اللاتي يلتحقن بالسلك الدبلوماسي.</w:t>
      </w:r>
    </w:p>
    <w:p w:rsidR="0050149F" w:rsidRDefault="0050149F" w:rsidP="004F0004">
      <w:pPr>
        <w:pStyle w:val="SingleTxt"/>
        <w:spacing w:after="100" w:line="380" w:lineRule="exact"/>
        <w:rPr>
          <w:rFonts w:hint="cs"/>
          <w:rtl/>
          <w:lang w:bidi="ar-EG"/>
        </w:rPr>
      </w:pPr>
      <w:r>
        <w:rPr>
          <w:rFonts w:hint="cs"/>
          <w:rtl/>
          <w:lang w:bidi="ar-EG"/>
        </w:rPr>
        <w:tab/>
        <w:t>ورغم أن سياسة العمل الإيجابي التي اعتمدتها وزارة الخارجية لتشجع التحاق البرازيليين من أصل أفريقي بالسلك الدبلوماسي لم تكن موجهة للمرأة بصفة خاصة، فقد أسفرت أيضا عن التحاق النساء السود بالسلك الدبلوماسي.</w:t>
      </w:r>
    </w:p>
    <w:p w:rsidR="0050149F" w:rsidRDefault="00D85E80" w:rsidP="00D474AB">
      <w:pPr>
        <w:pStyle w:val="SingleTxt"/>
        <w:spacing w:after="100" w:line="380" w:lineRule="exact"/>
        <w:rPr>
          <w:rFonts w:hint="cs"/>
          <w:rtl/>
          <w:lang w:bidi="ar-EG"/>
        </w:rPr>
      </w:pPr>
      <w:r>
        <w:rPr>
          <w:rFonts w:hint="cs"/>
          <w:rtl/>
          <w:lang w:bidi="ar-EG"/>
        </w:rPr>
        <w:tab/>
        <w:t>وتتشكل وزارة الخارجية البرازيلية من أعضاء السلك الدبلوماسي، والموظفين، والمساعدين (انظر الجدول أدناه). ويحظى أعضاء السلك الدبلوماسي بأعلى مسؤولية وهيبة ومرتب. وعلى العكس من ذلك، تشكل المرأة الأغلبية في المسارين الوظيفيين الآخرين، وهما أدنى من أقل مستوى دبلوماسي.</w:t>
      </w:r>
    </w:p>
    <w:tbl>
      <w:tblPr>
        <w:bidiVisual/>
        <w:tblW w:w="0" w:type="auto"/>
        <w:jc w:val="center"/>
        <w:tblLayout w:type="fixed"/>
        <w:tblCellMar>
          <w:left w:w="70" w:type="dxa"/>
          <w:right w:w="70" w:type="dxa"/>
        </w:tblCellMar>
        <w:tblLook w:val="0000" w:firstRow="0" w:lastRow="0" w:firstColumn="0" w:lastColumn="0" w:noHBand="0" w:noVBand="0"/>
      </w:tblPr>
      <w:tblGrid>
        <w:gridCol w:w="1855"/>
        <w:gridCol w:w="1133"/>
        <w:gridCol w:w="1236"/>
        <w:gridCol w:w="1236"/>
        <w:gridCol w:w="1861"/>
      </w:tblGrid>
      <w:tr w:rsidR="00A87443" w:rsidRPr="00E64BFC">
        <w:trPr>
          <w:cantSplit/>
          <w:tblHeader/>
          <w:jc w:val="center"/>
        </w:trPr>
        <w:tc>
          <w:tcPr>
            <w:tcW w:w="7321" w:type="dxa"/>
            <w:gridSpan w:val="5"/>
            <w:tcBorders>
              <w:top w:val="single" w:sz="4" w:space="0" w:color="auto"/>
              <w:bottom w:val="single" w:sz="4" w:space="0" w:color="auto"/>
            </w:tcBorders>
            <w:shd w:val="clear" w:color="auto" w:fill="auto"/>
            <w:vAlign w:val="bottom"/>
          </w:tcPr>
          <w:p w:rsidR="00A87443" w:rsidRPr="00BC471B" w:rsidRDefault="00BC471B" w:rsidP="00A87443">
            <w:pPr>
              <w:spacing w:before="80" w:after="80" w:line="240" w:lineRule="exact"/>
              <w:ind w:right="144"/>
              <w:jc w:val="center"/>
              <w:rPr>
                <w:rFonts w:hint="cs"/>
                <w:b/>
                <w:bCs/>
                <w:sz w:val="16"/>
                <w:szCs w:val="24"/>
                <w:rtl/>
              </w:rPr>
            </w:pPr>
            <w:r>
              <w:rPr>
                <w:sz w:val="10"/>
                <w:rtl/>
                <w:lang w:bidi="ar-EG"/>
              </w:rPr>
              <w:br w:type="page"/>
            </w:r>
            <w:r w:rsidR="00A87443" w:rsidRPr="00BC471B">
              <w:rPr>
                <w:rFonts w:hint="cs"/>
                <w:b/>
                <w:bCs/>
                <w:sz w:val="18"/>
                <w:szCs w:val="26"/>
                <w:rtl/>
              </w:rPr>
              <w:t>التوزيع حسب مهنة أو تصنيف موظفي وزارة الخارجية، حسب نوع الجنس</w:t>
            </w:r>
          </w:p>
        </w:tc>
      </w:tr>
      <w:tr w:rsidR="00E64BFC" w:rsidRPr="00E64BFC">
        <w:trPr>
          <w:cantSplit/>
          <w:tblHeader/>
          <w:jc w:val="center"/>
        </w:trPr>
        <w:tc>
          <w:tcPr>
            <w:tcW w:w="1855" w:type="dxa"/>
            <w:tcBorders>
              <w:top w:val="single" w:sz="4" w:space="0" w:color="auto"/>
              <w:bottom w:val="single" w:sz="12" w:space="0" w:color="auto"/>
            </w:tcBorders>
            <w:shd w:val="clear" w:color="auto" w:fill="auto"/>
            <w:vAlign w:val="bottom"/>
          </w:tcPr>
          <w:p w:rsidR="00E64BFC" w:rsidRPr="00E64BFC" w:rsidRDefault="00A87443" w:rsidP="00A87443">
            <w:pPr>
              <w:spacing w:after="80" w:line="240" w:lineRule="exact"/>
              <w:jc w:val="left"/>
              <w:rPr>
                <w:rFonts w:hint="cs"/>
                <w:i/>
                <w:iCs/>
                <w:sz w:val="16"/>
                <w:szCs w:val="24"/>
              </w:rPr>
            </w:pPr>
            <w:r>
              <w:rPr>
                <w:rFonts w:hint="cs"/>
                <w:i/>
                <w:iCs/>
                <w:sz w:val="16"/>
                <w:szCs w:val="24"/>
                <w:rtl/>
              </w:rPr>
              <w:t>المهنة أو الفئة</w:t>
            </w:r>
          </w:p>
        </w:tc>
        <w:tc>
          <w:tcPr>
            <w:tcW w:w="1133" w:type="dxa"/>
            <w:tcBorders>
              <w:top w:val="single" w:sz="4" w:space="0" w:color="auto"/>
              <w:bottom w:val="single" w:sz="12" w:space="0" w:color="auto"/>
            </w:tcBorders>
            <w:shd w:val="clear" w:color="auto" w:fill="auto"/>
            <w:vAlign w:val="bottom"/>
          </w:tcPr>
          <w:p w:rsidR="00E64BFC" w:rsidRPr="00E64BFC" w:rsidRDefault="00A87443" w:rsidP="00A87443">
            <w:pPr>
              <w:spacing w:after="80" w:line="240" w:lineRule="exact"/>
              <w:ind w:right="144"/>
              <w:jc w:val="left"/>
              <w:rPr>
                <w:rFonts w:hint="cs"/>
                <w:i/>
                <w:iCs/>
                <w:sz w:val="16"/>
                <w:szCs w:val="24"/>
                <w:rtl/>
              </w:rPr>
            </w:pPr>
            <w:r>
              <w:rPr>
                <w:rFonts w:hint="cs"/>
                <w:i/>
                <w:iCs/>
                <w:sz w:val="16"/>
                <w:szCs w:val="24"/>
                <w:rtl/>
              </w:rPr>
              <w:t>رجال</w:t>
            </w:r>
          </w:p>
        </w:tc>
        <w:tc>
          <w:tcPr>
            <w:tcW w:w="1236" w:type="dxa"/>
            <w:tcBorders>
              <w:top w:val="single" w:sz="4" w:space="0" w:color="auto"/>
              <w:bottom w:val="single" w:sz="12" w:space="0" w:color="auto"/>
            </w:tcBorders>
            <w:shd w:val="clear" w:color="auto" w:fill="auto"/>
            <w:vAlign w:val="bottom"/>
          </w:tcPr>
          <w:p w:rsidR="00E64BFC" w:rsidRPr="00E64BFC" w:rsidRDefault="00A87443" w:rsidP="00A87443">
            <w:pPr>
              <w:spacing w:after="80" w:line="240" w:lineRule="exact"/>
              <w:ind w:right="144"/>
              <w:jc w:val="left"/>
              <w:rPr>
                <w:rFonts w:hint="cs"/>
                <w:i/>
                <w:iCs/>
                <w:sz w:val="16"/>
                <w:szCs w:val="24"/>
                <w:rtl/>
              </w:rPr>
            </w:pPr>
            <w:r>
              <w:rPr>
                <w:rFonts w:hint="cs"/>
                <w:i/>
                <w:iCs/>
                <w:sz w:val="16"/>
                <w:szCs w:val="24"/>
                <w:rtl/>
              </w:rPr>
              <w:t>نساء</w:t>
            </w:r>
          </w:p>
        </w:tc>
        <w:tc>
          <w:tcPr>
            <w:tcW w:w="1236" w:type="dxa"/>
            <w:tcBorders>
              <w:top w:val="single" w:sz="4" w:space="0" w:color="auto"/>
              <w:bottom w:val="single" w:sz="12" w:space="0" w:color="auto"/>
            </w:tcBorders>
            <w:shd w:val="clear" w:color="auto" w:fill="auto"/>
            <w:vAlign w:val="bottom"/>
          </w:tcPr>
          <w:p w:rsidR="00E64BFC" w:rsidRPr="00E64BFC" w:rsidRDefault="00A87443" w:rsidP="00A87443">
            <w:pPr>
              <w:spacing w:after="80" w:line="240" w:lineRule="exact"/>
              <w:ind w:right="144"/>
              <w:jc w:val="left"/>
              <w:rPr>
                <w:rStyle w:val="Strong"/>
                <w:rFonts w:hint="cs"/>
                <w:b w:val="0"/>
                <w:i/>
                <w:iCs/>
                <w:sz w:val="16"/>
                <w:szCs w:val="24"/>
                <w:rtl/>
              </w:rPr>
            </w:pPr>
            <w:r>
              <w:rPr>
                <w:rStyle w:val="Strong"/>
                <w:rFonts w:hint="cs"/>
                <w:b w:val="0"/>
                <w:i/>
                <w:iCs/>
                <w:sz w:val="16"/>
                <w:szCs w:val="24"/>
                <w:rtl/>
              </w:rPr>
              <w:t>المجموع</w:t>
            </w:r>
          </w:p>
        </w:tc>
        <w:tc>
          <w:tcPr>
            <w:tcW w:w="1861" w:type="dxa"/>
            <w:tcBorders>
              <w:top w:val="single" w:sz="4" w:space="0" w:color="auto"/>
              <w:bottom w:val="single" w:sz="12" w:space="0" w:color="auto"/>
            </w:tcBorders>
            <w:shd w:val="clear" w:color="auto" w:fill="auto"/>
            <w:vAlign w:val="bottom"/>
          </w:tcPr>
          <w:p w:rsidR="00E64BFC" w:rsidRPr="00E64BFC" w:rsidRDefault="00A87443" w:rsidP="00A87443">
            <w:pPr>
              <w:spacing w:after="80" w:line="240" w:lineRule="exact"/>
              <w:ind w:right="144"/>
              <w:jc w:val="left"/>
              <w:rPr>
                <w:rFonts w:hint="cs"/>
                <w:i/>
                <w:iCs/>
                <w:sz w:val="16"/>
                <w:szCs w:val="24"/>
                <w:rtl/>
              </w:rPr>
            </w:pPr>
            <w:r>
              <w:rPr>
                <w:rFonts w:hint="cs"/>
                <w:i/>
                <w:iCs/>
                <w:sz w:val="16"/>
                <w:szCs w:val="24"/>
                <w:rtl/>
              </w:rPr>
              <w:t>النسبة المئوية للنساء</w:t>
            </w:r>
          </w:p>
        </w:tc>
      </w:tr>
      <w:tr w:rsidR="00E64BFC" w:rsidRPr="00E64BFC">
        <w:trPr>
          <w:cantSplit/>
          <w:trHeight w:hRule="exact" w:val="115"/>
          <w:tblHeader/>
          <w:jc w:val="center"/>
        </w:trPr>
        <w:tc>
          <w:tcPr>
            <w:tcW w:w="1855" w:type="dxa"/>
            <w:tcBorders>
              <w:top w:val="single" w:sz="12" w:space="0" w:color="auto"/>
            </w:tcBorders>
            <w:shd w:val="clear" w:color="auto" w:fill="auto"/>
            <w:vAlign w:val="bottom"/>
          </w:tcPr>
          <w:p w:rsidR="00E64BFC" w:rsidRPr="00E64BFC" w:rsidRDefault="00E64BFC" w:rsidP="00E64BFC">
            <w:pPr>
              <w:bidi w:val="0"/>
              <w:spacing w:before="40" w:after="80" w:line="240" w:lineRule="exact"/>
              <w:jc w:val="right"/>
              <w:rPr>
                <w:sz w:val="16"/>
                <w:szCs w:val="24"/>
              </w:rPr>
            </w:pPr>
          </w:p>
        </w:tc>
        <w:tc>
          <w:tcPr>
            <w:tcW w:w="1133" w:type="dxa"/>
            <w:tcBorders>
              <w:top w:val="single" w:sz="12" w:space="0" w:color="auto"/>
            </w:tcBorders>
            <w:shd w:val="clear" w:color="auto" w:fill="auto"/>
            <w:vAlign w:val="bottom"/>
          </w:tcPr>
          <w:p w:rsidR="00E64BFC" w:rsidRPr="00E64BFC" w:rsidRDefault="00E64BFC" w:rsidP="00E64BFC">
            <w:pPr>
              <w:bidi w:val="0"/>
              <w:spacing w:before="40" w:after="80" w:line="240" w:lineRule="exact"/>
              <w:ind w:right="144"/>
              <w:jc w:val="right"/>
              <w:rPr>
                <w:rFonts w:hint="cs"/>
                <w:sz w:val="16"/>
                <w:szCs w:val="24"/>
                <w:rtl/>
              </w:rPr>
            </w:pPr>
          </w:p>
        </w:tc>
        <w:tc>
          <w:tcPr>
            <w:tcW w:w="1236" w:type="dxa"/>
            <w:tcBorders>
              <w:top w:val="single" w:sz="12" w:space="0" w:color="auto"/>
            </w:tcBorders>
            <w:shd w:val="clear" w:color="auto" w:fill="auto"/>
            <w:vAlign w:val="bottom"/>
          </w:tcPr>
          <w:p w:rsidR="00E64BFC" w:rsidRPr="00E64BFC" w:rsidRDefault="00E64BFC" w:rsidP="00E64BFC">
            <w:pPr>
              <w:bidi w:val="0"/>
              <w:spacing w:before="40" w:after="80" w:line="240" w:lineRule="exact"/>
              <w:ind w:right="144"/>
              <w:jc w:val="right"/>
              <w:rPr>
                <w:rFonts w:hint="cs"/>
                <w:sz w:val="16"/>
                <w:szCs w:val="24"/>
                <w:rtl/>
              </w:rPr>
            </w:pPr>
          </w:p>
        </w:tc>
        <w:tc>
          <w:tcPr>
            <w:tcW w:w="1236" w:type="dxa"/>
            <w:tcBorders>
              <w:top w:val="single" w:sz="12" w:space="0" w:color="auto"/>
            </w:tcBorders>
            <w:shd w:val="clear" w:color="auto" w:fill="auto"/>
            <w:vAlign w:val="bottom"/>
          </w:tcPr>
          <w:p w:rsidR="00E64BFC" w:rsidRPr="00E64BFC" w:rsidRDefault="00E64BFC" w:rsidP="00E64BFC">
            <w:pPr>
              <w:bidi w:val="0"/>
              <w:spacing w:before="40" w:after="80" w:line="240" w:lineRule="exact"/>
              <w:ind w:right="144"/>
              <w:jc w:val="right"/>
              <w:rPr>
                <w:rStyle w:val="Strong"/>
                <w:rFonts w:hint="cs"/>
                <w:b w:val="0"/>
                <w:sz w:val="16"/>
                <w:szCs w:val="24"/>
                <w:rtl/>
              </w:rPr>
            </w:pPr>
          </w:p>
        </w:tc>
        <w:tc>
          <w:tcPr>
            <w:tcW w:w="1861" w:type="dxa"/>
            <w:tcBorders>
              <w:top w:val="single" w:sz="12" w:space="0" w:color="auto"/>
            </w:tcBorders>
            <w:shd w:val="clear" w:color="auto" w:fill="auto"/>
            <w:vAlign w:val="bottom"/>
          </w:tcPr>
          <w:p w:rsidR="00E64BFC" w:rsidRPr="00E64BFC" w:rsidRDefault="00E64BFC" w:rsidP="00E64BFC">
            <w:pPr>
              <w:bidi w:val="0"/>
              <w:spacing w:before="40" w:after="80" w:line="240" w:lineRule="exact"/>
              <w:ind w:right="144"/>
              <w:jc w:val="right"/>
              <w:rPr>
                <w:rFonts w:hint="cs"/>
                <w:sz w:val="16"/>
                <w:szCs w:val="24"/>
                <w:rtl/>
              </w:rPr>
            </w:pPr>
          </w:p>
        </w:tc>
      </w:tr>
      <w:tr w:rsidR="000E497B" w:rsidRPr="00E64BFC">
        <w:trPr>
          <w:cantSplit/>
          <w:jc w:val="center"/>
        </w:trPr>
        <w:tc>
          <w:tcPr>
            <w:tcW w:w="1855" w:type="dxa"/>
            <w:shd w:val="clear" w:color="auto" w:fill="auto"/>
            <w:vAlign w:val="bottom"/>
          </w:tcPr>
          <w:p w:rsidR="000E497B" w:rsidRPr="00E64BFC" w:rsidRDefault="00A87443" w:rsidP="00445830">
            <w:pPr>
              <w:spacing w:before="40" w:after="40" w:line="240" w:lineRule="exact"/>
              <w:jc w:val="left"/>
              <w:rPr>
                <w:rFonts w:hint="cs"/>
                <w:sz w:val="16"/>
                <w:szCs w:val="24"/>
                <w:lang w:eastAsia="pt-BR"/>
              </w:rPr>
            </w:pPr>
            <w:r>
              <w:rPr>
                <w:rFonts w:hint="cs"/>
                <w:sz w:val="16"/>
                <w:szCs w:val="24"/>
                <w:rtl/>
                <w:lang w:eastAsia="pt-BR"/>
              </w:rPr>
              <w:t>دبلوماسيون</w:t>
            </w:r>
          </w:p>
        </w:tc>
        <w:tc>
          <w:tcPr>
            <w:tcW w:w="1133"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882</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202</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Style w:val="Strong"/>
                <w:rFonts w:hint="cs"/>
                <w:b w:val="0"/>
                <w:sz w:val="16"/>
                <w:szCs w:val="24"/>
                <w:rtl/>
              </w:rPr>
              <w:t>1084</w:t>
            </w:r>
          </w:p>
        </w:tc>
        <w:tc>
          <w:tcPr>
            <w:tcW w:w="1861"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18</w:t>
            </w:r>
            <w:r w:rsidR="00E30E34" w:rsidRPr="00A3079D">
              <w:rPr>
                <w:rFonts w:cs="Akhbar MT" w:hint="cs"/>
                <w:sz w:val="16"/>
                <w:szCs w:val="24"/>
                <w:rtl/>
              </w:rPr>
              <w:t>%</w:t>
            </w:r>
            <w:r w:rsidRPr="00E64BFC">
              <w:rPr>
                <w:sz w:val="16"/>
                <w:szCs w:val="24"/>
              </w:rPr>
              <w:t>,</w:t>
            </w:r>
            <w:r w:rsidRPr="00E64BFC">
              <w:rPr>
                <w:rFonts w:hint="cs"/>
                <w:sz w:val="16"/>
                <w:szCs w:val="24"/>
                <w:rtl/>
              </w:rPr>
              <w:t>6</w:t>
            </w:r>
          </w:p>
        </w:tc>
      </w:tr>
      <w:tr w:rsidR="000E497B" w:rsidRPr="00E64BFC">
        <w:trPr>
          <w:cantSplit/>
          <w:jc w:val="center"/>
        </w:trPr>
        <w:tc>
          <w:tcPr>
            <w:tcW w:w="1855" w:type="dxa"/>
            <w:shd w:val="clear" w:color="auto" w:fill="auto"/>
            <w:vAlign w:val="bottom"/>
          </w:tcPr>
          <w:p w:rsidR="000E497B" w:rsidRPr="00E64BFC" w:rsidRDefault="00A87443" w:rsidP="00445830">
            <w:pPr>
              <w:spacing w:before="40" w:after="40" w:line="240" w:lineRule="exact"/>
              <w:jc w:val="left"/>
              <w:rPr>
                <w:rFonts w:hint="cs"/>
                <w:sz w:val="16"/>
                <w:szCs w:val="24"/>
                <w:lang w:eastAsia="pt-BR"/>
              </w:rPr>
            </w:pPr>
            <w:r>
              <w:rPr>
                <w:rFonts w:hint="cs"/>
                <w:sz w:val="16"/>
                <w:szCs w:val="24"/>
                <w:rtl/>
                <w:lang w:eastAsia="pt-BR"/>
              </w:rPr>
              <w:t>موظفون</w:t>
            </w:r>
          </w:p>
        </w:tc>
        <w:tc>
          <w:tcPr>
            <w:tcW w:w="1133"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271</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421</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Style w:val="Strong"/>
                <w:rFonts w:hint="cs"/>
                <w:b w:val="0"/>
                <w:sz w:val="16"/>
                <w:szCs w:val="24"/>
                <w:rtl/>
              </w:rPr>
              <w:t>692</w:t>
            </w:r>
          </w:p>
        </w:tc>
        <w:tc>
          <w:tcPr>
            <w:tcW w:w="1861"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60</w:t>
            </w:r>
            <w:r w:rsidR="00E30E34" w:rsidRPr="00A3079D">
              <w:rPr>
                <w:rFonts w:cs="Akhbar MT" w:hint="cs"/>
                <w:sz w:val="16"/>
                <w:szCs w:val="24"/>
                <w:rtl/>
              </w:rPr>
              <w:t>%</w:t>
            </w:r>
            <w:r w:rsidRPr="00E64BFC">
              <w:rPr>
                <w:sz w:val="16"/>
                <w:szCs w:val="24"/>
              </w:rPr>
              <w:t>,</w:t>
            </w:r>
            <w:r w:rsidRPr="00E64BFC">
              <w:rPr>
                <w:rFonts w:hint="cs"/>
                <w:sz w:val="16"/>
                <w:szCs w:val="24"/>
                <w:rtl/>
              </w:rPr>
              <w:t>8</w:t>
            </w:r>
          </w:p>
        </w:tc>
      </w:tr>
      <w:tr w:rsidR="000E497B" w:rsidRPr="00E64BFC">
        <w:trPr>
          <w:cantSplit/>
          <w:jc w:val="center"/>
        </w:trPr>
        <w:tc>
          <w:tcPr>
            <w:tcW w:w="1855" w:type="dxa"/>
            <w:shd w:val="clear" w:color="auto" w:fill="auto"/>
            <w:vAlign w:val="bottom"/>
          </w:tcPr>
          <w:p w:rsidR="000E497B" w:rsidRPr="00E64BFC" w:rsidRDefault="00A87443" w:rsidP="00445830">
            <w:pPr>
              <w:spacing w:before="40" w:after="40" w:line="240" w:lineRule="exact"/>
              <w:jc w:val="left"/>
              <w:rPr>
                <w:rFonts w:hint="cs"/>
                <w:sz w:val="16"/>
                <w:szCs w:val="24"/>
                <w:lang w:eastAsia="pt-BR"/>
              </w:rPr>
            </w:pPr>
            <w:r>
              <w:rPr>
                <w:rFonts w:hint="cs"/>
                <w:sz w:val="16"/>
                <w:szCs w:val="24"/>
                <w:rtl/>
                <w:lang w:eastAsia="pt-BR"/>
              </w:rPr>
              <w:t>مساعدون</w:t>
            </w:r>
          </w:p>
        </w:tc>
        <w:tc>
          <w:tcPr>
            <w:tcW w:w="1133"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266</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362</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Style w:val="Strong"/>
                <w:rFonts w:hint="cs"/>
                <w:b w:val="0"/>
                <w:sz w:val="16"/>
                <w:szCs w:val="24"/>
                <w:rtl/>
              </w:rPr>
              <w:t>628</w:t>
            </w:r>
          </w:p>
        </w:tc>
        <w:tc>
          <w:tcPr>
            <w:tcW w:w="1861"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57</w:t>
            </w:r>
            <w:r w:rsidR="00E30E34" w:rsidRPr="00A3079D">
              <w:rPr>
                <w:rFonts w:cs="Akhbar MT" w:hint="cs"/>
                <w:sz w:val="16"/>
                <w:szCs w:val="24"/>
                <w:rtl/>
              </w:rPr>
              <w:t>%</w:t>
            </w:r>
            <w:r w:rsidRPr="00E64BFC">
              <w:rPr>
                <w:sz w:val="16"/>
                <w:szCs w:val="24"/>
              </w:rPr>
              <w:t>,</w:t>
            </w:r>
            <w:r w:rsidRPr="00E64BFC">
              <w:rPr>
                <w:rFonts w:hint="cs"/>
                <w:sz w:val="16"/>
                <w:szCs w:val="24"/>
                <w:rtl/>
              </w:rPr>
              <w:t>6</w:t>
            </w:r>
          </w:p>
        </w:tc>
      </w:tr>
      <w:tr w:rsidR="000E497B" w:rsidRPr="00E64BFC">
        <w:trPr>
          <w:cantSplit/>
          <w:jc w:val="center"/>
        </w:trPr>
        <w:tc>
          <w:tcPr>
            <w:tcW w:w="1855" w:type="dxa"/>
            <w:shd w:val="clear" w:color="auto" w:fill="auto"/>
            <w:vAlign w:val="bottom"/>
          </w:tcPr>
          <w:p w:rsidR="000E497B" w:rsidRPr="00E64BFC" w:rsidRDefault="00A87443" w:rsidP="00445830">
            <w:pPr>
              <w:spacing w:before="40" w:after="40" w:line="240" w:lineRule="exact"/>
              <w:jc w:val="left"/>
              <w:rPr>
                <w:rFonts w:hint="cs"/>
                <w:sz w:val="16"/>
                <w:szCs w:val="24"/>
                <w:lang w:eastAsia="pt-BR"/>
              </w:rPr>
            </w:pPr>
            <w:r>
              <w:rPr>
                <w:rFonts w:hint="cs"/>
                <w:sz w:val="16"/>
                <w:szCs w:val="24"/>
                <w:rtl/>
                <w:lang w:eastAsia="pt-BR"/>
              </w:rPr>
              <w:t>فئات عمل أخرى</w:t>
            </w:r>
          </w:p>
        </w:tc>
        <w:tc>
          <w:tcPr>
            <w:tcW w:w="1133"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431</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214</w:t>
            </w:r>
          </w:p>
        </w:tc>
        <w:tc>
          <w:tcPr>
            <w:tcW w:w="1236"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Style w:val="Strong"/>
                <w:rFonts w:hint="cs"/>
                <w:b w:val="0"/>
                <w:sz w:val="16"/>
                <w:szCs w:val="24"/>
                <w:rtl/>
              </w:rPr>
              <w:t>645</w:t>
            </w:r>
          </w:p>
        </w:tc>
        <w:tc>
          <w:tcPr>
            <w:tcW w:w="1861" w:type="dxa"/>
            <w:shd w:val="clear" w:color="auto" w:fill="auto"/>
            <w:vAlign w:val="bottom"/>
          </w:tcPr>
          <w:p w:rsidR="000E497B" w:rsidRPr="00E64BFC" w:rsidRDefault="000E497B" w:rsidP="00445830">
            <w:pPr>
              <w:bidi w:val="0"/>
              <w:spacing w:before="40" w:after="40" w:line="240" w:lineRule="exact"/>
              <w:ind w:right="144"/>
              <w:jc w:val="right"/>
              <w:rPr>
                <w:sz w:val="16"/>
                <w:szCs w:val="24"/>
                <w:lang w:eastAsia="pt-BR"/>
              </w:rPr>
            </w:pPr>
            <w:r w:rsidRPr="00E64BFC">
              <w:rPr>
                <w:rFonts w:hint="cs"/>
                <w:sz w:val="16"/>
                <w:szCs w:val="24"/>
                <w:rtl/>
              </w:rPr>
              <w:t>33</w:t>
            </w:r>
            <w:r w:rsidR="00E30E34" w:rsidRPr="00A3079D">
              <w:rPr>
                <w:rFonts w:cs="Akhbar MT" w:hint="cs"/>
                <w:sz w:val="16"/>
                <w:szCs w:val="24"/>
                <w:rtl/>
              </w:rPr>
              <w:t>%</w:t>
            </w:r>
            <w:r w:rsidRPr="00E64BFC">
              <w:rPr>
                <w:sz w:val="16"/>
                <w:szCs w:val="24"/>
              </w:rPr>
              <w:t>,</w:t>
            </w:r>
            <w:r w:rsidRPr="00E64BFC">
              <w:rPr>
                <w:rFonts w:hint="cs"/>
                <w:sz w:val="16"/>
                <w:szCs w:val="24"/>
                <w:rtl/>
              </w:rPr>
              <w:t>2</w:t>
            </w:r>
          </w:p>
        </w:tc>
      </w:tr>
      <w:tr w:rsidR="000E497B" w:rsidRPr="00E64BFC">
        <w:trPr>
          <w:cantSplit/>
          <w:jc w:val="center"/>
        </w:trPr>
        <w:tc>
          <w:tcPr>
            <w:tcW w:w="1855" w:type="dxa"/>
            <w:tcBorders>
              <w:bottom w:val="single" w:sz="12" w:space="0" w:color="auto"/>
            </w:tcBorders>
            <w:shd w:val="clear" w:color="auto" w:fill="auto"/>
            <w:vAlign w:val="bottom"/>
          </w:tcPr>
          <w:p w:rsidR="000E497B" w:rsidRPr="00A87443" w:rsidRDefault="00A87443" w:rsidP="00A87443">
            <w:pPr>
              <w:spacing w:before="40" w:after="80" w:line="240" w:lineRule="exact"/>
              <w:jc w:val="left"/>
              <w:rPr>
                <w:rFonts w:hint="cs"/>
                <w:b/>
                <w:bCs/>
                <w:sz w:val="16"/>
                <w:szCs w:val="24"/>
                <w:lang w:eastAsia="pt-BR"/>
              </w:rPr>
            </w:pPr>
            <w:r w:rsidRPr="00A87443">
              <w:rPr>
                <w:rFonts w:hint="cs"/>
                <w:b/>
                <w:bCs/>
                <w:sz w:val="16"/>
                <w:szCs w:val="24"/>
                <w:rtl/>
                <w:lang w:eastAsia="pt-BR"/>
              </w:rPr>
              <w:t>المجموع</w:t>
            </w:r>
          </w:p>
        </w:tc>
        <w:tc>
          <w:tcPr>
            <w:tcW w:w="1133" w:type="dxa"/>
            <w:tcBorders>
              <w:bottom w:val="single" w:sz="12" w:space="0" w:color="auto"/>
            </w:tcBorders>
            <w:shd w:val="clear" w:color="auto" w:fill="auto"/>
            <w:vAlign w:val="bottom"/>
          </w:tcPr>
          <w:p w:rsidR="000E497B" w:rsidRPr="00A87443" w:rsidRDefault="000E497B" w:rsidP="00E64BFC">
            <w:pPr>
              <w:bidi w:val="0"/>
              <w:spacing w:before="40" w:after="80" w:line="240" w:lineRule="exact"/>
              <w:ind w:right="144"/>
              <w:jc w:val="right"/>
              <w:rPr>
                <w:b/>
                <w:bCs/>
                <w:sz w:val="16"/>
                <w:szCs w:val="24"/>
                <w:lang w:eastAsia="pt-BR"/>
              </w:rPr>
            </w:pPr>
            <w:r w:rsidRPr="00A87443">
              <w:rPr>
                <w:rStyle w:val="Strong"/>
                <w:rFonts w:hint="cs"/>
                <w:bCs/>
                <w:sz w:val="16"/>
                <w:szCs w:val="24"/>
                <w:rtl/>
              </w:rPr>
              <w:t>1</w:t>
            </w:r>
            <w:r w:rsidR="00AD391D">
              <w:rPr>
                <w:rStyle w:val="Strong"/>
                <w:bCs/>
                <w:sz w:val="16"/>
                <w:szCs w:val="24"/>
              </w:rPr>
              <w:t xml:space="preserve"> </w:t>
            </w:r>
            <w:r w:rsidRPr="00A87443">
              <w:rPr>
                <w:rStyle w:val="Strong"/>
                <w:rFonts w:hint="cs"/>
                <w:bCs/>
                <w:sz w:val="16"/>
                <w:szCs w:val="24"/>
                <w:rtl/>
              </w:rPr>
              <w:t>850</w:t>
            </w:r>
          </w:p>
        </w:tc>
        <w:tc>
          <w:tcPr>
            <w:tcW w:w="1236" w:type="dxa"/>
            <w:tcBorders>
              <w:bottom w:val="single" w:sz="12" w:space="0" w:color="auto"/>
            </w:tcBorders>
            <w:shd w:val="clear" w:color="auto" w:fill="auto"/>
            <w:vAlign w:val="bottom"/>
          </w:tcPr>
          <w:p w:rsidR="000E497B" w:rsidRPr="00A87443" w:rsidRDefault="000E497B" w:rsidP="00E64BFC">
            <w:pPr>
              <w:bidi w:val="0"/>
              <w:spacing w:before="40" w:after="80" w:line="240" w:lineRule="exact"/>
              <w:ind w:right="144"/>
              <w:jc w:val="right"/>
              <w:rPr>
                <w:b/>
                <w:bCs/>
                <w:sz w:val="16"/>
                <w:szCs w:val="24"/>
                <w:lang w:eastAsia="pt-BR"/>
              </w:rPr>
            </w:pPr>
            <w:r w:rsidRPr="00A87443">
              <w:rPr>
                <w:rStyle w:val="Strong"/>
                <w:rFonts w:hint="cs"/>
                <w:bCs/>
                <w:sz w:val="16"/>
                <w:szCs w:val="24"/>
                <w:rtl/>
              </w:rPr>
              <w:t>1</w:t>
            </w:r>
            <w:r w:rsidR="00A87443">
              <w:rPr>
                <w:rStyle w:val="Strong"/>
                <w:bCs/>
                <w:sz w:val="16"/>
                <w:szCs w:val="24"/>
              </w:rPr>
              <w:t xml:space="preserve"> </w:t>
            </w:r>
            <w:r w:rsidRPr="00A87443">
              <w:rPr>
                <w:rStyle w:val="Strong"/>
                <w:rFonts w:hint="cs"/>
                <w:bCs/>
                <w:sz w:val="16"/>
                <w:szCs w:val="24"/>
                <w:rtl/>
              </w:rPr>
              <w:t>199</w:t>
            </w:r>
          </w:p>
        </w:tc>
        <w:tc>
          <w:tcPr>
            <w:tcW w:w="1236" w:type="dxa"/>
            <w:tcBorders>
              <w:bottom w:val="single" w:sz="12" w:space="0" w:color="auto"/>
            </w:tcBorders>
            <w:shd w:val="clear" w:color="auto" w:fill="auto"/>
            <w:vAlign w:val="bottom"/>
          </w:tcPr>
          <w:p w:rsidR="000E497B" w:rsidRPr="00A87443" w:rsidRDefault="000E497B" w:rsidP="00E64BFC">
            <w:pPr>
              <w:bidi w:val="0"/>
              <w:spacing w:before="40" w:after="80" w:line="240" w:lineRule="exact"/>
              <w:ind w:right="144"/>
              <w:jc w:val="right"/>
              <w:rPr>
                <w:b/>
                <w:bCs/>
                <w:sz w:val="16"/>
                <w:szCs w:val="24"/>
                <w:lang w:eastAsia="pt-BR"/>
              </w:rPr>
            </w:pPr>
            <w:r w:rsidRPr="00A87443">
              <w:rPr>
                <w:rStyle w:val="Strong"/>
                <w:rFonts w:hint="cs"/>
                <w:bCs/>
                <w:sz w:val="16"/>
                <w:szCs w:val="24"/>
                <w:rtl/>
              </w:rPr>
              <w:t>3</w:t>
            </w:r>
            <w:r w:rsidR="00A87443">
              <w:rPr>
                <w:rStyle w:val="Strong"/>
                <w:bCs/>
                <w:sz w:val="16"/>
                <w:szCs w:val="24"/>
                <w:lang w:bidi="ar-EG"/>
              </w:rPr>
              <w:t xml:space="preserve"> </w:t>
            </w:r>
            <w:r w:rsidRPr="00A87443">
              <w:rPr>
                <w:rStyle w:val="Strong"/>
                <w:rFonts w:hint="cs"/>
                <w:bCs/>
                <w:sz w:val="16"/>
                <w:szCs w:val="24"/>
                <w:rtl/>
              </w:rPr>
              <w:t>049</w:t>
            </w:r>
          </w:p>
        </w:tc>
        <w:tc>
          <w:tcPr>
            <w:tcW w:w="1861" w:type="dxa"/>
            <w:tcBorders>
              <w:bottom w:val="single" w:sz="12" w:space="0" w:color="auto"/>
            </w:tcBorders>
            <w:shd w:val="clear" w:color="auto" w:fill="auto"/>
            <w:vAlign w:val="bottom"/>
          </w:tcPr>
          <w:p w:rsidR="000E497B" w:rsidRPr="00A87443" w:rsidRDefault="000E497B" w:rsidP="00E64BFC">
            <w:pPr>
              <w:bidi w:val="0"/>
              <w:spacing w:before="40" w:after="80" w:line="240" w:lineRule="exact"/>
              <w:ind w:right="144"/>
              <w:jc w:val="right"/>
              <w:rPr>
                <w:b/>
                <w:bCs/>
                <w:sz w:val="16"/>
                <w:szCs w:val="24"/>
                <w:lang w:eastAsia="pt-BR"/>
              </w:rPr>
            </w:pPr>
            <w:r w:rsidRPr="00A87443">
              <w:rPr>
                <w:rFonts w:hint="cs"/>
                <w:b/>
                <w:bCs/>
                <w:sz w:val="16"/>
                <w:szCs w:val="24"/>
                <w:rtl/>
              </w:rPr>
              <w:t>39</w:t>
            </w:r>
            <w:r w:rsidR="00E30E34" w:rsidRPr="00A87443">
              <w:rPr>
                <w:rFonts w:cs="Akhbar MT" w:hint="cs"/>
                <w:b/>
                <w:bCs/>
                <w:sz w:val="16"/>
                <w:szCs w:val="24"/>
                <w:rtl/>
              </w:rPr>
              <w:t>%</w:t>
            </w:r>
            <w:r w:rsidRPr="00A87443">
              <w:rPr>
                <w:b/>
                <w:bCs/>
                <w:sz w:val="16"/>
                <w:szCs w:val="24"/>
              </w:rPr>
              <w:t>,</w:t>
            </w:r>
            <w:r w:rsidRPr="00A87443">
              <w:rPr>
                <w:rFonts w:hint="cs"/>
                <w:b/>
                <w:bCs/>
                <w:sz w:val="16"/>
                <w:szCs w:val="24"/>
                <w:rtl/>
              </w:rPr>
              <w:t>3</w:t>
            </w:r>
          </w:p>
        </w:tc>
      </w:tr>
    </w:tbl>
    <w:p w:rsidR="00AD391D" w:rsidRPr="00AD391D" w:rsidRDefault="00AD391D" w:rsidP="00AD391D">
      <w:pPr>
        <w:pStyle w:val="SingleTxt"/>
        <w:spacing w:after="0" w:line="120" w:lineRule="exact"/>
        <w:rPr>
          <w:rFonts w:hint="cs"/>
          <w:sz w:val="10"/>
          <w:rtl/>
          <w:lang w:bidi="ar-EG"/>
        </w:rPr>
      </w:pPr>
    </w:p>
    <w:p w:rsidR="000E497B" w:rsidRDefault="00AD391D" w:rsidP="00AD391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AD391D">
        <w:rPr>
          <w:rFonts w:hint="cs"/>
          <w:i/>
          <w:iCs/>
          <w:rtl/>
          <w:lang w:bidi="ar-EG"/>
        </w:rPr>
        <w:t>المصدر</w:t>
      </w:r>
      <w:r>
        <w:rPr>
          <w:rFonts w:hint="cs"/>
          <w:rtl/>
          <w:lang w:bidi="ar-EG"/>
        </w:rPr>
        <w:t>:</w:t>
      </w:r>
      <w:r>
        <w:rPr>
          <w:rFonts w:hint="cs"/>
          <w:rtl/>
          <w:lang w:bidi="ar-EG"/>
        </w:rPr>
        <w:tab/>
        <w:t>نشرة إحصاءات الموظفين - النصف الثاني 2003.</w:t>
      </w:r>
    </w:p>
    <w:p w:rsidR="00AD391D" w:rsidRPr="00AD391D" w:rsidRDefault="00AD391D" w:rsidP="00AD391D">
      <w:pPr>
        <w:pStyle w:val="SingleTxt"/>
        <w:spacing w:after="0" w:line="120" w:lineRule="exact"/>
        <w:rPr>
          <w:rFonts w:hint="cs"/>
          <w:sz w:val="10"/>
          <w:rtl/>
        </w:rPr>
      </w:pPr>
    </w:p>
    <w:p w:rsidR="00AD391D" w:rsidRPr="00AD391D" w:rsidRDefault="00AD391D" w:rsidP="00AD391D">
      <w:pPr>
        <w:pStyle w:val="SingleTxt"/>
        <w:spacing w:after="0" w:line="120" w:lineRule="exact"/>
        <w:rPr>
          <w:rFonts w:hint="cs"/>
          <w:sz w:val="10"/>
          <w:rtl/>
        </w:rPr>
      </w:pPr>
    </w:p>
    <w:p w:rsidR="000E497B" w:rsidRDefault="00355B4D" w:rsidP="00355B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 من اتفاقية القضاء على جميع أشكال التمييز ضد المرأة</w:t>
      </w:r>
    </w:p>
    <w:p w:rsidR="00355B4D" w:rsidRDefault="00063EF0" w:rsidP="00063EF0">
      <w:pPr>
        <w:pStyle w:val="SingleTxt"/>
        <w:ind w:left="1930" w:hanging="663"/>
        <w:rPr>
          <w:rFonts w:hint="cs"/>
          <w:rtl/>
          <w:lang w:bidi="ar-EG"/>
        </w:rPr>
      </w:pPr>
      <w:r>
        <w:rPr>
          <w:rFonts w:hint="cs"/>
          <w:rtl/>
          <w:lang w:bidi="ar-EG"/>
        </w:rPr>
        <w:tab/>
      </w:r>
      <w:r>
        <w:rPr>
          <w:rFonts w:hint="cs"/>
          <w:rtl/>
          <w:lang w:bidi="ar-EG"/>
        </w:rPr>
        <w:tab/>
      </w:r>
      <w:r w:rsidR="00355B4D">
        <w:rPr>
          <w:rFonts w:hint="cs"/>
          <w:rtl/>
          <w:lang w:bidi="ar-EG"/>
        </w:rPr>
        <w:t>1 -</w:t>
      </w:r>
      <w:r w:rsidR="00355B4D">
        <w:rPr>
          <w:rFonts w:hint="cs"/>
          <w:rtl/>
          <w:lang w:bidi="ar-EG"/>
        </w:rPr>
        <w:tab/>
        <w:t>تمنح الدول الأطراف المرأة حقا مساويا لحق الرجل في اكتساب جنسيتها أو الاحتفاظ بها أ</w:t>
      </w:r>
      <w:r w:rsidR="00D64F6A">
        <w:rPr>
          <w:rFonts w:hint="cs"/>
          <w:rtl/>
          <w:lang w:bidi="ar-EG"/>
        </w:rPr>
        <w:t>و</w:t>
      </w:r>
      <w:r w:rsidR="00355B4D">
        <w:rPr>
          <w:rFonts w:hint="cs"/>
          <w:rtl/>
          <w:lang w:bidi="ar-EG"/>
        </w:rPr>
        <w:t xml:space="preserve"> تغييرها. وتضمن بوجه خاص ألا يترتب على الزواج من أجنبي أو تغيير جنسية الزوج أثناء الزواج، أن تتغير تلقائيا جنسية الزوجة، أو أن تصبح بلا جنسية أو أن تفرض عليها جنسية الزوج.</w:t>
      </w:r>
    </w:p>
    <w:p w:rsidR="00355B4D" w:rsidRDefault="00063EF0" w:rsidP="00063EF0">
      <w:pPr>
        <w:pStyle w:val="SingleTxt"/>
        <w:ind w:left="1930" w:hanging="663"/>
        <w:rPr>
          <w:rFonts w:hint="cs"/>
          <w:rtl/>
          <w:lang w:bidi="ar-EG"/>
        </w:rPr>
      </w:pPr>
      <w:r>
        <w:rPr>
          <w:rFonts w:hint="cs"/>
          <w:rtl/>
          <w:lang w:bidi="ar-EG"/>
        </w:rPr>
        <w:tab/>
      </w:r>
      <w:r>
        <w:rPr>
          <w:rFonts w:hint="cs"/>
          <w:rtl/>
          <w:lang w:bidi="ar-EG"/>
        </w:rPr>
        <w:tab/>
      </w:r>
      <w:r w:rsidR="00355B4D">
        <w:rPr>
          <w:rFonts w:hint="cs"/>
          <w:rtl/>
          <w:lang w:bidi="ar-EG"/>
        </w:rPr>
        <w:t>2 -</w:t>
      </w:r>
      <w:r w:rsidR="00355B4D">
        <w:rPr>
          <w:rFonts w:hint="cs"/>
          <w:rtl/>
          <w:lang w:bidi="ar-EG"/>
        </w:rPr>
        <w:tab/>
        <w:t>تمنح الدول الأطراف المرأة حقا مساويا لحق الرجل فيما يتعلق بجنسية أطفالها.</w:t>
      </w:r>
    </w:p>
    <w:p w:rsidR="00355B4D" w:rsidRDefault="00355B4D" w:rsidP="00BC13BF">
      <w:pPr>
        <w:pStyle w:val="SingleTxt"/>
        <w:rPr>
          <w:rFonts w:hint="cs"/>
          <w:rtl/>
          <w:lang w:bidi="ar-EG"/>
        </w:rPr>
      </w:pPr>
      <w:r>
        <w:rPr>
          <w:rFonts w:hint="cs"/>
          <w:rtl/>
          <w:lang w:bidi="ar-EG"/>
        </w:rPr>
        <w:tab/>
        <w:t>كما جاء في التقرير السابق، يوفر التشريع البرازيلي الحماية للمواطنين البرازيليين، سواء كانوا رجالا أ</w:t>
      </w:r>
      <w:r w:rsidR="00BC13BF">
        <w:rPr>
          <w:rFonts w:hint="cs"/>
          <w:rtl/>
          <w:lang w:bidi="ar-EG"/>
        </w:rPr>
        <w:t>م</w:t>
      </w:r>
      <w:r>
        <w:rPr>
          <w:rFonts w:hint="cs"/>
          <w:rtl/>
          <w:lang w:bidi="ar-EG"/>
        </w:rPr>
        <w:t xml:space="preserve"> نساء بنفس الطريقة، ويساوي في المعاملة بين المهاجرين من كلا الجنسين. وقد وقعت البرازيل وصدقت على جميع الاتفاقيات والمعاهدات الدولية التي تتناول حماية الجنسية بشكل عام، فضلا عن تلك التي تتناول حماية جنسية المرأة.</w:t>
      </w:r>
    </w:p>
    <w:p w:rsidR="00355B4D" w:rsidRPr="00355B4D" w:rsidRDefault="00355B4D" w:rsidP="00355B4D">
      <w:pPr>
        <w:pStyle w:val="SingleTxt"/>
        <w:spacing w:after="0" w:line="120" w:lineRule="exact"/>
        <w:rPr>
          <w:rFonts w:hint="cs"/>
          <w:sz w:val="10"/>
          <w:rtl/>
          <w:lang w:bidi="ar-EG"/>
        </w:rPr>
      </w:pPr>
    </w:p>
    <w:p w:rsidR="00355B4D" w:rsidRDefault="00355B4D" w:rsidP="00355B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 من اتفاقية القضاء على جميع أشكال التمييز ضد المرأة</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 xml:space="preserve">تتخذ الدول الأطراف جميع التدابير المناسبة للقضاء على التمييز ضد المرأة لكي تكفل لها حقوقا مساوية لحقوق الرجل في ميدان </w:t>
      </w:r>
      <w:r w:rsidR="00006593" w:rsidRPr="00006593">
        <w:rPr>
          <w:rFonts w:hint="cs"/>
          <w:rtl/>
        </w:rPr>
        <w:t>التعليم</w:t>
      </w:r>
      <w:r w:rsidR="00A06D75" w:rsidRPr="00006593">
        <w:rPr>
          <w:rtl/>
        </w:rPr>
        <w:t>، وبوجه خاص لكي تكفل، على أساس المساواة بين الرجل والمرأة:</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(أ)</w:t>
      </w:r>
      <w:r w:rsidR="00A06D75" w:rsidRPr="00006593">
        <w:rPr>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(ب)</w:t>
      </w:r>
      <w:r w:rsidR="00A06D75" w:rsidRPr="00006593">
        <w:rPr>
          <w:rtl/>
        </w:rPr>
        <w:tab/>
        <w:t>التساوي في المناهج الدراسية، وفي الامتحانات، وفي مستويات مؤهلات المدرسين، وفي نوعية المرافق والمعدات الدراسية؛</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(ج)</w:t>
      </w:r>
      <w:r w:rsidR="00A06D75" w:rsidRPr="00006593">
        <w:rPr>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A06D75" w:rsidRPr="00006593" w:rsidRDefault="00063EF0" w:rsidP="00006593">
      <w:pPr>
        <w:pStyle w:val="SingleTxt"/>
        <w:rPr>
          <w:rtl/>
        </w:rPr>
      </w:pPr>
      <w:r>
        <w:rPr>
          <w:rFonts w:hint="cs"/>
          <w:rtl/>
        </w:rPr>
        <w:tab/>
      </w:r>
      <w:r w:rsidR="00006593">
        <w:rPr>
          <w:rFonts w:hint="cs"/>
          <w:rtl/>
        </w:rPr>
        <w:tab/>
      </w:r>
      <w:r w:rsidR="00A06D75" w:rsidRPr="00006593">
        <w:rPr>
          <w:rtl/>
        </w:rPr>
        <w:t>(د)</w:t>
      </w:r>
      <w:r w:rsidR="00A06D75" w:rsidRPr="00006593">
        <w:rPr>
          <w:rtl/>
        </w:rPr>
        <w:tab/>
        <w:t>التساوي في فرص الاستفادة من المنح والإعانات الدراسية الأخرى؛</w:t>
      </w:r>
    </w:p>
    <w:p w:rsidR="00A06D75" w:rsidRPr="00006593" w:rsidRDefault="00006593" w:rsidP="00063EF0">
      <w:pPr>
        <w:pStyle w:val="SingleTxt"/>
        <w:ind w:left="1930" w:hanging="663"/>
        <w:rPr>
          <w:rtl/>
        </w:rPr>
      </w:pPr>
      <w:r>
        <w:rPr>
          <w:rFonts w:hint="cs"/>
          <w:rtl/>
        </w:rPr>
        <w:tab/>
      </w:r>
      <w:r w:rsidR="00063EF0">
        <w:rPr>
          <w:rFonts w:hint="cs"/>
          <w:rtl/>
        </w:rPr>
        <w:tab/>
      </w:r>
      <w:r w:rsidR="00A06D75" w:rsidRPr="00006593">
        <w:rPr>
          <w:rtl/>
        </w:rPr>
        <w:t>(هـ)</w:t>
      </w:r>
      <w:r w:rsidR="00A06D75" w:rsidRPr="00006593">
        <w:rPr>
          <w:rtl/>
        </w:rPr>
        <w:tab/>
        <w:t>التساوي في فرص ا</w:t>
      </w:r>
      <w:r w:rsidR="00A06D75" w:rsidRPr="00006593">
        <w:rPr>
          <w:rFonts w:hint="cs"/>
          <w:rtl/>
          <w:lang w:bidi="ar-EG"/>
        </w:rPr>
        <w:t>لوصول إلى</w:t>
      </w:r>
      <w:r w:rsidR="00A06D75" w:rsidRPr="00006593">
        <w:rPr>
          <w:rtl/>
        </w:rPr>
        <w:t xml:space="preserve"> برامج مواصلة التعليم، بما في ذلك برامج تعليم الكبار ومحو الأمية الوظيفي، ولا سيما البرامج التي تهدف إلى التعجيل بقدر الإمكان بتضييق أي فجوة في التعليم قائمة بين الرجل والمرأة؛</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(و)</w:t>
      </w:r>
      <w:r w:rsidR="00A06D75" w:rsidRPr="00006593">
        <w:rPr>
          <w:rtl/>
        </w:rPr>
        <w:tab/>
        <w:t>خفض معدلات ترك الطالبات الدراسة، وتنظيم برامج للفتيات والنساء اللائي تركن المدرسة قبل الأوان؛</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(ز)</w:t>
      </w:r>
      <w:r w:rsidR="00A06D75" w:rsidRPr="00006593">
        <w:rPr>
          <w:rtl/>
        </w:rPr>
        <w:tab/>
        <w:t>التساوي في فرص المشاركة النشطة في الألعاب الرياضية والتربية البدنية؛</w:t>
      </w:r>
    </w:p>
    <w:p w:rsidR="00A06D75" w:rsidRPr="00006593" w:rsidRDefault="00063EF0" w:rsidP="00063EF0">
      <w:pPr>
        <w:pStyle w:val="SingleTxt"/>
        <w:ind w:left="1930" w:hanging="663"/>
        <w:rPr>
          <w:rtl/>
        </w:rPr>
      </w:pPr>
      <w:r>
        <w:rPr>
          <w:rFonts w:hint="cs"/>
          <w:rtl/>
        </w:rPr>
        <w:tab/>
      </w:r>
      <w:r w:rsidR="00006593">
        <w:rPr>
          <w:rFonts w:hint="cs"/>
          <w:rtl/>
        </w:rPr>
        <w:tab/>
      </w:r>
      <w:r w:rsidR="00A06D75" w:rsidRPr="00006593">
        <w:rPr>
          <w:rtl/>
        </w:rPr>
        <w:t>(ح)</w:t>
      </w:r>
      <w:r w:rsidR="00A06D75" w:rsidRPr="00006593">
        <w:rPr>
          <w:rtl/>
        </w:rPr>
        <w:tab/>
        <w:t>إمكانية الحصول على معلومات تربوية محددة تساعد على كفالة صحة الأسَر ورفاهها. بما في ذلك المعلومات والإرشادات التي تتناول تنظيم الأسرة.</w:t>
      </w:r>
    </w:p>
    <w:p w:rsidR="00355B4D" w:rsidRDefault="00006593" w:rsidP="00BC13BF">
      <w:pPr>
        <w:pStyle w:val="SingleTxt"/>
        <w:rPr>
          <w:rFonts w:hint="cs"/>
          <w:rtl/>
          <w:lang w:bidi="ar-EG"/>
        </w:rPr>
      </w:pPr>
      <w:r>
        <w:rPr>
          <w:rFonts w:hint="cs"/>
          <w:rtl/>
          <w:lang w:bidi="ar-EG"/>
        </w:rPr>
        <w:tab/>
        <w:t xml:space="preserve">خلال الفترة التي شملها هذا التقرير، جرى تنفيذ تدابير هامة لتوطيد أو تحسين الإصلاحات التعليمية التي </w:t>
      </w:r>
      <w:r w:rsidR="00BC13BF">
        <w:rPr>
          <w:rFonts w:hint="cs"/>
          <w:rtl/>
          <w:lang w:bidi="ar-EG"/>
        </w:rPr>
        <w:t>تمت</w:t>
      </w:r>
      <w:r>
        <w:rPr>
          <w:rFonts w:hint="cs"/>
          <w:rtl/>
          <w:lang w:bidi="ar-EG"/>
        </w:rPr>
        <w:t xml:space="preserve"> في التسعينات والتي جرى توضيحها في التقرير السابق. ويدل ذلك على زيادة اهتمام الحكومة بتصميم نظام تعليمي يعزز المساواة.</w:t>
      </w:r>
    </w:p>
    <w:p w:rsidR="00006593" w:rsidRDefault="00006593" w:rsidP="00355B4D">
      <w:pPr>
        <w:pStyle w:val="SingleTxt"/>
        <w:rPr>
          <w:rFonts w:hint="cs"/>
          <w:rtl/>
          <w:lang w:bidi="ar-EG"/>
        </w:rPr>
      </w:pPr>
      <w:r>
        <w:rPr>
          <w:rFonts w:hint="cs"/>
          <w:rtl/>
          <w:lang w:bidi="ar-EG"/>
        </w:rPr>
        <w:tab/>
        <w:t>وإعادة صياغة معايير أو مراجع المنهاج المدرسي لمختلف المستويات التعليمية لا تزال جارية من أجل معالجة مسألة نوع الجنس على نحو أفضل. ولنفس الغرض جرى تحسين أدوات جمع المعلومات التعليمية. وجرى أيضا تحسين المعايير المتعلقة بنوع الجنس، والعنصر، والإعاقة، والعرق، التي تتضمنها سياسة تقييم الكتب الدراسية وتوزيعها.</w:t>
      </w:r>
    </w:p>
    <w:p w:rsidR="006D4C1F" w:rsidRPr="00063EF0" w:rsidRDefault="006D4C1F" w:rsidP="00355B4D">
      <w:pPr>
        <w:pStyle w:val="SingleTxt"/>
        <w:rPr>
          <w:rFonts w:hint="cs"/>
          <w:w w:val="100"/>
          <w:rtl/>
          <w:lang w:bidi="ar-EG"/>
        </w:rPr>
      </w:pPr>
      <w:r>
        <w:rPr>
          <w:rFonts w:hint="cs"/>
          <w:rtl/>
          <w:lang w:bidi="ar-EG"/>
        </w:rPr>
        <w:tab/>
      </w:r>
      <w:r w:rsidRPr="00063EF0">
        <w:rPr>
          <w:rFonts w:hint="cs"/>
          <w:w w:val="100"/>
          <w:rtl/>
          <w:lang w:bidi="ar-EG"/>
        </w:rPr>
        <w:t>ورغم أنه يمكن القول بأن نظم التعليم البرازيلية تتيح من الناحية الرسمية إمكانية الوصول إليها على قدم المساواة، كما تتيح المساواة في تثقيف الرجال والنساء أو تدريبهم تدريبا مهنيا، فإن البيانات الواردة أدناه توضح أنه من الناحية العملية تتولى الثقافة التي يسودها الذكر إرشاد الرجال والنساء صوب مسارات وظيفية معينة طيلة دراستهم وحياتهم المهنية.</w:t>
      </w:r>
    </w:p>
    <w:p w:rsidR="00CE0EB7" w:rsidRPr="00CE0EB7" w:rsidRDefault="00CE0EB7" w:rsidP="00CE0EB7">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1E0" w:firstRow="1" w:lastRow="1" w:firstColumn="1" w:lastColumn="1" w:noHBand="0" w:noVBand="0"/>
      </w:tblPr>
      <w:tblGrid>
        <w:gridCol w:w="2473"/>
        <w:gridCol w:w="1030"/>
        <w:gridCol w:w="927"/>
        <w:gridCol w:w="824"/>
        <w:gridCol w:w="206"/>
        <w:gridCol w:w="927"/>
        <w:gridCol w:w="933"/>
      </w:tblGrid>
      <w:tr w:rsidR="003B131B" w:rsidRPr="00E64BFC">
        <w:trPr>
          <w:cantSplit/>
          <w:tblHeader/>
          <w:jc w:val="center"/>
        </w:trPr>
        <w:tc>
          <w:tcPr>
            <w:tcW w:w="7320" w:type="dxa"/>
            <w:gridSpan w:val="7"/>
            <w:tcBorders>
              <w:top w:val="single" w:sz="4" w:space="0" w:color="auto"/>
              <w:bottom w:val="single" w:sz="4" w:space="0" w:color="auto"/>
            </w:tcBorders>
            <w:shd w:val="clear" w:color="auto" w:fill="FFFFFF"/>
            <w:vAlign w:val="bottom"/>
          </w:tcPr>
          <w:p w:rsidR="003B131B" w:rsidRPr="003B131B" w:rsidRDefault="003B131B" w:rsidP="0006132D">
            <w:pPr>
              <w:spacing w:before="60" w:after="80" w:line="300" w:lineRule="exact"/>
              <w:ind w:right="144"/>
              <w:jc w:val="center"/>
              <w:rPr>
                <w:rFonts w:hint="cs"/>
                <w:b/>
                <w:bCs/>
                <w:sz w:val="14"/>
                <w:szCs w:val="22"/>
                <w:rtl/>
              </w:rPr>
            </w:pPr>
            <w:r w:rsidRPr="0006132D">
              <w:rPr>
                <w:rFonts w:hint="cs"/>
                <w:b/>
                <w:bCs/>
                <w:sz w:val="18"/>
                <w:szCs w:val="26"/>
                <w:rtl/>
              </w:rPr>
              <w:t>الالتحاق بالتعليم المهني - المستوى التقني - حسب الجنس، وفقا للمجالات - البرازيل، 2003</w:t>
            </w:r>
          </w:p>
        </w:tc>
      </w:tr>
      <w:tr w:rsidR="0006132D" w:rsidRPr="00E64BFC">
        <w:trPr>
          <w:cantSplit/>
          <w:tblHeader/>
          <w:jc w:val="center"/>
        </w:trPr>
        <w:tc>
          <w:tcPr>
            <w:tcW w:w="2473" w:type="dxa"/>
            <w:tcBorders>
              <w:top w:val="single" w:sz="4" w:space="0" w:color="auto"/>
            </w:tcBorders>
            <w:shd w:val="clear" w:color="auto" w:fill="FFFFFF"/>
            <w:vAlign w:val="bottom"/>
          </w:tcPr>
          <w:p w:rsidR="0006132D" w:rsidRPr="00E64BFC" w:rsidRDefault="0006132D" w:rsidP="00CE0EB7">
            <w:pPr>
              <w:spacing w:after="80" w:line="220" w:lineRule="exact"/>
              <w:rPr>
                <w:i/>
                <w:iCs/>
                <w:sz w:val="14"/>
                <w:szCs w:val="22"/>
              </w:rPr>
            </w:pPr>
          </w:p>
        </w:tc>
        <w:tc>
          <w:tcPr>
            <w:tcW w:w="1030" w:type="dxa"/>
            <w:tcBorders>
              <w:top w:val="single" w:sz="4" w:space="0" w:color="auto"/>
            </w:tcBorders>
            <w:shd w:val="clear" w:color="auto" w:fill="FFFFFF"/>
            <w:vAlign w:val="bottom"/>
          </w:tcPr>
          <w:p w:rsidR="0006132D" w:rsidRPr="00E64BFC" w:rsidRDefault="0006132D" w:rsidP="00CE0EB7">
            <w:pPr>
              <w:spacing w:after="80" w:line="220" w:lineRule="exact"/>
              <w:ind w:right="144"/>
              <w:rPr>
                <w:rFonts w:hint="cs"/>
                <w:i/>
                <w:iCs/>
                <w:sz w:val="14"/>
                <w:szCs w:val="22"/>
                <w:rtl/>
              </w:rPr>
            </w:pPr>
          </w:p>
        </w:tc>
        <w:tc>
          <w:tcPr>
            <w:tcW w:w="1751" w:type="dxa"/>
            <w:gridSpan w:val="2"/>
            <w:tcBorders>
              <w:top w:val="single" w:sz="4" w:space="0" w:color="auto"/>
              <w:bottom w:val="single" w:sz="4" w:space="0" w:color="auto"/>
            </w:tcBorders>
            <w:shd w:val="clear" w:color="auto" w:fill="FFFFFF"/>
            <w:vAlign w:val="bottom"/>
          </w:tcPr>
          <w:p w:rsidR="0006132D" w:rsidRPr="00E64BFC" w:rsidRDefault="0006132D" w:rsidP="0006132D">
            <w:pPr>
              <w:spacing w:after="80" w:line="220" w:lineRule="exact"/>
              <w:ind w:right="144"/>
              <w:jc w:val="center"/>
              <w:rPr>
                <w:rFonts w:hint="cs"/>
                <w:i/>
                <w:iCs/>
                <w:sz w:val="14"/>
                <w:szCs w:val="22"/>
                <w:rtl/>
              </w:rPr>
            </w:pPr>
            <w:r>
              <w:rPr>
                <w:rFonts w:hint="cs"/>
                <w:i/>
                <w:iCs/>
                <w:sz w:val="14"/>
                <w:szCs w:val="22"/>
                <w:rtl/>
              </w:rPr>
              <w:t>ذكور</w:t>
            </w:r>
          </w:p>
        </w:tc>
        <w:tc>
          <w:tcPr>
            <w:tcW w:w="206" w:type="dxa"/>
            <w:tcBorders>
              <w:top w:val="single" w:sz="4" w:space="0" w:color="auto"/>
            </w:tcBorders>
            <w:shd w:val="clear" w:color="auto" w:fill="FFFFFF"/>
            <w:vAlign w:val="bottom"/>
          </w:tcPr>
          <w:p w:rsidR="0006132D" w:rsidRPr="00E64BFC" w:rsidRDefault="0006132D" w:rsidP="00CE0EB7">
            <w:pPr>
              <w:spacing w:after="80" w:line="220" w:lineRule="exact"/>
              <w:ind w:right="144"/>
              <w:rPr>
                <w:rFonts w:hint="cs"/>
                <w:i/>
                <w:iCs/>
                <w:sz w:val="14"/>
                <w:szCs w:val="22"/>
                <w:rtl/>
              </w:rPr>
            </w:pPr>
          </w:p>
        </w:tc>
        <w:tc>
          <w:tcPr>
            <w:tcW w:w="1860" w:type="dxa"/>
            <w:gridSpan w:val="2"/>
            <w:tcBorders>
              <w:top w:val="single" w:sz="4" w:space="0" w:color="auto"/>
              <w:bottom w:val="single" w:sz="4" w:space="0" w:color="auto"/>
            </w:tcBorders>
            <w:shd w:val="clear" w:color="auto" w:fill="FFFFFF"/>
            <w:vAlign w:val="bottom"/>
          </w:tcPr>
          <w:p w:rsidR="0006132D" w:rsidRPr="00E64BFC" w:rsidRDefault="0006132D" w:rsidP="0006132D">
            <w:pPr>
              <w:spacing w:after="80" w:line="220" w:lineRule="exact"/>
              <w:ind w:right="144"/>
              <w:jc w:val="center"/>
              <w:rPr>
                <w:rFonts w:hint="cs"/>
                <w:i/>
                <w:iCs/>
                <w:sz w:val="14"/>
                <w:szCs w:val="22"/>
                <w:rtl/>
              </w:rPr>
            </w:pPr>
            <w:r>
              <w:rPr>
                <w:rFonts w:hint="cs"/>
                <w:i/>
                <w:iCs/>
                <w:sz w:val="14"/>
                <w:szCs w:val="22"/>
                <w:rtl/>
              </w:rPr>
              <w:t>إناث</w:t>
            </w:r>
          </w:p>
        </w:tc>
      </w:tr>
      <w:tr w:rsidR="00CE0EB7" w:rsidRPr="00E64BFC">
        <w:trPr>
          <w:cantSplit/>
          <w:tblHeader/>
          <w:jc w:val="center"/>
        </w:trPr>
        <w:tc>
          <w:tcPr>
            <w:tcW w:w="2473" w:type="dxa"/>
            <w:tcBorders>
              <w:bottom w:val="single" w:sz="12" w:space="0" w:color="auto"/>
            </w:tcBorders>
            <w:shd w:val="clear" w:color="auto" w:fill="FFFFFF"/>
            <w:vAlign w:val="bottom"/>
          </w:tcPr>
          <w:p w:rsidR="00CE0EB7" w:rsidRPr="00E64BFC" w:rsidRDefault="00CE0EB7" w:rsidP="00CE0EB7">
            <w:pPr>
              <w:spacing w:after="80" w:line="220" w:lineRule="exact"/>
              <w:rPr>
                <w:rFonts w:hint="cs"/>
                <w:i/>
                <w:iCs/>
                <w:sz w:val="14"/>
                <w:szCs w:val="22"/>
              </w:rPr>
            </w:pPr>
            <w:r>
              <w:rPr>
                <w:rFonts w:hint="cs"/>
                <w:i/>
                <w:iCs/>
                <w:sz w:val="14"/>
                <w:szCs w:val="22"/>
                <w:rtl/>
              </w:rPr>
              <w:t>المجال</w:t>
            </w:r>
          </w:p>
        </w:tc>
        <w:tc>
          <w:tcPr>
            <w:tcW w:w="1030" w:type="dxa"/>
            <w:tcBorders>
              <w:bottom w:val="single" w:sz="12" w:space="0" w:color="auto"/>
            </w:tcBorders>
            <w:shd w:val="clear" w:color="auto" w:fill="FFFFFF"/>
            <w:vAlign w:val="bottom"/>
          </w:tcPr>
          <w:p w:rsidR="00CE0EB7" w:rsidRPr="00E64BFC" w:rsidRDefault="00CE0EB7" w:rsidP="00CE0EB7">
            <w:pPr>
              <w:spacing w:after="80" w:line="220" w:lineRule="exact"/>
              <w:ind w:right="144"/>
              <w:rPr>
                <w:rFonts w:hint="cs"/>
                <w:i/>
                <w:iCs/>
                <w:sz w:val="14"/>
                <w:szCs w:val="22"/>
                <w:rtl/>
              </w:rPr>
            </w:pPr>
            <w:r>
              <w:rPr>
                <w:rFonts w:hint="cs"/>
                <w:i/>
                <w:iCs/>
                <w:sz w:val="14"/>
                <w:szCs w:val="22"/>
                <w:rtl/>
              </w:rPr>
              <w:t>المجموع</w:t>
            </w:r>
          </w:p>
        </w:tc>
        <w:tc>
          <w:tcPr>
            <w:tcW w:w="927" w:type="dxa"/>
            <w:tcBorders>
              <w:bottom w:val="single" w:sz="12" w:space="0" w:color="auto"/>
            </w:tcBorders>
            <w:shd w:val="clear" w:color="auto" w:fill="FFFFFF"/>
            <w:vAlign w:val="bottom"/>
          </w:tcPr>
          <w:p w:rsidR="00CE0EB7" w:rsidRPr="00E64BFC" w:rsidRDefault="00CE0EB7" w:rsidP="00CE0EB7">
            <w:pPr>
              <w:spacing w:after="80" w:line="220" w:lineRule="exact"/>
              <w:ind w:right="144"/>
              <w:rPr>
                <w:rFonts w:hint="cs"/>
                <w:i/>
                <w:iCs/>
                <w:sz w:val="14"/>
                <w:szCs w:val="22"/>
                <w:rtl/>
              </w:rPr>
            </w:pPr>
            <w:r>
              <w:rPr>
                <w:rFonts w:hint="cs"/>
                <w:i/>
                <w:iCs/>
                <w:sz w:val="14"/>
                <w:szCs w:val="22"/>
                <w:rtl/>
              </w:rPr>
              <w:t>العدد</w:t>
            </w:r>
          </w:p>
        </w:tc>
        <w:tc>
          <w:tcPr>
            <w:tcW w:w="1030" w:type="dxa"/>
            <w:gridSpan w:val="2"/>
            <w:tcBorders>
              <w:bottom w:val="single" w:sz="12" w:space="0" w:color="auto"/>
            </w:tcBorders>
            <w:shd w:val="clear" w:color="auto" w:fill="FFFFFF"/>
            <w:vAlign w:val="bottom"/>
          </w:tcPr>
          <w:p w:rsidR="00CE0EB7" w:rsidRPr="00E64BFC" w:rsidRDefault="00CE0EB7" w:rsidP="00CE0EB7">
            <w:pPr>
              <w:spacing w:after="80" w:line="220" w:lineRule="exact"/>
              <w:ind w:right="144"/>
              <w:rPr>
                <w:rFonts w:hint="cs"/>
                <w:i/>
                <w:iCs/>
                <w:sz w:val="14"/>
                <w:szCs w:val="22"/>
                <w:rtl/>
              </w:rPr>
            </w:pPr>
            <w:r>
              <w:rPr>
                <w:rFonts w:hint="cs"/>
                <w:i/>
                <w:iCs/>
                <w:sz w:val="14"/>
                <w:szCs w:val="22"/>
                <w:rtl/>
              </w:rPr>
              <w:t>النسبة المئوية</w:t>
            </w:r>
          </w:p>
        </w:tc>
        <w:tc>
          <w:tcPr>
            <w:tcW w:w="927" w:type="dxa"/>
            <w:tcBorders>
              <w:bottom w:val="single" w:sz="12" w:space="0" w:color="auto"/>
            </w:tcBorders>
            <w:shd w:val="clear" w:color="auto" w:fill="FFFFFF"/>
            <w:vAlign w:val="bottom"/>
          </w:tcPr>
          <w:p w:rsidR="00CE0EB7" w:rsidRPr="00E64BFC" w:rsidRDefault="00CE0EB7" w:rsidP="00CE0EB7">
            <w:pPr>
              <w:spacing w:after="80" w:line="220" w:lineRule="exact"/>
              <w:ind w:right="144"/>
              <w:rPr>
                <w:rFonts w:hint="cs"/>
                <w:i/>
                <w:iCs/>
                <w:sz w:val="14"/>
                <w:szCs w:val="22"/>
                <w:rtl/>
              </w:rPr>
            </w:pPr>
            <w:r>
              <w:rPr>
                <w:rFonts w:hint="cs"/>
                <w:i/>
                <w:iCs/>
                <w:sz w:val="14"/>
                <w:szCs w:val="22"/>
                <w:rtl/>
              </w:rPr>
              <w:t>العدد</w:t>
            </w:r>
          </w:p>
        </w:tc>
        <w:tc>
          <w:tcPr>
            <w:tcW w:w="933" w:type="dxa"/>
            <w:tcBorders>
              <w:bottom w:val="single" w:sz="12" w:space="0" w:color="auto"/>
            </w:tcBorders>
            <w:shd w:val="clear" w:color="auto" w:fill="FFFFFF"/>
            <w:vAlign w:val="bottom"/>
          </w:tcPr>
          <w:p w:rsidR="00CE0EB7" w:rsidRPr="00E64BFC" w:rsidRDefault="00CE0EB7" w:rsidP="003B131B">
            <w:pPr>
              <w:spacing w:after="80" w:line="220" w:lineRule="exact"/>
              <w:ind w:right="30"/>
              <w:rPr>
                <w:rFonts w:hint="cs"/>
                <w:i/>
                <w:iCs/>
                <w:sz w:val="14"/>
                <w:szCs w:val="22"/>
                <w:rtl/>
              </w:rPr>
            </w:pPr>
            <w:r>
              <w:rPr>
                <w:rFonts w:hint="cs"/>
                <w:i/>
                <w:iCs/>
                <w:sz w:val="14"/>
                <w:szCs w:val="22"/>
                <w:rtl/>
              </w:rPr>
              <w:t>النسبة المئوية</w:t>
            </w:r>
          </w:p>
        </w:tc>
      </w:tr>
      <w:tr w:rsidR="00CE0EB7" w:rsidRPr="00E64BFC">
        <w:trPr>
          <w:cantSplit/>
          <w:trHeight w:hRule="exact" w:val="115"/>
          <w:tblHeader/>
          <w:jc w:val="center"/>
        </w:trPr>
        <w:tc>
          <w:tcPr>
            <w:tcW w:w="2473" w:type="dxa"/>
            <w:tcBorders>
              <w:top w:val="single" w:sz="12" w:space="0" w:color="auto"/>
            </w:tcBorders>
            <w:shd w:val="clear" w:color="auto" w:fill="FFFFFF"/>
            <w:vAlign w:val="bottom"/>
          </w:tcPr>
          <w:p w:rsidR="00CE0EB7" w:rsidRPr="00E64BFC" w:rsidRDefault="00CE0EB7" w:rsidP="003038BA">
            <w:pPr>
              <w:bidi w:val="0"/>
              <w:spacing w:after="80" w:line="220" w:lineRule="exact"/>
              <w:jc w:val="right"/>
              <w:rPr>
                <w:sz w:val="14"/>
                <w:szCs w:val="22"/>
              </w:rPr>
            </w:pPr>
          </w:p>
        </w:tc>
        <w:tc>
          <w:tcPr>
            <w:tcW w:w="1030" w:type="dxa"/>
            <w:tcBorders>
              <w:top w:val="single" w:sz="12" w:space="0" w:color="auto"/>
            </w:tcBorders>
            <w:shd w:val="clear" w:color="auto" w:fill="FFFFFF"/>
            <w:vAlign w:val="bottom"/>
          </w:tcPr>
          <w:p w:rsidR="00CE0EB7" w:rsidRPr="00E64BFC" w:rsidRDefault="00CE0EB7" w:rsidP="003038BA">
            <w:pPr>
              <w:bidi w:val="0"/>
              <w:spacing w:after="80" w:line="220" w:lineRule="exact"/>
              <w:ind w:right="144"/>
              <w:jc w:val="right"/>
              <w:rPr>
                <w:rFonts w:hint="cs"/>
                <w:sz w:val="14"/>
                <w:szCs w:val="22"/>
                <w:rtl/>
              </w:rPr>
            </w:pPr>
          </w:p>
        </w:tc>
        <w:tc>
          <w:tcPr>
            <w:tcW w:w="927" w:type="dxa"/>
            <w:tcBorders>
              <w:top w:val="single" w:sz="12" w:space="0" w:color="auto"/>
            </w:tcBorders>
            <w:shd w:val="clear" w:color="auto" w:fill="FFFFFF"/>
            <w:vAlign w:val="bottom"/>
          </w:tcPr>
          <w:p w:rsidR="00CE0EB7" w:rsidRPr="00E64BFC" w:rsidRDefault="00CE0EB7" w:rsidP="003038BA">
            <w:pPr>
              <w:bidi w:val="0"/>
              <w:spacing w:after="80" w:line="220" w:lineRule="exact"/>
              <w:ind w:right="144"/>
              <w:jc w:val="right"/>
              <w:rPr>
                <w:rFonts w:hint="cs"/>
                <w:sz w:val="14"/>
                <w:szCs w:val="22"/>
                <w:rtl/>
              </w:rPr>
            </w:pPr>
          </w:p>
        </w:tc>
        <w:tc>
          <w:tcPr>
            <w:tcW w:w="1030" w:type="dxa"/>
            <w:gridSpan w:val="2"/>
            <w:tcBorders>
              <w:top w:val="single" w:sz="12" w:space="0" w:color="auto"/>
            </w:tcBorders>
            <w:shd w:val="clear" w:color="auto" w:fill="FFFFFF"/>
            <w:vAlign w:val="bottom"/>
          </w:tcPr>
          <w:p w:rsidR="00CE0EB7" w:rsidRPr="00E64BFC" w:rsidRDefault="00CE0EB7" w:rsidP="003038BA">
            <w:pPr>
              <w:bidi w:val="0"/>
              <w:spacing w:after="80" w:line="220" w:lineRule="exact"/>
              <w:ind w:right="144"/>
              <w:jc w:val="right"/>
              <w:rPr>
                <w:rFonts w:hint="cs"/>
                <w:sz w:val="14"/>
                <w:szCs w:val="22"/>
                <w:rtl/>
              </w:rPr>
            </w:pPr>
          </w:p>
        </w:tc>
        <w:tc>
          <w:tcPr>
            <w:tcW w:w="927" w:type="dxa"/>
            <w:tcBorders>
              <w:top w:val="single" w:sz="12" w:space="0" w:color="auto"/>
            </w:tcBorders>
            <w:shd w:val="clear" w:color="auto" w:fill="FFFFFF"/>
            <w:vAlign w:val="bottom"/>
          </w:tcPr>
          <w:p w:rsidR="00CE0EB7" w:rsidRPr="00E64BFC" w:rsidRDefault="00CE0EB7" w:rsidP="003038BA">
            <w:pPr>
              <w:bidi w:val="0"/>
              <w:spacing w:after="80" w:line="220" w:lineRule="exact"/>
              <w:ind w:right="144"/>
              <w:jc w:val="right"/>
              <w:rPr>
                <w:rFonts w:hint="cs"/>
                <w:sz w:val="14"/>
                <w:szCs w:val="22"/>
                <w:rtl/>
              </w:rPr>
            </w:pPr>
          </w:p>
        </w:tc>
        <w:tc>
          <w:tcPr>
            <w:tcW w:w="933" w:type="dxa"/>
            <w:tcBorders>
              <w:top w:val="single" w:sz="12" w:space="0" w:color="auto"/>
            </w:tcBorders>
            <w:shd w:val="clear" w:color="auto" w:fill="FFFFFF"/>
            <w:vAlign w:val="bottom"/>
          </w:tcPr>
          <w:p w:rsidR="00CE0EB7" w:rsidRPr="00E64BFC" w:rsidRDefault="00CE0EB7" w:rsidP="003038BA">
            <w:pPr>
              <w:bidi w:val="0"/>
              <w:spacing w:after="80" w:line="220" w:lineRule="exact"/>
              <w:ind w:right="144"/>
              <w:jc w:val="right"/>
              <w:rPr>
                <w:rFonts w:hint="cs"/>
                <w:sz w:val="14"/>
                <w:szCs w:val="22"/>
                <w:rtl/>
              </w:rPr>
            </w:pP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rPr>
                <w:rFonts w:hint="cs"/>
                <w:sz w:val="14"/>
                <w:szCs w:val="22"/>
                <w:lang w:val="fr-FR"/>
              </w:rPr>
            </w:pPr>
            <w:r>
              <w:rPr>
                <w:rFonts w:hint="cs"/>
                <w:sz w:val="14"/>
                <w:szCs w:val="22"/>
                <w:rtl/>
                <w:lang w:val="fr-FR"/>
              </w:rPr>
              <w:t>تربية الماشية</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39</w:t>
            </w:r>
            <w:r w:rsidRPr="00E64BFC">
              <w:rPr>
                <w:rFonts w:hint="cs"/>
                <w:sz w:val="14"/>
                <w:szCs w:val="22"/>
                <w:lang w:val="fr-FR"/>
              </w:rPr>
              <w:t xml:space="preserve"> </w:t>
            </w:r>
            <w:r w:rsidRPr="00E64BFC">
              <w:rPr>
                <w:rFonts w:hint="cs"/>
                <w:sz w:val="14"/>
                <w:szCs w:val="22"/>
                <w:rtl/>
                <w:lang w:val="fr-FR"/>
              </w:rPr>
              <w:t>135</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29</w:t>
            </w:r>
            <w:r w:rsidRPr="00E64BFC">
              <w:rPr>
                <w:rFonts w:hint="cs"/>
                <w:sz w:val="14"/>
                <w:szCs w:val="22"/>
                <w:lang w:val="fr-FR"/>
              </w:rPr>
              <w:t xml:space="preserve"> </w:t>
            </w:r>
            <w:r w:rsidRPr="00E64BFC">
              <w:rPr>
                <w:rFonts w:hint="cs"/>
                <w:sz w:val="14"/>
                <w:szCs w:val="22"/>
                <w:rtl/>
                <w:lang w:val="fr-FR"/>
              </w:rPr>
              <w:t>870</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76</w:t>
            </w:r>
            <w:r w:rsidRPr="00E64BFC">
              <w:rPr>
                <w:sz w:val="14"/>
                <w:szCs w:val="22"/>
                <w:lang w:val="fr-FR"/>
              </w:rPr>
              <w:t>,</w:t>
            </w:r>
            <w:r w:rsidRPr="00E64BFC">
              <w:rPr>
                <w:rFonts w:hint="cs"/>
                <w:sz w:val="14"/>
                <w:szCs w:val="22"/>
                <w:rtl/>
                <w:lang w:val="fr-FR"/>
              </w:rPr>
              <w:t>3</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9</w:t>
            </w:r>
            <w:r w:rsidRPr="00E64BFC">
              <w:rPr>
                <w:rFonts w:hint="cs"/>
                <w:sz w:val="14"/>
                <w:szCs w:val="22"/>
                <w:lang w:val="fr-FR"/>
              </w:rPr>
              <w:t xml:space="preserve"> </w:t>
            </w:r>
            <w:r w:rsidRPr="00E64BFC">
              <w:rPr>
                <w:rFonts w:hint="cs"/>
                <w:sz w:val="14"/>
                <w:szCs w:val="22"/>
                <w:rtl/>
                <w:lang w:val="fr-FR"/>
              </w:rPr>
              <w:t>265</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23</w:t>
            </w:r>
            <w:r w:rsidRPr="00E64BFC">
              <w:rPr>
                <w:sz w:val="14"/>
                <w:szCs w:val="22"/>
                <w:lang w:val="fr-FR"/>
              </w:rPr>
              <w:t>,</w:t>
            </w:r>
            <w:r w:rsidRPr="00E64BFC">
              <w:rPr>
                <w:rFonts w:hint="cs"/>
                <w:sz w:val="14"/>
                <w:szCs w:val="22"/>
                <w:rtl/>
                <w:lang w:val="fr-FR"/>
              </w:rPr>
              <w:t>7</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الآداب</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5</w:t>
            </w:r>
            <w:r w:rsidRPr="00E64BFC">
              <w:rPr>
                <w:rFonts w:hint="cs"/>
                <w:sz w:val="14"/>
                <w:szCs w:val="22"/>
                <w:lang w:val="fr-FR"/>
              </w:rPr>
              <w:t xml:space="preserve"> </w:t>
            </w:r>
            <w:r w:rsidRPr="00E64BFC">
              <w:rPr>
                <w:rFonts w:hint="cs"/>
                <w:sz w:val="14"/>
                <w:szCs w:val="22"/>
                <w:rtl/>
                <w:lang w:val="fr-FR"/>
              </w:rPr>
              <w:t>782</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268</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39</w:t>
            </w:r>
            <w:r w:rsidRPr="00E64BFC">
              <w:rPr>
                <w:sz w:val="14"/>
                <w:szCs w:val="22"/>
                <w:lang w:val="fr-FR"/>
              </w:rPr>
              <w:t>,</w:t>
            </w:r>
            <w:r w:rsidRPr="00E64BFC">
              <w:rPr>
                <w:rFonts w:hint="cs"/>
                <w:sz w:val="14"/>
                <w:szCs w:val="22"/>
                <w:rtl/>
                <w:lang w:val="fr-FR"/>
              </w:rPr>
              <w:t>2</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514</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60</w:t>
            </w:r>
            <w:r w:rsidRPr="00E64BFC">
              <w:rPr>
                <w:sz w:val="14"/>
                <w:szCs w:val="22"/>
                <w:lang w:val="fr-FR"/>
              </w:rPr>
              <w:t>,</w:t>
            </w:r>
            <w:r w:rsidRPr="00E64BFC">
              <w:rPr>
                <w:rFonts w:hint="cs"/>
                <w:sz w:val="14"/>
                <w:szCs w:val="22"/>
                <w:rtl/>
                <w:lang w:val="fr-FR"/>
              </w:rPr>
              <w:t>8</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إدارة الأعمال</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6</w:t>
            </w:r>
            <w:r w:rsidRPr="00E64BFC">
              <w:rPr>
                <w:rFonts w:hint="cs"/>
                <w:sz w:val="14"/>
                <w:szCs w:val="22"/>
                <w:lang w:val="fr-FR"/>
              </w:rPr>
              <w:t xml:space="preserve"> </w:t>
            </w:r>
            <w:r w:rsidRPr="00E64BFC">
              <w:rPr>
                <w:rFonts w:hint="cs"/>
                <w:sz w:val="14"/>
                <w:szCs w:val="22"/>
                <w:rtl/>
                <w:lang w:val="fr-FR"/>
              </w:rPr>
              <w:t>676</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952</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59</w:t>
            </w:r>
            <w:r w:rsidRPr="00E64BFC">
              <w:rPr>
                <w:sz w:val="14"/>
                <w:szCs w:val="22"/>
                <w:lang w:val="fr-FR"/>
              </w:rPr>
              <w:t>,</w:t>
            </w:r>
            <w:r w:rsidRPr="00E64BFC">
              <w:rPr>
                <w:rFonts w:hint="cs"/>
                <w:sz w:val="14"/>
                <w:szCs w:val="22"/>
                <w:rtl/>
                <w:lang w:val="fr-FR"/>
              </w:rPr>
              <w:t>2</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724</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40</w:t>
            </w:r>
            <w:r w:rsidRPr="00E64BFC">
              <w:rPr>
                <w:sz w:val="14"/>
                <w:szCs w:val="22"/>
                <w:lang w:val="fr-FR"/>
              </w:rPr>
              <w:t>,</w:t>
            </w:r>
            <w:r w:rsidRPr="00E64BFC">
              <w:rPr>
                <w:rFonts w:hint="cs"/>
                <w:sz w:val="14"/>
                <w:szCs w:val="22"/>
                <w:rtl/>
                <w:lang w:val="fr-FR"/>
              </w:rPr>
              <w:t>8</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الاتصالات</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4</w:t>
            </w:r>
            <w:r w:rsidRPr="00E64BFC">
              <w:rPr>
                <w:rFonts w:hint="cs"/>
                <w:sz w:val="14"/>
                <w:szCs w:val="22"/>
                <w:lang w:val="fr-FR"/>
              </w:rPr>
              <w:t xml:space="preserve"> </w:t>
            </w:r>
            <w:r w:rsidRPr="00E64BFC">
              <w:rPr>
                <w:rFonts w:hint="cs"/>
                <w:sz w:val="14"/>
                <w:szCs w:val="22"/>
                <w:rtl/>
                <w:lang w:val="fr-FR"/>
              </w:rPr>
              <w:t>063</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768</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43</w:t>
            </w:r>
            <w:r w:rsidRPr="00E64BFC">
              <w:rPr>
                <w:sz w:val="14"/>
                <w:szCs w:val="22"/>
                <w:lang w:val="fr-FR"/>
              </w:rPr>
              <w:t>,</w:t>
            </w:r>
            <w:r w:rsidRPr="00E64BFC">
              <w:rPr>
                <w:rFonts w:hint="cs"/>
                <w:sz w:val="14"/>
                <w:szCs w:val="22"/>
                <w:rtl/>
                <w:lang w:val="fr-FR"/>
              </w:rPr>
              <w:t>5</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295</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56</w:t>
            </w:r>
            <w:r w:rsidRPr="00E64BFC">
              <w:rPr>
                <w:sz w:val="14"/>
                <w:szCs w:val="22"/>
                <w:lang w:val="fr-FR"/>
              </w:rPr>
              <w:t>,</w:t>
            </w:r>
            <w:r w:rsidRPr="00E64BFC">
              <w:rPr>
                <w:rFonts w:hint="cs"/>
                <w:sz w:val="14"/>
                <w:szCs w:val="22"/>
                <w:rtl/>
                <w:lang w:val="fr-FR"/>
              </w:rPr>
              <w:t>5</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الهندسة المدنية</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13</w:t>
            </w:r>
            <w:r w:rsidRPr="00E64BFC">
              <w:rPr>
                <w:rFonts w:hint="cs"/>
                <w:sz w:val="14"/>
                <w:szCs w:val="22"/>
                <w:lang w:val="fr-FR"/>
              </w:rPr>
              <w:t xml:space="preserve"> </w:t>
            </w:r>
            <w:r w:rsidRPr="00E64BFC">
              <w:rPr>
                <w:rFonts w:hint="cs"/>
                <w:sz w:val="14"/>
                <w:szCs w:val="22"/>
                <w:rtl/>
                <w:lang w:val="fr-FR"/>
              </w:rPr>
              <w:t>767</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8</w:t>
            </w:r>
            <w:r w:rsidRPr="00E64BFC">
              <w:rPr>
                <w:rFonts w:hint="cs"/>
                <w:sz w:val="14"/>
                <w:szCs w:val="22"/>
                <w:lang w:val="fr-FR"/>
              </w:rPr>
              <w:t xml:space="preserve"> </w:t>
            </w:r>
            <w:r w:rsidRPr="00E64BFC">
              <w:rPr>
                <w:rFonts w:hint="cs"/>
                <w:sz w:val="14"/>
                <w:szCs w:val="22"/>
                <w:rtl/>
                <w:lang w:val="fr-FR"/>
              </w:rPr>
              <w:t>490</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61</w:t>
            </w:r>
            <w:r w:rsidRPr="00E64BFC">
              <w:rPr>
                <w:sz w:val="14"/>
                <w:szCs w:val="22"/>
                <w:lang w:val="fr-FR"/>
              </w:rPr>
              <w:t>,</w:t>
            </w:r>
            <w:r w:rsidRPr="00E64BFC">
              <w:rPr>
                <w:rFonts w:hint="cs"/>
                <w:sz w:val="14"/>
                <w:szCs w:val="22"/>
                <w:rtl/>
                <w:lang w:val="fr-FR"/>
              </w:rPr>
              <w:t>7</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5</w:t>
            </w:r>
            <w:r w:rsidRPr="00E64BFC">
              <w:rPr>
                <w:rFonts w:hint="cs"/>
                <w:sz w:val="14"/>
                <w:szCs w:val="22"/>
                <w:lang w:val="fr-FR"/>
              </w:rPr>
              <w:t xml:space="preserve"> </w:t>
            </w:r>
            <w:r w:rsidRPr="00E64BFC">
              <w:rPr>
                <w:rFonts w:hint="cs"/>
                <w:sz w:val="14"/>
                <w:szCs w:val="22"/>
                <w:rtl/>
                <w:lang w:val="fr-FR"/>
              </w:rPr>
              <w:t>277</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38</w:t>
            </w:r>
            <w:r w:rsidRPr="00E64BFC">
              <w:rPr>
                <w:sz w:val="14"/>
                <w:szCs w:val="22"/>
                <w:lang w:val="fr-FR"/>
              </w:rPr>
              <w:t>,</w:t>
            </w:r>
            <w:r w:rsidRPr="00E64BFC">
              <w:rPr>
                <w:rFonts w:hint="cs"/>
                <w:sz w:val="14"/>
                <w:szCs w:val="22"/>
                <w:rtl/>
                <w:lang w:val="fr-FR"/>
              </w:rPr>
              <w:t>3</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33"/>
              <w:rPr>
                <w:rFonts w:hint="cs"/>
                <w:sz w:val="14"/>
                <w:szCs w:val="22"/>
                <w:lang w:val="fr-FR"/>
              </w:rPr>
            </w:pPr>
            <w:r>
              <w:rPr>
                <w:rFonts w:hint="cs"/>
                <w:sz w:val="14"/>
                <w:szCs w:val="22"/>
                <w:rtl/>
                <w:lang w:val="fr-FR"/>
              </w:rPr>
              <w:t>التنمية الاجتماعية وشغل أوقات الفراغ</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6</w:t>
            </w:r>
            <w:r w:rsidRPr="00E64BFC">
              <w:rPr>
                <w:rFonts w:hint="cs"/>
                <w:sz w:val="14"/>
                <w:szCs w:val="22"/>
                <w:lang w:val="fr-FR"/>
              </w:rPr>
              <w:t xml:space="preserve"> </w:t>
            </w:r>
            <w:r w:rsidRPr="00E64BFC">
              <w:rPr>
                <w:rFonts w:hint="cs"/>
                <w:sz w:val="14"/>
                <w:szCs w:val="22"/>
                <w:rtl/>
                <w:lang w:val="fr-FR"/>
              </w:rPr>
              <w:t>733</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234</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18</w:t>
            </w:r>
            <w:r w:rsidRPr="00E64BFC">
              <w:rPr>
                <w:sz w:val="14"/>
                <w:szCs w:val="22"/>
                <w:lang w:val="fr-FR"/>
              </w:rPr>
              <w:t>,</w:t>
            </w:r>
            <w:r w:rsidRPr="00E64BFC">
              <w:rPr>
                <w:rFonts w:hint="cs"/>
                <w:sz w:val="14"/>
                <w:szCs w:val="22"/>
                <w:rtl/>
                <w:lang w:val="fr-FR"/>
              </w:rPr>
              <w:t>3</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5</w:t>
            </w:r>
            <w:r w:rsidRPr="00E64BFC">
              <w:rPr>
                <w:rFonts w:hint="cs"/>
                <w:sz w:val="14"/>
                <w:szCs w:val="22"/>
                <w:lang w:val="fr-FR"/>
              </w:rPr>
              <w:t xml:space="preserve"> </w:t>
            </w:r>
            <w:r w:rsidRPr="00E64BFC">
              <w:rPr>
                <w:rFonts w:hint="cs"/>
                <w:sz w:val="14"/>
                <w:szCs w:val="22"/>
                <w:rtl/>
                <w:lang w:val="fr-FR"/>
              </w:rPr>
              <w:t>499</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81</w:t>
            </w:r>
            <w:r w:rsidRPr="00E64BFC">
              <w:rPr>
                <w:sz w:val="14"/>
                <w:szCs w:val="22"/>
                <w:lang w:val="fr-FR"/>
              </w:rPr>
              <w:t>,</w:t>
            </w:r>
            <w:r w:rsidRPr="00E64BFC">
              <w:rPr>
                <w:rFonts w:hint="cs"/>
                <w:sz w:val="14"/>
                <w:szCs w:val="22"/>
                <w:rtl/>
                <w:lang w:val="fr-FR"/>
              </w:rPr>
              <w:t>7</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التصميم</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5</w:t>
            </w:r>
            <w:r w:rsidRPr="00E64BFC">
              <w:rPr>
                <w:rFonts w:hint="cs"/>
                <w:sz w:val="14"/>
                <w:szCs w:val="22"/>
                <w:lang w:val="fr-FR"/>
              </w:rPr>
              <w:t xml:space="preserve"> </w:t>
            </w:r>
            <w:r w:rsidRPr="00E64BFC">
              <w:rPr>
                <w:rFonts w:hint="cs"/>
                <w:sz w:val="14"/>
                <w:szCs w:val="22"/>
                <w:rtl/>
                <w:lang w:val="fr-FR"/>
              </w:rPr>
              <w:t>997</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252</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37</w:t>
            </w:r>
            <w:r w:rsidRPr="00E64BFC">
              <w:rPr>
                <w:sz w:val="14"/>
                <w:szCs w:val="22"/>
                <w:lang w:val="fr-FR"/>
              </w:rPr>
              <w:t>,</w:t>
            </w:r>
            <w:r w:rsidRPr="00E64BFC">
              <w:rPr>
                <w:rFonts w:hint="cs"/>
                <w:sz w:val="14"/>
                <w:szCs w:val="22"/>
                <w:rtl/>
                <w:lang w:val="fr-FR"/>
              </w:rPr>
              <w:t>6</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745</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62</w:t>
            </w:r>
            <w:r w:rsidRPr="00E64BFC">
              <w:rPr>
                <w:sz w:val="14"/>
                <w:szCs w:val="22"/>
                <w:lang w:val="fr-FR"/>
              </w:rPr>
              <w:t>,</w:t>
            </w:r>
            <w:r w:rsidRPr="00E64BFC">
              <w:rPr>
                <w:rFonts w:hint="cs"/>
                <w:sz w:val="14"/>
                <w:szCs w:val="22"/>
                <w:rtl/>
                <w:lang w:val="fr-FR"/>
              </w:rPr>
              <w:t>4</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المسح الجغرافي</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403</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938</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66</w:t>
            </w:r>
            <w:r w:rsidRPr="00E64BFC">
              <w:rPr>
                <w:sz w:val="14"/>
                <w:szCs w:val="22"/>
                <w:lang w:val="fr-FR"/>
              </w:rPr>
              <w:t>,</w:t>
            </w:r>
            <w:r w:rsidRPr="00E64BFC">
              <w:rPr>
                <w:rFonts w:hint="cs"/>
                <w:sz w:val="14"/>
                <w:szCs w:val="22"/>
                <w:rtl/>
                <w:lang w:val="fr-FR"/>
              </w:rPr>
              <w:t>9</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465</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33</w:t>
            </w:r>
            <w:r w:rsidRPr="00E64BFC">
              <w:rPr>
                <w:sz w:val="14"/>
                <w:szCs w:val="22"/>
                <w:lang w:val="fr-FR"/>
              </w:rPr>
              <w:t>,</w:t>
            </w:r>
            <w:r w:rsidRPr="00E64BFC">
              <w:rPr>
                <w:rFonts w:hint="cs"/>
                <w:sz w:val="14"/>
                <w:szCs w:val="22"/>
                <w:rtl/>
                <w:lang w:val="fr-FR"/>
              </w:rPr>
              <w:t>1</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الإدارة</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78</w:t>
            </w:r>
            <w:r w:rsidRPr="00E64BFC">
              <w:rPr>
                <w:rFonts w:hint="cs"/>
                <w:sz w:val="14"/>
                <w:szCs w:val="22"/>
                <w:lang w:val="fr-FR"/>
              </w:rPr>
              <w:t xml:space="preserve"> </w:t>
            </w:r>
            <w:r w:rsidRPr="00E64BFC">
              <w:rPr>
                <w:rFonts w:hint="cs"/>
                <w:sz w:val="14"/>
                <w:szCs w:val="22"/>
                <w:rtl/>
                <w:lang w:val="fr-FR"/>
              </w:rPr>
              <w:t>937</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31</w:t>
            </w:r>
            <w:r w:rsidRPr="00E64BFC">
              <w:rPr>
                <w:rFonts w:hint="cs"/>
                <w:sz w:val="14"/>
                <w:szCs w:val="22"/>
                <w:lang w:val="fr-FR"/>
              </w:rPr>
              <w:t xml:space="preserve"> </w:t>
            </w:r>
            <w:r w:rsidRPr="00E64BFC">
              <w:rPr>
                <w:rFonts w:hint="cs"/>
                <w:sz w:val="14"/>
                <w:szCs w:val="22"/>
                <w:rtl/>
                <w:lang w:val="fr-FR"/>
              </w:rPr>
              <w:t>357</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39</w:t>
            </w:r>
            <w:r w:rsidRPr="00E64BFC">
              <w:rPr>
                <w:sz w:val="14"/>
                <w:szCs w:val="22"/>
                <w:lang w:val="fr-FR"/>
              </w:rPr>
              <w:t>,</w:t>
            </w:r>
            <w:r w:rsidRPr="00E64BFC">
              <w:rPr>
                <w:rFonts w:hint="cs"/>
                <w:sz w:val="14"/>
                <w:szCs w:val="22"/>
                <w:rtl/>
                <w:lang w:val="fr-FR"/>
              </w:rPr>
              <w:t>7</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47</w:t>
            </w:r>
            <w:r w:rsidRPr="00E64BFC">
              <w:rPr>
                <w:rFonts w:hint="cs"/>
                <w:sz w:val="14"/>
                <w:szCs w:val="22"/>
                <w:lang w:val="fr-FR"/>
              </w:rPr>
              <w:t xml:space="preserve"> </w:t>
            </w:r>
            <w:r w:rsidRPr="00E64BFC">
              <w:rPr>
                <w:rFonts w:hint="cs"/>
                <w:sz w:val="14"/>
                <w:szCs w:val="22"/>
                <w:rtl/>
                <w:lang w:val="fr-FR"/>
              </w:rPr>
              <w:t>580</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60</w:t>
            </w:r>
            <w:r w:rsidRPr="00E64BFC">
              <w:rPr>
                <w:sz w:val="14"/>
                <w:szCs w:val="22"/>
                <w:lang w:val="fr-FR"/>
              </w:rPr>
              <w:t>,</w:t>
            </w:r>
            <w:r w:rsidRPr="00E64BFC">
              <w:rPr>
                <w:rFonts w:hint="cs"/>
                <w:sz w:val="14"/>
                <w:szCs w:val="22"/>
                <w:rtl/>
                <w:lang w:val="fr-FR"/>
              </w:rPr>
              <w:t>3</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السكرتارية</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8</w:t>
            </w:r>
            <w:r w:rsidRPr="00E64BFC">
              <w:rPr>
                <w:rFonts w:hint="cs"/>
                <w:sz w:val="14"/>
                <w:szCs w:val="22"/>
                <w:lang w:val="fr-FR"/>
              </w:rPr>
              <w:t xml:space="preserve"> </w:t>
            </w:r>
            <w:r w:rsidRPr="00E64BFC">
              <w:rPr>
                <w:rFonts w:hint="cs"/>
                <w:sz w:val="14"/>
                <w:szCs w:val="22"/>
                <w:rtl/>
                <w:lang w:val="fr-FR"/>
              </w:rPr>
              <w:t>470</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477</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5</w:t>
            </w:r>
            <w:r w:rsidRPr="00E64BFC">
              <w:rPr>
                <w:sz w:val="14"/>
                <w:szCs w:val="22"/>
                <w:lang w:val="fr-FR"/>
              </w:rPr>
              <w:t>,</w:t>
            </w:r>
            <w:r w:rsidRPr="00E64BFC">
              <w:rPr>
                <w:rFonts w:hint="cs"/>
                <w:sz w:val="14"/>
                <w:szCs w:val="22"/>
                <w:rtl/>
                <w:lang w:val="fr-FR"/>
              </w:rPr>
              <w:t>6</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7</w:t>
            </w:r>
            <w:r w:rsidRPr="00E64BFC">
              <w:rPr>
                <w:rFonts w:hint="cs"/>
                <w:sz w:val="14"/>
                <w:szCs w:val="22"/>
                <w:lang w:val="fr-FR"/>
              </w:rPr>
              <w:t xml:space="preserve"> </w:t>
            </w:r>
            <w:r w:rsidRPr="00E64BFC">
              <w:rPr>
                <w:rFonts w:hint="cs"/>
                <w:sz w:val="14"/>
                <w:szCs w:val="22"/>
                <w:rtl/>
                <w:lang w:val="fr-FR"/>
              </w:rPr>
              <w:t>993</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94</w:t>
            </w:r>
            <w:r w:rsidRPr="00E64BFC">
              <w:rPr>
                <w:sz w:val="14"/>
                <w:szCs w:val="22"/>
                <w:lang w:val="fr-FR"/>
              </w:rPr>
              <w:t>,</w:t>
            </w:r>
            <w:r w:rsidRPr="00E64BFC">
              <w:rPr>
                <w:rFonts w:hint="cs"/>
                <w:sz w:val="14"/>
                <w:szCs w:val="22"/>
                <w:rtl/>
                <w:lang w:val="fr-FR"/>
              </w:rPr>
              <w:t>4</w:t>
            </w:r>
          </w:p>
        </w:tc>
      </w:tr>
      <w:tr w:rsidR="00CE0EB7" w:rsidRPr="00E64BFC">
        <w:trPr>
          <w:cantSplit/>
          <w:jc w:val="center"/>
        </w:trPr>
        <w:tc>
          <w:tcPr>
            <w:tcW w:w="2473" w:type="dxa"/>
            <w:shd w:val="clear" w:color="auto" w:fill="D9D9D9"/>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الشكل الشخصي/الخدمات الشخصية</w:t>
            </w:r>
          </w:p>
        </w:tc>
        <w:tc>
          <w:tcPr>
            <w:tcW w:w="1030"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963</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180</w:t>
            </w:r>
          </w:p>
        </w:tc>
        <w:tc>
          <w:tcPr>
            <w:tcW w:w="1030" w:type="dxa"/>
            <w:gridSpan w:val="2"/>
            <w:shd w:val="clear" w:color="auto" w:fill="D9D9D9"/>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18</w:t>
            </w:r>
            <w:r w:rsidRPr="00E64BFC">
              <w:rPr>
                <w:sz w:val="14"/>
                <w:szCs w:val="22"/>
                <w:lang w:val="fr-FR"/>
              </w:rPr>
              <w:t>,</w:t>
            </w:r>
            <w:r w:rsidRPr="00E64BFC">
              <w:rPr>
                <w:rFonts w:hint="cs"/>
                <w:sz w:val="14"/>
                <w:szCs w:val="22"/>
                <w:rtl/>
                <w:lang w:val="fr-FR"/>
              </w:rPr>
              <w:t>7</w:t>
            </w:r>
          </w:p>
        </w:tc>
        <w:tc>
          <w:tcPr>
            <w:tcW w:w="927" w:type="dxa"/>
            <w:shd w:val="clear" w:color="auto" w:fill="D9D9D9"/>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783</w:t>
            </w:r>
          </w:p>
        </w:tc>
        <w:tc>
          <w:tcPr>
            <w:tcW w:w="933" w:type="dxa"/>
            <w:shd w:val="clear" w:color="auto" w:fill="D9D9D9"/>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81</w:t>
            </w:r>
            <w:r w:rsidRPr="00E64BFC">
              <w:rPr>
                <w:sz w:val="14"/>
                <w:szCs w:val="22"/>
                <w:lang w:val="fr-FR"/>
              </w:rPr>
              <w:t>,</w:t>
            </w:r>
            <w:r w:rsidRPr="00E64BFC">
              <w:rPr>
                <w:rFonts w:hint="cs"/>
                <w:sz w:val="14"/>
                <w:szCs w:val="22"/>
                <w:rtl/>
                <w:lang w:val="fr-FR"/>
              </w:rPr>
              <w:t>3</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الصناعة</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109</w:t>
            </w:r>
            <w:r w:rsidRPr="00E64BFC">
              <w:rPr>
                <w:rFonts w:hint="cs"/>
                <w:sz w:val="14"/>
                <w:szCs w:val="22"/>
                <w:lang w:val="fr-FR"/>
              </w:rPr>
              <w:t xml:space="preserve"> </w:t>
            </w:r>
            <w:r w:rsidRPr="00E64BFC">
              <w:rPr>
                <w:rFonts w:hint="cs"/>
                <w:sz w:val="14"/>
                <w:szCs w:val="22"/>
                <w:rtl/>
                <w:lang w:val="fr-FR"/>
              </w:rPr>
              <w:t>559</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96</w:t>
            </w:r>
            <w:r w:rsidRPr="00E64BFC">
              <w:rPr>
                <w:rFonts w:hint="cs"/>
                <w:sz w:val="14"/>
                <w:szCs w:val="22"/>
                <w:lang w:val="fr-FR"/>
              </w:rPr>
              <w:t xml:space="preserve"> </w:t>
            </w:r>
            <w:r w:rsidRPr="00E64BFC">
              <w:rPr>
                <w:rFonts w:hint="cs"/>
                <w:sz w:val="14"/>
                <w:szCs w:val="22"/>
                <w:rtl/>
                <w:lang w:val="fr-FR"/>
              </w:rPr>
              <w:t>002</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87</w:t>
            </w:r>
            <w:r w:rsidRPr="00E64BFC">
              <w:rPr>
                <w:sz w:val="14"/>
                <w:szCs w:val="22"/>
                <w:lang w:val="fr-FR"/>
              </w:rPr>
              <w:t>,</w:t>
            </w:r>
            <w:r w:rsidRPr="00E64BFC">
              <w:rPr>
                <w:rFonts w:hint="cs"/>
                <w:sz w:val="14"/>
                <w:szCs w:val="22"/>
                <w:rtl/>
                <w:lang w:val="fr-FR"/>
              </w:rPr>
              <w:t>6</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13</w:t>
            </w:r>
            <w:r w:rsidRPr="00E64BFC">
              <w:rPr>
                <w:rFonts w:hint="cs"/>
                <w:sz w:val="14"/>
                <w:szCs w:val="22"/>
                <w:lang w:val="fr-FR"/>
              </w:rPr>
              <w:t xml:space="preserve"> </w:t>
            </w:r>
            <w:r w:rsidRPr="00E64BFC">
              <w:rPr>
                <w:rFonts w:hint="cs"/>
                <w:sz w:val="14"/>
                <w:szCs w:val="22"/>
                <w:rtl/>
                <w:lang w:val="fr-FR"/>
              </w:rPr>
              <w:t>557</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12</w:t>
            </w:r>
            <w:r w:rsidRPr="00E64BFC">
              <w:rPr>
                <w:sz w:val="14"/>
                <w:szCs w:val="22"/>
                <w:lang w:val="fr-FR"/>
              </w:rPr>
              <w:t>,</w:t>
            </w:r>
            <w:r w:rsidRPr="00E64BFC">
              <w:rPr>
                <w:rFonts w:hint="cs"/>
                <w:sz w:val="14"/>
                <w:szCs w:val="22"/>
                <w:rtl/>
                <w:lang w:val="fr-FR"/>
              </w:rPr>
              <w:t>4</w:t>
            </w:r>
          </w:p>
        </w:tc>
      </w:tr>
      <w:tr w:rsidR="00CE0EB7" w:rsidRPr="00E64BFC">
        <w:trPr>
          <w:cantSplit/>
          <w:jc w:val="center"/>
        </w:trPr>
        <w:tc>
          <w:tcPr>
            <w:tcW w:w="2473" w:type="dxa"/>
            <w:shd w:val="clear" w:color="auto" w:fill="auto"/>
            <w:vAlign w:val="bottom"/>
          </w:tcPr>
          <w:p w:rsidR="00CE0EB7" w:rsidRPr="00E64BFC" w:rsidRDefault="00CE0EB7" w:rsidP="009F2FBA">
            <w:pPr>
              <w:spacing w:after="40" w:line="240" w:lineRule="exact"/>
              <w:ind w:right="144"/>
              <w:rPr>
                <w:rFonts w:hint="cs"/>
                <w:sz w:val="14"/>
                <w:szCs w:val="22"/>
                <w:lang w:val="fr-FR"/>
              </w:rPr>
            </w:pPr>
            <w:r>
              <w:rPr>
                <w:rFonts w:hint="cs"/>
                <w:sz w:val="14"/>
                <w:szCs w:val="22"/>
                <w:rtl/>
                <w:lang w:val="fr-FR"/>
              </w:rPr>
              <w:t>صناعة المنسوجات والملابس</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428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084</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44</w:t>
            </w:r>
            <w:r w:rsidRPr="00E64BFC">
              <w:rPr>
                <w:sz w:val="14"/>
                <w:szCs w:val="22"/>
                <w:lang w:val="fr-FR"/>
              </w:rPr>
              <w:t>,</w:t>
            </w:r>
            <w:r w:rsidRPr="00E64BFC">
              <w:rPr>
                <w:rFonts w:hint="cs"/>
                <w:sz w:val="14"/>
                <w:szCs w:val="22"/>
                <w:rtl/>
                <w:lang w:val="fr-FR"/>
              </w:rPr>
              <w:t>6</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344</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55</w:t>
            </w:r>
            <w:r w:rsidRPr="00E64BFC">
              <w:rPr>
                <w:sz w:val="14"/>
                <w:szCs w:val="22"/>
                <w:lang w:val="fr-FR"/>
              </w:rPr>
              <w:t>,</w:t>
            </w:r>
            <w:r w:rsidRPr="00E64BFC">
              <w:rPr>
                <w:rFonts w:hint="cs"/>
                <w:sz w:val="14"/>
                <w:szCs w:val="22"/>
                <w:rtl/>
                <w:lang w:val="fr-FR"/>
              </w:rPr>
              <w:t>4</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علم الحاسوب</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82</w:t>
            </w:r>
            <w:r w:rsidRPr="00E64BFC">
              <w:rPr>
                <w:rFonts w:hint="cs"/>
                <w:sz w:val="14"/>
                <w:szCs w:val="22"/>
                <w:lang w:val="fr-FR"/>
              </w:rPr>
              <w:t xml:space="preserve"> </w:t>
            </w:r>
            <w:r w:rsidRPr="00E64BFC">
              <w:rPr>
                <w:rFonts w:hint="cs"/>
                <w:sz w:val="14"/>
                <w:szCs w:val="22"/>
                <w:rtl/>
                <w:lang w:val="fr-FR"/>
              </w:rPr>
              <w:t>969</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53</w:t>
            </w:r>
            <w:r w:rsidRPr="00E64BFC">
              <w:rPr>
                <w:rFonts w:hint="cs"/>
                <w:sz w:val="14"/>
                <w:szCs w:val="22"/>
                <w:lang w:val="fr-FR"/>
              </w:rPr>
              <w:t xml:space="preserve"> </w:t>
            </w:r>
            <w:r w:rsidRPr="00E64BFC">
              <w:rPr>
                <w:rFonts w:hint="cs"/>
                <w:sz w:val="14"/>
                <w:szCs w:val="22"/>
                <w:rtl/>
                <w:lang w:val="fr-FR"/>
              </w:rPr>
              <w:t>136</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64</w:t>
            </w:r>
            <w:r w:rsidRPr="00E64BFC">
              <w:rPr>
                <w:sz w:val="14"/>
                <w:szCs w:val="22"/>
                <w:lang w:val="fr-FR"/>
              </w:rPr>
              <w:t>,</w:t>
            </w:r>
            <w:r w:rsidRPr="00E64BFC">
              <w:rPr>
                <w:rFonts w:hint="cs"/>
                <w:sz w:val="14"/>
                <w:szCs w:val="22"/>
                <w:rtl/>
                <w:lang w:val="fr-FR"/>
              </w:rPr>
              <w:t>0</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29</w:t>
            </w:r>
            <w:r w:rsidRPr="00E64BFC">
              <w:rPr>
                <w:rFonts w:hint="cs"/>
                <w:sz w:val="14"/>
                <w:szCs w:val="22"/>
                <w:lang w:val="fr-FR"/>
              </w:rPr>
              <w:t xml:space="preserve"> </w:t>
            </w:r>
            <w:r w:rsidRPr="00E64BFC">
              <w:rPr>
                <w:rFonts w:hint="cs"/>
                <w:sz w:val="14"/>
                <w:szCs w:val="22"/>
                <w:rtl/>
                <w:lang w:val="fr-FR"/>
              </w:rPr>
              <w:t>833</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36</w:t>
            </w:r>
            <w:r w:rsidRPr="00E64BFC">
              <w:rPr>
                <w:sz w:val="14"/>
                <w:szCs w:val="22"/>
                <w:lang w:val="fr-FR"/>
              </w:rPr>
              <w:t>,</w:t>
            </w:r>
            <w:r w:rsidRPr="00E64BFC">
              <w:rPr>
                <w:rFonts w:hint="cs"/>
                <w:sz w:val="14"/>
                <w:szCs w:val="22"/>
                <w:rtl/>
                <w:lang w:val="fr-FR"/>
              </w:rPr>
              <w:t>0</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البيئة</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6</w:t>
            </w:r>
            <w:r w:rsidRPr="00E64BFC">
              <w:rPr>
                <w:rFonts w:hint="cs"/>
                <w:sz w:val="14"/>
                <w:szCs w:val="22"/>
                <w:lang w:val="fr-FR"/>
              </w:rPr>
              <w:t xml:space="preserve"> </w:t>
            </w:r>
            <w:r w:rsidRPr="00E64BFC">
              <w:rPr>
                <w:rFonts w:hint="cs"/>
                <w:sz w:val="14"/>
                <w:szCs w:val="22"/>
                <w:rtl/>
                <w:lang w:val="fr-FR"/>
              </w:rPr>
              <w:t>618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853</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58</w:t>
            </w:r>
            <w:r w:rsidRPr="00E64BFC">
              <w:rPr>
                <w:sz w:val="14"/>
                <w:szCs w:val="22"/>
                <w:lang w:val="fr-FR"/>
              </w:rPr>
              <w:t>,</w:t>
            </w:r>
            <w:r w:rsidRPr="00E64BFC">
              <w:rPr>
                <w:rFonts w:hint="cs"/>
                <w:sz w:val="14"/>
                <w:szCs w:val="22"/>
                <w:rtl/>
                <w:lang w:val="fr-FR"/>
              </w:rPr>
              <w:t>2</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w:t>
            </w:r>
            <w:r w:rsidRPr="00E64BFC">
              <w:rPr>
                <w:rFonts w:hint="cs"/>
                <w:sz w:val="14"/>
                <w:szCs w:val="22"/>
                <w:lang w:val="fr-FR"/>
              </w:rPr>
              <w:t xml:space="preserve"> </w:t>
            </w:r>
            <w:r w:rsidRPr="00E64BFC">
              <w:rPr>
                <w:rFonts w:hint="cs"/>
                <w:sz w:val="14"/>
                <w:szCs w:val="22"/>
                <w:rtl/>
                <w:lang w:val="fr-FR"/>
              </w:rPr>
              <w:t>765</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41</w:t>
            </w:r>
            <w:r w:rsidRPr="00E64BFC">
              <w:rPr>
                <w:sz w:val="14"/>
                <w:szCs w:val="22"/>
                <w:lang w:val="fr-FR"/>
              </w:rPr>
              <w:t>,</w:t>
            </w:r>
            <w:r w:rsidRPr="00E64BFC">
              <w:rPr>
                <w:rFonts w:hint="cs"/>
                <w:sz w:val="14"/>
                <w:szCs w:val="22"/>
                <w:rtl/>
                <w:lang w:val="fr-FR"/>
              </w:rPr>
              <w:t>8</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التعدين</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w:t>
            </w:r>
            <w:r w:rsidRPr="00E64BFC">
              <w:rPr>
                <w:rFonts w:hint="cs"/>
                <w:sz w:val="14"/>
                <w:szCs w:val="22"/>
                <w:lang w:val="fr-FR"/>
              </w:rPr>
              <w:t xml:space="preserve"> </w:t>
            </w:r>
            <w:r w:rsidRPr="00E64BFC">
              <w:rPr>
                <w:rFonts w:hint="cs"/>
                <w:sz w:val="14"/>
                <w:szCs w:val="22"/>
                <w:rtl/>
                <w:lang w:val="fr-FR"/>
              </w:rPr>
              <w:t>318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973</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73</w:t>
            </w:r>
            <w:r w:rsidRPr="00E64BFC">
              <w:rPr>
                <w:sz w:val="14"/>
                <w:szCs w:val="22"/>
                <w:lang w:val="fr-FR"/>
              </w:rPr>
              <w:t>,</w:t>
            </w:r>
            <w:r w:rsidRPr="00E64BFC">
              <w:rPr>
                <w:rFonts w:hint="cs"/>
                <w:sz w:val="14"/>
                <w:szCs w:val="22"/>
                <w:rtl/>
                <w:lang w:val="fr-FR"/>
              </w:rPr>
              <w:t>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345</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26</w:t>
            </w:r>
            <w:r w:rsidRPr="00E64BFC">
              <w:rPr>
                <w:sz w:val="14"/>
                <w:szCs w:val="22"/>
                <w:lang w:val="fr-FR"/>
              </w:rPr>
              <w:t>,</w:t>
            </w:r>
            <w:r w:rsidRPr="00E64BFC">
              <w:rPr>
                <w:rFonts w:hint="cs"/>
                <w:sz w:val="14"/>
                <w:szCs w:val="22"/>
                <w:rtl/>
                <w:lang w:val="fr-FR"/>
              </w:rPr>
              <w:t>2</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الكيمياء</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18</w:t>
            </w:r>
            <w:r w:rsidRPr="00E64BFC">
              <w:rPr>
                <w:rFonts w:hint="cs"/>
                <w:sz w:val="14"/>
                <w:szCs w:val="22"/>
                <w:lang w:val="fr-FR"/>
              </w:rPr>
              <w:t xml:space="preserve"> </w:t>
            </w:r>
            <w:r w:rsidRPr="00E64BFC">
              <w:rPr>
                <w:rFonts w:hint="cs"/>
                <w:sz w:val="14"/>
                <w:szCs w:val="22"/>
                <w:rtl/>
                <w:lang w:val="fr-FR"/>
              </w:rPr>
              <w:t>068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10</w:t>
            </w:r>
            <w:r w:rsidRPr="00E64BFC">
              <w:rPr>
                <w:rFonts w:hint="cs"/>
                <w:sz w:val="14"/>
                <w:szCs w:val="22"/>
                <w:lang w:val="fr-FR"/>
              </w:rPr>
              <w:t xml:space="preserve"> </w:t>
            </w:r>
            <w:r w:rsidRPr="00E64BFC">
              <w:rPr>
                <w:rFonts w:hint="cs"/>
                <w:sz w:val="14"/>
                <w:szCs w:val="22"/>
                <w:rtl/>
                <w:lang w:val="fr-FR"/>
              </w:rPr>
              <w:t>331</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57</w:t>
            </w:r>
            <w:r w:rsidRPr="00E64BFC">
              <w:rPr>
                <w:sz w:val="14"/>
                <w:szCs w:val="22"/>
                <w:lang w:val="fr-FR"/>
              </w:rPr>
              <w:t>,</w:t>
            </w:r>
            <w:r w:rsidRPr="00E64BFC">
              <w:rPr>
                <w:rFonts w:hint="cs"/>
                <w:sz w:val="14"/>
                <w:szCs w:val="22"/>
                <w:rtl/>
                <w:lang w:val="fr-FR"/>
              </w:rPr>
              <w:t>2</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7</w:t>
            </w:r>
            <w:r w:rsidRPr="00E64BFC">
              <w:rPr>
                <w:rFonts w:hint="cs"/>
                <w:sz w:val="14"/>
                <w:szCs w:val="22"/>
                <w:lang w:val="fr-FR"/>
              </w:rPr>
              <w:t xml:space="preserve"> </w:t>
            </w:r>
            <w:r w:rsidRPr="00E64BFC">
              <w:rPr>
                <w:rFonts w:hint="cs"/>
                <w:sz w:val="14"/>
                <w:szCs w:val="22"/>
                <w:rtl/>
                <w:lang w:val="fr-FR"/>
              </w:rPr>
              <w:t>737</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42</w:t>
            </w:r>
            <w:r w:rsidRPr="00E64BFC">
              <w:rPr>
                <w:sz w:val="14"/>
                <w:szCs w:val="22"/>
                <w:lang w:val="fr-FR"/>
              </w:rPr>
              <w:t>,</w:t>
            </w:r>
            <w:r w:rsidRPr="00E64BFC">
              <w:rPr>
                <w:rFonts w:hint="cs"/>
                <w:sz w:val="14"/>
                <w:szCs w:val="22"/>
                <w:rtl/>
                <w:lang w:val="fr-FR"/>
              </w:rPr>
              <w:t>8</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موارد صيد السمك</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358</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237</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66</w:t>
            </w:r>
            <w:r w:rsidRPr="00E64BFC">
              <w:rPr>
                <w:sz w:val="14"/>
                <w:szCs w:val="22"/>
                <w:lang w:val="fr-FR"/>
              </w:rPr>
              <w:t>,</w:t>
            </w:r>
            <w:r w:rsidRPr="00E64BFC">
              <w:rPr>
                <w:rFonts w:hint="cs"/>
                <w:sz w:val="14"/>
                <w:szCs w:val="22"/>
                <w:rtl/>
                <w:lang w:val="fr-FR"/>
              </w:rPr>
              <w:t>2</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121</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33</w:t>
            </w:r>
            <w:r w:rsidRPr="00E64BFC">
              <w:rPr>
                <w:sz w:val="14"/>
                <w:szCs w:val="22"/>
                <w:lang w:val="fr-FR"/>
              </w:rPr>
              <w:t>,</w:t>
            </w:r>
            <w:r w:rsidRPr="00E64BFC">
              <w:rPr>
                <w:rFonts w:hint="cs"/>
                <w:sz w:val="14"/>
                <w:szCs w:val="22"/>
                <w:rtl/>
                <w:lang w:val="fr-FR"/>
              </w:rPr>
              <w:t>8</w:t>
            </w:r>
          </w:p>
        </w:tc>
      </w:tr>
      <w:tr w:rsidR="00CE0EB7" w:rsidRPr="00E64BFC">
        <w:trPr>
          <w:cantSplit/>
          <w:jc w:val="center"/>
        </w:trPr>
        <w:tc>
          <w:tcPr>
            <w:tcW w:w="2473" w:type="dxa"/>
            <w:shd w:val="clear" w:color="auto" w:fill="auto"/>
            <w:vAlign w:val="bottom"/>
          </w:tcPr>
          <w:p w:rsidR="00CE0EB7" w:rsidRPr="00E64BFC" w:rsidRDefault="003B131B" w:rsidP="009F2FBA">
            <w:pPr>
              <w:spacing w:after="40" w:line="240" w:lineRule="exact"/>
              <w:ind w:right="144"/>
              <w:rPr>
                <w:rFonts w:hint="cs"/>
                <w:sz w:val="14"/>
                <w:szCs w:val="22"/>
                <w:lang w:val="fr-FR"/>
              </w:rPr>
            </w:pPr>
            <w:r>
              <w:rPr>
                <w:rFonts w:hint="cs"/>
                <w:sz w:val="14"/>
                <w:szCs w:val="22"/>
                <w:rtl/>
                <w:lang w:val="fr-FR"/>
              </w:rPr>
              <w:t>الصحة</w:t>
            </w:r>
          </w:p>
        </w:tc>
        <w:tc>
          <w:tcPr>
            <w:tcW w:w="1030"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174</w:t>
            </w:r>
            <w:r w:rsidRPr="00E64BFC">
              <w:rPr>
                <w:rFonts w:hint="cs"/>
                <w:sz w:val="14"/>
                <w:szCs w:val="22"/>
                <w:lang w:val="fr-FR"/>
              </w:rPr>
              <w:t xml:space="preserve"> </w:t>
            </w:r>
            <w:r w:rsidRPr="00E64BFC">
              <w:rPr>
                <w:rFonts w:hint="cs"/>
                <w:sz w:val="14"/>
                <w:szCs w:val="22"/>
                <w:rtl/>
                <w:lang w:val="fr-FR"/>
              </w:rPr>
              <w:t>073</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40</w:t>
            </w:r>
            <w:r w:rsidRPr="00E64BFC">
              <w:rPr>
                <w:rFonts w:hint="cs"/>
                <w:sz w:val="14"/>
                <w:szCs w:val="22"/>
                <w:lang w:val="fr-FR"/>
              </w:rPr>
              <w:t xml:space="preserve"> </w:t>
            </w:r>
            <w:r w:rsidRPr="00E64BFC">
              <w:rPr>
                <w:rFonts w:hint="cs"/>
                <w:sz w:val="14"/>
                <w:szCs w:val="22"/>
                <w:rtl/>
                <w:lang w:val="fr-FR"/>
              </w:rPr>
              <w:t>171</w:t>
            </w:r>
          </w:p>
        </w:tc>
        <w:tc>
          <w:tcPr>
            <w:tcW w:w="1030" w:type="dxa"/>
            <w:gridSpan w:val="2"/>
            <w:shd w:val="clear" w:color="auto" w:fill="auto"/>
            <w:vAlign w:val="bottom"/>
          </w:tcPr>
          <w:p w:rsidR="00CE0EB7" w:rsidRPr="00E64BFC" w:rsidRDefault="00CE0EB7" w:rsidP="009F2FBA">
            <w:pPr>
              <w:bidi w:val="0"/>
              <w:spacing w:after="40" w:line="240" w:lineRule="exact"/>
              <w:ind w:right="72"/>
              <w:jc w:val="right"/>
              <w:rPr>
                <w:sz w:val="14"/>
                <w:szCs w:val="22"/>
                <w:lang w:val="fr-FR"/>
              </w:rPr>
            </w:pPr>
            <w:r w:rsidRPr="00E64BFC">
              <w:rPr>
                <w:rFonts w:hint="cs"/>
                <w:sz w:val="14"/>
                <w:szCs w:val="22"/>
                <w:rtl/>
                <w:lang w:val="fr-FR"/>
              </w:rPr>
              <w:t>23</w:t>
            </w:r>
            <w:r w:rsidRPr="00E64BFC">
              <w:rPr>
                <w:sz w:val="14"/>
                <w:szCs w:val="22"/>
                <w:lang w:val="fr-FR"/>
              </w:rPr>
              <w:t>,</w:t>
            </w:r>
            <w:r w:rsidRPr="00E64BFC">
              <w:rPr>
                <w:rFonts w:hint="cs"/>
                <w:sz w:val="14"/>
                <w:szCs w:val="22"/>
                <w:rtl/>
                <w:lang w:val="fr-FR"/>
              </w:rPr>
              <w:t>1</w:t>
            </w:r>
          </w:p>
        </w:tc>
        <w:tc>
          <w:tcPr>
            <w:tcW w:w="927" w:type="dxa"/>
            <w:shd w:val="clear" w:color="auto" w:fill="auto"/>
            <w:vAlign w:val="bottom"/>
          </w:tcPr>
          <w:p w:rsidR="00CE0EB7" w:rsidRPr="00E64BFC" w:rsidRDefault="00CE0EB7" w:rsidP="009F2FBA">
            <w:pPr>
              <w:bidi w:val="0"/>
              <w:spacing w:after="40" w:line="240" w:lineRule="exact"/>
              <w:jc w:val="right"/>
              <w:rPr>
                <w:sz w:val="14"/>
                <w:szCs w:val="22"/>
                <w:lang w:val="fr-FR"/>
              </w:rPr>
            </w:pPr>
            <w:r w:rsidRPr="00E64BFC">
              <w:rPr>
                <w:rFonts w:hint="cs"/>
                <w:sz w:val="14"/>
                <w:szCs w:val="22"/>
                <w:rtl/>
                <w:lang w:val="fr-FR"/>
              </w:rPr>
              <w:t>133</w:t>
            </w:r>
            <w:r w:rsidRPr="00E64BFC">
              <w:rPr>
                <w:rFonts w:hint="cs"/>
                <w:sz w:val="14"/>
                <w:szCs w:val="22"/>
                <w:lang w:val="fr-FR"/>
              </w:rPr>
              <w:t xml:space="preserve"> </w:t>
            </w:r>
            <w:r w:rsidRPr="00E64BFC">
              <w:rPr>
                <w:rFonts w:hint="cs"/>
                <w:sz w:val="14"/>
                <w:szCs w:val="22"/>
                <w:rtl/>
                <w:lang w:val="fr-FR"/>
              </w:rPr>
              <w:t>902</w:t>
            </w:r>
          </w:p>
        </w:tc>
        <w:tc>
          <w:tcPr>
            <w:tcW w:w="933" w:type="dxa"/>
            <w:shd w:val="clear" w:color="auto" w:fill="auto"/>
            <w:vAlign w:val="bottom"/>
          </w:tcPr>
          <w:p w:rsidR="00CE0EB7" w:rsidRPr="00E64BFC" w:rsidRDefault="00CE0EB7" w:rsidP="009F2FBA">
            <w:pPr>
              <w:bidi w:val="0"/>
              <w:spacing w:after="40" w:line="240" w:lineRule="exact"/>
              <w:ind w:right="101"/>
              <w:jc w:val="right"/>
              <w:rPr>
                <w:sz w:val="14"/>
                <w:szCs w:val="22"/>
                <w:lang w:val="fr-FR"/>
              </w:rPr>
            </w:pPr>
            <w:r w:rsidRPr="00E64BFC">
              <w:rPr>
                <w:rFonts w:hint="cs"/>
                <w:sz w:val="14"/>
                <w:szCs w:val="22"/>
                <w:rtl/>
                <w:lang w:val="fr-FR"/>
              </w:rPr>
              <w:t>76</w:t>
            </w:r>
            <w:r w:rsidRPr="00E64BFC">
              <w:rPr>
                <w:sz w:val="14"/>
                <w:szCs w:val="22"/>
                <w:lang w:val="fr-FR"/>
              </w:rPr>
              <w:t>,</w:t>
            </w:r>
            <w:r w:rsidRPr="00E64BFC">
              <w:rPr>
                <w:rFonts w:hint="cs"/>
                <w:sz w:val="14"/>
                <w:szCs w:val="22"/>
                <w:rtl/>
                <w:lang w:val="fr-FR"/>
              </w:rPr>
              <w:t>9</w:t>
            </w:r>
          </w:p>
        </w:tc>
      </w:tr>
      <w:tr w:rsidR="003B131B" w:rsidRPr="00E64BFC">
        <w:trPr>
          <w:cantSplit/>
          <w:jc w:val="center"/>
        </w:trPr>
        <w:tc>
          <w:tcPr>
            <w:tcW w:w="2473" w:type="dxa"/>
            <w:shd w:val="clear" w:color="auto" w:fill="auto"/>
            <w:vAlign w:val="bottom"/>
          </w:tcPr>
          <w:p w:rsidR="003B131B" w:rsidRPr="00E64BFC" w:rsidRDefault="003B131B" w:rsidP="009F2FBA">
            <w:pPr>
              <w:spacing w:after="40" w:line="240" w:lineRule="exact"/>
              <w:ind w:right="33"/>
              <w:rPr>
                <w:rFonts w:hint="cs"/>
                <w:sz w:val="14"/>
                <w:szCs w:val="22"/>
                <w:lang w:val="fr-FR"/>
              </w:rPr>
            </w:pPr>
            <w:r>
              <w:rPr>
                <w:rFonts w:hint="cs"/>
                <w:sz w:val="14"/>
                <w:szCs w:val="22"/>
                <w:rtl/>
                <w:lang w:val="fr-FR"/>
              </w:rPr>
              <w:t>النقل والاتصالات السلكية واللاسلكية</w:t>
            </w:r>
          </w:p>
        </w:tc>
        <w:tc>
          <w:tcPr>
            <w:tcW w:w="1030" w:type="dxa"/>
            <w:shd w:val="clear" w:color="auto" w:fill="auto"/>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13</w:t>
            </w:r>
            <w:r w:rsidRPr="00E64BFC">
              <w:rPr>
                <w:rFonts w:hint="cs"/>
                <w:sz w:val="14"/>
                <w:szCs w:val="22"/>
                <w:lang w:val="fr-FR"/>
              </w:rPr>
              <w:t xml:space="preserve"> </w:t>
            </w:r>
            <w:r w:rsidRPr="00E64BFC">
              <w:rPr>
                <w:rFonts w:hint="cs"/>
                <w:sz w:val="14"/>
                <w:szCs w:val="22"/>
                <w:rtl/>
                <w:lang w:val="fr-FR"/>
              </w:rPr>
              <w:t>914</w:t>
            </w:r>
          </w:p>
        </w:tc>
        <w:tc>
          <w:tcPr>
            <w:tcW w:w="927" w:type="dxa"/>
            <w:shd w:val="clear" w:color="auto" w:fill="auto"/>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10</w:t>
            </w:r>
            <w:r w:rsidRPr="00E64BFC">
              <w:rPr>
                <w:rFonts w:hint="cs"/>
                <w:sz w:val="14"/>
                <w:szCs w:val="22"/>
                <w:lang w:val="fr-FR"/>
              </w:rPr>
              <w:t xml:space="preserve"> </w:t>
            </w:r>
            <w:r w:rsidRPr="00E64BFC">
              <w:rPr>
                <w:rFonts w:hint="cs"/>
                <w:sz w:val="14"/>
                <w:szCs w:val="22"/>
                <w:rtl/>
                <w:lang w:val="fr-FR"/>
              </w:rPr>
              <w:t>319</w:t>
            </w:r>
          </w:p>
        </w:tc>
        <w:tc>
          <w:tcPr>
            <w:tcW w:w="1030" w:type="dxa"/>
            <w:gridSpan w:val="2"/>
            <w:shd w:val="clear" w:color="auto" w:fill="auto"/>
            <w:vAlign w:val="bottom"/>
          </w:tcPr>
          <w:p w:rsidR="003B131B" w:rsidRPr="00E64BFC" w:rsidRDefault="003B131B" w:rsidP="009F2FBA">
            <w:pPr>
              <w:bidi w:val="0"/>
              <w:spacing w:after="40" w:line="240" w:lineRule="exact"/>
              <w:ind w:right="72"/>
              <w:jc w:val="right"/>
              <w:rPr>
                <w:sz w:val="14"/>
                <w:szCs w:val="22"/>
                <w:lang w:val="fr-FR"/>
              </w:rPr>
            </w:pPr>
            <w:r w:rsidRPr="00E64BFC">
              <w:rPr>
                <w:rFonts w:hint="cs"/>
                <w:sz w:val="14"/>
                <w:szCs w:val="22"/>
                <w:rtl/>
                <w:lang w:val="fr-FR"/>
              </w:rPr>
              <w:t>74</w:t>
            </w:r>
            <w:r w:rsidRPr="00E64BFC">
              <w:rPr>
                <w:sz w:val="14"/>
                <w:szCs w:val="22"/>
                <w:lang w:val="fr-FR"/>
              </w:rPr>
              <w:t>,</w:t>
            </w:r>
            <w:r w:rsidRPr="00E64BFC">
              <w:rPr>
                <w:rFonts w:hint="cs"/>
                <w:sz w:val="14"/>
                <w:szCs w:val="22"/>
                <w:rtl/>
                <w:lang w:val="fr-FR"/>
              </w:rPr>
              <w:t>2</w:t>
            </w:r>
          </w:p>
        </w:tc>
        <w:tc>
          <w:tcPr>
            <w:tcW w:w="927" w:type="dxa"/>
            <w:shd w:val="clear" w:color="auto" w:fill="auto"/>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595</w:t>
            </w:r>
          </w:p>
        </w:tc>
        <w:tc>
          <w:tcPr>
            <w:tcW w:w="933" w:type="dxa"/>
            <w:shd w:val="clear" w:color="auto" w:fill="auto"/>
            <w:vAlign w:val="bottom"/>
          </w:tcPr>
          <w:p w:rsidR="003B131B" w:rsidRPr="00E64BFC" w:rsidRDefault="003B131B" w:rsidP="009F2FBA">
            <w:pPr>
              <w:bidi w:val="0"/>
              <w:spacing w:after="40" w:line="240" w:lineRule="exact"/>
              <w:ind w:right="101"/>
              <w:jc w:val="right"/>
              <w:rPr>
                <w:sz w:val="14"/>
                <w:szCs w:val="22"/>
                <w:lang w:val="fr-FR"/>
              </w:rPr>
            </w:pPr>
            <w:r w:rsidRPr="00E64BFC">
              <w:rPr>
                <w:rFonts w:hint="cs"/>
                <w:sz w:val="14"/>
                <w:szCs w:val="22"/>
                <w:rtl/>
                <w:lang w:val="fr-FR"/>
              </w:rPr>
              <w:t>25</w:t>
            </w:r>
            <w:r w:rsidRPr="00E64BFC">
              <w:rPr>
                <w:sz w:val="14"/>
                <w:szCs w:val="22"/>
                <w:lang w:val="fr-FR"/>
              </w:rPr>
              <w:t>,</w:t>
            </w:r>
            <w:r w:rsidRPr="00E64BFC">
              <w:rPr>
                <w:rFonts w:hint="cs"/>
                <w:sz w:val="14"/>
                <w:szCs w:val="22"/>
                <w:rtl/>
                <w:lang w:val="fr-FR"/>
              </w:rPr>
              <w:t>8</w:t>
            </w:r>
          </w:p>
        </w:tc>
      </w:tr>
      <w:tr w:rsidR="003B131B" w:rsidRPr="00E64BFC">
        <w:trPr>
          <w:cantSplit/>
          <w:jc w:val="center"/>
        </w:trPr>
        <w:tc>
          <w:tcPr>
            <w:tcW w:w="2473" w:type="dxa"/>
            <w:shd w:val="clear" w:color="auto" w:fill="D9D9D9"/>
            <w:vAlign w:val="bottom"/>
          </w:tcPr>
          <w:p w:rsidR="003B131B" w:rsidRPr="00E64BFC" w:rsidRDefault="003B131B" w:rsidP="009F2FBA">
            <w:pPr>
              <w:spacing w:after="40" w:line="240" w:lineRule="exact"/>
              <w:ind w:right="144"/>
              <w:rPr>
                <w:rFonts w:hint="cs"/>
                <w:sz w:val="14"/>
                <w:szCs w:val="22"/>
                <w:lang w:val="fr-FR"/>
              </w:rPr>
            </w:pPr>
            <w:r>
              <w:rPr>
                <w:rFonts w:hint="cs"/>
                <w:sz w:val="14"/>
                <w:szCs w:val="22"/>
                <w:rtl/>
                <w:lang w:val="fr-FR"/>
              </w:rPr>
              <w:t>السياحة والضيافة</w:t>
            </w:r>
          </w:p>
        </w:tc>
        <w:tc>
          <w:tcPr>
            <w:tcW w:w="1030" w:type="dxa"/>
            <w:shd w:val="clear" w:color="auto" w:fill="D9D9D9"/>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10</w:t>
            </w:r>
            <w:r w:rsidRPr="00E64BFC">
              <w:rPr>
                <w:rFonts w:hint="cs"/>
                <w:sz w:val="14"/>
                <w:szCs w:val="22"/>
                <w:lang w:val="fr-FR"/>
              </w:rPr>
              <w:t xml:space="preserve"> </w:t>
            </w:r>
            <w:r w:rsidRPr="00E64BFC">
              <w:rPr>
                <w:rFonts w:hint="cs"/>
                <w:sz w:val="14"/>
                <w:szCs w:val="22"/>
                <w:rtl/>
                <w:lang w:val="fr-FR"/>
              </w:rPr>
              <w:t>580</w:t>
            </w:r>
          </w:p>
        </w:tc>
        <w:tc>
          <w:tcPr>
            <w:tcW w:w="927" w:type="dxa"/>
            <w:shd w:val="clear" w:color="auto" w:fill="D9D9D9"/>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3</w:t>
            </w:r>
            <w:r w:rsidRPr="00E64BFC">
              <w:rPr>
                <w:rFonts w:hint="cs"/>
                <w:sz w:val="14"/>
                <w:szCs w:val="22"/>
                <w:lang w:val="fr-FR"/>
              </w:rPr>
              <w:t xml:space="preserve"> </w:t>
            </w:r>
            <w:r w:rsidRPr="00E64BFC">
              <w:rPr>
                <w:rFonts w:hint="cs"/>
                <w:sz w:val="14"/>
                <w:szCs w:val="22"/>
                <w:rtl/>
                <w:lang w:val="fr-FR"/>
              </w:rPr>
              <w:t>012</w:t>
            </w:r>
          </w:p>
        </w:tc>
        <w:tc>
          <w:tcPr>
            <w:tcW w:w="1030" w:type="dxa"/>
            <w:gridSpan w:val="2"/>
            <w:shd w:val="clear" w:color="auto" w:fill="D9D9D9"/>
            <w:vAlign w:val="bottom"/>
          </w:tcPr>
          <w:p w:rsidR="003B131B" w:rsidRPr="00E64BFC" w:rsidRDefault="003B131B" w:rsidP="009F2FBA">
            <w:pPr>
              <w:bidi w:val="0"/>
              <w:spacing w:after="40" w:line="240" w:lineRule="exact"/>
              <w:ind w:right="72"/>
              <w:jc w:val="right"/>
              <w:rPr>
                <w:sz w:val="14"/>
                <w:szCs w:val="22"/>
                <w:lang w:val="fr-FR"/>
              </w:rPr>
            </w:pPr>
            <w:r w:rsidRPr="00E64BFC">
              <w:rPr>
                <w:rFonts w:hint="cs"/>
                <w:sz w:val="14"/>
                <w:szCs w:val="22"/>
                <w:rtl/>
                <w:lang w:val="fr-FR"/>
              </w:rPr>
              <w:t>28</w:t>
            </w:r>
            <w:r w:rsidRPr="00E64BFC">
              <w:rPr>
                <w:sz w:val="14"/>
                <w:szCs w:val="22"/>
                <w:lang w:val="fr-FR"/>
              </w:rPr>
              <w:t>,</w:t>
            </w:r>
            <w:r w:rsidRPr="00E64BFC">
              <w:rPr>
                <w:rFonts w:hint="cs"/>
                <w:sz w:val="14"/>
                <w:szCs w:val="22"/>
                <w:rtl/>
                <w:lang w:val="fr-FR"/>
              </w:rPr>
              <w:t>5</w:t>
            </w:r>
          </w:p>
        </w:tc>
        <w:tc>
          <w:tcPr>
            <w:tcW w:w="927" w:type="dxa"/>
            <w:shd w:val="clear" w:color="auto" w:fill="D9D9D9"/>
            <w:vAlign w:val="bottom"/>
          </w:tcPr>
          <w:p w:rsidR="003B131B" w:rsidRPr="00E64BFC" w:rsidRDefault="003B131B" w:rsidP="009F2FBA">
            <w:pPr>
              <w:bidi w:val="0"/>
              <w:spacing w:after="40" w:line="240" w:lineRule="exact"/>
              <w:jc w:val="right"/>
              <w:rPr>
                <w:sz w:val="14"/>
                <w:szCs w:val="22"/>
                <w:lang w:val="fr-FR"/>
              </w:rPr>
            </w:pPr>
            <w:r w:rsidRPr="00E64BFC">
              <w:rPr>
                <w:rFonts w:hint="cs"/>
                <w:sz w:val="14"/>
                <w:szCs w:val="22"/>
                <w:rtl/>
                <w:lang w:val="fr-FR"/>
              </w:rPr>
              <w:t>7</w:t>
            </w:r>
            <w:r w:rsidRPr="00E64BFC">
              <w:rPr>
                <w:rFonts w:hint="cs"/>
                <w:sz w:val="14"/>
                <w:szCs w:val="22"/>
                <w:lang w:val="fr-FR"/>
              </w:rPr>
              <w:t xml:space="preserve"> </w:t>
            </w:r>
            <w:r w:rsidRPr="00E64BFC">
              <w:rPr>
                <w:rFonts w:hint="cs"/>
                <w:sz w:val="14"/>
                <w:szCs w:val="22"/>
                <w:rtl/>
                <w:lang w:val="fr-FR"/>
              </w:rPr>
              <w:t>568</w:t>
            </w:r>
          </w:p>
        </w:tc>
        <w:tc>
          <w:tcPr>
            <w:tcW w:w="933" w:type="dxa"/>
            <w:shd w:val="clear" w:color="auto" w:fill="D9D9D9"/>
            <w:vAlign w:val="bottom"/>
          </w:tcPr>
          <w:p w:rsidR="003B131B" w:rsidRPr="00E64BFC" w:rsidRDefault="003B131B" w:rsidP="009F2FBA">
            <w:pPr>
              <w:bidi w:val="0"/>
              <w:spacing w:after="40" w:line="240" w:lineRule="exact"/>
              <w:ind w:right="101"/>
              <w:jc w:val="right"/>
              <w:rPr>
                <w:sz w:val="14"/>
                <w:szCs w:val="22"/>
                <w:lang w:val="fr-FR"/>
              </w:rPr>
            </w:pPr>
            <w:r w:rsidRPr="00E64BFC">
              <w:rPr>
                <w:rFonts w:hint="cs"/>
                <w:sz w:val="14"/>
                <w:szCs w:val="22"/>
                <w:rtl/>
                <w:lang w:val="fr-FR"/>
              </w:rPr>
              <w:t>71</w:t>
            </w:r>
            <w:r w:rsidRPr="00E64BFC">
              <w:rPr>
                <w:sz w:val="14"/>
                <w:szCs w:val="22"/>
                <w:lang w:val="fr-FR"/>
              </w:rPr>
              <w:t>,</w:t>
            </w:r>
            <w:r w:rsidRPr="00E64BFC">
              <w:rPr>
                <w:rFonts w:hint="cs"/>
                <w:sz w:val="14"/>
                <w:szCs w:val="22"/>
                <w:rtl/>
                <w:lang w:val="fr-FR"/>
              </w:rPr>
              <w:t>5</w:t>
            </w:r>
          </w:p>
        </w:tc>
      </w:tr>
      <w:tr w:rsidR="003B131B" w:rsidRPr="00E64BFC">
        <w:trPr>
          <w:cantSplit/>
          <w:jc w:val="center"/>
        </w:trPr>
        <w:tc>
          <w:tcPr>
            <w:tcW w:w="2473" w:type="dxa"/>
            <w:tcBorders>
              <w:bottom w:val="single" w:sz="12" w:space="0" w:color="auto"/>
            </w:tcBorders>
            <w:shd w:val="clear" w:color="auto" w:fill="auto"/>
            <w:vAlign w:val="bottom"/>
          </w:tcPr>
          <w:p w:rsidR="003B131B" w:rsidRPr="00E64BFC" w:rsidRDefault="003B131B" w:rsidP="00CE0EB7">
            <w:pPr>
              <w:spacing w:after="80" w:line="220" w:lineRule="exact"/>
              <w:ind w:right="144"/>
              <w:rPr>
                <w:rFonts w:hint="cs"/>
                <w:sz w:val="14"/>
                <w:szCs w:val="22"/>
                <w:lang w:val="fr-FR"/>
              </w:rPr>
            </w:pPr>
            <w:r w:rsidRPr="009F2FBA">
              <w:rPr>
                <w:rFonts w:hint="cs"/>
                <w:b/>
                <w:bCs/>
                <w:sz w:val="14"/>
                <w:szCs w:val="22"/>
                <w:rtl/>
                <w:lang w:val="fr-FR"/>
              </w:rPr>
              <w:t>المجموع</w:t>
            </w:r>
          </w:p>
        </w:tc>
        <w:tc>
          <w:tcPr>
            <w:tcW w:w="1030" w:type="dxa"/>
            <w:tcBorders>
              <w:bottom w:val="single" w:sz="12" w:space="0" w:color="auto"/>
            </w:tcBorders>
            <w:shd w:val="clear" w:color="auto" w:fill="auto"/>
            <w:vAlign w:val="bottom"/>
          </w:tcPr>
          <w:p w:rsidR="003B131B" w:rsidRPr="0006132D" w:rsidRDefault="003B131B" w:rsidP="003B131B">
            <w:pPr>
              <w:bidi w:val="0"/>
              <w:spacing w:after="80" w:line="220" w:lineRule="exact"/>
              <w:jc w:val="right"/>
              <w:rPr>
                <w:b/>
                <w:bCs/>
                <w:sz w:val="14"/>
                <w:szCs w:val="22"/>
                <w:lang w:val="fr-FR"/>
              </w:rPr>
            </w:pPr>
            <w:r w:rsidRPr="0006132D">
              <w:rPr>
                <w:rFonts w:hint="cs"/>
                <w:b/>
                <w:bCs/>
                <w:sz w:val="14"/>
                <w:szCs w:val="22"/>
                <w:rtl/>
                <w:lang w:val="fr-FR"/>
              </w:rPr>
              <w:t>281</w:t>
            </w:r>
            <w:r w:rsidRPr="0006132D">
              <w:rPr>
                <w:rFonts w:hint="cs"/>
                <w:b/>
                <w:bCs/>
                <w:sz w:val="14"/>
                <w:szCs w:val="22"/>
                <w:lang w:val="fr-FR"/>
              </w:rPr>
              <w:t xml:space="preserve"> </w:t>
            </w:r>
            <w:r w:rsidRPr="0006132D">
              <w:rPr>
                <w:rFonts w:hint="cs"/>
                <w:b/>
                <w:bCs/>
                <w:sz w:val="14"/>
                <w:szCs w:val="22"/>
                <w:rtl/>
                <w:lang w:val="fr-FR"/>
              </w:rPr>
              <w:t>231</w:t>
            </w:r>
          </w:p>
        </w:tc>
        <w:tc>
          <w:tcPr>
            <w:tcW w:w="927" w:type="dxa"/>
            <w:tcBorders>
              <w:bottom w:val="single" w:sz="12" w:space="0" w:color="auto"/>
            </w:tcBorders>
            <w:shd w:val="clear" w:color="auto" w:fill="auto"/>
            <w:vAlign w:val="bottom"/>
          </w:tcPr>
          <w:p w:rsidR="003B131B" w:rsidRPr="0006132D" w:rsidRDefault="003B131B" w:rsidP="003B131B">
            <w:pPr>
              <w:bidi w:val="0"/>
              <w:spacing w:after="80" w:line="220" w:lineRule="exact"/>
              <w:jc w:val="right"/>
              <w:rPr>
                <w:b/>
                <w:bCs/>
                <w:sz w:val="14"/>
                <w:szCs w:val="22"/>
                <w:lang w:val="fr-FR"/>
              </w:rPr>
            </w:pPr>
            <w:r w:rsidRPr="0006132D">
              <w:rPr>
                <w:rFonts w:hint="cs"/>
                <w:b/>
                <w:bCs/>
                <w:sz w:val="14"/>
                <w:szCs w:val="22"/>
                <w:rtl/>
                <w:lang w:val="fr-FR"/>
              </w:rPr>
              <w:t>298</w:t>
            </w:r>
            <w:r w:rsidRPr="0006132D">
              <w:rPr>
                <w:rFonts w:hint="cs"/>
                <w:b/>
                <w:bCs/>
                <w:sz w:val="14"/>
                <w:szCs w:val="22"/>
                <w:lang w:val="fr-FR"/>
              </w:rPr>
              <w:t xml:space="preserve"> </w:t>
            </w:r>
            <w:r w:rsidRPr="0006132D">
              <w:rPr>
                <w:rFonts w:hint="cs"/>
                <w:b/>
                <w:bCs/>
                <w:sz w:val="14"/>
                <w:szCs w:val="22"/>
                <w:rtl/>
                <w:lang w:val="fr-FR"/>
              </w:rPr>
              <w:t>892</w:t>
            </w:r>
          </w:p>
        </w:tc>
        <w:tc>
          <w:tcPr>
            <w:tcW w:w="1030" w:type="dxa"/>
            <w:gridSpan w:val="2"/>
            <w:tcBorders>
              <w:bottom w:val="single" w:sz="12" w:space="0" w:color="auto"/>
            </w:tcBorders>
            <w:shd w:val="clear" w:color="auto" w:fill="auto"/>
            <w:vAlign w:val="bottom"/>
          </w:tcPr>
          <w:p w:rsidR="003B131B" w:rsidRPr="0006132D" w:rsidRDefault="003B131B" w:rsidP="003038BA">
            <w:pPr>
              <w:bidi w:val="0"/>
              <w:spacing w:after="80" w:line="220" w:lineRule="exact"/>
              <w:ind w:right="72"/>
              <w:jc w:val="right"/>
              <w:rPr>
                <w:b/>
                <w:bCs/>
                <w:sz w:val="14"/>
                <w:szCs w:val="22"/>
                <w:lang w:val="fr-FR"/>
              </w:rPr>
            </w:pPr>
            <w:r w:rsidRPr="0006132D">
              <w:rPr>
                <w:rFonts w:hint="cs"/>
                <w:b/>
                <w:bCs/>
                <w:sz w:val="14"/>
                <w:szCs w:val="22"/>
                <w:rtl/>
                <w:lang w:val="fr-FR"/>
              </w:rPr>
              <w:t>51</w:t>
            </w:r>
            <w:r w:rsidRPr="0006132D">
              <w:rPr>
                <w:b/>
                <w:bCs/>
                <w:sz w:val="14"/>
                <w:szCs w:val="22"/>
                <w:lang w:val="fr-FR"/>
              </w:rPr>
              <w:t>,</w:t>
            </w:r>
            <w:r w:rsidRPr="0006132D">
              <w:rPr>
                <w:rFonts w:hint="cs"/>
                <w:b/>
                <w:bCs/>
                <w:sz w:val="14"/>
                <w:szCs w:val="22"/>
                <w:rtl/>
                <w:lang w:val="fr-FR"/>
              </w:rPr>
              <w:t>4</w:t>
            </w:r>
          </w:p>
        </w:tc>
        <w:tc>
          <w:tcPr>
            <w:tcW w:w="927" w:type="dxa"/>
            <w:tcBorders>
              <w:bottom w:val="single" w:sz="12" w:space="0" w:color="auto"/>
            </w:tcBorders>
            <w:shd w:val="clear" w:color="auto" w:fill="auto"/>
            <w:vAlign w:val="bottom"/>
          </w:tcPr>
          <w:p w:rsidR="003B131B" w:rsidRPr="0006132D" w:rsidRDefault="003B131B" w:rsidP="003B131B">
            <w:pPr>
              <w:bidi w:val="0"/>
              <w:spacing w:after="80" w:line="220" w:lineRule="exact"/>
              <w:jc w:val="right"/>
              <w:rPr>
                <w:b/>
                <w:bCs/>
                <w:sz w:val="14"/>
                <w:szCs w:val="22"/>
                <w:lang w:val="fr-FR"/>
              </w:rPr>
            </w:pPr>
            <w:r w:rsidRPr="0006132D">
              <w:rPr>
                <w:rFonts w:hint="cs"/>
                <w:b/>
                <w:bCs/>
                <w:sz w:val="14"/>
                <w:szCs w:val="22"/>
                <w:rtl/>
                <w:lang w:val="fr-FR"/>
              </w:rPr>
              <w:t>282</w:t>
            </w:r>
            <w:r w:rsidRPr="0006132D">
              <w:rPr>
                <w:rFonts w:hint="cs"/>
                <w:b/>
                <w:bCs/>
                <w:sz w:val="14"/>
                <w:szCs w:val="22"/>
                <w:lang w:val="fr-FR"/>
              </w:rPr>
              <w:t xml:space="preserve"> </w:t>
            </w:r>
            <w:r w:rsidRPr="0006132D">
              <w:rPr>
                <w:rFonts w:hint="cs"/>
                <w:b/>
                <w:bCs/>
                <w:sz w:val="14"/>
                <w:szCs w:val="22"/>
                <w:rtl/>
                <w:lang w:val="fr-FR"/>
              </w:rPr>
              <w:t>339</w:t>
            </w:r>
          </w:p>
        </w:tc>
        <w:tc>
          <w:tcPr>
            <w:tcW w:w="933" w:type="dxa"/>
            <w:tcBorders>
              <w:bottom w:val="single" w:sz="12" w:space="0" w:color="auto"/>
            </w:tcBorders>
            <w:shd w:val="clear" w:color="auto" w:fill="auto"/>
            <w:vAlign w:val="bottom"/>
          </w:tcPr>
          <w:p w:rsidR="003B131B" w:rsidRPr="0006132D" w:rsidRDefault="003B131B" w:rsidP="003038BA">
            <w:pPr>
              <w:bidi w:val="0"/>
              <w:spacing w:after="80" w:line="220" w:lineRule="exact"/>
              <w:ind w:right="101"/>
              <w:jc w:val="right"/>
              <w:rPr>
                <w:b/>
                <w:bCs/>
                <w:sz w:val="14"/>
                <w:szCs w:val="22"/>
                <w:lang w:val="fr-FR"/>
              </w:rPr>
            </w:pPr>
            <w:r w:rsidRPr="0006132D">
              <w:rPr>
                <w:rFonts w:hint="cs"/>
                <w:b/>
                <w:bCs/>
                <w:sz w:val="14"/>
                <w:szCs w:val="22"/>
                <w:rtl/>
                <w:lang w:val="fr-FR"/>
              </w:rPr>
              <w:t>48</w:t>
            </w:r>
            <w:r w:rsidRPr="0006132D">
              <w:rPr>
                <w:b/>
                <w:bCs/>
                <w:sz w:val="14"/>
                <w:szCs w:val="22"/>
                <w:lang w:val="fr-FR"/>
              </w:rPr>
              <w:t>,</w:t>
            </w:r>
            <w:r w:rsidRPr="0006132D">
              <w:rPr>
                <w:rFonts w:hint="cs"/>
                <w:b/>
                <w:bCs/>
                <w:sz w:val="14"/>
                <w:szCs w:val="22"/>
                <w:rtl/>
                <w:lang w:val="fr-FR"/>
              </w:rPr>
              <w:t>6</w:t>
            </w:r>
          </w:p>
        </w:tc>
      </w:tr>
    </w:tbl>
    <w:p w:rsidR="003B131B" w:rsidRPr="003B131B" w:rsidRDefault="003B131B" w:rsidP="003B131B">
      <w:pPr>
        <w:pStyle w:val="SingleTxt"/>
        <w:spacing w:after="0" w:line="120" w:lineRule="exact"/>
        <w:rPr>
          <w:rFonts w:hint="cs"/>
          <w:sz w:val="10"/>
          <w:rtl/>
          <w:lang w:bidi="ar-EG"/>
        </w:rPr>
      </w:pPr>
    </w:p>
    <w:p w:rsidR="006D4C1F" w:rsidRDefault="003B131B" w:rsidP="006C340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3B131B">
        <w:rPr>
          <w:rFonts w:hint="cs"/>
          <w:i/>
          <w:iCs/>
          <w:rtl/>
          <w:lang w:bidi="ar-EG"/>
        </w:rPr>
        <w:t>المصدر</w:t>
      </w:r>
      <w:r>
        <w:rPr>
          <w:rFonts w:hint="cs"/>
          <w:i/>
          <w:iCs/>
          <w:rtl/>
          <w:lang w:bidi="ar-EG"/>
        </w:rPr>
        <w:t>:</w:t>
      </w:r>
      <w:r w:rsidR="006C340B">
        <w:rPr>
          <w:rFonts w:hint="cs"/>
          <w:i/>
          <w:iCs/>
          <w:rtl/>
          <w:lang w:bidi="ar-EG"/>
        </w:rPr>
        <w:tab/>
      </w:r>
      <w:r>
        <w:rPr>
          <w:rFonts w:hint="cs"/>
          <w:rtl/>
          <w:lang w:bidi="ar-EG"/>
        </w:rPr>
        <w:t>المعهد الوطني للدراسات والبحوث التعليمية/وزارة التعليم.</w:t>
      </w:r>
    </w:p>
    <w:p w:rsidR="006C340B" w:rsidRDefault="006C340B" w:rsidP="00BC13B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i/>
          <w:iCs/>
          <w:rtl/>
          <w:lang w:bidi="ar-EG"/>
        </w:rPr>
        <w:tab/>
        <w:t>الجدولة:</w:t>
      </w:r>
      <w:r>
        <w:rPr>
          <w:rFonts w:hint="cs"/>
          <w:i/>
          <w:iCs/>
          <w:rtl/>
          <w:lang w:bidi="ar-EG"/>
        </w:rPr>
        <w:tab/>
      </w:r>
      <w:r>
        <w:rPr>
          <w:rFonts w:hint="cs"/>
          <w:rtl/>
          <w:lang w:bidi="ar-EG"/>
        </w:rPr>
        <w:t>إدارة التطوير المؤسسي والت</w:t>
      </w:r>
      <w:r w:rsidR="00BC13BF">
        <w:rPr>
          <w:rFonts w:hint="cs"/>
          <w:rtl/>
          <w:lang w:bidi="ar-EG"/>
        </w:rPr>
        <w:t>عاون</w:t>
      </w:r>
      <w:r>
        <w:rPr>
          <w:rFonts w:hint="cs"/>
          <w:rtl/>
          <w:lang w:bidi="ar-EG"/>
        </w:rPr>
        <w:t>/إدارة التعليم المتصل، ومحو الأمية، والتنوع/وزارة التعليم.</w:t>
      </w:r>
    </w:p>
    <w:p w:rsidR="006C340B" w:rsidRPr="009F2FBA" w:rsidRDefault="006C340B" w:rsidP="00BC13B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ملاحظات:</w:t>
      </w:r>
      <w:r w:rsidR="00BC13BF">
        <w:rPr>
          <w:rFonts w:hint="cs"/>
          <w:i/>
          <w:iCs/>
          <w:rtl/>
          <w:lang w:bidi="ar-EG"/>
        </w:rPr>
        <w:t xml:space="preserve"> </w:t>
      </w:r>
      <w:r w:rsidRPr="009F2FBA">
        <w:rPr>
          <w:rFonts w:hint="cs"/>
          <w:rtl/>
          <w:lang w:bidi="ar-EG"/>
        </w:rPr>
        <w:t>تربية الماشية - تتضمن الزراعة وتربية الماشية في المزارع والحراجة؛ إدارة الأعمال - تتضمن تجارة الجملة، والتجزئة، والصيانة، والإصلاح؛ الاتصالات - تتضمن التحرير، والإعلان والاتصالات، والإذاعة، والتصوير الفوتوغرافي؛ التنمية الاجتماعية وشغل أوقات الفراغ - تتضمن أنشطة الأفرقة، والتعليم، واللغات وغيرها، والخدمات المنـزلية؛ التصميم - يتضمن تصميم الأزياء والتصميم التقني؛ الإدارة - تتضمن الإدارة العامة، والمحاسبة، والخدمات المالية؛ الصناعة - تتضمن الأغذية والمشروبات، وصناعة السيارات، والسليولوز والورق، والجلود والأحذية، وتوزيع المياه، والغاز والكهرباء، والأجه</w:t>
      </w:r>
      <w:r w:rsidR="009F2FBA">
        <w:rPr>
          <w:rFonts w:hint="cs"/>
          <w:rtl/>
          <w:lang w:bidi="ar-EG"/>
        </w:rPr>
        <w:t>ز</w:t>
      </w:r>
      <w:r w:rsidRPr="009F2FBA">
        <w:rPr>
          <w:rFonts w:hint="cs"/>
          <w:rtl/>
          <w:lang w:bidi="ar-EG"/>
        </w:rPr>
        <w:t>ة الكهربائية والإلكترونية، والميكانيكا وعلم المعادن، والبلاستيك والمطاط، والمنتجات الخشبية وما يماثلها، والمنسوجات والملابس؛ البيئة - تتضمن القمامة، والمياه والمجاري، وإعادة التدوير؛ الكيمياء - تتضمن السيراميك، والبترول، والمنتجات الكيميائية والبتروكيميائية؛ السياحة والضيافة - تتضمن أماكن الإقامة، والسياحة والضيافة</w:t>
      </w:r>
      <w:r w:rsidR="009F2FBA" w:rsidRPr="009F2FBA">
        <w:rPr>
          <w:rFonts w:hint="cs"/>
          <w:rtl/>
          <w:lang w:bidi="ar-EG"/>
        </w:rPr>
        <w:t>.</w:t>
      </w:r>
      <w:r w:rsidRPr="009F2FBA">
        <w:rPr>
          <w:rFonts w:hint="cs"/>
          <w:rtl/>
          <w:lang w:bidi="ar-EG"/>
        </w:rPr>
        <w:t xml:space="preserve"> المفتاح</w:t>
      </w:r>
      <w:r w:rsidR="009F2FBA" w:rsidRPr="009F2FBA">
        <w:rPr>
          <w:rFonts w:hint="cs"/>
          <w:rtl/>
          <w:lang w:bidi="ar-EG"/>
        </w:rPr>
        <w:t>: الرمادي الداكن - دورات تسودها الإناث (60 في المائة أو أكثر)؛ والرمادي الفاتح - دورات يسودها الذكور (60 في المائة أو أكثر).</w:t>
      </w:r>
    </w:p>
    <w:p w:rsidR="003B131B" w:rsidRPr="003B131B" w:rsidRDefault="003B131B" w:rsidP="003B131B">
      <w:pPr>
        <w:pStyle w:val="SingleTxt"/>
        <w:spacing w:after="0" w:line="120" w:lineRule="exact"/>
        <w:rPr>
          <w:rFonts w:hint="cs"/>
          <w:sz w:val="10"/>
          <w:rtl/>
          <w:lang w:bidi="ar-EG"/>
        </w:rPr>
      </w:pPr>
    </w:p>
    <w:p w:rsidR="009A7CA2" w:rsidRPr="009A7CA2" w:rsidRDefault="009A7CA2" w:rsidP="009A7CA2">
      <w:pPr>
        <w:pStyle w:val="SingleTxt"/>
        <w:spacing w:after="0" w:line="120" w:lineRule="exact"/>
        <w:rPr>
          <w:rFonts w:hint="cs"/>
          <w:sz w:val="10"/>
          <w:rtl/>
          <w:lang w:bidi="ar-EG"/>
        </w:rPr>
      </w:pPr>
    </w:p>
    <w:tbl>
      <w:tblPr>
        <w:bidiVisual/>
        <w:tblW w:w="0" w:type="auto"/>
        <w:jc w:val="center"/>
        <w:tblLayout w:type="fixed"/>
        <w:tblCellMar>
          <w:left w:w="0" w:type="dxa"/>
          <w:right w:w="0" w:type="dxa"/>
        </w:tblCellMar>
        <w:tblLook w:val="0000" w:firstRow="0" w:lastRow="0" w:firstColumn="0" w:lastColumn="0" w:noHBand="0" w:noVBand="0"/>
      </w:tblPr>
      <w:tblGrid>
        <w:gridCol w:w="1888"/>
        <w:gridCol w:w="1086"/>
        <w:gridCol w:w="1086"/>
        <w:gridCol w:w="1087"/>
        <w:gridCol w:w="1086"/>
        <w:gridCol w:w="1087"/>
      </w:tblGrid>
      <w:tr w:rsidR="000141C9" w:rsidRPr="00C63143">
        <w:trPr>
          <w:cantSplit/>
          <w:tblHeader/>
          <w:jc w:val="center"/>
        </w:trPr>
        <w:tc>
          <w:tcPr>
            <w:tcW w:w="7320" w:type="dxa"/>
            <w:gridSpan w:val="6"/>
            <w:tcBorders>
              <w:top w:val="single" w:sz="4" w:space="0" w:color="auto"/>
              <w:bottom w:val="single" w:sz="4" w:space="0" w:color="auto"/>
            </w:tcBorders>
            <w:shd w:val="clear" w:color="auto" w:fill="auto"/>
            <w:vAlign w:val="bottom"/>
          </w:tcPr>
          <w:p w:rsidR="000141C9" w:rsidRPr="000141C9" w:rsidRDefault="000141C9" w:rsidP="000141C9">
            <w:pPr>
              <w:spacing w:before="80" w:after="80" w:line="240" w:lineRule="exact"/>
              <w:ind w:right="144"/>
              <w:jc w:val="center"/>
              <w:rPr>
                <w:rFonts w:hint="cs"/>
                <w:b/>
                <w:bCs/>
                <w:sz w:val="16"/>
                <w:szCs w:val="24"/>
                <w:rtl/>
              </w:rPr>
            </w:pPr>
            <w:r w:rsidRPr="000141C9">
              <w:rPr>
                <w:rFonts w:hint="cs"/>
                <w:b/>
                <w:bCs/>
                <w:sz w:val="18"/>
                <w:szCs w:val="26"/>
                <w:rtl/>
              </w:rPr>
              <w:t>المعلمون 2003</w:t>
            </w:r>
          </w:p>
        </w:tc>
      </w:tr>
      <w:tr w:rsidR="009A7CA2" w:rsidRPr="00C63143">
        <w:trPr>
          <w:cantSplit/>
          <w:tblHeader/>
          <w:jc w:val="center"/>
        </w:trPr>
        <w:tc>
          <w:tcPr>
            <w:tcW w:w="1888" w:type="dxa"/>
            <w:tcBorders>
              <w:top w:val="single" w:sz="4" w:space="0" w:color="auto"/>
              <w:bottom w:val="single" w:sz="12" w:space="0" w:color="auto"/>
            </w:tcBorders>
            <w:shd w:val="clear" w:color="auto" w:fill="auto"/>
            <w:vAlign w:val="bottom"/>
          </w:tcPr>
          <w:p w:rsidR="009A7CA2" w:rsidRPr="00C63143" w:rsidRDefault="009A7CA2" w:rsidP="009A7CA2">
            <w:pPr>
              <w:spacing w:after="80" w:line="240" w:lineRule="exact"/>
              <w:rPr>
                <w:rFonts w:hint="cs"/>
                <w:i/>
                <w:iCs/>
                <w:sz w:val="16"/>
                <w:szCs w:val="24"/>
              </w:rPr>
            </w:pPr>
            <w:r>
              <w:rPr>
                <w:rFonts w:hint="cs"/>
                <w:i/>
                <w:iCs/>
                <w:sz w:val="16"/>
                <w:szCs w:val="24"/>
                <w:rtl/>
              </w:rPr>
              <w:t>المجال العريض</w:t>
            </w:r>
          </w:p>
        </w:tc>
        <w:tc>
          <w:tcPr>
            <w:tcW w:w="1086" w:type="dxa"/>
            <w:tcBorders>
              <w:top w:val="single" w:sz="4" w:space="0" w:color="auto"/>
              <w:bottom w:val="single" w:sz="12" w:space="0" w:color="auto"/>
            </w:tcBorders>
            <w:shd w:val="clear" w:color="auto" w:fill="auto"/>
            <w:vAlign w:val="bottom"/>
          </w:tcPr>
          <w:p w:rsidR="009A7CA2" w:rsidRPr="00C63143" w:rsidRDefault="009A7CA2" w:rsidP="009A7CA2">
            <w:pPr>
              <w:spacing w:after="80" w:line="240" w:lineRule="exact"/>
              <w:ind w:right="144"/>
              <w:rPr>
                <w:rFonts w:hint="cs"/>
                <w:i/>
                <w:iCs/>
                <w:sz w:val="16"/>
                <w:szCs w:val="24"/>
                <w:rtl/>
              </w:rPr>
            </w:pPr>
            <w:r>
              <w:rPr>
                <w:rFonts w:hint="cs"/>
                <w:i/>
                <w:iCs/>
                <w:sz w:val="16"/>
                <w:szCs w:val="24"/>
                <w:rtl/>
              </w:rPr>
              <w:t>المعلمات</w:t>
            </w:r>
          </w:p>
        </w:tc>
        <w:tc>
          <w:tcPr>
            <w:tcW w:w="1086" w:type="dxa"/>
            <w:tcBorders>
              <w:top w:val="single" w:sz="4" w:space="0" w:color="auto"/>
              <w:bottom w:val="single" w:sz="12" w:space="0" w:color="auto"/>
            </w:tcBorders>
            <w:shd w:val="clear" w:color="auto" w:fill="auto"/>
            <w:vAlign w:val="bottom"/>
          </w:tcPr>
          <w:p w:rsidR="009A7CA2" w:rsidRPr="00C63143" w:rsidRDefault="009A7CA2" w:rsidP="009A7CA2">
            <w:pPr>
              <w:pStyle w:val="xl35"/>
              <w:pBdr>
                <w:bottom w:val="none" w:sz="0" w:space="0" w:color="auto"/>
              </w:pBdr>
              <w:bidi/>
              <w:spacing w:after="80" w:line="240" w:lineRule="exact"/>
              <w:ind w:right="144"/>
              <w:jc w:val="lowKashida"/>
              <w:rPr>
                <w:rFonts w:ascii="Times New Roman" w:eastAsia="Times New Roman" w:hAnsi="Times New Roman" w:cs="Traditional Arabic" w:hint="cs"/>
                <w:i/>
                <w:iCs/>
                <w:sz w:val="16"/>
                <w:rtl/>
                <w:lang w:val="en-US"/>
              </w:rPr>
            </w:pPr>
            <w:r>
              <w:rPr>
                <w:rFonts w:ascii="Times New Roman" w:eastAsia="Times New Roman" w:hAnsi="Times New Roman" w:cs="Traditional Arabic" w:hint="cs"/>
                <w:i/>
                <w:iCs/>
                <w:sz w:val="16"/>
                <w:rtl/>
                <w:lang w:val="en-US"/>
              </w:rPr>
              <w:t>النسبة المئوية</w:t>
            </w:r>
          </w:p>
        </w:tc>
        <w:tc>
          <w:tcPr>
            <w:tcW w:w="1087" w:type="dxa"/>
            <w:tcBorders>
              <w:top w:val="single" w:sz="4" w:space="0" w:color="auto"/>
              <w:bottom w:val="single" w:sz="12" w:space="0" w:color="auto"/>
            </w:tcBorders>
            <w:shd w:val="clear" w:color="auto" w:fill="auto"/>
            <w:vAlign w:val="bottom"/>
          </w:tcPr>
          <w:p w:rsidR="009A7CA2" w:rsidRPr="00C63143" w:rsidRDefault="009A7CA2" w:rsidP="009A7CA2">
            <w:pPr>
              <w:spacing w:after="80" w:line="240" w:lineRule="exact"/>
              <w:ind w:right="144"/>
              <w:rPr>
                <w:rFonts w:hint="cs"/>
                <w:i/>
                <w:iCs/>
                <w:sz w:val="16"/>
                <w:szCs w:val="24"/>
                <w:rtl/>
              </w:rPr>
            </w:pPr>
            <w:r>
              <w:rPr>
                <w:rFonts w:hint="cs"/>
                <w:i/>
                <w:iCs/>
                <w:sz w:val="16"/>
                <w:szCs w:val="24"/>
                <w:rtl/>
              </w:rPr>
              <w:t>المعلمون</w:t>
            </w:r>
          </w:p>
        </w:tc>
        <w:tc>
          <w:tcPr>
            <w:tcW w:w="1086" w:type="dxa"/>
            <w:tcBorders>
              <w:top w:val="single" w:sz="4" w:space="0" w:color="auto"/>
              <w:bottom w:val="single" w:sz="12" w:space="0" w:color="auto"/>
            </w:tcBorders>
            <w:shd w:val="clear" w:color="auto" w:fill="auto"/>
            <w:vAlign w:val="bottom"/>
          </w:tcPr>
          <w:p w:rsidR="009A7CA2" w:rsidRPr="00C63143" w:rsidRDefault="009A7CA2" w:rsidP="009A7CA2">
            <w:pPr>
              <w:pStyle w:val="xl35"/>
              <w:pBdr>
                <w:bottom w:val="none" w:sz="0" w:space="0" w:color="auto"/>
              </w:pBdr>
              <w:bidi/>
              <w:spacing w:after="80" w:line="240" w:lineRule="exact"/>
              <w:ind w:right="144"/>
              <w:jc w:val="lowKashida"/>
              <w:rPr>
                <w:rFonts w:ascii="Times New Roman" w:eastAsia="Times New Roman" w:hAnsi="Times New Roman" w:cs="Traditional Arabic" w:hint="cs"/>
                <w:i/>
                <w:iCs/>
                <w:sz w:val="16"/>
                <w:rtl/>
                <w:lang w:val="en-US"/>
              </w:rPr>
            </w:pPr>
            <w:r>
              <w:rPr>
                <w:rFonts w:ascii="Times New Roman" w:eastAsia="Times New Roman" w:hAnsi="Times New Roman" w:cs="Traditional Arabic" w:hint="cs"/>
                <w:i/>
                <w:iCs/>
                <w:sz w:val="16"/>
                <w:rtl/>
                <w:lang w:val="en-US"/>
              </w:rPr>
              <w:t>النسبة المئوية</w:t>
            </w:r>
          </w:p>
        </w:tc>
        <w:tc>
          <w:tcPr>
            <w:tcW w:w="1087" w:type="dxa"/>
            <w:tcBorders>
              <w:top w:val="single" w:sz="4" w:space="0" w:color="auto"/>
              <w:bottom w:val="single" w:sz="12" w:space="0" w:color="auto"/>
            </w:tcBorders>
            <w:shd w:val="clear" w:color="auto" w:fill="auto"/>
            <w:vAlign w:val="bottom"/>
          </w:tcPr>
          <w:p w:rsidR="009A7CA2" w:rsidRPr="00C63143" w:rsidRDefault="009A7CA2" w:rsidP="009A7CA2">
            <w:pPr>
              <w:spacing w:after="80" w:line="240" w:lineRule="exact"/>
              <w:rPr>
                <w:rFonts w:hint="cs"/>
                <w:i/>
                <w:iCs/>
                <w:sz w:val="16"/>
                <w:szCs w:val="24"/>
                <w:rtl/>
              </w:rPr>
            </w:pPr>
            <w:r>
              <w:rPr>
                <w:rFonts w:hint="cs"/>
                <w:i/>
                <w:iCs/>
                <w:sz w:val="16"/>
                <w:szCs w:val="24"/>
                <w:rtl/>
              </w:rPr>
              <w:t>مجموع المعلمين</w:t>
            </w:r>
          </w:p>
        </w:tc>
      </w:tr>
      <w:tr w:rsidR="009A7CA2" w:rsidRPr="00C63143">
        <w:trPr>
          <w:cantSplit/>
          <w:trHeight w:hRule="exact" w:val="115"/>
          <w:tblHeader/>
          <w:jc w:val="center"/>
        </w:trPr>
        <w:tc>
          <w:tcPr>
            <w:tcW w:w="1888" w:type="dxa"/>
            <w:tcBorders>
              <w:top w:val="single" w:sz="12" w:space="0" w:color="auto"/>
            </w:tcBorders>
            <w:shd w:val="clear" w:color="auto" w:fill="auto"/>
            <w:vAlign w:val="bottom"/>
          </w:tcPr>
          <w:p w:rsidR="009A7CA2" w:rsidRPr="00C63143" w:rsidRDefault="009A7CA2" w:rsidP="000141C9">
            <w:pPr>
              <w:bidi w:val="0"/>
              <w:spacing w:before="40" w:after="80" w:line="240" w:lineRule="exact"/>
              <w:jc w:val="right"/>
              <w:rPr>
                <w:sz w:val="16"/>
                <w:szCs w:val="24"/>
              </w:rPr>
            </w:pPr>
          </w:p>
        </w:tc>
        <w:tc>
          <w:tcPr>
            <w:tcW w:w="1086" w:type="dxa"/>
            <w:tcBorders>
              <w:top w:val="single" w:sz="12" w:space="0" w:color="auto"/>
            </w:tcBorders>
            <w:shd w:val="clear" w:color="auto" w:fill="auto"/>
            <w:vAlign w:val="bottom"/>
          </w:tcPr>
          <w:p w:rsidR="009A7CA2" w:rsidRPr="00C63143" w:rsidRDefault="009A7CA2" w:rsidP="000141C9">
            <w:pPr>
              <w:bidi w:val="0"/>
              <w:spacing w:before="40" w:after="80" w:line="240" w:lineRule="exact"/>
              <w:ind w:right="144"/>
              <w:jc w:val="right"/>
              <w:rPr>
                <w:rFonts w:hint="cs"/>
                <w:sz w:val="16"/>
                <w:szCs w:val="24"/>
                <w:rtl/>
              </w:rPr>
            </w:pPr>
          </w:p>
        </w:tc>
        <w:tc>
          <w:tcPr>
            <w:tcW w:w="1086" w:type="dxa"/>
            <w:tcBorders>
              <w:top w:val="single" w:sz="12" w:space="0" w:color="auto"/>
            </w:tcBorders>
            <w:shd w:val="clear" w:color="auto" w:fill="auto"/>
            <w:vAlign w:val="bottom"/>
          </w:tcPr>
          <w:p w:rsidR="009A7CA2" w:rsidRPr="00C63143" w:rsidRDefault="009A7CA2" w:rsidP="000141C9">
            <w:pPr>
              <w:pStyle w:val="xl35"/>
              <w:pBdr>
                <w:bottom w:val="none" w:sz="0" w:space="0" w:color="auto"/>
              </w:pBdr>
              <w:spacing w:before="40" w:after="80" w:line="240" w:lineRule="exact"/>
              <w:ind w:right="144"/>
              <w:jc w:val="right"/>
              <w:rPr>
                <w:rFonts w:ascii="Times New Roman" w:eastAsia="Times New Roman" w:hAnsi="Times New Roman" w:cs="Traditional Arabic"/>
                <w:sz w:val="16"/>
                <w:rtl/>
                <w:lang w:val="en-US"/>
              </w:rPr>
            </w:pPr>
          </w:p>
        </w:tc>
        <w:tc>
          <w:tcPr>
            <w:tcW w:w="1087" w:type="dxa"/>
            <w:tcBorders>
              <w:top w:val="single" w:sz="12" w:space="0" w:color="auto"/>
            </w:tcBorders>
            <w:shd w:val="clear" w:color="auto" w:fill="auto"/>
            <w:vAlign w:val="bottom"/>
          </w:tcPr>
          <w:p w:rsidR="009A7CA2" w:rsidRPr="00C63143" w:rsidRDefault="009A7CA2" w:rsidP="000141C9">
            <w:pPr>
              <w:bidi w:val="0"/>
              <w:spacing w:before="40" w:after="80" w:line="240" w:lineRule="exact"/>
              <w:ind w:right="144"/>
              <w:jc w:val="right"/>
              <w:rPr>
                <w:rFonts w:hint="cs"/>
                <w:sz w:val="16"/>
                <w:szCs w:val="24"/>
                <w:rtl/>
              </w:rPr>
            </w:pPr>
          </w:p>
        </w:tc>
        <w:tc>
          <w:tcPr>
            <w:tcW w:w="1086" w:type="dxa"/>
            <w:tcBorders>
              <w:top w:val="single" w:sz="12" w:space="0" w:color="auto"/>
            </w:tcBorders>
            <w:shd w:val="clear" w:color="auto" w:fill="auto"/>
            <w:vAlign w:val="bottom"/>
          </w:tcPr>
          <w:p w:rsidR="009A7CA2" w:rsidRPr="00C63143" w:rsidRDefault="009A7CA2" w:rsidP="000141C9">
            <w:pPr>
              <w:pStyle w:val="xl35"/>
              <w:pBdr>
                <w:bottom w:val="none" w:sz="0" w:space="0" w:color="auto"/>
              </w:pBdr>
              <w:spacing w:before="40" w:after="80" w:line="240" w:lineRule="exact"/>
              <w:ind w:right="144"/>
              <w:jc w:val="right"/>
              <w:rPr>
                <w:rFonts w:ascii="Times New Roman" w:eastAsia="Times New Roman" w:hAnsi="Times New Roman" w:cs="Traditional Arabic"/>
                <w:sz w:val="16"/>
                <w:rtl/>
                <w:lang w:val="en-US"/>
              </w:rPr>
            </w:pPr>
          </w:p>
        </w:tc>
        <w:tc>
          <w:tcPr>
            <w:tcW w:w="1087" w:type="dxa"/>
            <w:tcBorders>
              <w:top w:val="single" w:sz="12" w:space="0" w:color="auto"/>
            </w:tcBorders>
            <w:shd w:val="clear" w:color="auto" w:fill="auto"/>
            <w:vAlign w:val="bottom"/>
          </w:tcPr>
          <w:p w:rsidR="009A7CA2" w:rsidRPr="00C63143" w:rsidRDefault="009A7CA2" w:rsidP="000141C9">
            <w:pPr>
              <w:bidi w:val="0"/>
              <w:spacing w:before="40" w:after="80" w:line="240" w:lineRule="exact"/>
              <w:ind w:right="144"/>
              <w:jc w:val="right"/>
              <w:rPr>
                <w:rFonts w:hint="cs"/>
                <w:sz w:val="16"/>
                <w:szCs w:val="24"/>
                <w:rtl/>
              </w:rPr>
            </w:pP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العلوم الدقيقة والأرضية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1</w:t>
            </w:r>
            <w:r w:rsidRPr="00C63143">
              <w:rPr>
                <w:rFonts w:hint="cs"/>
                <w:sz w:val="16"/>
                <w:szCs w:val="24"/>
              </w:rPr>
              <w:t xml:space="preserve"> </w:t>
            </w:r>
            <w:r w:rsidRPr="00C63143">
              <w:rPr>
                <w:rFonts w:hint="cs"/>
                <w:sz w:val="16"/>
                <w:szCs w:val="24"/>
                <w:rtl/>
              </w:rPr>
              <w:t>389</w:t>
            </w:r>
          </w:p>
        </w:tc>
        <w:tc>
          <w:tcPr>
            <w:tcW w:w="1086" w:type="dxa"/>
            <w:shd w:val="clear" w:color="auto" w:fill="auto"/>
            <w:vAlign w:val="bottom"/>
          </w:tcPr>
          <w:p w:rsidR="009A7CA2" w:rsidRPr="00C63143" w:rsidRDefault="009A7CA2" w:rsidP="000141C9">
            <w:pPr>
              <w:pStyle w:val="xl35"/>
              <w:pBdr>
                <w:bottom w:val="none" w:sz="0" w:space="0" w:color="auto"/>
              </w:pBdr>
              <w:spacing w:before="40" w:after="80" w:line="240" w:lineRule="exact"/>
              <w:jc w:val="right"/>
              <w:rPr>
                <w:rFonts w:ascii="Times New Roman" w:eastAsia="Times New Roman" w:hAnsi="Times New Roman" w:cs="Traditional Arabic"/>
                <w:sz w:val="16"/>
                <w:lang w:val="en-US"/>
              </w:rPr>
            </w:pPr>
            <w:r w:rsidRPr="00C63143">
              <w:rPr>
                <w:rFonts w:ascii="Times New Roman" w:eastAsia="Times New Roman" w:hAnsi="Times New Roman" w:cs="Traditional Arabic"/>
                <w:sz w:val="16"/>
                <w:rtl/>
                <w:lang w:val="en-US"/>
              </w:rPr>
              <w:t>24</w:t>
            </w:r>
            <w:r w:rsidRPr="00C63143">
              <w:rPr>
                <w:rFonts w:ascii="Times New Roman" w:eastAsia="Times New Roman" w:hAnsi="Times New Roman" w:cs="Traditional Arabic"/>
                <w:sz w:val="16"/>
                <w:lang w:val="en-US"/>
              </w:rPr>
              <w:t>,</w:t>
            </w:r>
            <w:r w:rsidRPr="00C63143">
              <w:rPr>
                <w:rFonts w:ascii="Times New Roman" w:eastAsia="Times New Roman" w:hAnsi="Times New Roman" w:cs="Traditional Arabic" w:hint="cs"/>
                <w:sz w:val="16"/>
                <w:rtl/>
                <w:lang w:val="en-US"/>
              </w:rPr>
              <w:t>31</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4</w:t>
            </w:r>
            <w:r w:rsidRPr="00C63143">
              <w:rPr>
                <w:rFonts w:hint="cs"/>
                <w:sz w:val="16"/>
                <w:szCs w:val="24"/>
              </w:rPr>
              <w:t xml:space="preserve"> </w:t>
            </w:r>
            <w:r w:rsidRPr="00C63143">
              <w:rPr>
                <w:rFonts w:hint="cs"/>
                <w:sz w:val="16"/>
                <w:szCs w:val="24"/>
                <w:rtl/>
              </w:rPr>
              <w:t>324</w:t>
            </w:r>
          </w:p>
        </w:tc>
        <w:tc>
          <w:tcPr>
            <w:tcW w:w="1086" w:type="dxa"/>
            <w:shd w:val="clear" w:color="auto" w:fill="auto"/>
            <w:vAlign w:val="bottom"/>
          </w:tcPr>
          <w:p w:rsidR="009A7CA2" w:rsidRPr="00C63143" w:rsidRDefault="009A7CA2" w:rsidP="000141C9">
            <w:pPr>
              <w:pStyle w:val="xl35"/>
              <w:pBdr>
                <w:bottom w:val="none" w:sz="0" w:space="0" w:color="auto"/>
              </w:pBdr>
              <w:spacing w:before="40" w:after="80" w:line="240" w:lineRule="exact"/>
              <w:jc w:val="right"/>
              <w:rPr>
                <w:rFonts w:ascii="Times New Roman" w:eastAsia="Times New Roman" w:hAnsi="Times New Roman" w:cs="Traditional Arabic"/>
                <w:sz w:val="16"/>
                <w:lang w:val="en-US"/>
              </w:rPr>
            </w:pPr>
            <w:r w:rsidRPr="00C63143">
              <w:rPr>
                <w:rFonts w:ascii="Times New Roman" w:eastAsia="Times New Roman" w:hAnsi="Times New Roman" w:cs="Traditional Arabic"/>
                <w:sz w:val="16"/>
                <w:rtl/>
                <w:lang w:val="en-US"/>
              </w:rPr>
              <w:t>75</w:t>
            </w:r>
            <w:r w:rsidRPr="00C63143">
              <w:rPr>
                <w:rFonts w:ascii="Times New Roman" w:eastAsia="Times New Roman" w:hAnsi="Times New Roman" w:cs="Traditional Arabic"/>
                <w:sz w:val="16"/>
                <w:lang w:val="en-US"/>
              </w:rPr>
              <w:t>,</w:t>
            </w:r>
            <w:r w:rsidRPr="00C63143">
              <w:rPr>
                <w:rFonts w:ascii="Times New Roman" w:eastAsia="Times New Roman" w:hAnsi="Times New Roman" w:cs="Traditional Arabic" w:hint="cs"/>
                <w:sz w:val="16"/>
                <w:rtl/>
                <w:lang w:val="en-US"/>
              </w:rPr>
              <w:t>69</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5</w:t>
            </w:r>
            <w:r w:rsidRPr="00C63143">
              <w:rPr>
                <w:rFonts w:hint="cs"/>
                <w:sz w:val="16"/>
                <w:szCs w:val="24"/>
              </w:rPr>
              <w:t xml:space="preserve"> </w:t>
            </w:r>
            <w:r w:rsidRPr="00C63143">
              <w:rPr>
                <w:rFonts w:hint="cs"/>
                <w:sz w:val="16"/>
                <w:szCs w:val="24"/>
                <w:rtl/>
              </w:rPr>
              <w:t>713</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العلوم البيولوجية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586</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46</w:t>
            </w:r>
            <w:r w:rsidRPr="00C63143">
              <w:rPr>
                <w:sz w:val="16"/>
                <w:szCs w:val="24"/>
              </w:rPr>
              <w:t>,</w:t>
            </w:r>
            <w:r w:rsidRPr="00C63143">
              <w:rPr>
                <w:rFonts w:hint="cs"/>
                <w:sz w:val="16"/>
                <w:szCs w:val="24"/>
                <w:rtl/>
              </w:rPr>
              <w:t>18</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014</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53</w:t>
            </w:r>
            <w:r w:rsidRPr="00C63143">
              <w:rPr>
                <w:sz w:val="16"/>
                <w:szCs w:val="24"/>
              </w:rPr>
              <w:t>,</w:t>
            </w:r>
            <w:r w:rsidRPr="00C63143">
              <w:rPr>
                <w:rFonts w:hint="cs"/>
                <w:sz w:val="16"/>
                <w:szCs w:val="24"/>
                <w:rtl/>
              </w:rPr>
              <w:t>82</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5</w:t>
            </w:r>
            <w:r w:rsidRPr="00C63143">
              <w:rPr>
                <w:rFonts w:hint="cs"/>
                <w:sz w:val="16"/>
                <w:szCs w:val="24"/>
              </w:rPr>
              <w:t xml:space="preserve"> </w:t>
            </w:r>
            <w:r w:rsidRPr="00C63143">
              <w:rPr>
                <w:rFonts w:hint="cs"/>
                <w:sz w:val="16"/>
                <w:szCs w:val="24"/>
                <w:rtl/>
              </w:rPr>
              <w:t>600</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الهندسة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777</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17</w:t>
            </w:r>
            <w:r w:rsidRPr="00C63143">
              <w:rPr>
                <w:sz w:val="16"/>
                <w:szCs w:val="24"/>
              </w:rPr>
              <w:t>,</w:t>
            </w:r>
            <w:r w:rsidRPr="00C63143">
              <w:rPr>
                <w:rFonts w:hint="cs"/>
                <w:sz w:val="16"/>
                <w:szCs w:val="24"/>
                <w:rtl/>
              </w:rPr>
              <w:t>37</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696</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82</w:t>
            </w:r>
            <w:r w:rsidRPr="00C63143">
              <w:rPr>
                <w:sz w:val="16"/>
                <w:szCs w:val="24"/>
              </w:rPr>
              <w:t>,</w:t>
            </w:r>
            <w:r w:rsidRPr="00C63143">
              <w:rPr>
                <w:rFonts w:hint="cs"/>
                <w:sz w:val="16"/>
                <w:szCs w:val="24"/>
                <w:rtl/>
              </w:rPr>
              <w:t>63</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4</w:t>
            </w:r>
            <w:r w:rsidRPr="00C63143">
              <w:rPr>
                <w:rFonts w:hint="cs"/>
                <w:sz w:val="16"/>
                <w:szCs w:val="24"/>
              </w:rPr>
              <w:t xml:space="preserve"> </w:t>
            </w:r>
            <w:r w:rsidRPr="00C63143">
              <w:rPr>
                <w:rFonts w:hint="cs"/>
                <w:sz w:val="16"/>
                <w:szCs w:val="24"/>
                <w:rtl/>
              </w:rPr>
              <w:t>473</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علوم الصحة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003</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39</w:t>
            </w:r>
            <w:r w:rsidRPr="00C63143">
              <w:rPr>
                <w:rFonts w:hint="cs"/>
                <w:sz w:val="16"/>
                <w:szCs w:val="24"/>
              </w:rPr>
              <w:t xml:space="preserve"> </w:t>
            </w:r>
            <w:r w:rsidRPr="00C63143">
              <w:rPr>
                <w:rFonts w:hint="cs"/>
                <w:sz w:val="16"/>
                <w:szCs w:val="24"/>
                <w:rtl/>
              </w:rPr>
              <w:t>65</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049</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60</w:t>
            </w:r>
            <w:r w:rsidRPr="00C63143">
              <w:rPr>
                <w:sz w:val="16"/>
                <w:szCs w:val="24"/>
              </w:rPr>
              <w:t>,</w:t>
            </w:r>
            <w:r w:rsidRPr="00C63143">
              <w:rPr>
                <w:rFonts w:hint="cs"/>
                <w:sz w:val="16"/>
                <w:szCs w:val="24"/>
                <w:rtl/>
              </w:rPr>
              <w:t>35</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5</w:t>
            </w:r>
            <w:r w:rsidRPr="00C63143">
              <w:rPr>
                <w:rFonts w:hint="cs"/>
                <w:sz w:val="16"/>
                <w:szCs w:val="24"/>
              </w:rPr>
              <w:t xml:space="preserve"> </w:t>
            </w:r>
            <w:r w:rsidRPr="00C63143">
              <w:rPr>
                <w:rFonts w:hint="cs"/>
                <w:sz w:val="16"/>
                <w:szCs w:val="24"/>
                <w:rtl/>
              </w:rPr>
              <w:t>052</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العلوم الزراعية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740</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22</w:t>
            </w:r>
            <w:r w:rsidRPr="00C63143">
              <w:rPr>
                <w:sz w:val="16"/>
                <w:szCs w:val="24"/>
              </w:rPr>
              <w:t>,</w:t>
            </w:r>
            <w:r w:rsidRPr="00C63143">
              <w:rPr>
                <w:rFonts w:hint="cs"/>
                <w:sz w:val="16"/>
                <w:szCs w:val="24"/>
                <w:rtl/>
              </w:rPr>
              <w:t>95</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485</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77</w:t>
            </w:r>
            <w:r w:rsidRPr="00C63143">
              <w:rPr>
                <w:sz w:val="16"/>
                <w:szCs w:val="24"/>
              </w:rPr>
              <w:t>,</w:t>
            </w:r>
            <w:r w:rsidRPr="00C63143">
              <w:rPr>
                <w:rFonts w:hint="cs"/>
                <w:sz w:val="16"/>
                <w:szCs w:val="24"/>
                <w:rtl/>
              </w:rPr>
              <w:t>05</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225</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العلوم الاجتماعية التطبيقية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1</w:t>
            </w:r>
            <w:r w:rsidRPr="00C63143">
              <w:rPr>
                <w:rFonts w:hint="cs"/>
                <w:sz w:val="16"/>
                <w:szCs w:val="24"/>
              </w:rPr>
              <w:t xml:space="preserve"> </w:t>
            </w:r>
            <w:r w:rsidRPr="00C63143">
              <w:rPr>
                <w:rFonts w:hint="cs"/>
                <w:sz w:val="16"/>
                <w:szCs w:val="24"/>
                <w:rtl/>
              </w:rPr>
              <w:t>039</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31</w:t>
            </w:r>
            <w:r w:rsidRPr="00C63143">
              <w:rPr>
                <w:sz w:val="16"/>
                <w:szCs w:val="24"/>
              </w:rPr>
              <w:t>,</w:t>
            </w:r>
            <w:r w:rsidRPr="00C63143">
              <w:rPr>
                <w:rFonts w:hint="cs"/>
                <w:sz w:val="16"/>
                <w:szCs w:val="24"/>
                <w:rtl/>
              </w:rPr>
              <w:t>58</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251</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68</w:t>
            </w:r>
            <w:r w:rsidRPr="00C63143">
              <w:rPr>
                <w:sz w:val="16"/>
                <w:szCs w:val="24"/>
              </w:rPr>
              <w:t>,</w:t>
            </w:r>
            <w:r w:rsidRPr="00C63143">
              <w:rPr>
                <w:rFonts w:hint="cs"/>
                <w:sz w:val="16"/>
                <w:szCs w:val="24"/>
                <w:rtl/>
              </w:rPr>
              <w:t>42</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290</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hint="cs"/>
                <w:sz w:val="16"/>
                <w:szCs w:val="24"/>
                <w:lang w:eastAsia="pt-BR"/>
              </w:rPr>
            </w:pPr>
            <w:r>
              <w:rPr>
                <w:rFonts w:eastAsia="Arial Unicode MS" w:hint="cs"/>
                <w:sz w:val="16"/>
                <w:szCs w:val="24"/>
                <w:rtl/>
                <w:lang w:eastAsia="pt-BR"/>
              </w:rPr>
              <w:t>العلوم الإنسانية</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w:t>
            </w:r>
            <w:r w:rsidRPr="00C63143">
              <w:rPr>
                <w:rFonts w:hint="cs"/>
                <w:sz w:val="16"/>
                <w:szCs w:val="24"/>
              </w:rPr>
              <w:t xml:space="preserve"> </w:t>
            </w:r>
            <w:r w:rsidRPr="00C63143">
              <w:rPr>
                <w:rFonts w:hint="cs"/>
                <w:sz w:val="16"/>
                <w:szCs w:val="24"/>
                <w:rtl/>
              </w:rPr>
              <w:t>032</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50</w:t>
            </w:r>
            <w:r w:rsidRPr="00C63143">
              <w:rPr>
                <w:sz w:val="16"/>
                <w:szCs w:val="24"/>
              </w:rPr>
              <w:t>,</w:t>
            </w:r>
            <w:r w:rsidRPr="00C63143">
              <w:rPr>
                <w:rFonts w:hint="cs"/>
                <w:sz w:val="16"/>
                <w:szCs w:val="24"/>
                <w:rtl/>
              </w:rPr>
              <w:t>63</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956</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49</w:t>
            </w:r>
            <w:r w:rsidRPr="00C63143">
              <w:rPr>
                <w:sz w:val="16"/>
                <w:szCs w:val="24"/>
              </w:rPr>
              <w:t>,</w:t>
            </w:r>
            <w:r w:rsidRPr="00C63143">
              <w:rPr>
                <w:rFonts w:hint="cs"/>
                <w:sz w:val="16"/>
                <w:szCs w:val="24"/>
                <w:rtl/>
              </w:rPr>
              <w:t>37</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5</w:t>
            </w:r>
            <w:r w:rsidRPr="00C63143">
              <w:rPr>
                <w:rFonts w:hint="cs"/>
                <w:sz w:val="16"/>
                <w:szCs w:val="24"/>
              </w:rPr>
              <w:t xml:space="preserve"> </w:t>
            </w:r>
            <w:r w:rsidRPr="00C63143">
              <w:rPr>
                <w:rFonts w:hint="cs"/>
                <w:sz w:val="16"/>
                <w:szCs w:val="24"/>
                <w:rtl/>
              </w:rPr>
              <w:t>988</w:t>
            </w:r>
          </w:p>
        </w:tc>
      </w:tr>
      <w:tr w:rsidR="009A7CA2" w:rsidRPr="00C63143">
        <w:trPr>
          <w:cantSplit/>
          <w:jc w:val="center"/>
        </w:trPr>
        <w:tc>
          <w:tcPr>
            <w:tcW w:w="1888" w:type="dxa"/>
            <w:shd w:val="clear" w:color="auto" w:fill="auto"/>
            <w:vAlign w:val="bottom"/>
          </w:tcPr>
          <w:p w:rsidR="009A7CA2" w:rsidRPr="00C63143" w:rsidRDefault="009A7CA2" w:rsidP="009A7CA2">
            <w:pPr>
              <w:spacing w:before="40" w:after="80" w:line="240" w:lineRule="exact"/>
              <w:rPr>
                <w:rFonts w:eastAsia="Arial Unicode MS"/>
                <w:sz w:val="16"/>
                <w:szCs w:val="24"/>
                <w:lang w:eastAsia="pt-BR"/>
              </w:rPr>
            </w:pPr>
            <w:r>
              <w:rPr>
                <w:rFonts w:eastAsia="Arial Unicode MS" w:hint="cs"/>
                <w:sz w:val="16"/>
                <w:szCs w:val="24"/>
                <w:rtl/>
                <w:lang w:eastAsia="pt-BR"/>
              </w:rPr>
              <w:t>اللغات والأدب والفنون</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1</w:t>
            </w:r>
            <w:r w:rsidRPr="00C63143">
              <w:rPr>
                <w:rFonts w:hint="cs"/>
                <w:sz w:val="16"/>
                <w:szCs w:val="24"/>
              </w:rPr>
              <w:t xml:space="preserve"> </w:t>
            </w:r>
            <w:r w:rsidRPr="00C63143">
              <w:rPr>
                <w:rFonts w:hint="cs"/>
                <w:sz w:val="16"/>
                <w:szCs w:val="24"/>
                <w:rtl/>
              </w:rPr>
              <w:t>219</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60</w:t>
            </w:r>
            <w:r w:rsidRPr="00C63143">
              <w:rPr>
                <w:sz w:val="16"/>
                <w:szCs w:val="24"/>
              </w:rPr>
              <w:t>,</w:t>
            </w:r>
            <w:r w:rsidRPr="00C63143">
              <w:rPr>
                <w:rFonts w:hint="cs"/>
                <w:sz w:val="16"/>
                <w:szCs w:val="24"/>
                <w:rtl/>
              </w:rPr>
              <w:t>68</w:t>
            </w:r>
          </w:p>
        </w:tc>
        <w:tc>
          <w:tcPr>
            <w:tcW w:w="1087"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790</w:t>
            </w:r>
          </w:p>
        </w:tc>
        <w:tc>
          <w:tcPr>
            <w:tcW w:w="1086" w:type="dxa"/>
            <w:shd w:val="clear" w:color="auto" w:fill="auto"/>
            <w:vAlign w:val="bottom"/>
          </w:tcPr>
          <w:p w:rsidR="009A7CA2" w:rsidRPr="00C63143" w:rsidRDefault="009A7CA2" w:rsidP="000141C9">
            <w:pPr>
              <w:bidi w:val="0"/>
              <w:spacing w:before="40" w:after="80" w:line="240" w:lineRule="exact"/>
              <w:jc w:val="right"/>
              <w:rPr>
                <w:rFonts w:eastAsia="Arial Unicode MS"/>
                <w:sz w:val="16"/>
                <w:szCs w:val="24"/>
                <w:lang w:eastAsia="pt-BR"/>
              </w:rPr>
            </w:pPr>
            <w:r w:rsidRPr="00C63143">
              <w:rPr>
                <w:rFonts w:hint="cs"/>
                <w:sz w:val="16"/>
                <w:szCs w:val="24"/>
                <w:rtl/>
              </w:rPr>
              <w:t>39</w:t>
            </w:r>
            <w:r w:rsidRPr="00C63143">
              <w:rPr>
                <w:sz w:val="16"/>
                <w:szCs w:val="24"/>
              </w:rPr>
              <w:t>,</w:t>
            </w:r>
            <w:r w:rsidRPr="00C63143">
              <w:rPr>
                <w:rFonts w:hint="cs"/>
                <w:sz w:val="16"/>
                <w:szCs w:val="24"/>
                <w:rtl/>
              </w:rPr>
              <w:t>32</w:t>
            </w:r>
          </w:p>
        </w:tc>
        <w:tc>
          <w:tcPr>
            <w:tcW w:w="1087" w:type="dxa"/>
            <w:shd w:val="clear" w:color="auto" w:fill="auto"/>
            <w:vAlign w:val="bottom"/>
          </w:tcPr>
          <w:p w:rsidR="009A7CA2" w:rsidRPr="00C63143" w:rsidRDefault="009A7CA2" w:rsidP="000141C9">
            <w:pPr>
              <w:bidi w:val="0"/>
              <w:spacing w:before="40" w:after="80" w:line="240" w:lineRule="exact"/>
              <w:ind w:right="144"/>
              <w:jc w:val="right"/>
              <w:rPr>
                <w:rFonts w:eastAsia="Arial Unicode MS"/>
                <w:sz w:val="16"/>
                <w:szCs w:val="24"/>
                <w:lang w:eastAsia="pt-BR"/>
              </w:rPr>
            </w:pPr>
            <w:r w:rsidRPr="00C63143">
              <w:rPr>
                <w:rFonts w:hint="cs"/>
                <w:sz w:val="16"/>
                <w:szCs w:val="24"/>
                <w:rtl/>
              </w:rPr>
              <w:t>2</w:t>
            </w:r>
            <w:r w:rsidRPr="00C63143">
              <w:rPr>
                <w:rFonts w:hint="cs"/>
                <w:sz w:val="16"/>
                <w:szCs w:val="24"/>
              </w:rPr>
              <w:t xml:space="preserve"> </w:t>
            </w:r>
            <w:r w:rsidRPr="00C63143">
              <w:rPr>
                <w:rFonts w:hint="cs"/>
                <w:sz w:val="16"/>
                <w:szCs w:val="24"/>
                <w:rtl/>
              </w:rPr>
              <w:t>009</w:t>
            </w:r>
          </w:p>
        </w:tc>
      </w:tr>
      <w:tr w:rsidR="009A7CA2" w:rsidRPr="00C63143">
        <w:trPr>
          <w:cantSplit/>
          <w:jc w:val="center"/>
        </w:trPr>
        <w:tc>
          <w:tcPr>
            <w:tcW w:w="1888" w:type="dxa"/>
            <w:tcBorders>
              <w:bottom w:val="single" w:sz="12" w:space="0" w:color="auto"/>
            </w:tcBorders>
            <w:shd w:val="clear" w:color="auto" w:fill="auto"/>
            <w:vAlign w:val="bottom"/>
          </w:tcPr>
          <w:p w:rsidR="009A7CA2" w:rsidRPr="009A7CA2" w:rsidRDefault="009A7CA2" w:rsidP="009A7CA2">
            <w:pPr>
              <w:spacing w:before="40" w:after="80" w:line="240" w:lineRule="exact"/>
              <w:rPr>
                <w:rFonts w:eastAsia="Arial Unicode MS" w:hint="cs"/>
                <w:b/>
                <w:bCs/>
                <w:sz w:val="16"/>
                <w:szCs w:val="24"/>
                <w:lang w:eastAsia="pt-BR"/>
              </w:rPr>
            </w:pPr>
            <w:r w:rsidRPr="009A7CA2">
              <w:rPr>
                <w:rFonts w:eastAsia="Arial Unicode MS" w:hint="cs"/>
                <w:b/>
                <w:bCs/>
                <w:sz w:val="16"/>
                <w:szCs w:val="24"/>
                <w:rtl/>
                <w:lang w:eastAsia="pt-BR"/>
              </w:rPr>
              <w:t>المجموع الكلي</w:t>
            </w:r>
          </w:p>
        </w:tc>
        <w:tc>
          <w:tcPr>
            <w:tcW w:w="1086" w:type="dxa"/>
            <w:tcBorders>
              <w:bottom w:val="single" w:sz="12" w:space="0" w:color="auto"/>
            </w:tcBorders>
            <w:shd w:val="clear" w:color="auto" w:fill="auto"/>
            <w:vAlign w:val="bottom"/>
          </w:tcPr>
          <w:p w:rsidR="009A7CA2" w:rsidRPr="009A7CA2" w:rsidRDefault="009A7CA2" w:rsidP="000141C9">
            <w:pPr>
              <w:bidi w:val="0"/>
              <w:spacing w:before="40" w:after="80" w:line="240" w:lineRule="exact"/>
              <w:jc w:val="right"/>
              <w:rPr>
                <w:rFonts w:eastAsia="Arial Unicode MS"/>
                <w:b/>
                <w:bCs/>
                <w:sz w:val="16"/>
                <w:szCs w:val="24"/>
                <w:lang w:eastAsia="pt-BR"/>
              </w:rPr>
            </w:pPr>
            <w:r w:rsidRPr="009A7CA2">
              <w:rPr>
                <w:rFonts w:hint="cs"/>
                <w:b/>
                <w:bCs/>
                <w:sz w:val="16"/>
                <w:szCs w:val="24"/>
                <w:rtl/>
              </w:rPr>
              <w:t>12</w:t>
            </w:r>
            <w:r w:rsidRPr="009A7CA2">
              <w:rPr>
                <w:rFonts w:hint="cs"/>
                <w:b/>
                <w:bCs/>
                <w:sz w:val="16"/>
                <w:szCs w:val="24"/>
              </w:rPr>
              <w:t xml:space="preserve"> </w:t>
            </w:r>
            <w:r w:rsidRPr="009A7CA2">
              <w:rPr>
                <w:rFonts w:hint="cs"/>
                <w:b/>
                <w:bCs/>
                <w:sz w:val="16"/>
                <w:szCs w:val="24"/>
                <w:rtl/>
              </w:rPr>
              <w:t>785</w:t>
            </w:r>
          </w:p>
        </w:tc>
        <w:tc>
          <w:tcPr>
            <w:tcW w:w="1086" w:type="dxa"/>
            <w:tcBorders>
              <w:bottom w:val="single" w:sz="12" w:space="0" w:color="auto"/>
            </w:tcBorders>
            <w:shd w:val="clear" w:color="auto" w:fill="auto"/>
            <w:vAlign w:val="bottom"/>
          </w:tcPr>
          <w:p w:rsidR="009A7CA2" w:rsidRPr="009A7CA2" w:rsidRDefault="009A7CA2" w:rsidP="000141C9">
            <w:pPr>
              <w:bidi w:val="0"/>
              <w:spacing w:before="40" w:after="80" w:line="240" w:lineRule="exact"/>
              <w:jc w:val="right"/>
              <w:rPr>
                <w:rFonts w:eastAsia="Arial Unicode MS"/>
                <w:b/>
                <w:bCs/>
                <w:sz w:val="16"/>
                <w:szCs w:val="24"/>
                <w:lang w:eastAsia="pt-BR"/>
              </w:rPr>
            </w:pPr>
            <w:r w:rsidRPr="009A7CA2">
              <w:rPr>
                <w:rFonts w:hint="cs"/>
                <w:b/>
                <w:bCs/>
                <w:sz w:val="16"/>
                <w:szCs w:val="24"/>
                <w:rtl/>
              </w:rPr>
              <w:t>36</w:t>
            </w:r>
            <w:r w:rsidRPr="009A7CA2">
              <w:rPr>
                <w:b/>
                <w:bCs/>
                <w:sz w:val="16"/>
                <w:szCs w:val="24"/>
              </w:rPr>
              <w:t>,</w:t>
            </w:r>
            <w:r w:rsidRPr="009A7CA2">
              <w:rPr>
                <w:rFonts w:hint="cs"/>
                <w:b/>
                <w:bCs/>
                <w:sz w:val="16"/>
                <w:szCs w:val="24"/>
                <w:rtl/>
              </w:rPr>
              <w:t>17</w:t>
            </w:r>
          </w:p>
        </w:tc>
        <w:tc>
          <w:tcPr>
            <w:tcW w:w="1087" w:type="dxa"/>
            <w:tcBorders>
              <w:bottom w:val="single" w:sz="12" w:space="0" w:color="auto"/>
            </w:tcBorders>
            <w:shd w:val="clear" w:color="auto" w:fill="auto"/>
            <w:vAlign w:val="bottom"/>
          </w:tcPr>
          <w:p w:rsidR="009A7CA2" w:rsidRPr="009A7CA2" w:rsidRDefault="009A7CA2" w:rsidP="000141C9">
            <w:pPr>
              <w:bidi w:val="0"/>
              <w:spacing w:before="40" w:after="80" w:line="240" w:lineRule="exact"/>
              <w:jc w:val="right"/>
              <w:rPr>
                <w:rFonts w:eastAsia="Arial Unicode MS"/>
                <w:b/>
                <w:bCs/>
                <w:sz w:val="16"/>
                <w:szCs w:val="24"/>
                <w:lang w:eastAsia="pt-BR"/>
              </w:rPr>
            </w:pPr>
            <w:r w:rsidRPr="009A7CA2">
              <w:rPr>
                <w:rFonts w:hint="cs"/>
                <w:b/>
                <w:bCs/>
                <w:sz w:val="16"/>
                <w:szCs w:val="24"/>
                <w:rtl/>
              </w:rPr>
              <w:t>22</w:t>
            </w:r>
            <w:r w:rsidRPr="009A7CA2">
              <w:rPr>
                <w:rFonts w:hint="cs"/>
                <w:b/>
                <w:bCs/>
                <w:sz w:val="16"/>
                <w:szCs w:val="24"/>
              </w:rPr>
              <w:t xml:space="preserve"> </w:t>
            </w:r>
            <w:r w:rsidRPr="009A7CA2">
              <w:rPr>
                <w:rFonts w:hint="cs"/>
                <w:b/>
                <w:bCs/>
                <w:sz w:val="16"/>
                <w:szCs w:val="24"/>
                <w:rtl/>
              </w:rPr>
              <w:t>565</w:t>
            </w:r>
          </w:p>
        </w:tc>
        <w:tc>
          <w:tcPr>
            <w:tcW w:w="1086" w:type="dxa"/>
            <w:tcBorders>
              <w:bottom w:val="single" w:sz="12" w:space="0" w:color="auto"/>
            </w:tcBorders>
            <w:shd w:val="clear" w:color="auto" w:fill="auto"/>
            <w:vAlign w:val="bottom"/>
          </w:tcPr>
          <w:p w:rsidR="009A7CA2" w:rsidRPr="009A7CA2" w:rsidRDefault="009A7CA2" w:rsidP="000141C9">
            <w:pPr>
              <w:bidi w:val="0"/>
              <w:spacing w:before="40" w:after="80" w:line="240" w:lineRule="exact"/>
              <w:jc w:val="right"/>
              <w:rPr>
                <w:rFonts w:eastAsia="Arial Unicode MS"/>
                <w:b/>
                <w:bCs/>
                <w:sz w:val="16"/>
                <w:szCs w:val="24"/>
                <w:lang w:eastAsia="pt-BR"/>
              </w:rPr>
            </w:pPr>
            <w:r w:rsidRPr="009A7CA2">
              <w:rPr>
                <w:rFonts w:eastAsia="Arial Unicode MS" w:hint="cs"/>
                <w:b/>
                <w:bCs/>
                <w:sz w:val="16"/>
                <w:szCs w:val="24"/>
                <w:rtl/>
              </w:rPr>
              <w:t>63</w:t>
            </w:r>
            <w:r w:rsidRPr="009A7CA2">
              <w:rPr>
                <w:rFonts w:eastAsia="Arial Unicode MS"/>
                <w:b/>
                <w:bCs/>
                <w:sz w:val="16"/>
                <w:szCs w:val="24"/>
              </w:rPr>
              <w:t>,</w:t>
            </w:r>
            <w:r w:rsidRPr="009A7CA2">
              <w:rPr>
                <w:rFonts w:eastAsia="Arial Unicode MS" w:hint="cs"/>
                <w:b/>
                <w:bCs/>
                <w:sz w:val="16"/>
                <w:szCs w:val="24"/>
                <w:rtl/>
              </w:rPr>
              <w:t>83</w:t>
            </w:r>
          </w:p>
        </w:tc>
        <w:tc>
          <w:tcPr>
            <w:tcW w:w="1087" w:type="dxa"/>
            <w:tcBorders>
              <w:bottom w:val="single" w:sz="12" w:space="0" w:color="auto"/>
            </w:tcBorders>
            <w:shd w:val="clear" w:color="auto" w:fill="auto"/>
            <w:vAlign w:val="bottom"/>
          </w:tcPr>
          <w:p w:rsidR="009A7CA2" w:rsidRPr="009A7CA2" w:rsidRDefault="009A7CA2" w:rsidP="000141C9">
            <w:pPr>
              <w:bidi w:val="0"/>
              <w:spacing w:before="40" w:after="80" w:line="240" w:lineRule="exact"/>
              <w:ind w:right="144"/>
              <w:jc w:val="right"/>
              <w:rPr>
                <w:rFonts w:eastAsia="Arial Unicode MS"/>
                <w:b/>
                <w:bCs/>
                <w:sz w:val="16"/>
                <w:szCs w:val="24"/>
                <w:lang w:eastAsia="pt-BR"/>
              </w:rPr>
            </w:pPr>
            <w:r w:rsidRPr="009A7CA2">
              <w:rPr>
                <w:rFonts w:hint="cs"/>
                <w:b/>
                <w:bCs/>
                <w:sz w:val="16"/>
                <w:szCs w:val="24"/>
                <w:rtl/>
              </w:rPr>
              <w:t>35</w:t>
            </w:r>
            <w:r w:rsidRPr="009A7CA2">
              <w:rPr>
                <w:rFonts w:hint="cs"/>
                <w:b/>
                <w:bCs/>
                <w:sz w:val="16"/>
                <w:szCs w:val="24"/>
              </w:rPr>
              <w:t xml:space="preserve"> </w:t>
            </w:r>
            <w:r w:rsidRPr="009A7CA2">
              <w:rPr>
                <w:rFonts w:hint="cs"/>
                <w:b/>
                <w:bCs/>
                <w:sz w:val="16"/>
                <w:szCs w:val="24"/>
                <w:rtl/>
              </w:rPr>
              <w:t>350</w:t>
            </w:r>
          </w:p>
        </w:tc>
      </w:tr>
    </w:tbl>
    <w:p w:rsidR="000141C9" w:rsidRPr="000141C9" w:rsidRDefault="000141C9" w:rsidP="000141C9">
      <w:pPr>
        <w:pStyle w:val="SingleTxt"/>
        <w:spacing w:after="0" w:line="120" w:lineRule="exact"/>
        <w:rPr>
          <w:rFonts w:hint="cs"/>
          <w:sz w:val="10"/>
          <w:rtl/>
          <w:lang w:bidi="ar-EG"/>
        </w:rPr>
      </w:pPr>
    </w:p>
    <w:p w:rsidR="003B131B" w:rsidRPr="000141C9" w:rsidRDefault="000141C9" w:rsidP="000141C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rtl/>
          <w:lang w:bidi="ar-EG"/>
        </w:rPr>
        <w:t>:</w:t>
      </w:r>
      <w:r>
        <w:rPr>
          <w:rFonts w:hint="cs"/>
          <w:rtl/>
          <w:lang w:bidi="ar-EG"/>
        </w:rPr>
        <w:tab/>
        <w:t>وكالة تنسيق التدريب المتقدم لموظفي المستوى الرفيع. كيان تنسيق تنظيم المعلومات وإدارتها، 2003.</w:t>
      </w:r>
    </w:p>
    <w:p w:rsidR="00EB0A3C" w:rsidRPr="00EB0A3C" w:rsidRDefault="00EB0A3C" w:rsidP="00EB0A3C">
      <w:pPr>
        <w:pStyle w:val="SingleTxt"/>
        <w:spacing w:after="0" w:line="120" w:lineRule="exact"/>
        <w:rPr>
          <w:sz w:val="10"/>
          <w:rtl/>
          <w:lang w:bidi="ar-EG"/>
        </w:rPr>
      </w:pPr>
    </w:p>
    <w:p w:rsidR="00EB0A3C" w:rsidRPr="00EB0A3C" w:rsidRDefault="00EB0A3C" w:rsidP="00EB0A3C">
      <w:pPr>
        <w:pStyle w:val="SingleTxt"/>
        <w:spacing w:after="0" w:line="120" w:lineRule="exact"/>
        <w:rPr>
          <w:sz w:val="10"/>
          <w:rtl/>
          <w:lang w:bidi="ar-EG"/>
        </w:rPr>
      </w:pPr>
    </w:p>
    <w:p w:rsidR="00EB0A3C" w:rsidRDefault="00EB0A3C" w:rsidP="00EB0A3C">
      <w:pPr>
        <w:pStyle w:val="SingleTxt"/>
        <w:rPr>
          <w:rFonts w:hint="cs"/>
          <w:rtl/>
          <w:lang w:bidi="ar-EG"/>
        </w:rPr>
      </w:pPr>
      <w:r>
        <w:rPr>
          <w:rFonts w:hint="cs"/>
          <w:rtl/>
          <w:lang w:bidi="ar-EG"/>
        </w:rPr>
        <w:tab/>
        <w:t>ولم تنفذ بعد السياسات التي تشجع المرأة على الالتحاق بمجالات معينة، والتي تعالج التحيزات الموجودة. أما أوجه التقدم المحرز في السياسات التعليمية فتنصب على تحدي القوالب النمطية لأدوار الذكر والأنثى من خلال تنقيح المناهج الدراسية ومراقبة ما تتضمنه الكتب التعليمية.</w:t>
      </w:r>
    </w:p>
    <w:p w:rsidR="00EB0A3C" w:rsidRDefault="00EB0A3C" w:rsidP="00EB0A3C">
      <w:pPr>
        <w:pStyle w:val="SingleTxt"/>
        <w:rPr>
          <w:rFonts w:hint="cs"/>
          <w:rtl/>
          <w:lang w:bidi="ar-EG"/>
        </w:rPr>
      </w:pPr>
      <w:r>
        <w:rPr>
          <w:rFonts w:hint="cs"/>
          <w:rtl/>
          <w:lang w:bidi="ar-EG"/>
        </w:rPr>
        <w:tab/>
        <w:t xml:space="preserve">وتتخذ الحكومة البرازيلية مجموعة من المبادرات لمعالجة تلك المسألة. ومن أمثلة ذلك تعزيز </w:t>
      </w:r>
      <w:r>
        <w:rPr>
          <w:rFonts w:hint="eastAsia"/>
          <w:rtl/>
          <w:lang w:bidi="ar-EG"/>
        </w:rPr>
        <w:t xml:space="preserve">”حلقة دراسية دولية عن التعليم من </w:t>
      </w:r>
      <w:r>
        <w:rPr>
          <w:rFonts w:hint="cs"/>
          <w:rtl/>
          <w:lang w:bidi="ar-EG"/>
        </w:rPr>
        <w:t>أجل</w:t>
      </w:r>
      <w:r>
        <w:rPr>
          <w:rFonts w:hint="eastAsia"/>
          <w:rtl/>
          <w:lang w:bidi="ar-EG"/>
        </w:rPr>
        <w:t xml:space="preserve"> </w:t>
      </w:r>
      <w:r>
        <w:rPr>
          <w:rFonts w:hint="cs"/>
          <w:rtl/>
          <w:lang w:bidi="ar-EG"/>
        </w:rPr>
        <w:t>المساواة فيما يتعلق بنوع الجنس، والعنصر، والتوجيه الجنسي</w:t>
      </w:r>
      <w:r>
        <w:rPr>
          <w:rFonts w:hint="eastAsia"/>
          <w:rtl/>
          <w:lang w:bidi="ar-EG"/>
        </w:rPr>
        <w:t xml:space="preserve">“ عقدت في برازيليا في 30 تشرين الثاني/نوفمبر و 1 كانون الأول/ديسمبر 2004. </w:t>
      </w:r>
      <w:r>
        <w:rPr>
          <w:rFonts w:hint="cs"/>
          <w:rtl/>
          <w:lang w:bidi="ar-EG"/>
        </w:rPr>
        <w:t>وكانت هذه الحلقة الدراسية خطوة هامة صوب إدماج مسألة نوع الجنس في السياسات التعليمية.</w:t>
      </w:r>
    </w:p>
    <w:p w:rsidR="00EB0A3C" w:rsidRDefault="00EB0A3C" w:rsidP="00EB0A3C">
      <w:pPr>
        <w:pStyle w:val="SingleTxt"/>
        <w:rPr>
          <w:rFonts w:hint="cs"/>
          <w:rtl/>
          <w:lang w:bidi="ar-EG"/>
        </w:rPr>
      </w:pPr>
      <w:r>
        <w:rPr>
          <w:rFonts w:hint="cs"/>
          <w:rtl/>
          <w:lang w:bidi="ar-EG"/>
        </w:rPr>
        <w:tab/>
        <w:t xml:space="preserve">وشارك في تنظيم هذه الحلقة الدراسية الأمانة الخاصة لسياسات المرأة، ووزارة التعليم، والأمانة الخاصة لسياسات تعزيز المساواة العنصرية، والأمانة الخاصة لحقوق الإنسان؛ وكان الهدف من عقد هذه الحلقة مناقشة القضايا المتعلقة بتحضير المواد التعليمية، وتغيير فحوى برنامج مناهج الدورة التعليمية، واعتماد ممارسات تعليمية جديدة في دورات التعليم الأساسي ودورات تعليم الشباب والكبار على مستوى عموم نظام المدارس في البرازيل. وأسفرت المناقشات التي دارت بين الأخصائيين من البرازيل والمملكة المتحدة عن تقرير يتضمن المبادئ التوجيهية للمشروع. وسيرسل هذا التقرير إلى وزارة التعليم، وغرفة تدريب الأساتذة، وغرفة التنوع في التعليم، التي أنشئت بمقتضى </w:t>
      </w:r>
      <w:r w:rsidR="006103BF">
        <w:rPr>
          <w:rFonts w:hint="cs"/>
          <w:rtl/>
          <w:lang w:bidi="ar-EG"/>
        </w:rPr>
        <w:t>الأمر الوزاري رقم 695 المؤرخ 10</w:t>
      </w:r>
      <w:r w:rsidR="006103BF">
        <w:rPr>
          <w:rFonts w:hint="eastAsia"/>
          <w:rtl/>
          <w:lang w:bidi="ar-EG"/>
        </w:rPr>
        <w:t> </w:t>
      </w:r>
      <w:r>
        <w:rPr>
          <w:rFonts w:hint="cs"/>
          <w:rtl/>
          <w:lang w:bidi="ar-EG"/>
        </w:rPr>
        <w:t>أيلول/سبتمبر 2004.</w:t>
      </w:r>
    </w:p>
    <w:p w:rsidR="00EB0A3C" w:rsidRDefault="00EB0A3C" w:rsidP="00BC13BF">
      <w:pPr>
        <w:pStyle w:val="SingleTxt"/>
        <w:rPr>
          <w:rFonts w:hint="cs"/>
          <w:rtl/>
          <w:lang w:bidi="ar-EG"/>
        </w:rPr>
      </w:pPr>
      <w:r>
        <w:rPr>
          <w:rFonts w:hint="cs"/>
          <w:rtl/>
          <w:lang w:bidi="ar-EG"/>
        </w:rPr>
        <w:tab/>
        <w:t xml:space="preserve">وكان من المبادرات الأخرى في هذا السياق قيام وزارة التعليم بتحسين معايير </w:t>
      </w:r>
      <w:r w:rsidR="00BC13BF">
        <w:rPr>
          <w:rFonts w:hint="cs"/>
          <w:rtl/>
          <w:lang w:bidi="ar-EG"/>
        </w:rPr>
        <w:t>انتقاء</w:t>
      </w:r>
      <w:r>
        <w:rPr>
          <w:rFonts w:hint="cs"/>
          <w:rtl/>
          <w:lang w:bidi="ar-EG"/>
        </w:rPr>
        <w:t xml:space="preserve"> الكتب الدراسية التي يجري </w:t>
      </w:r>
      <w:r w:rsidR="002E6436">
        <w:rPr>
          <w:rFonts w:hint="cs"/>
          <w:rtl/>
          <w:lang w:bidi="ar-EG"/>
        </w:rPr>
        <w:t>توزيعها على الصعيد الوطني. والبرنامج الوطني للكتب الدراسية يعمل منذ عام 1985 على توزيع الكتب المدرسية على الصعيد الوطني امتثالا للقسم السابع من المادة 208 من الدستور الاتحادي. ومنذ عام 1995 ارتكز تقييم الكتب الدراسية وانتقائها على المعايير الناتجة عن مكافحة جميع أشكال التمييز بما فيها نوع الجنس.</w:t>
      </w:r>
    </w:p>
    <w:p w:rsidR="002E6436" w:rsidRDefault="002E6436" w:rsidP="00EB0A3C">
      <w:pPr>
        <w:pStyle w:val="SingleTxt"/>
        <w:rPr>
          <w:rFonts w:hint="cs"/>
          <w:rtl/>
          <w:lang w:bidi="ar-EG"/>
        </w:rPr>
      </w:pPr>
      <w:r>
        <w:rPr>
          <w:rFonts w:hint="cs"/>
          <w:rtl/>
          <w:lang w:bidi="ar-EG"/>
        </w:rPr>
        <w:tab/>
        <w:t>وفي عام 2004، تحسنت معايير الحكم على الكتب نتيجة للتنسيق بين الأمانة الخاصة لسياسات المرأة ووزارة التعليم بفضل عملية تطوير الخطة الوطنية لسياسات المرأة. ولم توجه المعايير الجديدة صوب إزالة التحيز الجنسي والقوالب النمطية الأنثوية من لغة الكتب الدراسية ومحتوياتها فحسب، بل وجهت أيضا إلى تعزيز التعليم الذي يرتكز على المساواة بين الجنسين.</w:t>
      </w:r>
    </w:p>
    <w:p w:rsidR="002E6436" w:rsidRDefault="002E6436" w:rsidP="00EB0A3C">
      <w:pPr>
        <w:pStyle w:val="SingleTxt"/>
        <w:rPr>
          <w:rFonts w:hint="cs"/>
          <w:rtl/>
          <w:lang w:bidi="ar-EG"/>
        </w:rPr>
      </w:pPr>
      <w:r>
        <w:rPr>
          <w:rFonts w:hint="cs"/>
          <w:rtl/>
          <w:lang w:bidi="ar-EG"/>
        </w:rPr>
        <w:tab/>
        <w:t>ونشرت في 28 تشرين الأول/أكتوبر 2004 المذكرة التي تدعو إلى إجراء عملية تقييم واختيار للنصوص التي يجب إدراجها في دليل الكتب الدراسية للصفوف المدرسية من الأول إلى الرابع لعام 2007. وتتضمن هذه المذكرة معايير أوضح للحكم على الكتب وتصنيفها حسب محتوياتها الجنسانية والعنصرية. ولا يكفي للموافقة على أي كتاب أو التوصية به أن يتجنب القوالب النمطية والمحتويات السلبية فحسب، بل يجب أن يحتوي الكتاب على مادة إيجابية.</w:t>
      </w:r>
    </w:p>
    <w:p w:rsidR="002E6436" w:rsidRDefault="002E6436" w:rsidP="002E6436">
      <w:pPr>
        <w:pStyle w:val="SingleTxt"/>
        <w:rPr>
          <w:rFonts w:hint="cs"/>
          <w:rtl/>
          <w:lang w:bidi="ar-EG"/>
        </w:rPr>
      </w:pPr>
      <w:r>
        <w:rPr>
          <w:rFonts w:hint="cs"/>
          <w:rtl/>
          <w:lang w:bidi="ar-EG"/>
        </w:rPr>
        <w:tab/>
        <w:t xml:space="preserve">وتنفيذ الخطة الوطنية للتثقيف المعني بحقوق الإنسان يشكل أداة هامة أخرى تستخدمها الحكومة لوضع نظام تعليمي غير تمييزي، كما جرت ملاحظة ذلك فيما سبق. وتتضمن هذه الخطة أنشطة التثقيف المعني بحقوق الإنسان في مجالات متنوعة، بما فيها التعليم النظامي. وتنص المادة 7 على ما يلي في إشارتها إلى التعليم الأساسي: </w:t>
      </w:r>
      <w:r>
        <w:rPr>
          <w:rFonts w:hint="eastAsia"/>
          <w:rtl/>
          <w:lang w:bidi="ar-EG"/>
        </w:rPr>
        <w:t>”إنشاء مشاريع ثقافية وتعليمية لمكافحة التمييز العنصري والجنساني وأشكال التعصب الأخرى</w:t>
      </w:r>
      <w:r>
        <w:rPr>
          <w:rFonts w:hint="cs"/>
          <w:rtl/>
          <w:lang w:bidi="ar-EG"/>
        </w:rPr>
        <w:t>“. وتقع المسؤولية عن ذلك على عاتق وزارة التعليم، والإدارات التعليمية للولايات والبلديات، والمهنيين التعليميين، والمجتمع المحلي.</w:t>
      </w:r>
    </w:p>
    <w:p w:rsidR="002E6436" w:rsidRDefault="002E6436" w:rsidP="00A9226D">
      <w:pPr>
        <w:pStyle w:val="SingleTxt"/>
        <w:rPr>
          <w:rFonts w:hint="cs"/>
          <w:rtl/>
          <w:lang w:bidi="ar-EG"/>
        </w:rPr>
      </w:pPr>
      <w:r>
        <w:rPr>
          <w:rFonts w:hint="cs"/>
          <w:rtl/>
          <w:lang w:bidi="ar-EG"/>
        </w:rPr>
        <w:tab/>
        <w:t xml:space="preserve">وتوضح الخطة الوطنية في قسم </w:t>
      </w:r>
      <w:r>
        <w:rPr>
          <w:rFonts w:hint="eastAsia"/>
          <w:rtl/>
          <w:lang w:bidi="ar-EG"/>
        </w:rPr>
        <w:t>”التعليم ووسائط الإعلام</w:t>
      </w:r>
      <w:r>
        <w:rPr>
          <w:rFonts w:hint="cs"/>
          <w:rtl/>
          <w:lang w:bidi="ar-EG"/>
        </w:rPr>
        <w:t xml:space="preserve">“ </w:t>
      </w:r>
      <w:r w:rsidR="00A9226D">
        <w:rPr>
          <w:rFonts w:hint="cs"/>
          <w:rtl/>
          <w:lang w:bidi="ar-EG"/>
        </w:rPr>
        <w:t>أن</w:t>
      </w:r>
      <w:r>
        <w:rPr>
          <w:rFonts w:hint="cs"/>
          <w:rtl/>
          <w:lang w:bidi="ar-EG"/>
        </w:rPr>
        <w:t xml:space="preserve"> التشريع الذي يحكم تقديم خدمات الاتصالات يؤكد ضرورة امتثال مقدمي الخدمات لالتزامات محددة ترد في الدستور الاتحادي والمعاهدات والاتفاقيات الدولية. وتتضمن هذه الالتزامات ثقافة السلام، والتسامح والاحترام إزاء الفروق الإثنية والعنصرية والثقافية والجنسانية، فضلا عن التوجه الجنسي والسياسي والديني. وتنص الخطة على أنه </w:t>
      </w:r>
      <w:r>
        <w:rPr>
          <w:rFonts w:hint="eastAsia"/>
          <w:rtl/>
          <w:lang w:bidi="ar-EG"/>
        </w:rPr>
        <w:t>”ينبغي لوسائط الإعلام أن تأخذ موقفا مؤيدا لعدم العنف ولاحترام حقوق الإنسان، ليس بقوة القانون فحسب، بل من خلال مشاركتها في تحسين نوعية حياة الأفراد أيضا</w:t>
      </w:r>
      <w:r>
        <w:rPr>
          <w:rFonts w:hint="cs"/>
          <w:rtl/>
          <w:lang w:bidi="ar-EG"/>
        </w:rPr>
        <w:t>“.</w:t>
      </w:r>
    </w:p>
    <w:p w:rsidR="002E6436" w:rsidRDefault="002E6436" w:rsidP="002E6436">
      <w:pPr>
        <w:pStyle w:val="SingleTxt"/>
        <w:rPr>
          <w:rFonts w:hint="cs"/>
          <w:rtl/>
          <w:lang w:bidi="ar-EG"/>
        </w:rPr>
      </w:pPr>
      <w:r>
        <w:rPr>
          <w:rFonts w:hint="cs"/>
          <w:rtl/>
          <w:lang w:bidi="ar-EG"/>
        </w:rPr>
        <w:tab/>
        <w:t xml:space="preserve">وشكلت وزارة التعليم </w:t>
      </w:r>
      <w:r>
        <w:rPr>
          <w:rFonts w:hint="eastAsia"/>
          <w:rtl/>
          <w:lang w:bidi="ar-EG"/>
        </w:rPr>
        <w:t>”لجنة لحقوق الإنسان</w:t>
      </w:r>
      <w:r>
        <w:rPr>
          <w:rFonts w:hint="cs"/>
          <w:rtl/>
          <w:lang w:bidi="ar-EG"/>
        </w:rPr>
        <w:t xml:space="preserve">“ </w:t>
      </w:r>
      <w:r w:rsidR="00D20140">
        <w:rPr>
          <w:rFonts w:hint="cs"/>
          <w:rtl/>
          <w:lang w:bidi="ar-EG"/>
        </w:rPr>
        <w:t>داخل الوزارة للإسهام في تنفيذ هذه الخطة. ورغم أن اللجنة تجتمع بصفة دورية منذ 24 أيار/مايو 2004، إلا أن هذا المنتدى الهام للمناقشات المؤسسية لم يتكون بصفة رسمية بعد.</w:t>
      </w:r>
    </w:p>
    <w:p w:rsidR="00D20140" w:rsidRDefault="00D20140" w:rsidP="00D20140">
      <w:pPr>
        <w:pStyle w:val="SingleTxt"/>
        <w:rPr>
          <w:rFonts w:hint="cs"/>
          <w:rtl/>
          <w:lang w:bidi="ar-EG"/>
        </w:rPr>
      </w:pPr>
      <w:r w:rsidRPr="00D430C0">
        <w:rPr>
          <w:rFonts w:hint="cs"/>
          <w:w w:val="100"/>
          <w:rtl/>
          <w:lang w:bidi="ar-EG"/>
        </w:rPr>
        <w:tab/>
        <w:t xml:space="preserve">وخطة العمل المتعددة السنوات 2004-2007 لوزارة التعليم تضمنت لأول مرة أعمالا ترتبط ارتباطا صريحا بالتثقيف المعني بحقوق الإنسان، وذلك عن طريق إنشاء برنامج التثقيف بشأن التنوع والمواطنة. والإشارة إلى مفهوم نوع الجنس في أداة إدارية كالخطة المتعددة السنوات، يشكل خطوة مبتكرة تتخذها وزارة التعليم. ويدخل نوع الجنس ضمن الموضوعات المدرجة تحت عنوان </w:t>
      </w:r>
      <w:r w:rsidRPr="00D430C0">
        <w:rPr>
          <w:rFonts w:hint="eastAsia"/>
          <w:w w:val="100"/>
          <w:rtl/>
          <w:lang w:bidi="ar-EG"/>
        </w:rPr>
        <w:t>”التنوع</w:t>
      </w:r>
      <w:r w:rsidRPr="00D430C0">
        <w:rPr>
          <w:rFonts w:hint="cs"/>
          <w:w w:val="100"/>
          <w:rtl/>
          <w:lang w:bidi="ar-EG"/>
        </w:rPr>
        <w:t>“، مع العنصر، والإثنية، والتوجه الجنسي، وغير ذلك.</w:t>
      </w:r>
    </w:p>
    <w:p w:rsidR="00D20140" w:rsidRPr="00D430C0" w:rsidRDefault="00D20140" w:rsidP="00D20140">
      <w:pPr>
        <w:pStyle w:val="SingleTxt"/>
        <w:rPr>
          <w:rFonts w:hint="cs"/>
          <w:w w:val="100"/>
          <w:rtl/>
          <w:lang w:bidi="ar-EG"/>
        </w:rPr>
      </w:pPr>
      <w:r>
        <w:rPr>
          <w:rFonts w:hint="cs"/>
          <w:rtl/>
          <w:lang w:bidi="ar-EG"/>
        </w:rPr>
        <w:tab/>
      </w:r>
      <w:r w:rsidRPr="00D430C0">
        <w:rPr>
          <w:rFonts w:hint="cs"/>
          <w:w w:val="100"/>
          <w:rtl/>
          <w:lang w:bidi="ar-EG"/>
        </w:rPr>
        <w:t>والأنشطة المعينة هي: دعم الأنشطة التعليمية التي تعزز التنوع داخل المدرسة؛ ودعم توزيع المواد التعليمية ومواد أصول التدريس المعنية بالتنوع والمواطنة؛ وتيسير المشاريع التعليمية المبتكرة للتثقيف المعني بالتنوع والمشاركة المدنية؛ وتيسير تدريب المهنيين التعليميين على التثقيف المعني بالتنوع والمشاركة المدنية؛ وتيسير تقدير التنوع في إمكانية الوصول إلى الجامعة والانتظام فيها؛ وتيسير إنشاء أنشطة تعليمية وثقافية وترفيهية في المدارس المفتوحة أثناء عطلات نهاية الأسبوع؛ ومنح جائزة للمقالات المتصلة بالتثقيف المعني بالتنوع والمشاركة المدنية. والمواضيع المقترحة للمناقشة هي نوع الجنس، والعنصر، والإثنية، والتوجه الجنسي.</w:t>
      </w:r>
    </w:p>
    <w:p w:rsidR="00D20140" w:rsidRDefault="00D20140" w:rsidP="00D20140">
      <w:pPr>
        <w:pStyle w:val="SingleTxt"/>
        <w:rPr>
          <w:rFonts w:hint="cs"/>
          <w:rtl/>
          <w:lang w:bidi="ar-EG"/>
        </w:rPr>
      </w:pPr>
      <w:r>
        <w:rPr>
          <w:rFonts w:hint="cs"/>
          <w:rtl/>
          <w:lang w:bidi="ar-EG"/>
        </w:rPr>
        <w:tab/>
        <w:t>وأشارت التوصية رقم 13 (الفقرة 123) إلى ضرورة تعزيز التدابير الفعالة الرامية إلى تعزيز فرص المرأة في الوصول إلى جميع المستويات التعليمية ومستويات التدريس. وبخلاف البلدان النامية الأخرى، تتساوى بشكل عام فرص وصول المرأة والرجل في البرازيل إلى التعليم. وعدد النساء اللاتي يصلن الآن إلى التعليم العالي أكبر من عدد الرجال.</w:t>
      </w:r>
    </w:p>
    <w:p w:rsidR="00D20140" w:rsidRDefault="00D20140" w:rsidP="00D20140">
      <w:pPr>
        <w:pStyle w:val="SingleTxt"/>
        <w:rPr>
          <w:rFonts w:hint="cs"/>
          <w:rtl/>
          <w:lang w:bidi="ar-EG"/>
        </w:rPr>
      </w:pPr>
      <w:r>
        <w:rPr>
          <w:rFonts w:hint="cs"/>
          <w:rtl/>
          <w:lang w:bidi="ar-EG"/>
        </w:rPr>
        <w:tab/>
        <w:t>وتبين مختلف المؤشرات التقدم المحرز في درجة تثقيف المر</w:t>
      </w:r>
      <w:r w:rsidR="006103BF">
        <w:rPr>
          <w:rFonts w:hint="cs"/>
          <w:rtl/>
          <w:lang w:bidi="ar-EG"/>
        </w:rPr>
        <w:t>أة، مثل متوسط عدد سنوات الدراسة</w:t>
      </w:r>
      <w:r>
        <w:rPr>
          <w:rFonts w:hint="cs"/>
          <w:rtl/>
          <w:lang w:bidi="ar-EG"/>
        </w:rPr>
        <w:t xml:space="preserve"> للسكان الذين تزيد أعمارهم عن 25 سنة. ففي عام 1990 كان متوسط عدد سنوات الدراسة للرجال 4.9 سنة وللنساء 4.7 سنة. وفي عام 2003 كان متوسط عدد سنوات الدراسة للمرأة في البرازيل 6.6 سنة، بينما كان هذا المتوسط للرجال 6.3 سنة. وكان الفارق أكبر بين سكان الحضر العاملين، فكان متوسط عدد سنوات الدراسة للمرأة 8.4 سنة وللرجل 7.4 سنة (دراسة استقصائية وطنية لعينة من الأسر المعيشية/المعهد البرازيلي للجغرافيا والإحصاءات).</w:t>
      </w:r>
    </w:p>
    <w:p w:rsidR="00D20140" w:rsidRDefault="00D20140" w:rsidP="00D430C0">
      <w:pPr>
        <w:pStyle w:val="SingleTxt"/>
        <w:rPr>
          <w:rFonts w:hint="cs"/>
          <w:rtl/>
          <w:lang w:bidi="ar-EG"/>
        </w:rPr>
      </w:pPr>
      <w:r>
        <w:rPr>
          <w:rFonts w:hint="cs"/>
          <w:rtl/>
          <w:lang w:bidi="ar-EG"/>
        </w:rPr>
        <w:tab/>
        <w:t xml:space="preserve">وفيما يتعلق بأقسام المادة 10، تتساوى فرص الحصول على </w:t>
      </w:r>
      <w:r w:rsidR="00DE7E55">
        <w:rPr>
          <w:rFonts w:hint="cs"/>
          <w:rtl/>
          <w:lang w:bidi="ar-EG"/>
        </w:rPr>
        <w:t>نفس المناهج الدراسية، والامتحانات (ب)، والمنح الدراسية (د) وبرامج التعليم التكميلي (هـ)، بالنسبة للرجل والمرأة</w:t>
      </w:r>
      <w:r w:rsidR="00D430C0">
        <w:rPr>
          <w:rFonts w:hint="cs"/>
          <w:rtl/>
          <w:lang w:bidi="ar-EG"/>
        </w:rPr>
        <w:t xml:space="preserve"> </w:t>
      </w:r>
      <w:r w:rsidR="00DE7E55">
        <w:rPr>
          <w:rFonts w:hint="cs"/>
          <w:rtl/>
          <w:lang w:bidi="ar-EG"/>
        </w:rPr>
        <w:t>في البرازيل. ومع ذلك، عندما تجري دراسة هذه الحالة العامة بمزيد من التدقيق، يتبين أن التفاوت لا يزال موجودا بين الرجل والمرأة، فمن الواضح أن هناك مجموعات من النساء اللاتي لا يحصلن على تعليم جيد.</w:t>
      </w:r>
    </w:p>
    <w:p w:rsidR="00DE7E55" w:rsidRDefault="00DE7E55" w:rsidP="006103BF">
      <w:pPr>
        <w:pStyle w:val="SingleTxt"/>
        <w:rPr>
          <w:rFonts w:hint="cs"/>
          <w:rtl/>
          <w:lang w:bidi="ar-EG"/>
        </w:rPr>
      </w:pPr>
      <w:r>
        <w:rPr>
          <w:rFonts w:hint="cs"/>
          <w:rtl/>
          <w:lang w:bidi="ar-EG"/>
        </w:rPr>
        <w:tab/>
        <w:t xml:space="preserve">وتحسين مستوى تعليم المرأة يفيد النساء </w:t>
      </w:r>
      <w:r w:rsidR="006103BF">
        <w:rPr>
          <w:rFonts w:hint="cs"/>
          <w:rtl/>
          <w:lang w:bidi="ar-EG"/>
        </w:rPr>
        <w:t xml:space="preserve">الأصغر سنا </w:t>
      </w:r>
      <w:r>
        <w:rPr>
          <w:rFonts w:hint="cs"/>
          <w:rtl/>
          <w:lang w:bidi="ar-EG"/>
        </w:rPr>
        <w:t>بصورة أساسية. ولا تزال النساء المسنات والفقيرات يستبعدن من التعليم بدرجة كبيرة، مما يستدعي رسم سياسات محددة. وعلى سبيل المثال، يزداد معدل النساء الأميات زيادة مطردة بالنسبة للنساء اللاتي يتجاوزن 40 سنة. ووفقا لتعداد عام 2000، كان إجمالي هذه المجموعة 4.5 مليون امرأة.</w:t>
      </w:r>
    </w:p>
    <w:p w:rsidR="00DE7E55" w:rsidRDefault="00DE7E55" w:rsidP="006103BF">
      <w:pPr>
        <w:pStyle w:val="SingleTxt"/>
        <w:rPr>
          <w:rFonts w:hint="cs"/>
          <w:rtl/>
          <w:lang w:bidi="ar-EG"/>
        </w:rPr>
      </w:pPr>
      <w:r>
        <w:rPr>
          <w:rFonts w:hint="cs"/>
          <w:rtl/>
          <w:lang w:bidi="ar-EG"/>
        </w:rPr>
        <w:tab/>
        <w:t xml:space="preserve">وتنطبق نفس هذه الحالة على المعوقات. فعلى سبيل المثال، </w:t>
      </w:r>
      <w:r w:rsidR="006103BF">
        <w:rPr>
          <w:rFonts w:hint="cs"/>
          <w:rtl/>
          <w:lang w:bidi="ar-EG"/>
        </w:rPr>
        <w:t>كان</w:t>
      </w:r>
      <w:r>
        <w:rPr>
          <w:rFonts w:hint="cs"/>
          <w:rtl/>
          <w:lang w:bidi="ar-EG"/>
        </w:rPr>
        <w:t xml:space="preserve"> معدل الالتحاق بالمدارس للفتيات المعوقات اللاتي تتراوح أعمارهن بين 7 و 14 سنة أقل بنسبة 6 في المائة من معدل غير المعوقات من نفس الفئة العمرية. وفضلا عن ذلك، فوفقا لبيانات منظمة الأمم المتحدة للطفولة، إذا ولدت طفلة معوقة يكون احتمال عدم تعلمها القراءة والكتابة أكبر بأربعة أضعاف. ويعود ذلك إلى ما يسمى</w:t>
      </w:r>
      <w:r w:rsidR="006103BF">
        <w:rPr>
          <w:rFonts w:hint="cs"/>
          <w:rtl/>
          <w:lang w:bidi="ar-EG"/>
        </w:rPr>
        <w:t xml:space="preserve"> بـ </w:t>
      </w:r>
      <w:r w:rsidR="006103BF">
        <w:rPr>
          <w:rFonts w:hint="eastAsia"/>
          <w:rtl/>
          <w:lang w:bidi="ar-EG"/>
        </w:rPr>
        <w:t>”</w:t>
      </w:r>
      <w:r>
        <w:rPr>
          <w:rFonts w:hint="cs"/>
          <w:rtl/>
          <w:lang w:bidi="ar-EG"/>
        </w:rPr>
        <w:t>ثنائية الإعاقة ونوع الجنس.</w:t>
      </w:r>
    </w:p>
    <w:p w:rsidR="00DE7E55" w:rsidRDefault="00DE7E55" w:rsidP="00D20140">
      <w:pPr>
        <w:pStyle w:val="SingleTxt"/>
        <w:rPr>
          <w:rFonts w:hint="cs"/>
          <w:rtl/>
          <w:lang w:bidi="ar-EG"/>
        </w:rPr>
      </w:pPr>
      <w:r>
        <w:rPr>
          <w:rFonts w:hint="cs"/>
          <w:rtl/>
          <w:lang w:bidi="ar-EG"/>
        </w:rPr>
        <w:tab/>
        <w:t xml:space="preserve">وتكون النساء الأغلبية الساحقة من المعلمات في المستوى التعليمي الأساسي، إلا أن مشاركتهن تقل في المستويات الأعلى التي تحظى بوضع أفضل. ويصدق هذا القول حتى مع الأخذ في الاعتبار بأن النساء يشكلن أغلبية </w:t>
      </w:r>
      <w:r w:rsidR="009E608C">
        <w:rPr>
          <w:rFonts w:hint="cs"/>
          <w:rtl/>
          <w:lang w:bidi="ar-EG"/>
        </w:rPr>
        <w:t>المتخرجين من مستويات التعليم الأعلى.</w:t>
      </w:r>
    </w:p>
    <w:p w:rsidR="009E608C" w:rsidRDefault="009E608C" w:rsidP="009E608C">
      <w:pPr>
        <w:pStyle w:val="SingleTxt"/>
        <w:rPr>
          <w:rFonts w:hint="cs"/>
          <w:rtl/>
          <w:lang w:bidi="ar-EG"/>
        </w:rPr>
      </w:pPr>
      <w:r>
        <w:rPr>
          <w:rFonts w:hint="cs"/>
          <w:rtl/>
          <w:lang w:bidi="ar-EG"/>
        </w:rPr>
        <w:tab/>
        <w:t>والبيانات الواردة أدناه تبرهن بوضوح على تأثير التمييز بين الجنسين على تقدم الرحل والمرأة في المسار الوظيفي الأكاديمي. ورغم أن عدد الرجال والنساء من طلبة الماجستير والدكتوراه متساو، يحظى الرجال بفرصة أكبر بكثير للوصول إلى منصب المشرف على رسائل الماجستير والدكتوراه.</w:t>
      </w:r>
    </w:p>
    <w:p w:rsidR="00D430C0" w:rsidRPr="00D430C0" w:rsidRDefault="00D430C0" w:rsidP="00D430C0">
      <w:pPr>
        <w:pStyle w:val="SingleTxt"/>
        <w:spacing w:after="0" w:line="120" w:lineRule="exact"/>
        <w:rPr>
          <w:rFonts w:hint="cs"/>
          <w:sz w:val="10"/>
          <w:rtl/>
          <w:lang w:bidi="ar-EG"/>
        </w:rPr>
      </w:pPr>
    </w:p>
    <w:tbl>
      <w:tblPr>
        <w:bidiVisual/>
        <w:tblW w:w="0" w:type="auto"/>
        <w:jc w:val="center"/>
        <w:tblLayout w:type="fixed"/>
        <w:tblCellMar>
          <w:left w:w="0" w:type="dxa"/>
          <w:right w:w="0" w:type="dxa"/>
        </w:tblCellMar>
        <w:tblLook w:val="0000" w:firstRow="0" w:lastRow="0" w:firstColumn="0" w:lastColumn="0" w:noHBand="0" w:noVBand="0"/>
      </w:tblPr>
      <w:tblGrid>
        <w:gridCol w:w="4360"/>
        <w:gridCol w:w="1751"/>
        <w:gridCol w:w="1209"/>
      </w:tblGrid>
      <w:tr w:rsidR="00FC7A55" w:rsidRPr="00C63143">
        <w:trPr>
          <w:cantSplit/>
          <w:tblHeader/>
          <w:jc w:val="center"/>
        </w:trPr>
        <w:tc>
          <w:tcPr>
            <w:tcW w:w="7320" w:type="dxa"/>
            <w:gridSpan w:val="3"/>
            <w:tcBorders>
              <w:top w:val="single" w:sz="4" w:space="0" w:color="auto"/>
              <w:bottom w:val="single" w:sz="4" w:space="0" w:color="auto"/>
            </w:tcBorders>
            <w:shd w:val="clear" w:color="auto" w:fill="auto"/>
            <w:vAlign w:val="bottom"/>
          </w:tcPr>
          <w:p w:rsidR="00FC7A55" w:rsidRPr="00FC7A55" w:rsidRDefault="00FC7A55" w:rsidP="00FC7A55">
            <w:pPr>
              <w:spacing w:before="80" w:after="80" w:line="240" w:lineRule="exact"/>
              <w:ind w:right="144"/>
              <w:jc w:val="center"/>
              <w:rPr>
                <w:rFonts w:hint="cs"/>
                <w:b/>
                <w:bCs/>
                <w:sz w:val="16"/>
                <w:szCs w:val="24"/>
                <w:rtl/>
              </w:rPr>
            </w:pPr>
            <w:r w:rsidRPr="00FC7A55">
              <w:rPr>
                <w:rFonts w:hint="cs"/>
                <w:b/>
                <w:bCs/>
                <w:sz w:val="18"/>
                <w:szCs w:val="26"/>
                <w:rtl/>
              </w:rPr>
              <w:t>طلبة الدراسات العليا 2003</w:t>
            </w:r>
          </w:p>
        </w:tc>
      </w:tr>
      <w:tr w:rsidR="00FC7A55" w:rsidRPr="00C63143">
        <w:trPr>
          <w:cantSplit/>
          <w:tblHeader/>
          <w:jc w:val="center"/>
        </w:trPr>
        <w:tc>
          <w:tcPr>
            <w:tcW w:w="4360" w:type="dxa"/>
            <w:tcBorders>
              <w:top w:val="single" w:sz="4" w:space="0" w:color="auto"/>
              <w:bottom w:val="single" w:sz="12" w:space="0" w:color="auto"/>
            </w:tcBorders>
            <w:shd w:val="clear" w:color="auto" w:fill="auto"/>
            <w:vAlign w:val="bottom"/>
          </w:tcPr>
          <w:p w:rsidR="00FC7A55" w:rsidRPr="00C63143" w:rsidRDefault="00FC7A55" w:rsidP="00FC7A55">
            <w:pPr>
              <w:spacing w:after="80" w:line="240" w:lineRule="exact"/>
              <w:rPr>
                <w:rFonts w:hint="cs"/>
                <w:i/>
                <w:iCs/>
                <w:sz w:val="16"/>
                <w:szCs w:val="24"/>
              </w:rPr>
            </w:pPr>
            <w:r>
              <w:rPr>
                <w:rFonts w:hint="cs"/>
                <w:i/>
                <w:iCs/>
                <w:sz w:val="16"/>
                <w:szCs w:val="24"/>
                <w:rtl/>
              </w:rPr>
              <w:t>طلبة الدراسات العليا</w:t>
            </w:r>
          </w:p>
        </w:tc>
        <w:tc>
          <w:tcPr>
            <w:tcW w:w="1751" w:type="dxa"/>
            <w:tcBorders>
              <w:top w:val="single" w:sz="4" w:space="0" w:color="auto"/>
              <w:bottom w:val="single" w:sz="12" w:space="0" w:color="auto"/>
            </w:tcBorders>
            <w:shd w:val="clear" w:color="auto" w:fill="auto"/>
            <w:vAlign w:val="bottom"/>
          </w:tcPr>
          <w:p w:rsidR="00FC7A55" w:rsidRPr="00C63143" w:rsidRDefault="00FC7A55" w:rsidP="006103BF">
            <w:pPr>
              <w:spacing w:after="80" w:line="240" w:lineRule="exact"/>
              <w:ind w:right="144" w:firstLine="208"/>
              <w:rPr>
                <w:rFonts w:hint="cs"/>
                <w:i/>
                <w:iCs/>
                <w:sz w:val="16"/>
                <w:szCs w:val="24"/>
                <w:rtl/>
              </w:rPr>
            </w:pPr>
            <w:r>
              <w:rPr>
                <w:rFonts w:hint="cs"/>
                <w:i/>
                <w:iCs/>
                <w:sz w:val="16"/>
                <w:szCs w:val="24"/>
                <w:rtl/>
              </w:rPr>
              <w:t>العدد</w:t>
            </w:r>
          </w:p>
        </w:tc>
        <w:tc>
          <w:tcPr>
            <w:tcW w:w="1209" w:type="dxa"/>
            <w:tcBorders>
              <w:top w:val="single" w:sz="4" w:space="0" w:color="auto"/>
              <w:bottom w:val="single" w:sz="12" w:space="0" w:color="auto"/>
            </w:tcBorders>
            <w:shd w:val="clear" w:color="auto" w:fill="auto"/>
            <w:vAlign w:val="bottom"/>
          </w:tcPr>
          <w:p w:rsidR="00FC7A55" w:rsidRPr="00C63143" w:rsidRDefault="00FC7A55" w:rsidP="006103BF">
            <w:pPr>
              <w:spacing w:after="80" w:line="240" w:lineRule="exact"/>
              <w:ind w:right="144" w:firstLine="208"/>
              <w:rPr>
                <w:rFonts w:hint="cs"/>
                <w:i/>
                <w:iCs/>
                <w:sz w:val="16"/>
                <w:szCs w:val="24"/>
                <w:rtl/>
              </w:rPr>
            </w:pPr>
            <w:r>
              <w:rPr>
                <w:rFonts w:hint="cs"/>
                <w:i/>
                <w:iCs/>
                <w:sz w:val="16"/>
                <w:szCs w:val="24"/>
                <w:rtl/>
              </w:rPr>
              <w:t>النسبة المئوية</w:t>
            </w:r>
          </w:p>
        </w:tc>
      </w:tr>
      <w:tr w:rsidR="00FC7A55" w:rsidRPr="00C63143">
        <w:trPr>
          <w:cantSplit/>
          <w:trHeight w:hRule="exact" w:val="115"/>
          <w:tblHeader/>
          <w:jc w:val="center"/>
        </w:trPr>
        <w:tc>
          <w:tcPr>
            <w:tcW w:w="4360" w:type="dxa"/>
            <w:tcBorders>
              <w:top w:val="single" w:sz="12" w:space="0" w:color="auto"/>
            </w:tcBorders>
            <w:shd w:val="clear" w:color="auto" w:fill="auto"/>
            <w:vAlign w:val="bottom"/>
          </w:tcPr>
          <w:p w:rsidR="00FC7A55" w:rsidRPr="00C63143" w:rsidRDefault="00FC7A55" w:rsidP="009D0028">
            <w:pPr>
              <w:bidi w:val="0"/>
              <w:spacing w:before="40" w:after="80" w:line="240" w:lineRule="exact"/>
              <w:jc w:val="right"/>
              <w:rPr>
                <w:sz w:val="16"/>
                <w:szCs w:val="24"/>
              </w:rPr>
            </w:pPr>
          </w:p>
        </w:tc>
        <w:tc>
          <w:tcPr>
            <w:tcW w:w="1751" w:type="dxa"/>
            <w:tcBorders>
              <w:top w:val="single" w:sz="12" w:space="0" w:color="auto"/>
            </w:tcBorders>
            <w:shd w:val="clear" w:color="auto" w:fill="auto"/>
            <w:vAlign w:val="bottom"/>
          </w:tcPr>
          <w:p w:rsidR="00FC7A55" w:rsidRPr="00C63143" w:rsidRDefault="00FC7A55" w:rsidP="009D0028">
            <w:pPr>
              <w:bidi w:val="0"/>
              <w:spacing w:before="40" w:after="80" w:line="240" w:lineRule="exact"/>
              <w:ind w:right="144"/>
              <w:jc w:val="right"/>
              <w:rPr>
                <w:rFonts w:hint="cs"/>
                <w:sz w:val="16"/>
                <w:szCs w:val="24"/>
                <w:rtl/>
              </w:rPr>
            </w:pPr>
          </w:p>
        </w:tc>
        <w:tc>
          <w:tcPr>
            <w:tcW w:w="1209" w:type="dxa"/>
            <w:tcBorders>
              <w:top w:val="single" w:sz="12" w:space="0" w:color="auto"/>
            </w:tcBorders>
            <w:shd w:val="clear" w:color="auto" w:fill="auto"/>
            <w:vAlign w:val="bottom"/>
          </w:tcPr>
          <w:p w:rsidR="00FC7A55" w:rsidRPr="00C63143" w:rsidRDefault="00FC7A55" w:rsidP="009D0028">
            <w:pPr>
              <w:bidi w:val="0"/>
              <w:spacing w:before="40" w:after="80" w:line="240" w:lineRule="exact"/>
              <w:ind w:right="144"/>
              <w:jc w:val="right"/>
              <w:rPr>
                <w:rFonts w:hint="cs"/>
                <w:sz w:val="16"/>
                <w:szCs w:val="24"/>
                <w:rtl/>
              </w:rPr>
            </w:pPr>
          </w:p>
        </w:tc>
      </w:tr>
      <w:tr w:rsidR="00FC7A55" w:rsidRPr="00C63143">
        <w:trPr>
          <w:cantSplit/>
          <w:jc w:val="center"/>
        </w:trPr>
        <w:tc>
          <w:tcPr>
            <w:tcW w:w="4360" w:type="dxa"/>
            <w:shd w:val="clear" w:color="auto" w:fill="auto"/>
            <w:vAlign w:val="bottom"/>
          </w:tcPr>
          <w:p w:rsidR="00FC7A55" w:rsidRPr="00C63143" w:rsidRDefault="00FC7A55" w:rsidP="00D430C0">
            <w:pPr>
              <w:spacing w:before="40" w:after="60" w:line="240" w:lineRule="exact"/>
              <w:rPr>
                <w:rFonts w:eastAsia="Arial Unicode MS" w:hint="cs"/>
                <w:sz w:val="16"/>
                <w:szCs w:val="24"/>
                <w:lang w:eastAsia="pt-BR"/>
              </w:rPr>
            </w:pPr>
            <w:r>
              <w:rPr>
                <w:rFonts w:eastAsia="Arial Unicode MS" w:hint="cs"/>
                <w:sz w:val="16"/>
                <w:szCs w:val="24"/>
                <w:rtl/>
                <w:lang w:eastAsia="pt-BR"/>
              </w:rPr>
              <w:t>عدد الإناث من طلبة الدراسات العليا</w:t>
            </w:r>
          </w:p>
        </w:tc>
        <w:tc>
          <w:tcPr>
            <w:tcW w:w="1751" w:type="dxa"/>
            <w:shd w:val="clear" w:color="auto" w:fill="auto"/>
            <w:vAlign w:val="bottom"/>
          </w:tcPr>
          <w:p w:rsidR="00FC7A55" w:rsidRPr="00C63143" w:rsidRDefault="00FC7A55" w:rsidP="00D430C0">
            <w:pPr>
              <w:bidi w:val="0"/>
              <w:spacing w:before="40" w:after="60" w:line="240" w:lineRule="exact"/>
              <w:ind w:right="144"/>
              <w:jc w:val="right"/>
              <w:rPr>
                <w:rFonts w:eastAsia="Arial Unicode MS"/>
                <w:sz w:val="16"/>
                <w:szCs w:val="24"/>
                <w:lang w:eastAsia="pt-BR"/>
              </w:rPr>
            </w:pPr>
            <w:r w:rsidRPr="00C63143">
              <w:rPr>
                <w:rFonts w:hint="cs"/>
                <w:sz w:val="16"/>
                <w:szCs w:val="24"/>
                <w:rtl/>
              </w:rPr>
              <w:t>20</w:t>
            </w:r>
            <w:r w:rsidRPr="00C63143">
              <w:rPr>
                <w:rFonts w:hint="cs"/>
                <w:sz w:val="16"/>
                <w:szCs w:val="24"/>
              </w:rPr>
              <w:t xml:space="preserve"> </w:t>
            </w:r>
            <w:r w:rsidRPr="00C63143">
              <w:rPr>
                <w:rFonts w:hint="cs"/>
                <w:sz w:val="16"/>
                <w:szCs w:val="24"/>
                <w:rtl/>
              </w:rPr>
              <w:t>299</w:t>
            </w:r>
          </w:p>
        </w:tc>
        <w:tc>
          <w:tcPr>
            <w:tcW w:w="1209" w:type="dxa"/>
            <w:shd w:val="clear" w:color="auto" w:fill="auto"/>
            <w:vAlign w:val="bottom"/>
          </w:tcPr>
          <w:p w:rsidR="00FC7A55" w:rsidRPr="00C63143" w:rsidRDefault="00FC7A55" w:rsidP="00D430C0">
            <w:pPr>
              <w:bidi w:val="0"/>
              <w:spacing w:before="40" w:after="60" w:line="240" w:lineRule="exact"/>
              <w:ind w:right="144"/>
              <w:jc w:val="right"/>
              <w:rPr>
                <w:rFonts w:eastAsia="Arial Unicode MS"/>
                <w:sz w:val="16"/>
                <w:szCs w:val="24"/>
                <w:lang w:eastAsia="pt-BR"/>
              </w:rPr>
            </w:pPr>
            <w:r w:rsidRPr="00C63143">
              <w:rPr>
                <w:rFonts w:hint="cs"/>
                <w:sz w:val="16"/>
                <w:szCs w:val="24"/>
                <w:rtl/>
              </w:rPr>
              <w:t>50</w:t>
            </w:r>
            <w:r w:rsidRPr="00C63143">
              <w:rPr>
                <w:sz w:val="16"/>
                <w:szCs w:val="24"/>
              </w:rPr>
              <w:t>,</w:t>
            </w:r>
            <w:r w:rsidRPr="00C63143">
              <w:rPr>
                <w:rFonts w:hint="cs"/>
                <w:sz w:val="16"/>
                <w:szCs w:val="24"/>
                <w:rtl/>
              </w:rPr>
              <w:t>39</w:t>
            </w:r>
          </w:p>
        </w:tc>
      </w:tr>
      <w:tr w:rsidR="00FC7A55" w:rsidRPr="00C63143">
        <w:trPr>
          <w:cantSplit/>
          <w:jc w:val="center"/>
        </w:trPr>
        <w:tc>
          <w:tcPr>
            <w:tcW w:w="4360" w:type="dxa"/>
            <w:shd w:val="clear" w:color="auto" w:fill="auto"/>
            <w:vAlign w:val="bottom"/>
          </w:tcPr>
          <w:p w:rsidR="00FC7A55" w:rsidRPr="00C63143" w:rsidRDefault="00FC7A55" w:rsidP="00D430C0">
            <w:pPr>
              <w:spacing w:before="40" w:after="60" w:line="240" w:lineRule="exact"/>
              <w:rPr>
                <w:rFonts w:eastAsia="Arial Unicode MS" w:hint="cs"/>
                <w:sz w:val="16"/>
                <w:szCs w:val="24"/>
                <w:lang w:eastAsia="pt-BR"/>
              </w:rPr>
            </w:pPr>
            <w:r>
              <w:rPr>
                <w:rFonts w:eastAsia="Arial Unicode MS" w:hint="cs"/>
                <w:sz w:val="16"/>
                <w:szCs w:val="24"/>
                <w:rtl/>
                <w:lang w:eastAsia="pt-BR"/>
              </w:rPr>
              <w:t>عدد الذكور من طلبة الدراسات العليا</w:t>
            </w:r>
          </w:p>
        </w:tc>
        <w:tc>
          <w:tcPr>
            <w:tcW w:w="1751" w:type="dxa"/>
            <w:shd w:val="clear" w:color="auto" w:fill="auto"/>
            <w:vAlign w:val="bottom"/>
          </w:tcPr>
          <w:p w:rsidR="00FC7A55" w:rsidRPr="00C63143" w:rsidRDefault="00FC7A55" w:rsidP="00D430C0">
            <w:pPr>
              <w:bidi w:val="0"/>
              <w:spacing w:before="40" w:after="60" w:line="240" w:lineRule="exact"/>
              <w:ind w:right="144"/>
              <w:jc w:val="right"/>
              <w:rPr>
                <w:rFonts w:eastAsia="Arial Unicode MS"/>
                <w:sz w:val="16"/>
                <w:szCs w:val="24"/>
                <w:lang w:eastAsia="pt-BR"/>
              </w:rPr>
            </w:pPr>
            <w:r w:rsidRPr="00C63143">
              <w:rPr>
                <w:rFonts w:hint="cs"/>
                <w:sz w:val="16"/>
                <w:szCs w:val="24"/>
                <w:rtl/>
              </w:rPr>
              <w:t>19</w:t>
            </w:r>
            <w:r w:rsidRPr="00C63143">
              <w:rPr>
                <w:rFonts w:hint="cs"/>
                <w:sz w:val="16"/>
                <w:szCs w:val="24"/>
              </w:rPr>
              <w:t xml:space="preserve"> </w:t>
            </w:r>
            <w:r w:rsidRPr="00C63143">
              <w:rPr>
                <w:rFonts w:hint="cs"/>
                <w:sz w:val="16"/>
                <w:szCs w:val="24"/>
                <w:rtl/>
              </w:rPr>
              <w:t>986</w:t>
            </w:r>
          </w:p>
        </w:tc>
        <w:tc>
          <w:tcPr>
            <w:tcW w:w="1209" w:type="dxa"/>
            <w:shd w:val="clear" w:color="auto" w:fill="auto"/>
            <w:vAlign w:val="bottom"/>
          </w:tcPr>
          <w:p w:rsidR="00FC7A55" w:rsidRPr="00C63143" w:rsidRDefault="00FC7A55" w:rsidP="00D430C0">
            <w:pPr>
              <w:bidi w:val="0"/>
              <w:spacing w:before="40" w:after="60" w:line="240" w:lineRule="exact"/>
              <w:ind w:right="144"/>
              <w:jc w:val="right"/>
              <w:rPr>
                <w:rFonts w:eastAsia="Arial Unicode MS"/>
                <w:sz w:val="16"/>
                <w:szCs w:val="24"/>
                <w:lang w:eastAsia="pt-BR"/>
              </w:rPr>
            </w:pPr>
            <w:r w:rsidRPr="00C63143">
              <w:rPr>
                <w:rFonts w:hint="cs"/>
                <w:sz w:val="16"/>
                <w:szCs w:val="24"/>
                <w:rtl/>
              </w:rPr>
              <w:t>49</w:t>
            </w:r>
            <w:r w:rsidRPr="00C63143">
              <w:rPr>
                <w:sz w:val="16"/>
                <w:szCs w:val="24"/>
              </w:rPr>
              <w:t>,</w:t>
            </w:r>
            <w:r w:rsidRPr="00C63143">
              <w:rPr>
                <w:rFonts w:hint="cs"/>
                <w:sz w:val="16"/>
                <w:szCs w:val="24"/>
                <w:rtl/>
              </w:rPr>
              <w:t>61</w:t>
            </w:r>
          </w:p>
        </w:tc>
      </w:tr>
      <w:tr w:rsidR="00FC7A55" w:rsidRPr="00C63143">
        <w:trPr>
          <w:cantSplit/>
          <w:jc w:val="center"/>
        </w:trPr>
        <w:tc>
          <w:tcPr>
            <w:tcW w:w="4360" w:type="dxa"/>
            <w:tcBorders>
              <w:bottom w:val="single" w:sz="12" w:space="0" w:color="auto"/>
            </w:tcBorders>
            <w:shd w:val="clear" w:color="auto" w:fill="auto"/>
            <w:vAlign w:val="bottom"/>
          </w:tcPr>
          <w:p w:rsidR="00FC7A55" w:rsidRPr="00D430C0" w:rsidRDefault="00FC7A55" w:rsidP="00D430C0">
            <w:pPr>
              <w:spacing w:before="40" w:after="60" w:line="240" w:lineRule="exact"/>
              <w:rPr>
                <w:rFonts w:eastAsia="Arial Unicode MS" w:hint="cs"/>
                <w:b/>
                <w:bCs/>
                <w:sz w:val="16"/>
                <w:szCs w:val="24"/>
                <w:lang w:eastAsia="pt-BR"/>
              </w:rPr>
            </w:pPr>
            <w:r w:rsidRPr="00D430C0">
              <w:rPr>
                <w:rFonts w:eastAsia="Arial Unicode MS" w:hint="cs"/>
                <w:b/>
                <w:bCs/>
                <w:sz w:val="16"/>
                <w:szCs w:val="24"/>
                <w:rtl/>
                <w:lang w:eastAsia="pt-BR"/>
              </w:rPr>
              <w:t>العدد الإجمالي</w:t>
            </w:r>
          </w:p>
        </w:tc>
        <w:tc>
          <w:tcPr>
            <w:tcW w:w="1751" w:type="dxa"/>
            <w:tcBorders>
              <w:bottom w:val="single" w:sz="12" w:space="0" w:color="auto"/>
            </w:tcBorders>
            <w:shd w:val="clear" w:color="auto" w:fill="auto"/>
            <w:vAlign w:val="bottom"/>
          </w:tcPr>
          <w:p w:rsidR="00FC7A55" w:rsidRPr="00D430C0" w:rsidRDefault="00FC7A55" w:rsidP="00D430C0">
            <w:pPr>
              <w:bidi w:val="0"/>
              <w:spacing w:before="40" w:after="60" w:line="240" w:lineRule="exact"/>
              <w:ind w:right="144"/>
              <w:jc w:val="right"/>
              <w:rPr>
                <w:rFonts w:eastAsia="Arial Unicode MS"/>
                <w:b/>
                <w:bCs/>
                <w:sz w:val="16"/>
                <w:szCs w:val="24"/>
                <w:lang w:eastAsia="pt-BR"/>
              </w:rPr>
            </w:pPr>
            <w:r w:rsidRPr="00D430C0">
              <w:rPr>
                <w:rFonts w:hint="cs"/>
                <w:b/>
                <w:bCs/>
                <w:sz w:val="16"/>
                <w:szCs w:val="24"/>
                <w:rtl/>
              </w:rPr>
              <w:t>40</w:t>
            </w:r>
            <w:r w:rsidRPr="00D430C0">
              <w:rPr>
                <w:rFonts w:hint="cs"/>
                <w:b/>
                <w:bCs/>
                <w:sz w:val="16"/>
                <w:szCs w:val="24"/>
              </w:rPr>
              <w:t xml:space="preserve"> </w:t>
            </w:r>
            <w:r w:rsidRPr="00D430C0">
              <w:rPr>
                <w:rFonts w:hint="cs"/>
                <w:b/>
                <w:bCs/>
                <w:sz w:val="16"/>
                <w:szCs w:val="24"/>
                <w:rtl/>
              </w:rPr>
              <w:t>285</w:t>
            </w:r>
          </w:p>
        </w:tc>
        <w:tc>
          <w:tcPr>
            <w:tcW w:w="1209" w:type="dxa"/>
            <w:tcBorders>
              <w:bottom w:val="single" w:sz="12" w:space="0" w:color="auto"/>
            </w:tcBorders>
            <w:shd w:val="clear" w:color="auto" w:fill="auto"/>
            <w:vAlign w:val="bottom"/>
          </w:tcPr>
          <w:p w:rsidR="00FC7A55" w:rsidRPr="00D430C0" w:rsidRDefault="00FC7A55" w:rsidP="00D430C0">
            <w:pPr>
              <w:bidi w:val="0"/>
              <w:spacing w:before="40" w:after="60" w:line="240" w:lineRule="exact"/>
              <w:ind w:right="144"/>
              <w:jc w:val="right"/>
              <w:rPr>
                <w:rFonts w:eastAsia="Arial Unicode MS"/>
                <w:b/>
                <w:bCs/>
                <w:sz w:val="16"/>
                <w:szCs w:val="24"/>
                <w:lang w:eastAsia="pt-BR"/>
              </w:rPr>
            </w:pPr>
            <w:r w:rsidRPr="00D430C0">
              <w:rPr>
                <w:rFonts w:hint="cs"/>
                <w:b/>
                <w:bCs/>
                <w:sz w:val="16"/>
                <w:szCs w:val="24"/>
                <w:rtl/>
              </w:rPr>
              <w:t>100</w:t>
            </w:r>
            <w:r w:rsidRPr="00D430C0">
              <w:rPr>
                <w:b/>
                <w:bCs/>
                <w:sz w:val="16"/>
                <w:szCs w:val="24"/>
              </w:rPr>
              <w:t>,</w:t>
            </w:r>
            <w:r w:rsidRPr="00D430C0">
              <w:rPr>
                <w:rFonts w:hint="cs"/>
                <w:b/>
                <w:bCs/>
                <w:sz w:val="16"/>
                <w:szCs w:val="24"/>
                <w:rtl/>
              </w:rPr>
              <w:t>00</w:t>
            </w:r>
          </w:p>
        </w:tc>
      </w:tr>
    </w:tbl>
    <w:p w:rsidR="00FC7A55" w:rsidRPr="00FC7A55" w:rsidRDefault="00FC7A55" w:rsidP="00FC7A55">
      <w:pPr>
        <w:pStyle w:val="SingleTxt"/>
        <w:spacing w:after="0" w:line="120" w:lineRule="exact"/>
        <w:rPr>
          <w:rFonts w:hint="cs"/>
          <w:sz w:val="10"/>
          <w:rtl/>
        </w:rPr>
      </w:pPr>
    </w:p>
    <w:p w:rsidR="00FC7A55" w:rsidRPr="00FC7A55" w:rsidRDefault="00FC7A55" w:rsidP="00D430C0">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 xml:space="preserve">وكالة تنسيق التدريب المتقدم لموظفي </w:t>
      </w:r>
      <w:r w:rsidR="00D430C0">
        <w:rPr>
          <w:rFonts w:hint="cs"/>
          <w:rtl/>
        </w:rPr>
        <w:t>المستوى الرفيع. كيان تنسيق تنظيم المعلومات وإدارتها</w:t>
      </w:r>
      <w:r w:rsidR="006103BF">
        <w:rPr>
          <w:rFonts w:hint="cs"/>
          <w:rtl/>
        </w:rPr>
        <w:t>.</w:t>
      </w:r>
      <w:r w:rsidR="00D430C0">
        <w:rPr>
          <w:rFonts w:hint="cs"/>
          <w:rtl/>
        </w:rPr>
        <w:t xml:space="preserve"> 2003.</w:t>
      </w:r>
    </w:p>
    <w:p w:rsidR="00D430C0" w:rsidRPr="00D430C0" w:rsidRDefault="00D430C0" w:rsidP="00D430C0">
      <w:pPr>
        <w:pStyle w:val="SingleTxt"/>
        <w:spacing w:after="0" w:line="120" w:lineRule="exact"/>
        <w:rPr>
          <w:rFonts w:hint="cs"/>
          <w:sz w:val="10"/>
          <w:rtl/>
        </w:rPr>
      </w:pPr>
    </w:p>
    <w:tbl>
      <w:tblPr>
        <w:bidiVisual/>
        <w:tblW w:w="0" w:type="auto"/>
        <w:jc w:val="center"/>
        <w:tblLayout w:type="fixed"/>
        <w:tblCellMar>
          <w:left w:w="0" w:type="dxa"/>
          <w:right w:w="0" w:type="dxa"/>
        </w:tblCellMar>
        <w:tblLook w:val="0000" w:firstRow="0" w:lastRow="0" w:firstColumn="0" w:lastColumn="0" w:noHBand="0" w:noVBand="0"/>
      </w:tblPr>
      <w:tblGrid>
        <w:gridCol w:w="4360"/>
        <w:gridCol w:w="1648"/>
        <w:gridCol w:w="1312"/>
      </w:tblGrid>
      <w:tr w:rsidR="009D0028" w:rsidRPr="00C63143">
        <w:trPr>
          <w:cantSplit/>
          <w:tblHeader/>
          <w:jc w:val="center"/>
        </w:trPr>
        <w:tc>
          <w:tcPr>
            <w:tcW w:w="7320" w:type="dxa"/>
            <w:gridSpan w:val="3"/>
            <w:tcBorders>
              <w:top w:val="single" w:sz="4" w:space="0" w:color="auto"/>
              <w:bottom w:val="single" w:sz="4" w:space="0" w:color="auto"/>
            </w:tcBorders>
            <w:shd w:val="clear" w:color="auto" w:fill="auto"/>
            <w:vAlign w:val="bottom"/>
          </w:tcPr>
          <w:p w:rsidR="009D0028" w:rsidRPr="009D0028" w:rsidRDefault="009D0028" w:rsidP="009D0028">
            <w:pPr>
              <w:spacing w:before="80" w:after="80" w:line="240" w:lineRule="exact"/>
              <w:ind w:right="144"/>
              <w:jc w:val="center"/>
              <w:rPr>
                <w:rFonts w:hint="cs"/>
                <w:b/>
                <w:bCs/>
                <w:sz w:val="18"/>
                <w:szCs w:val="26"/>
                <w:rtl/>
              </w:rPr>
            </w:pPr>
            <w:r>
              <w:rPr>
                <w:rFonts w:hint="cs"/>
                <w:b/>
                <w:bCs/>
                <w:sz w:val="18"/>
                <w:szCs w:val="26"/>
                <w:rtl/>
              </w:rPr>
              <w:t>المشرفون 2003</w:t>
            </w:r>
          </w:p>
        </w:tc>
      </w:tr>
      <w:tr w:rsidR="00FC7A55" w:rsidRPr="00C63143">
        <w:trPr>
          <w:cantSplit/>
          <w:tblHeader/>
          <w:jc w:val="center"/>
        </w:trPr>
        <w:tc>
          <w:tcPr>
            <w:tcW w:w="4360" w:type="dxa"/>
            <w:tcBorders>
              <w:top w:val="single" w:sz="4" w:space="0" w:color="auto"/>
              <w:bottom w:val="single" w:sz="12" w:space="0" w:color="auto"/>
            </w:tcBorders>
            <w:shd w:val="clear" w:color="auto" w:fill="auto"/>
            <w:vAlign w:val="bottom"/>
          </w:tcPr>
          <w:p w:rsidR="00FC7A55" w:rsidRPr="00D13761" w:rsidRDefault="009D0028" w:rsidP="00D430C0">
            <w:pPr>
              <w:spacing w:after="80" w:line="240" w:lineRule="exact"/>
              <w:rPr>
                <w:rFonts w:hint="cs"/>
                <w:i/>
                <w:iCs/>
                <w:sz w:val="18"/>
                <w:szCs w:val="26"/>
              </w:rPr>
            </w:pPr>
            <w:r w:rsidRPr="00D13761">
              <w:rPr>
                <w:rFonts w:hint="cs"/>
                <w:i/>
                <w:iCs/>
                <w:sz w:val="18"/>
                <w:szCs w:val="26"/>
                <w:rtl/>
              </w:rPr>
              <w:t>المشرفون</w:t>
            </w:r>
          </w:p>
        </w:tc>
        <w:tc>
          <w:tcPr>
            <w:tcW w:w="1648" w:type="dxa"/>
            <w:tcBorders>
              <w:top w:val="single" w:sz="4" w:space="0" w:color="auto"/>
              <w:bottom w:val="single" w:sz="12" w:space="0" w:color="auto"/>
            </w:tcBorders>
            <w:shd w:val="clear" w:color="auto" w:fill="auto"/>
            <w:vAlign w:val="bottom"/>
          </w:tcPr>
          <w:p w:rsidR="00FC7A55" w:rsidRPr="00D13761" w:rsidRDefault="009D0028" w:rsidP="006103BF">
            <w:pPr>
              <w:spacing w:after="80" w:line="240" w:lineRule="exact"/>
              <w:ind w:right="144" w:firstLine="208"/>
              <w:rPr>
                <w:rFonts w:hint="cs"/>
                <w:i/>
                <w:iCs/>
                <w:sz w:val="18"/>
                <w:szCs w:val="26"/>
                <w:rtl/>
              </w:rPr>
            </w:pPr>
            <w:r w:rsidRPr="00D13761">
              <w:rPr>
                <w:rFonts w:hint="cs"/>
                <w:i/>
                <w:iCs/>
                <w:sz w:val="18"/>
                <w:szCs w:val="26"/>
                <w:rtl/>
              </w:rPr>
              <w:t>العدد</w:t>
            </w:r>
          </w:p>
        </w:tc>
        <w:tc>
          <w:tcPr>
            <w:tcW w:w="1312" w:type="dxa"/>
            <w:tcBorders>
              <w:top w:val="single" w:sz="4" w:space="0" w:color="auto"/>
              <w:bottom w:val="single" w:sz="12" w:space="0" w:color="auto"/>
            </w:tcBorders>
            <w:shd w:val="clear" w:color="auto" w:fill="auto"/>
            <w:vAlign w:val="bottom"/>
          </w:tcPr>
          <w:p w:rsidR="00FC7A55" w:rsidRPr="00D13761" w:rsidRDefault="009D0028" w:rsidP="006103BF">
            <w:pPr>
              <w:spacing w:after="80" w:line="240" w:lineRule="exact"/>
              <w:ind w:right="144" w:firstLine="208"/>
              <w:rPr>
                <w:rFonts w:hint="cs"/>
                <w:i/>
                <w:iCs/>
                <w:sz w:val="18"/>
                <w:szCs w:val="26"/>
                <w:rtl/>
              </w:rPr>
            </w:pPr>
            <w:r w:rsidRPr="00D13761">
              <w:rPr>
                <w:rFonts w:hint="cs"/>
                <w:i/>
                <w:iCs/>
                <w:sz w:val="18"/>
                <w:szCs w:val="26"/>
                <w:rtl/>
              </w:rPr>
              <w:t>النسبة المئوية</w:t>
            </w:r>
          </w:p>
        </w:tc>
      </w:tr>
      <w:tr w:rsidR="00FC7A55" w:rsidRPr="00C63143">
        <w:trPr>
          <w:cantSplit/>
          <w:trHeight w:hRule="exact" w:val="115"/>
          <w:tblHeader/>
          <w:jc w:val="center"/>
        </w:trPr>
        <w:tc>
          <w:tcPr>
            <w:tcW w:w="4360" w:type="dxa"/>
            <w:tcBorders>
              <w:top w:val="single" w:sz="12" w:space="0" w:color="auto"/>
            </w:tcBorders>
            <w:shd w:val="clear" w:color="auto" w:fill="auto"/>
            <w:vAlign w:val="bottom"/>
          </w:tcPr>
          <w:p w:rsidR="00FC7A55" w:rsidRPr="00D13761" w:rsidRDefault="00FC7A55" w:rsidP="00D430C0">
            <w:pPr>
              <w:spacing w:before="40" w:after="80" w:line="240" w:lineRule="exact"/>
              <w:rPr>
                <w:sz w:val="18"/>
                <w:szCs w:val="26"/>
              </w:rPr>
            </w:pPr>
          </w:p>
        </w:tc>
        <w:tc>
          <w:tcPr>
            <w:tcW w:w="1648" w:type="dxa"/>
            <w:tcBorders>
              <w:top w:val="single" w:sz="12" w:space="0" w:color="auto"/>
            </w:tcBorders>
            <w:shd w:val="clear" w:color="auto" w:fill="auto"/>
            <w:vAlign w:val="bottom"/>
          </w:tcPr>
          <w:p w:rsidR="00FC7A55" w:rsidRPr="00D13761" w:rsidRDefault="00FC7A55" w:rsidP="009D0028">
            <w:pPr>
              <w:bidi w:val="0"/>
              <w:spacing w:before="40" w:after="80" w:line="240" w:lineRule="exact"/>
              <w:ind w:right="144"/>
              <w:jc w:val="right"/>
              <w:rPr>
                <w:rFonts w:hint="cs"/>
                <w:sz w:val="18"/>
                <w:szCs w:val="26"/>
                <w:rtl/>
              </w:rPr>
            </w:pPr>
          </w:p>
        </w:tc>
        <w:tc>
          <w:tcPr>
            <w:tcW w:w="1312" w:type="dxa"/>
            <w:tcBorders>
              <w:top w:val="single" w:sz="12" w:space="0" w:color="auto"/>
            </w:tcBorders>
            <w:shd w:val="clear" w:color="auto" w:fill="auto"/>
            <w:vAlign w:val="bottom"/>
          </w:tcPr>
          <w:p w:rsidR="00FC7A55" w:rsidRPr="00D13761" w:rsidRDefault="00FC7A55" w:rsidP="009D0028">
            <w:pPr>
              <w:bidi w:val="0"/>
              <w:spacing w:before="40" w:after="80" w:line="240" w:lineRule="exact"/>
              <w:ind w:right="144"/>
              <w:jc w:val="right"/>
              <w:rPr>
                <w:rFonts w:hint="cs"/>
                <w:sz w:val="18"/>
                <w:szCs w:val="26"/>
                <w:rtl/>
              </w:rPr>
            </w:pPr>
          </w:p>
        </w:tc>
      </w:tr>
      <w:tr w:rsidR="00FC7A55" w:rsidRPr="00C63143">
        <w:trPr>
          <w:cantSplit/>
          <w:jc w:val="center"/>
        </w:trPr>
        <w:tc>
          <w:tcPr>
            <w:tcW w:w="4360" w:type="dxa"/>
            <w:shd w:val="clear" w:color="auto" w:fill="auto"/>
            <w:vAlign w:val="bottom"/>
          </w:tcPr>
          <w:p w:rsidR="00FC7A55" w:rsidRPr="00D13761" w:rsidRDefault="00D430C0" w:rsidP="00D430C0">
            <w:pPr>
              <w:spacing w:before="40" w:after="80" w:line="240" w:lineRule="exact"/>
              <w:rPr>
                <w:rFonts w:eastAsia="Arial Unicode MS" w:hint="cs"/>
                <w:sz w:val="18"/>
                <w:szCs w:val="26"/>
                <w:rtl/>
                <w:lang w:eastAsia="pt-BR" w:bidi="ar-EG"/>
              </w:rPr>
            </w:pPr>
            <w:r w:rsidRPr="00D13761">
              <w:rPr>
                <w:rFonts w:eastAsia="Arial Unicode MS" w:hint="cs"/>
                <w:sz w:val="18"/>
                <w:szCs w:val="26"/>
                <w:rtl/>
                <w:lang w:eastAsia="pt-BR" w:bidi="ar-EG"/>
              </w:rPr>
              <w:t>عدد المشرفات</w:t>
            </w:r>
          </w:p>
        </w:tc>
        <w:tc>
          <w:tcPr>
            <w:tcW w:w="1648" w:type="dxa"/>
            <w:shd w:val="clear" w:color="auto" w:fill="auto"/>
            <w:vAlign w:val="bottom"/>
          </w:tcPr>
          <w:p w:rsidR="00FC7A55" w:rsidRPr="00D13761" w:rsidRDefault="00FC7A55" w:rsidP="009D0028">
            <w:pPr>
              <w:bidi w:val="0"/>
              <w:spacing w:before="40" w:after="80" w:line="240" w:lineRule="exact"/>
              <w:ind w:right="144"/>
              <w:jc w:val="right"/>
              <w:rPr>
                <w:rFonts w:eastAsia="Arial Unicode MS"/>
                <w:sz w:val="18"/>
                <w:szCs w:val="26"/>
                <w:lang w:eastAsia="pt-BR"/>
              </w:rPr>
            </w:pPr>
            <w:r w:rsidRPr="00D13761">
              <w:rPr>
                <w:rFonts w:hint="cs"/>
                <w:sz w:val="18"/>
                <w:szCs w:val="26"/>
                <w:rtl/>
              </w:rPr>
              <w:t>12</w:t>
            </w:r>
            <w:r w:rsidRPr="00D13761">
              <w:rPr>
                <w:rFonts w:hint="cs"/>
                <w:sz w:val="18"/>
                <w:szCs w:val="26"/>
              </w:rPr>
              <w:t xml:space="preserve"> </w:t>
            </w:r>
            <w:r w:rsidRPr="00D13761">
              <w:rPr>
                <w:rFonts w:hint="cs"/>
                <w:sz w:val="18"/>
                <w:szCs w:val="26"/>
                <w:rtl/>
              </w:rPr>
              <w:t>369</w:t>
            </w:r>
          </w:p>
        </w:tc>
        <w:tc>
          <w:tcPr>
            <w:tcW w:w="1312" w:type="dxa"/>
            <w:shd w:val="clear" w:color="auto" w:fill="auto"/>
            <w:vAlign w:val="bottom"/>
          </w:tcPr>
          <w:p w:rsidR="00FC7A55" w:rsidRPr="00D13761" w:rsidRDefault="00FC7A55" w:rsidP="009D0028">
            <w:pPr>
              <w:bidi w:val="0"/>
              <w:spacing w:before="40" w:after="80" w:line="240" w:lineRule="exact"/>
              <w:ind w:right="144"/>
              <w:jc w:val="right"/>
              <w:rPr>
                <w:rFonts w:eastAsia="Arial Unicode MS"/>
                <w:sz w:val="18"/>
                <w:szCs w:val="26"/>
                <w:lang w:eastAsia="pt-BR"/>
              </w:rPr>
            </w:pPr>
            <w:r w:rsidRPr="00D13761">
              <w:rPr>
                <w:rFonts w:hint="cs"/>
                <w:sz w:val="18"/>
                <w:szCs w:val="26"/>
                <w:rtl/>
              </w:rPr>
              <w:t>33</w:t>
            </w:r>
            <w:r w:rsidRPr="00D13761">
              <w:rPr>
                <w:sz w:val="18"/>
                <w:szCs w:val="26"/>
              </w:rPr>
              <w:t>,</w:t>
            </w:r>
            <w:r w:rsidRPr="00D13761">
              <w:rPr>
                <w:rFonts w:hint="cs"/>
                <w:sz w:val="18"/>
                <w:szCs w:val="26"/>
                <w:rtl/>
              </w:rPr>
              <w:t>79</w:t>
            </w:r>
          </w:p>
        </w:tc>
      </w:tr>
      <w:tr w:rsidR="00FC7A55" w:rsidRPr="00C63143">
        <w:trPr>
          <w:cantSplit/>
          <w:jc w:val="center"/>
        </w:trPr>
        <w:tc>
          <w:tcPr>
            <w:tcW w:w="4360" w:type="dxa"/>
            <w:shd w:val="clear" w:color="auto" w:fill="auto"/>
            <w:vAlign w:val="bottom"/>
          </w:tcPr>
          <w:p w:rsidR="00FC7A55" w:rsidRPr="00D13761" w:rsidRDefault="00D430C0" w:rsidP="00D430C0">
            <w:pPr>
              <w:spacing w:before="40" w:after="80" w:line="240" w:lineRule="exact"/>
              <w:rPr>
                <w:rFonts w:eastAsia="Arial Unicode MS" w:hint="cs"/>
                <w:sz w:val="18"/>
                <w:szCs w:val="26"/>
                <w:lang w:eastAsia="pt-BR"/>
              </w:rPr>
            </w:pPr>
            <w:r w:rsidRPr="00D13761">
              <w:rPr>
                <w:rFonts w:eastAsia="Arial Unicode MS" w:hint="cs"/>
                <w:sz w:val="18"/>
                <w:szCs w:val="26"/>
                <w:rtl/>
                <w:lang w:eastAsia="pt-BR"/>
              </w:rPr>
              <w:t>عدد المشرفون</w:t>
            </w:r>
          </w:p>
        </w:tc>
        <w:tc>
          <w:tcPr>
            <w:tcW w:w="1648" w:type="dxa"/>
            <w:shd w:val="clear" w:color="auto" w:fill="auto"/>
            <w:vAlign w:val="bottom"/>
          </w:tcPr>
          <w:p w:rsidR="00FC7A55" w:rsidRPr="00D13761" w:rsidRDefault="00FC7A55" w:rsidP="009D0028">
            <w:pPr>
              <w:bidi w:val="0"/>
              <w:spacing w:before="40" w:after="80" w:line="240" w:lineRule="exact"/>
              <w:ind w:right="144"/>
              <w:jc w:val="right"/>
              <w:rPr>
                <w:rFonts w:eastAsia="Arial Unicode MS"/>
                <w:sz w:val="18"/>
                <w:szCs w:val="26"/>
                <w:lang w:eastAsia="pt-BR"/>
              </w:rPr>
            </w:pPr>
            <w:r w:rsidRPr="00D13761">
              <w:rPr>
                <w:rFonts w:hint="cs"/>
                <w:sz w:val="18"/>
                <w:szCs w:val="26"/>
                <w:rtl/>
              </w:rPr>
              <w:t>24</w:t>
            </w:r>
            <w:r w:rsidRPr="00D13761">
              <w:rPr>
                <w:rFonts w:hint="cs"/>
                <w:sz w:val="18"/>
                <w:szCs w:val="26"/>
              </w:rPr>
              <w:t xml:space="preserve"> </w:t>
            </w:r>
            <w:r w:rsidRPr="00D13761">
              <w:rPr>
                <w:rFonts w:hint="cs"/>
                <w:sz w:val="18"/>
                <w:szCs w:val="26"/>
                <w:rtl/>
              </w:rPr>
              <w:t>235</w:t>
            </w:r>
          </w:p>
        </w:tc>
        <w:tc>
          <w:tcPr>
            <w:tcW w:w="1312" w:type="dxa"/>
            <w:shd w:val="clear" w:color="auto" w:fill="auto"/>
            <w:vAlign w:val="bottom"/>
          </w:tcPr>
          <w:p w:rsidR="00FC7A55" w:rsidRPr="00D13761" w:rsidRDefault="00FC7A55" w:rsidP="009D0028">
            <w:pPr>
              <w:bidi w:val="0"/>
              <w:spacing w:before="40" w:after="80" w:line="240" w:lineRule="exact"/>
              <w:ind w:right="144"/>
              <w:jc w:val="right"/>
              <w:rPr>
                <w:rFonts w:eastAsia="Arial Unicode MS"/>
                <w:sz w:val="18"/>
                <w:szCs w:val="26"/>
                <w:lang w:eastAsia="pt-BR"/>
              </w:rPr>
            </w:pPr>
            <w:r w:rsidRPr="00D13761">
              <w:rPr>
                <w:rFonts w:hint="cs"/>
                <w:sz w:val="18"/>
                <w:szCs w:val="26"/>
                <w:rtl/>
              </w:rPr>
              <w:t>66</w:t>
            </w:r>
            <w:r w:rsidRPr="00D13761">
              <w:rPr>
                <w:sz w:val="18"/>
                <w:szCs w:val="26"/>
              </w:rPr>
              <w:t>,</w:t>
            </w:r>
            <w:r w:rsidRPr="00D13761">
              <w:rPr>
                <w:rFonts w:hint="cs"/>
                <w:sz w:val="18"/>
                <w:szCs w:val="26"/>
                <w:rtl/>
              </w:rPr>
              <w:t>21</w:t>
            </w:r>
          </w:p>
        </w:tc>
      </w:tr>
      <w:tr w:rsidR="00FC7A55" w:rsidRPr="00C63143">
        <w:trPr>
          <w:cantSplit/>
          <w:jc w:val="center"/>
        </w:trPr>
        <w:tc>
          <w:tcPr>
            <w:tcW w:w="4360" w:type="dxa"/>
            <w:tcBorders>
              <w:bottom w:val="single" w:sz="12" w:space="0" w:color="auto"/>
            </w:tcBorders>
            <w:shd w:val="clear" w:color="auto" w:fill="auto"/>
            <w:vAlign w:val="bottom"/>
          </w:tcPr>
          <w:p w:rsidR="00FC7A55" w:rsidRPr="00D13761" w:rsidRDefault="00D430C0" w:rsidP="00D430C0">
            <w:pPr>
              <w:spacing w:before="40" w:after="80" w:line="240" w:lineRule="exact"/>
              <w:rPr>
                <w:rFonts w:eastAsia="Arial Unicode MS" w:hint="cs"/>
                <w:b/>
                <w:bCs/>
                <w:sz w:val="18"/>
                <w:szCs w:val="26"/>
                <w:lang w:eastAsia="pt-BR"/>
              </w:rPr>
            </w:pPr>
            <w:r w:rsidRPr="00D13761">
              <w:rPr>
                <w:rFonts w:eastAsia="Arial Unicode MS" w:hint="cs"/>
                <w:b/>
                <w:bCs/>
                <w:sz w:val="18"/>
                <w:szCs w:val="26"/>
                <w:rtl/>
                <w:lang w:eastAsia="pt-BR"/>
              </w:rPr>
              <w:t>العدد الإجمالي</w:t>
            </w:r>
          </w:p>
        </w:tc>
        <w:tc>
          <w:tcPr>
            <w:tcW w:w="1648" w:type="dxa"/>
            <w:tcBorders>
              <w:bottom w:val="single" w:sz="12" w:space="0" w:color="auto"/>
            </w:tcBorders>
            <w:shd w:val="clear" w:color="auto" w:fill="auto"/>
            <w:vAlign w:val="bottom"/>
          </w:tcPr>
          <w:p w:rsidR="00FC7A55" w:rsidRPr="00D13761" w:rsidRDefault="00FC7A55" w:rsidP="009D0028">
            <w:pPr>
              <w:bidi w:val="0"/>
              <w:spacing w:before="40" w:after="80" w:line="240" w:lineRule="exact"/>
              <w:ind w:right="144"/>
              <w:jc w:val="right"/>
              <w:rPr>
                <w:rFonts w:eastAsia="Arial Unicode MS"/>
                <w:b/>
                <w:bCs/>
                <w:sz w:val="18"/>
                <w:szCs w:val="26"/>
                <w:lang w:eastAsia="pt-BR"/>
              </w:rPr>
            </w:pPr>
            <w:r w:rsidRPr="00D13761">
              <w:rPr>
                <w:rFonts w:hint="cs"/>
                <w:b/>
                <w:bCs/>
                <w:sz w:val="18"/>
                <w:szCs w:val="26"/>
                <w:rtl/>
              </w:rPr>
              <w:t>36</w:t>
            </w:r>
            <w:r w:rsidRPr="00D13761">
              <w:rPr>
                <w:rFonts w:hint="cs"/>
                <w:b/>
                <w:bCs/>
                <w:sz w:val="18"/>
                <w:szCs w:val="26"/>
              </w:rPr>
              <w:t xml:space="preserve"> </w:t>
            </w:r>
            <w:r w:rsidRPr="00D13761">
              <w:rPr>
                <w:rFonts w:hint="cs"/>
                <w:b/>
                <w:bCs/>
                <w:sz w:val="18"/>
                <w:szCs w:val="26"/>
                <w:rtl/>
              </w:rPr>
              <w:t>604</w:t>
            </w:r>
          </w:p>
        </w:tc>
        <w:tc>
          <w:tcPr>
            <w:tcW w:w="1312" w:type="dxa"/>
            <w:tcBorders>
              <w:bottom w:val="single" w:sz="12" w:space="0" w:color="auto"/>
            </w:tcBorders>
            <w:shd w:val="clear" w:color="auto" w:fill="auto"/>
            <w:vAlign w:val="bottom"/>
          </w:tcPr>
          <w:p w:rsidR="00FC7A55" w:rsidRPr="00D13761" w:rsidRDefault="00FC7A55" w:rsidP="009D0028">
            <w:pPr>
              <w:bidi w:val="0"/>
              <w:spacing w:before="40" w:after="80" w:line="240" w:lineRule="exact"/>
              <w:ind w:right="144"/>
              <w:jc w:val="right"/>
              <w:rPr>
                <w:rFonts w:eastAsia="Arial Unicode MS"/>
                <w:b/>
                <w:bCs/>
                <w:sz w:val="18"/>
                <w:szCs w:val="26"/>
                <w:lang w:eastAsia="pt-BR"/>
              </w:rPr>
            </w:pPr>
            <w:r w:rsidRPr="00D13761">
              <w:rPr>
                <w:rFonts w:hint="cs"/>
                <w:b/>
                <w:bCs/>
                <w:sz w:val="18"/>
                <w:szCs w:val="26"/>
                <w:rtl/>
              </w:rPr>
              <w:t>100</w:t>
            </w:r>
            <w:r w:rsidRPr="00D13761">
              <w:rPr>
                <w:b/>
                <w:bCs/>
                <w:sz w:val="18"/>
                <w:szCs w:val="26"/>
              </w:rPr>
              <w:t>,</w:t>
            </w:r>
            <w:r w:rsidRPr="00D13761">
              <w:rPr>
                <w:rFonts w:hint="cs"/>
                <w:b/>
                <w:bCs/>
                <w:sz w:val="18"/>
                <w:szCs w:val="26"/>
                <w:rtl/>
              </w:rPr>
              <w:t>00</w:t>
            </w:r>
          </w:p>
        </w:tc>
      </w:tr>
    </w:tbl>
    <w:p w:rsidR="009D0028" w:rsidRPr="009D0028" w:rsidRDefault="009D0028" w:rsidP="009D0028">
      <w:pPr>
        <w:pStyle w:val="SingleTxt"/>
        <w:spacing w:after="0" w:line="120" w:lineRule="exact"/>
        <w:rPr>
          <w:rFonts w:hint="cs"/>
          <w:sz w:val="10"/>
          <w:rtl/>
        </w:rPr>
      </w:pPr>
    </w:p>
    <w:p w:rsidR="009D0028" w:rsidRPr="00FC7A55" w:rsidRDefault="009D0028" w:rsidP="009D002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ab/>
      </w:r>
      <w:r>
        <w:rPr>
          <w:rFonts w:hint="cs"/>
          <w:i/>
          <w:iCs/>
          <w:rtl/>
        </w:rPr>
        <w:t>المصدر</w:t>
      </w:r>
      <w:r>
        <w:rPr>
          <w:rFonts w:hint="cs"/>
          <w:rtl/>
        </w:rPr>
        <w:t>:</w:t>
      </w:r>
      <w:r>
        <w:rPr>
          <w:rFonts w:hint="cs"/>
          <w:rtl/>
        </w:rPr>
        <w:tab/>
        <w:t>وكالة تنسيق التدريب المتقدم لموظفي المستوى الرفيع. كيان تنسيق تنظيم المعلومات وإدارتها</w:t>
      </w:r>
      <w:r w:rsidR="006103BF">
        <w:rPr>
          <w:rFonts w:hint="cs"/>
          <w:rtl/>
        </w:rPr>
        <w:t>.</w:t>
      </w:r>
      <w:r>
        <w:rPr>
          <w:rFonts w:hint="cs"/>
          <w:rtl/>
        </w:rPr>
        <w:t xml:space="preserve"> 2003.</w:t>
      </w:r>
    </w:p>
    <w:p w:rsidR="00D13761" w:rsidRPr="00D13761" w:rsidRDefault="00D13761" w:rsidP="00D13761">
      <w:pPr>
        <w:pStyle w:val="SingleTxt"/>
        <w:spacing w:after="0" w:line="120" w:lineRule="exact"/>
        <w:rPr>
          <w:rFonts w:hint="cs"/>
          <w:sz w:val="10"/>
          <w:rtl/>
          <w:lang w:bidi="ar-EG"/>
        </w:rPr>
      </w:pPr>
    </w:p>
    <w:p w:rsidR="00D13761" w:rsidRPr="00D13761" w:rsidRDefault="00D13761" w:rsidP="00D13761">
      <w:pPr>
        <w:pStyle w:val="SingleTxt"/>
        <w:spacing w:after="0" w:line="120" w:lineRule="exact"/>
        <w:rPr>
          <w:rFonts w:hint="cs"/>
          <w:sz w:val="10"/>
          <w:rtl/>
          <w:lang w:bidi="ar-EG"/>
        </w:rPr>
      </w:pPr>
    </w:p>
    <w:p w:rsidR="00FC7A55" w:rsidRDefault="00D13761" w:rsidP="00FC7A55">
      <w:pPr>
        <w:pStyle w:val="SingleTxt"/>
        <w:rPr>
          <w:rFonts w:hint="cs"/>
          <w:rtl/>
          <w:lang w:bidi="ar-EG"/>
        </w:rPr>
      </w:pPr>
      <w:r>
        <w:rPr>
          <w:rFonts w:hint="cs"/>
          <w:rtl/>
          <w:lang w:bidi="ar-EG"/>
        </w:rPr>
        <w:tab/>
        <w:t>وتحليل المعلومات المتعلقة بمشاركة المرأة في نظام التعليم في البرازيل على أساس العنصر والإثنية يؤدي إلى نتائج أكثر تعقيدا، فتمثيل السكان السود والسكان الأصليين من النساء (والرجال) تمثيل منقوص. ويوضح الجدول أدناه معدل الأمية في بعض المجموعات.</w:t>
      </w:r>
    </w:p>
    <w:p w:rsidR="00137ABD" w:rsidRPr="00137ABD" w:rsidRDefault="00137ABD" w:rsidP="00137ABD">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1E0" w:firstRow="1" w:lastRow="1" w:firstColumn="1" w:lastColumn="1" w:noHBand="0" w:noVBand="0"/>
      </w:tblPr>
      <w:tblGrid>
        <w:gridCol w:w="1506"/>
        <w:gridCol w:w="1339"/>
        <w:gridCol w:w="1235"/>
        <w:gridCol w:w="1237"/>
        <w:gridCol w:w="1236"/>
        <w:gridCol w:w="1030"/>
        <w:gridCol w:w="1133"/>
        <w:gridCol w:w="1132"/>
      </w:tblGrid>
      <w:tr w:rsidR="00137ABD" w:rsidRPr="00137ABD">
        <w:trPr>
          <w:cantSplit/>
          <w:tblHeader/>
          <w:jc w:val="center"/>
        </w:trPr>
        <w:tc>
          <w:tcPr>
            <w:tcW w:w="9848" w:type="dxa"/>
            <w:gridSpan w:val="8"/>
            <w:tcBorders>
              <w:top w:val="single" w:sz="4" w:space="0" w:color="auto"/>
              <w:bottom w:val="single" w:sz="4" w:space="0" w:color="auto"/>
            </w:tcBorders>
            <w:shd w:val="clear" w:color="auto" w:fill="auto"/>
            <w:vAlign w:val="bottom"/>
          </w:tcPr>
          <w:p w:rsidR="00137ABD" w:rsidRPr="00137ABD" w:rsidRDefault="00137ABD" w:rsidP="00137ABD">
            <w:pPr>
              <w:spacing w:before="80" w:after="80" w:line="240" w:lineRule="exact"/>
              <w:ind w:right="144"/>
              <w:jc w:val="center"/>
              <w:rPr>
                <w:rFonts w:hint="cs"/>
                <w:b/>
                <w:bCs/>
                <w:sz w:val="18"/>
                <w:szCs w:val="26"/>
                <w:rtl/>
              </w:rPr>
            </w:pPr>
            <w:r>
              <w:rPr>
                <w:rFonts w:hint="cs"/>
                <w:b/>
                <w:bCs/>
                <w:sz w:val="18"/>
                <w:szCs w:val="26"/>
                <w:rtl/>
              </w:rPr>
              <w:t>عدد الأميين ومعدل الأمية حسب نوع الجنس واللون/العنصر</w:t>
            </w:r>
          </w:p>
        </w:tc>
      </w:tr>
      <w:tr w:rsidR="00137ABD" w:rsidRPr="00C70052">
        <w:trPr>
          <w:cantSplit/>
          <w:tblHeader/>
          <w:jc w:val="center"/>
        </w:trPr>
        <w:tc>
          <w:tcPr>
            <w:tcW w:w="9848" w:type="dxa"/>
            <w:gridSpan w:val="8"/>
            <w:tcBorders>
              <w:top w:val="single" w:sz="4" w:space="0" w:color="auto"/>
              <w:bottom w:val="single" w:sz="4" w:space="0" w:color="auto"/>
            </w:tcBorders>
            <w:shd w:val="clear" w:color="auto" w:fill="auto"/>
            <w:vAlign w:val="bottom"/>
          </w:tcPr>
          <w:p w:rsidR="00137ABD" w:rsidRPr="00C70052" w:rsidRDefault="00137ABD" w:rsidP="00137ABD">
            <w:pPr>
              <w:spacing w:after="80" w:line="240" w:lineRule="exact"/>
              <w:jc w:val="center"/>
              <w:rPr>
                <w:rFonts w:hint="cs"/>
                <w:i/>
                <w:iCs/>
                <w:sz w:val="16"/>
                <w:szCs w:val="24"/>
                <w:rtl/>
              </w:rPr>
            </w:pPr>
            <w:r>
              <w:rPr>
                <w:rFonts w:hint="cs"/>
                <w:i/>
                <w:iCs/>
                <w:sz w:val="16"/>
                <w:szCs w:val="24"/>
                <w:rtl/>
              </w:rPr>
              <w:t>2003</w:t>
            </w:r>
          </w:p>
        </w:tc>
      </w:tr>
      <w:tr w:rsidR="00137ABD" w:rsidRPr="00C70052">
        <w:trPr>
          <w:cantSplit/>
          <w:tblHeader/>
          <w:jc w:val="center"/>
        </w:trPr>
        <w:tc>
          <w:tcPr>
            <w:tcW w:w="1506" w:type="dxa"/>
            <w:tcBorders>
              <w:top w:val="single" w:sz="4"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p>
        </w:tc>
        <w:tc>
          <w:tcPr>
            <w:tcW w:w="1339" w:type="dxa"/>
            <w:tcBorders>
              <w:top w:val="single" w:sz="4"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p>
        </w:tc>
        <w:tc>
          <w:tcPr>
            <w:tcW w:w="1235" w:type="dxa"/>
            <w:tcBorders>
              <w:top w:val="single" w:sz="4"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p>
        </w:tc>
        <w:tc>
          <w:tcPr>
            <w:tcW w:w="1237" w:type="dxa"/>
            <w:tcBorders>
              <w:top w:val="single" w:sz="4"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p>
        </w:tc>
        <w:tc>
          <w:tcPr>
            <w:tcW w:w="4531" w:type="dxa"/>
            <w:gridSpan w:val="4"/>
            <w:tcBorders>
              <w:top w:val="single" w:sz="4" w:space="0" w:color="auto"/>
              <w:bottom w:val="single" w:sz="4" w:space="0" w:color="auto"/>
            </w:tcBorders>
            <w:shd w:val="clear" w:color="auto" w:fill="auto"/>
            <w:vAlign w:val="bottom"/>
          </w:tcPr>
          <w:p w:rsidR="00137ABD" w:rsidRPr="00C70052" w:rsidRDefault="00137ABD" w:rsidP="00137ABD">
            <w:pPr>
              <w:spacing w:after="80" w:line="240" w:lineRule="exact"/>
              <w:jc w:val="center"/>
              <w:rPr>
                <w:rFonts w:hint="cs"/>
                <w:i/>
                <w:iCs/>
                <w:sz w:val="16"/>
                <w:szCs w:val="24"/>
                <w:rtl/>
              </w:rPr>
            </w:pPr>
            <w:r>
              <w:rPr>
                <w:rFonts w:hint="cs"/>
                <w:i/>
                <w:iCs/>
                <w:sz w:val="16"/>
                <w:szCs w:val="24"/>
                <w:rtl/>
              </w:rPr>
              <w:t>النساء</w:t>
            </w:r>
          </w:p>
        </w:tc>
      </w:tr>
      <w:tr w:rsidR="00137ABD" w:rsidRPr="00C70052">
        <w:trPr>
          <w:cantSplit/>
          <w:tblHeader/>
          <w:jc w:val="center"/>
        </w:trPr>
        <w:tc>
          <w:tcPr>
            <w:tcW w:w="1506"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المؤشر</w:t>
            </w:r>
          </w:p>
        </w:tc>
        <w:tc>
          <w:tcPr>
            <w:tcW w:w="1339"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المجموع</w:t>
            </w:r>
          </w:p>
        </w:tc>
        <w:tc>
          <w:tcPr>
            <w:tcW w:w="1235"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نساء</w:t>
            </w:r>
          </w:p>
        </w:tc>
        <w:tc>
          <w:tcPr>
            <w:tcW w:w="1237"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رحال</w:t>
            </w:r>
          </w:p>
        </w:tc>
        <w:tc>
          <w:tcPr>
            <w:tcW w:w="1236"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بيض</w:t>
            </w:r>
          </w:p>
        </w:tc>
        <w:tc>
          <w:tcPr>
            <w:tcW w:w="1030"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سود</w:t>
            </w:r>
          </w:p>
        </w:tc>
        <w:tc>
          <w:tcPr>
            <w:tcW w:w="1133"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مولدات</w:t>
            </w:r>
          </w:p>
        </w:tc>
        <w:tc>
          <w:tcPr>
            <w:tcW w:w="1132" w:type="dxa"/>
            <w:tcBorders>
              <w:bottom w:val="single" w:sz="12" w:space="0" w:color="auto"/>
            </w:tcBorders>
            <w:shd w:val="clear" w:color="auto" w:fill="auto"/>
            <w:vAlign w:val="bottom"/>
          </w:tcPr>
          <w:p w:rsidR="00137ABD" w:rsidRPr="00C70052" w:rsidRDefault="00137ABD" w:rsidP="00137ABD">
            <w:pPr>
              <w:spacing w:after="80" w:line="240" w:lineRule="exact"/>
              <w:rPr>
                <w:rFonts w:hint="cs"/>
                <w:i/>
                <w:iCs/>
                <w:sz w:val="16"/>
                <w:szCs w:val="24"/>
                <w:rtl/>
              </w:rPr>
            </w:pPr>
            <w:r>
              <w:rPr>
                <w:rFonts w:hint="cs"/>
                <w:i/>
                <w:iCs/>
                <w:sz w:val="16"/>
                <w:szCs w:val="24"/>
                <w:rtl/>
              </w:rPr>
              <w:t>زنجيات</w:t>
            </w:r>
            <w:r w:rsidR="00FA15E5">
              <w:rPr>
                <w:rFonts w:hint="cs"/>
                <w:i/>
                <w:iCs/>
                <w:sz w:val="16"/>
                <w:szCs w:val="24"/>
                <w:rtl/>
              </w:rPr>
              <w:t>*</w:t>
            </w:r>
          </w:p>
        </w:tc>
      </w:tr>
      <w:tr w:rsidR="00137ABD" w:rsidRPr="00C70052">
        <w:trPr>
          <w:cantSplit/>
          <w:trHeight w:hRule="exact" w:val="115"/>
          <w:tblHeader/>
          <w:jc w:val="center"/>
        </w:trPr>
        <w:tc>
          <w:tcPr>
            <w:tcW w:w="1506"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339"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5"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7"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6"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030"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3"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2" w:type="dxa"/>
            <w:tcBorders>
              <w:top w:val="single" w:sz="12"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r>
      <w:tr w:rsidR="00137ABD" w:rsidRPr="00C70052">
        <w:trPr>
          <w:cantSplit/>
          <w:jc w:val="center"/>
        </w:trPr>
        <w:tc>
          <w:tcPr>
            <w:tcW w:w="1506" w:type="dxa"/>
            <w:shd w:val="clear" w:color="auto" w:fill="auto"/>
            <w:vAlign w:val="bottom"/>
          </w:tcPr>
          <w:p w:rsidR="00137ABD" w:rsidRPr="005C69C7" w:rsidRDefault="005C69C7" w:rsidP="005C69C7">
            <w:pPr>
              <w:spacing w:before="40" w:after="80" w:line="240" w:lineRule="exact"/>
              <w:rPr>
                <w:rFonts w:hint="cs"/>
                <w:b/>
                <w:bCs/>
                <w:sz w:val="16"/>
                <w:szCs w:val="24"/>
                <w:rtl/>
              </w:rPr>
            </w:pPr>
            <w:r w:rsidRPr="005C69C7">
              <w:rPr>
                <w:rFonts w:hint="cs"/>
                <w:b/>
                <w:bCs/>
                <w:sz w:val="16"/>
                <w:szCs w:val="24"/>
                <w:rtl/>
              </w:rPr>
              <w:t>السكان الأميون</w:t>
            </w:r>
          </w:p>
        </w:tc>
        <w:tc>
          <w:tcPr>
            <w:tcW w:w="1339"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5"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7"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6"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030"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3"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2" w:type="dxa"/>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r>
      <w:tr w:rsidR="00137ABD" w:rsidRPr="00C70052">
        <w:trPr>
          <w:cantSplit/>
          <w:jc w:val="center"/>
        </w:trPr>
        <w:tc>
          <w:tcPr>
            <w:tcW w:w="1506" w:type="dxa"/>
            <w:shd w:val="clear" w:color="auto" w:fill="auto"/>
            <w:vAlign w:val="bottom"/>
          </w:tcPr>
          <w:p w:rsidR="00137ABD" w:rsidRPr="00C70052" w:rsidRDefault="00137ABD" w:rsidP="00FA15E5">
            <w:pPr>
              <w:spacing w:before="40" w:after="40" w:line="240" w:lineRule="exact"/>
              <w:rPr>
                <w:sz w:val="16"/>
                <w:szCs w:val="24"/>
                <w:lang w:eastAsia="pt-BR"/>
              </w:rPr>
            </w:pPr>
            <w:r w:rsidRPr="00C70052">
              <w:rPr>
                <w:rFonts w:hint="cs"/>
                <w:sz w:val="16"/>
                <w:szCs w:val="24"/>
                <w:rtl/>
              </w:rPr>
              <w:t>15</w:t>
            </w:r>
            <w:r w:rsidR="005C69C7">
              <w:rPr>
                <w:sz w:val="16"/>
                <w:szCs w:val="24"/>
                <w:rtl/>
              </w:rPr>
              <w:t xml:space="preserve"> إلى </w:t>
            </w:r>
            <w:r w:rsidRPr="00C70052">
              <w:rPr>
                <w:rFonts w:hint="cs"/>
                <w:sz w:val="16"/>
                <w:szCs w:val="24"/>
                <w:rtl/>
              </w:rPr>
              <w:t>19</w:t>
            </w:r>
          </w:p>
        </w:tc>
        <w:tc>
          <w:tcPr>
            <w:tcW w:w="1339"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452</w:t>
            </w:r>
            <w:r w:rsidRPr="00C70052">
              <w:rPr>
                <w:rFonts w:hint="cs"/>
                <w:sz w:val="16"/>
                <w:szCs w:val="24"/>
              </w:rPr>
              <w:t xml:space="preserve"> </w:t>
            </w:r>
            <w:r w:rsidRPr="00C70052">
              <w:rPr>
                <w:rFonts w:hint="cs"/>
                <w:sz w:val="16"/>
                <w:szCs w:val="24"/>
                <w:rtl/>
              </w:rPr>
              <w:t>746</w:t>
            </w:r>
          </w:p>
        </w:tc>
        <w:tc>
          <w:tcPr>
            <w:tcW w:w="1235"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135</w:t>
            </w:r>
            <w:r w:rsidRPr="00C70052">
              <w:rPr>
                <w:rFonts w:hint="cs"/>
                <w:sz w:val="16"/>
                <w:szCs w:val="24"/>
              </w:rPr>
              <w:t xml:space="preserve"> </w:t>
            </w:r>
            <w:r w:rsidRPr="00C70052">
              <w:rPr>
                <w:rFonts w:hint="cs"/>
                <w:sz w:val="16"/>
                <w:szCs w:val="24"/>
                <w:rtl/>
              </w:rPr>
              <w:t>589</w:t>
            </w:r>
          </w:p>
        </w:tc>
        <w:tc>
          <w:tcPr>
            <w:tcW w:w="1237"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317</w:t>
            </w:r>
            <w:r w:rsidRPr="00C70052">
              <w:rPr>
                <w:rFonts w:hint="cs"/>
                <w:sz w:val="16"/>
                <w:szCs w:val="24"/>
              </w:rPr>
              <w:t xml:space="preserve"> </w:t>
            </w:r>
            <w:r w:rsidRPr="00C70052">
              <w:rPr>
                <w:rFonts w:hint="cs"/>
                <w:sz w:val="16"/>
                <w:szCs w:val="24"/>
                <w:rtl/>
              </w:rPr>
              <w:t>157</w:t>
            </w:r>
          </w:p>
        </w:tc>
        <w:tc>
          <w:tcPr>
            <w:tcW w:w="1236"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35</w:t>
            </w:r>
            <w:r w:rsidRPr="00C70052">
              <w:rPr>
                <w:rFonts w:hint="cs"/>
                <w:sz w:val="16"/>
                <w:szCs w:val="24"/>
              </w:rPr>
              <w:t xml:space="preserve"> </w:t>
            </w:r>
            <w:r w:rsidRPr="00C70052">
              <w:rPr>
                <w:rFonts w:hint="cs"/>
                <w:sz w:val="16"/>
                <w:szCs w:val="24"/>
                <w:rtl/>
              </w:rPr>
              <w:t>048</w:t>
            </w:r>
          </w:p>
        </w:tc>
        <w:tc>
          <w:tcPr>
            <w:tcW w:w="1030"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7</w:t>
            </w:r>
            <w:r w:rsidRPr="00C70052">
              <w:rPr>
                <w:rFonts w:hint="cs"/>
                <w:sz w:val="16"/>
                <w:szCs w:val="24"/>
              </w:rPr>
              <w:t xml:space="preserve"> </w:t>
            </w:r>
            <w:r w:rsidRPr="00C70052">
              <w:rPr>
                <w:rFonts w:hint="cs"/>
                <w:sz w:val="16"/>
                <w:szCs w:val="24"/>
                <w:rtl/>
              </w:rPr>
              <w:t>249</w:t>
            </w:r>
          </w:p>
        </w:tc>
        <w:tc>
          <w:tcPr>
            <w:tcW w:w="1133"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91</w:t>
            </w:r>
            <w:r w:rsidRPr="00C70052">
              <w:rPr>
                <w:rFonts w:hint="cs"/>
                <w:sz w:val="16"/>
                <w:szCs w:val="24"/>
              </w:rPr>
              <w:t xml:space="preserve"> </w:t>
            </w:r>
            <w:r w:rsidRPr="00C70052">
              <w:rPr>
                <w:rFonts w:hint="cs"/>
                <w:sz w:val="16"/>
                <w:szCs w:val="24"/>
                <w:rtl/>
              </w:rPr>
              <w:t>693</w:t>
            </w:r>
          </w:p>
        </w:tc>
        <w:tc>
          <w:tcPr>
            <w:tcW w:w="1132"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98</w:t>
            </w:r>
            <w:r w:rsidRPr="00C70052">
              <w:rPr>
                <w:rFonts w:hint="cs"/>
                <w:sz w:val="16"/>
                <w:szCs w:val="24"/>
              </w:rPr>
              <w:t xml:space="preserve"> </w:t>
            </w:r>
            <w:r w:rsidRPr="00C70052">
              <w:rPr>
                <w:rFonts w:hint="cs"/>
                <w:sz w:val="16"/>
                <w:szCs w:val="24"/>
                <w:rtl/>
              </w:rPr>
              <w:t>942</w:t>
            </w:r>
          </w:p>
        </w:tc>
      </w:tr>
      <w:tr w:rsidR="00137ABD" w:rsidRPr="00C70052">
        <w:trPr>
          <w:cantSplit/>
          <w:jc w:val="center"/>
        </w:trPr>
        <w:tc>
          <w:tcPr>
            <w:tcW w:w="1506" w:type="dxa"/>
            <w:shd w:val="clear" w:color="auto" w:fill="auto"/>
            <w:vAlign w:val="bottom"/>
          </w:tcPr>
          <w:p w:rsidR="00137ABD" w:rsidRPr="00C70052" w:rsidRDefault="00137ABD" w:rsidP="00FA15E5">
            <w:pPr>
              <w:spacing w:before="40" w:after="40" w:line="240" w:lineRule="exact"/>
              <w:rPr>
                <w:sz w:val="16"/>
                <w:szCs w:val="24"/>
                <w:lang w:eastAsia="pt-BR"/>
              </w:rPr>
            </w:pPr>
            <w:r w:rsidRPr="00C70052">
              <w:rPr>
                <w:rFonts w:hint="cs"/>
                <w:sz w:val="16"/>
                <w:szCs w:val="24"/>
                <w:rtl/>
              </w:rPr>
              <w:t>20</w:t>
            </w:r>
            <w:r w:rsidR="005C69C7">
              <w:rPr>
                <w:sz w:val="16"/>
                <w:szCs w:val="24"/>
                <w:rtl/>
              </w:rPr>
              <w:t xml:space="preserve"> إلى </w:t>
            </w:r>
            <w:r w:rsidRPr="00C70052">
              <w:rPr>
                <w:rFonts w:hint="cs"/>
                <w:sz w:val="16"/>
                <w:szCs w:val="24"/>
                <w:rtl/>
              </w:rPr>
              <w:t>24</w:t>
            </w:r>
          </w:p>
        </w:tc>
        <w:tc>
          <w:tcPr>
            <w:tcW w:w="1339"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684</w:t>
            </w:r>
            <w:r w:rsidRPr="00C70052">
              <w:rPr>
                <w:rFonts w:hint="cs"/>
                <w:sz w:val="16"/>
                <w:szCs w:val="24"/>
              </w:rPr>
              <w:t xml:space="preserve"> </w:t>
            </w:r>
            <w:r w:rsidRPr="00C70052">
              <w:rPr>
                <w:rFonts w:hint="cs"/>
                <w:sz w:val="16"/>
                <w:szCs w:val="24"/>
                <w:rtl/>
              </w:rPr>
              <w:t>947</w:t>
            </w:r>
          </w:p>
        </w:tc>
        <w:tc>
          <w:tcPr>
            <w:tcW w:w="1235"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257</w:t>
            </w:r>
            <w:r w:rsidRPr="00C70052">
              <w:rPr>
                <w:rFonts w:hint="cs"/>
                <w:sz w:val="16"/>
                <w:szCs w:val="24"/>
              </w:rPr>
              <w:t xml:space="preserve"> </w:t>
            </w:r>
            <w:r w:rsidRPr="00C70052">
              <w:rPr>
                <w:rFonts w:hint="cs"/>
                <w:sz w:val="16"/>
                <w:szCs w:val="24"/>
                <w:rtl/>
              </w:rPr>
              <w:t>622</w:t>
            </w:r>
          </w:p>
        </w:tc>
        <w:tc>
          <w:tcPr>
            <w:tcW w:w="1237"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427</w:t>
            </w:r>
            <w:r w:rsidRPr="00C70052">
              <w:rPr>
                <w:rFonts w:hint="cs"/>
                <w:sz w:val="16"/>
                <w:szCs w:val="24"/>
              </w:rPr>
              <w:t xml:space="preserve"> </w:t>
            </w:r>
            <w:r w:rsidRPr="00C70052">
              <w:rPr>
                <w:rFonts w:hint="cs"/>
                <w:sz w:val="16"/>
                <w:szCs w:val="24"/>
                <w:rtl/>
              </w:rPr>
              <w:t>325</w:t>
            </w:r>
          </w:p>
        </w:tc>
        <w:tc>
          <w:tcPr>
            <w:tcW w:w="1236"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67</w:t>
            </w:r>
            <w:r w:rsidRPr="00C70052">
              <w:rPr>
                <w:rFonts w:hint="cs"/>
                <w:sz w:val="16"/>
                <w:szCs w:val="24"/>
              </w:rPr>
              <w:t xml:space="preserve"> </w:t>
            </w:r>
            <w:r w:rsidRPr="00C70052">
              <w:rPr>
                <w:rFonts w:hint="cs"/>
                <w:sz w:val="16"/>
                <w:szCs w:val="24"/>
                <w:rtl/>
              </w:rPr>
              <w:t>203</w:t>
            </w:r>
          </w:p>
        </w:tc>
        <w:tc>
          <w:tcPr>
            <w:tcW w:w="1030"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19</w:t>
            </w:r>
            <w:r w:rsidRPr="00C70052">
              <w:rPr>
                <w:rFonts w:hint="cs"/>
                <w:sz w:val="16"/>
                <w:szCs w:val="24"/>
              </w:rPr>
              <w:t xml:space="preserve"> </w:t>
            </w:r>
            <w:r w:rsidRPr="00C70052">
              <w:rPr>
                <w:rFonts w:hint="cs"/>
                <w:sz w:val="16"/>
                <w:szCs w:val="24"/>
                <w:rtl/>
              </w:rPr>
              <w:t>960</w:t>
            </w:r>
          </w:p>
        </w:tc>
        <w:tc>
          <w:tcPr>
            <w:tcW w:w="1133"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170</w:t>
            </w:r>
            <w:r w:rsidRPr="00C70052">
              <w:rPr>
                <w:rFonts w:hint="cs"/>
                <w:sz w:val="16"/>
                <w:szCs w:val="24"/>
              </w:rPr>
              <w:t xml:space="preserve"> </w:t>
            </w:r>
            <w:r w:rsidRPr="00C70052">
              <w:rPr>
                <w:rFonts w:hint="cs"/>
                <w:sz w:val="16"/>
                <w:szCs w:val="24"/>
                <w:rtl/>
              </w:rPr>
              <w:t>459</w:t>
            </w:r>
          </w:p>
        </w:tc>
        <w:tc>
          <w:tcPr>
            <w:tcW w:w="1132"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190</w:t>
            </w:r>
            <w:r w:rsidRPr="00C70052">
              <w:rPr>
                <w:rFonts w:hint="cs"/>
                <w:sz w:val="16"/>
                <w:szCs w:val="24"/>
              </w:rPr>
              <w:t xml:space="preserve"> </w:t>
            </w:r>
            <w:r w:rsidRPr="00C70052">
              <w:rPr>
                <w:rFonts w:hint="cs"/>
                <w:sz w:val="16"/>
                <w:szCs w:val="24"/>
                <w:rtl/>
              </w:rPr>
              <w:t>419</w:t>
            </w:r>
          </w:p>
        </w:tc>
      </w:tr>
      <w:tr w:rsidR="00137ABD" w:rsidRPr="00C70052">
        <w:trPr>
          <w:cantSplit/>
          <w:jc w:val="center"/>
        </w:trPr>
        <w:tc>
          <w:tcPr>
            <w:tcW w:w="1506" w:type="dxa"/>
            <w:shd w:val="clear" w:color="auto" w:fill="auto"/>
            <w:vAlign w:val="bottom"/>
          </w:tcPr>
          <w:p w:rsidR="00137ABD" w:rsidRPr="00C70052" w:rsidRDefault="00137ABD" w:rsidP="00FA15E5">
            <w:pPr>
              <w:spacing w:before="40" w:after="40" w:line="240" w:lineRule="exact"/>
              <w:rPr>
                <w:sz w:val="16"/>
                <w:szCs w:val="24"/>
                <w:lang w:eastAsia="pt-BR"/>
              </w:rPr>
            </w:pPr>
            <w:r w:rsidRPr="00C70052">
              <w:rPr>
                <w:rFonts w:hint="cs"/>
                <w:sz w:val="16"/>
                <w:szCs w:val="24"/>
                <w:rtl/>
              </w:rPr>
              <w:t>25</w:t>
            </w:r>
            <w:r w:rsidR="005C69C7">
              <w:rPr>
                <w:sz w:val="16"/>
                <w:szCs w:val="24"/>
                <w:rtl/>
              </w:rPr>
              <w:t xml:space="preserve"> إلى </w:t>
            </w:r>
            <w:r w:rsidRPr="00C70052">
              <w:rPr>
                <w:rFonts w:hint="cs"/>
                <w:sz w:val="16"/>
                <w:szCs w:val="24"/>
                <w:rtl/>
              </w:rPr>
              <w:t>49</w:t>
            </w:r>
          </w:p>
        </w:tc>
        <w:tc>
          <w:tcPr>
            <w:tcW w:w="1339"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5</w:t>
            </w:r>
            <w:r w:rsidRPr="00C70052">
              <w:rPr>
                <w:rFonts w:hint="cs"/>
                <w:sz w:val="16"/>
                <w:szCs w:val="24"/>
              </w:rPr>
              <w:t xml:space="preserve"> </w:t>
            </w:r>
            <w:r w:rsidRPr="00C70052">
              <w:rPr>
                <w:rFonts w:hint="cs"/>
                <w:sz w:val="16"/>
                <w:szCs w:val="24"/>
                <w:rtl/>
              </w:rPr>
              <w:t>388</w:t>
            </w:r>
            <w:r w:rsidRPr="00C70052">
              <w:rPr>
                <w:rFonts w:hint="cs"/>
                <w:sz w:val="16"/>
                <w:szCs w:val="24"/>
              </w:rPr>
              <w:t xml:space="preserve"> </w:t>
            </w:r>
            <w:r w:rsidRPr="00C70052">
              <w:rPr>
                <w:rFonts w:hint="cs"/>
                <w:sz w:val="16"/>
                <w:szCs w:val="24"/>
                <w:rtl/>
              </w:rPr>
              <w:t>434</w:t>
            </w:r>
          </w:p>
        </w:tc>
        <w:tc>
          <w:tcPr>
            <w:tcW w:w="1235"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w:t>
            </w:r>
            <w:r w:rsidRPr="00C70052">
              <w:rPr>
                <w:rFonts w:hint="cs"/>
                <w:sz w:val="16"/>
                <w:szCs w:val="24"/>
              </w:rPr>
              <w:t xml:space="preserve"> </w:t>
            </w:r>
            <w:r w:rsidRPr="00C70052">
              <w:rPr>
                <w:rFonts w:hint="cs"/>
                <w:sz w:val="16"/>
                <w:szCs w:val="24"/>
                <w:rtl/>
              </w:rPr>
              <w:t>411</w:t>
            </w:r>
            <w:r w:rsidRPr="00C70052">
              <w:rPr>
                <w:rFonts w:hint="cs"/>
                <w:sz w:val="16"/>
                <w:szCs w:val="24"/>
              </w:rPr>
              <w:t xml:space="preserve"> </w:t>
            </w:r>
            <w:r w:rsidRPr="00C70052">
              <w:rPr>
                <w:rFonts w:hint="cs"/>
                <w:sz w:val="16"/>
                <w:szCs w:val="24"/>
                <w:rtl/>
              </w:rPr>
              <w:t>068</w:t>
            </w:r>
          </w:p>
        </w:tc>
        <w:tc>
          <w:tcPr>
            <w:tcW w:w="1237"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w:t>
            </w:r>
            <w:r w:rsidRPr="00C70052">
              <w:rPr>
                <w:rFonts w:hint="cs"/>
                <w:sz w:val="16"/>
                <w:szCs w:val="24"/>
              </w:rPr>
              <w:t xml:space="preserve"> </w:t>
            </w:r>
            <w:r w:rsidRPr="00C70052">
              <w:rPr>
                <w:rFonts w:hint="cs"/>
                <w:sz w:val="16"/>
                <w:szCs w:val="24"/>
                <w:rtl/>
              </w:rPr>
              <w:t>977</w:t>
            </w:r>
            <w:r w:rsidRPr="00C70052">
              <w:rPr>
                <w:rFonts w:hint="cs"/>
                <w:sz w:val="16"/>
                <w:szCs w:val="24"/>
              </w:rPr>
              <w:t xml:space="preserve"> </w:t>
            </w:r>
            <w:r w:rsidRPr="00C70052">
              <w:rPr>
                <w:rFonts w:hint="cs"/>
                <w:sz w:val="16"/>
                <w:szCs w:val="24"/>
                <w:rtl/>
              </w:rPr>
              <w:t>366</w:t>
            </w:r>
          </w:p>
        </w:tc>
        <w:tc>
          <w:tcPr>
            <w:tcW w:w="1236"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682</w:t>
            </w:r>
            <w:r w:rsidRPr="00C70052">
              <w:rPr>
                <w:rFonts w:hint="cs"/>
                <w:sz w:val="16"/>
                <w:szCs w:val="24"/>
              </w:rPr>
              <w:t xml:space="preserve"> </w:t>
            </w:r>
            <w:r w:rsidRPr="00C70052">
              <w:rPr>
                <w:rFonts w:hint="cs"/>
                <w:sz w:val="16"/>
                <w:szCs w:val="24"/>
                <w:rtl/>
              </w:rPr>
              <w:t>011</w:t>
            </w:r>
          </w:p>
        </w:tc>
        <w:tc>
          <w:tcPr>
            <w:tcW w:w="1030"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203</w:t>
            </w:r>
            <w:r w:rsidRPr="00C70052">
              <w:rPr>
                <w:rFonts w:hint="cs"/>
                <w:sz w:val="16"/>
                <w:szCs w:val="24"/>
              </w:rPr>
              <w:t xml:space="preserve"> </w:t>
            </w:r>
            <w:r w:rsidRPr="00C70052">
              <w:rPr>
                <w:rFonts w:hint="cs"/>
                <w:sz w:val="16"/>
                <w:szCs w:val="24"/>
                <w:rtl/>
              </w:rPr>
              <w:t>389</w:t>
            </w:r>
          </w:p>
        </w:tc>
        <w:tc>
          <w:tcPr>
            <w:tcW w:w="1133"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1514</w:t>
            </w:r>
            <w:r w:rsidRPr="00C70052">
              <w:rPr>
                <w:rFonts w:hint="cs"/>
                <w:sz w:val="16"/>
                <w:szCs w:val="24"/>
              </w:rPr>
              <w:t xml:space="preserve"> </w:t>
            </w:r>
            <w:r w:rsidRPr="00C70052">
              <w:rPr>
                <w:rFonts w:hint="cs"/>
                <w:sz w:val="16"/>
                <w:szCs w:val="24"/>
                <w:rtl/>
              </w:rPr>
              <w:t>110</w:t>
            </w:r>
          </w:p>
        </w:tc>
        <w:tc>
          <w:tcPr>
            <w:tcW w:w="1132"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1717</w:t>
            </w:r>
            <w:r w:rsidRPr="00C70052">
              <w:rPr>
                <w:rFonts w:hint="cs"/>
                <w:sz w:val="16"/>
                <w:szCs w:val="24"/>
              </w:rPr>
              <w:t xml:space="preserve"> </w:t>
            </w:r>
            <w:r w:rsidRPr="00C70052">
              <w:rPr>
                <w:rFonts w:hint="cs"/>
                <w:sz w:val="16"/>
                <w:szCs w:val="24"/>
                <w:rtl/>
              </w:rPr>
              <w:t>499</w:t>
            </w:r>
          </w:p>
        </w:tc>
      </w:tr>
      <w:tr w:rsidR="00137ABD" w:rsidRPr="00C70052">
        <w:trPr>
          <w:cantSplit/>
          <w:jc w:val="center"/>
        </w:trPr>
        <w:tc>
          <w:tcPr>
            <w:tcW w:w="1506" w:type="dxa"/>
            <w:shd w:val="clear" w:color="auto" w:fill="auto"/>
            <w:vAlign w:val="bottom"/>
          </w:tcPr>
          <w:p w:rsidR="00137ABD" w:rsidRPr="00C70052" w:rsidRDefault="00137ABD" w:rsidP="00FA15E5">
            <w:pPr>
              <w:spacing w:before="40" w:after="40" w:line="240" w:lineRule="exact"/>
              <w:rPr>
                <w:sz w:val="16"/>
                <w:szCs w:val="24"/>
                <w:lang w:eastAsia="pt-BR"/>
              </w:rPr>
            </w:pPr>
            <w:r w:rsidRPr="00C70052">
              <w:rPr>
                <w:rFonts w:hint="cs"/>
                <w:sz w:val="16"/>
                <w:szCs w:val="24"/>
                <w:rtl/>
              </w:rPr>
              <w:t>50</w:t>
            </w:r>
            <w:r w:rsidR="005C69C7">
              <w:rPr>
                <w:sz w:val="16"/>
                <w:szCs w:val="24"/>
                <w:rtl/>
              </w:rPr>
              <w:t xml:space="preserve"> إلى </w:t>
            </w:r>
            <w:r w:rsidRPr="00C70052">
              <w:rPr>
                <w:rFonts w:hint="cs"/>
                <w:sz w:val="16"/>
                <w:szCs w:val="24"/>
                <w:rtl/>
              </w:rPr>
              <w:t>64</w:t>
            </w:r>
          </w:p>
        </w:tc>
        <w:tc>
          <w:tcPr>
            <w:tcW w:w="1339"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4</w:t>
            </w:r>
            <w:r w:rsidRPr="00C70052">
              <w:rPr>
                <w:rFonts w:hint="cs"/>
                <w:sz w:val="16"/>
                <w:szCs w:val="24"/>
              </w:rPr>
              <w:t xml:space="preserve"> </w:t>
            </w:r>
            <w:r w:rsidRPr="00C70052">
              <w:rPr>
                <w:rFonts w:hint="cs"/>
                <w:sz w:val="16"/>
                <w:szCs w:val="24"/>
                <w:rtl/>
              </w:rPr>
              <w:t>055</w:t>
            </w:r>
            <w:r w:rsidRPr="00C70052">
              <w:rPr>
                <w:rFonts w:hint="cs"/>
                <w:sz w:val="16"/>
                <w:szCs w:val="24"/>
              </w:rPr>
              <w:t xml:space="preserve"> </w:t>
            </w:r>
            <w:r w:rsidRPr="00C70052">
              <w:rPr>
                <w:rFonts w:hint="cs"/>
                <w:sz w:val="16"/>
                <w:szCs w:val="24"/>
                <w:rtl/>
              </w:rPr>
              <w:t>150</w:t>
            </w:r>
          </w:p>
        </w:tc>
        <w:tc>
          <w:tcPr>
            <w:tcW w:w="1235"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w:t>
            </w:r>
            <w:r w:rsidRPr="00C70052">
              <w:rPr>
                <w:rFonts w:hint="cs"/>
                <w:sz w:val="16"/>
                <w:szCs w:val="24"/>
              </w:rPr>
              <w:t xml:space="preserve"> </w:t>
            </w:r>
            <w:r w:rsidRPr="00C70052">
              <w:rPr>
                <w:rFonts w:hint="cs"/>
                <w:sz w:val="16"/>
                <w:szCs w:val="24"/>
                <w:rtl/>
              </w:rPr>
              <w:t>303</w:t>
            </w:r>
            <w:r w:rsidRPr="00C70052">
              <w:rPr>
                <w:rFonts w:hint="cs"/>
                <w:sz w:val="16"/>
                <w:szCs w:val="24"/>
              </w:rPr>
              <w:t xml:space="preserve"> </w:t>
            </w:r>
            <w:r w:rsidRPr="00C70052">
              <w:rPr>
                <w:rFonts w:hint="cs"/>
                <w:sz w:val="16"/>
                <w:szCs w:val="24"/>
                <w:rtl/>
              </w:rPr>
              <w:t>516</w:t>
            </w:r>
          </w:p>
        </w:tc>
        <w:tc>
          <w:tcPr>
            <w:tcW w:w="1237"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w:t>
            </w:r>
            <w:r w:rsidRPr="00C70052">
              <w:rPr>
                <w:rFonts w:hint="cs"/>
                <w:sz w:val="16"/>
                <w:szCs w:val="24"/>
              </w:rPr>
              <w:t xml:space="preserve"> </w:t>
            </w:r>
            <w:r w:rsidRPr="00C70052">
              <w:rPr>
                <w:rFonts w:hint="cs"/>
                <w:sz w:val="16"/>
                <w:szCs w:val="24"/>
                <w:rtl/>
              </w:rPr>
              <w:t>751</w:t>
            </w:r>
            <w:r w:rsidRPr="00C70052">
              <w:rPr>
                <w:rFonts w:hint="cs"/>
                <w:sz w:val="16"/>
                <w:szCs w:val="24"/>
              </w:rPr>
              <w:t xml:space="preserve"> </w:t>
            </w:r>
            <w:r w:rsidRPr="00C70052">
              <w:rPr>
                <w:rFonts w:hint="cs"/>
                <w:sz w:val="16"/>
                <w:szCs w:val="24"/>
                <w:rtl/>
              </w:rPr>
              <w:t>634</w:t>
            </w:r>
          </w:p>
        </w:tc>
        <w:tc>
          <w:tcPr>
            <w:tcW w:w="1236"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782</w:t>
            </w:r>
            <w:r w:rsidRPr="00C70052">
              <w:rPr>
                <w:rFonts w:hint="cs"/>
                <w:sz w:val="16"/>
                <w:szCs w:val="24"/>
              </w:rPr>
              <w:t xml:space="preserve"> </w:t>
            </w:r>
            <w:r w:rsidRPr="00C70052">
              <w:rPr>
                <w:rFonts w:hint="cs"/>
                <w:sz w:val="16"/>
                <w:szCs w:val="24"/>
                <w:rtl/>
              </w:rPr>
              <w:t>184</w:t>
            </w:r>
          </w:p>
        </w:tc>
        <w:tc>
          <w:tcPr>
            <w:tcW w:w="1030"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220</w:t>
            </w:r>
            <w:r w:rsidRPr="00C70052">
              <w:rPr>
                <w:rFonts w:hint="cs"/>
                <w:sz w:val="16"/>
                <w:szCs w:val="24"/>
              </w:rPr>
              <w:t xml:space="preserve"> </w:t>
            </w:r>
            <w:r w:rsidRPr="00C70052">
              <w:rPr>
                <w:rFonts w:hint="cs"/>
                <w:sz w:val="16"/>
                <w:szCs w:val="24"/>
                <w:rtl/>
              </w:rPr>
              <w:t>414</w:t>
            </w:r>
          </w:p>
        </w:tc>
        <w:tc>
          <w:tcPr>
            <w:tcW w:w="1133"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1289</w:t>
            </w:r>
            <w:r w:rsidRPr="00C70052">
              <w:rPr>
                <w:rFonts w:hint="cs"/>
                <w:sz w:val="16"/>
                <w:szCs w:val="24"/>
              </w:rPr>
              <w:t xml:space="preserve"> </w:t>
            </w:r>
            <w:r w:rsidRPr="00C70052">
              <w:rPr>
                <w:rFonts w:hint="cs"/>
                <w:sz w:val="16"/>
                <w:szCs w:val="24"/>
                <w:rtl/>
              </w:rPr>
              <w:t>377</w:t>
            </w:r>
          </w:p>
        </w:tc>
        <w:tc>
          <w:tcPr>
            <w:tcW w:w="1132" w:type="dxa"/>
            <w:shd w:val="clear" w:color="auto" w:fill="auto"/>
            <w:vAlign w:val="bottom"/>
          </w:tcPr>
          <w:p w:rsidR="00137ABD" w:rsidRPr="00C70052" w:rsidRDefault="00137ABD" w:rsidP="00FA15E5">
            <w:pPr>
              <w:bidi w:val="0"/>
              <w:spacing w:before="40" w:after="40" w:line="240" w:lineRule="exact"/>
              <w:jc w:val="right"/>
              <w:rPr>
                <w:sz w:val="16"/>
                <w:szCs w:val="24"/>
                <w:lang w:eastAsia="pt-BR"/>
              </w:rPr>
            </w:pPr>
            <w:r w:rsidRPr="00C70052">
              <w:rPr>
                <w:rFonts w:hint="cs"/>
                <w:sz w:val="16"/>
                <w:szCs w:val="24"/>
                <w:rtl/>
              </w:rPr>
              <w:t>1509</w:t>
            </w:r>
            <w:r w:rsidRPr="00C70052">
              <w:rPr>
                <w:rFonts w:hint="cs"/>
                <w:sz w:val="16"/>
                <w:szCs w:val="24"/>
              </w:rPr>
              <w:t xml:space="preserve"> </w:t>
            </w:r>
            <w:r w:rsidRPr="00C70052">
              <w:rPr>
                <w:rFonts w:hint="cs"/>
                <w:sz w:val="16"/>
                <w:szCs w:val="24"/>
                <w:rtl/>
              </w:rPr>
              <w:t>791</w:t>
            </w:r>
          </w:p>
        </w:tc>
      </w:tr>
      <w:tr w:rsidR="00137ABD" w:rsidRPr="00C70052">
        <w:trPr>
          <w:cantSplit/>
          <w:jc w:val="center"/>
        </w:trPr>
        <w:tc>
          <w:tcPr>
            <w:tcW w:w="1506" w:type="dxa"/>
            <w:tcBorders>
              <w:bottom w:val="single" w:sz="4" w:space="0" w:color="auto"/>
            </w:tcBorders>
            <w:shd w:val="clear" w:color="auto" w:fill="auto"/>
            <w:vAlign w:val="bottom"/>
          </w:tcPr>
          <w:p w:rsidR="00137ABD" w:rsidRPr="00C70052" w:rsidRDefault="005C69C7" w:rsidP="005C69C7">
            <w:pPr>
              <w:spacing w:before="40" w:after="80" w:line="240" w:lineRule="exact"/>
              <w:rPr>
                <w:rFonts w:hint="cs"/>
                <w:sz w:val="16"/>
                <w:szCs w:val="24"/>
                <w:rtl/>
                <w:lang w:eastAsia="pt-BR" w:bidi="ar-EG"/>
              </w:rPr>
            </w:pPr>
            <w:r>
              <w:rPr>
                <w:rFonts w:hint="cs"/>
                <w:sz w:val="16"/>
                <w:szCs w:val="24"/>
                <w:rtl/>
                <w:lang w:bidi="ar-EG"/>
              </w:rPr>
              <w:t>65 أو أكبر</w:t>
            </w:r>
          </w:p>
        </w:tc>
        <w:tc>
          <w:tcPr>
            <w:tcW w:w="1339"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4</w:t>
            </w:r>
            <w:r w:rsidRPr="00C70052">
              <w:rPr>
                <w:rFonts w:hint="cs"/>
                <w:sz w:val="16"/>
                <w:szCs w:val="24"/>
              </w:rPr>
              <w:t xml:space="preserve"> </w:t>
            </w:r>
            <w:r w:rsidRPr="00C70052">
              <w:rPr>
                <w:rFonts w:hint="cs"/>
                <w:sz w:val="16"/>
                <w:szCs w:val="24"/>
                <w:rtl/>
              </w:rPr>
              <w:t>054</w:t>
            </w:r>
            <w:r w:rsidRPr="00C70052">
              <w:rPr>
                <w:rFonts w:hint="cs"/>
                <w:sz w:val="16"/>
                <w:szCs w:val="24"/>
              </w:rPr>
              <w:t xml:space="preserve"> </w:t>
            </w:r>
            <w:r w:rsidRPr="00C70052">
              <w:rPr>
                <w:rFonts w:hint="cs"/>
                <w:sz w:val="16"/>
                <w:szCs w:val="24"/>
                <w:rtl/>
              </w:rPr>
              <w:t>242</w:t>
            </w:r>
          </w:p>
        </w:tc>
        <w:tc>
          <w:tcPr>
            <w:tcW w:w="1235"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2</w:t>
            </w:r>
            <w:r w:rsidRPr="00C70052">
              <w:rPr>
                <w:rFonts w:hint="cs"/>
                <w:sz w:val="16"/>
                <w:szCs w:val="24"/>
              </w:rPr>
              <w:t xml:space="preserve"> </w:t>
            </w:r>
            <w:r w:rsidRPr="00C70052">
              <w:rPr>
                <w:rFonts w:hint="cs"/>
                <w:sz w:val="16"/>
                <w:szCs w:val="24"/>
                <w:rtl/>
              </w:rPr>
              <w:t>437</w:t>
            </w:r>
            <w:r w:rsidRPr="00C70052">
              <w:rPr>
                <w:rFonts w:hint="cs"/>
                <w:sz w:val="16"/>
                <w:szCs w:val="24"/>
              </w:rPr>
              <w:t xml:space="preserve"> </w:t>
            </w:r>
            <w:r w:rsidRPr="00C70052">
              <w:rPr>
                <w:rFonts w:hint="cs"/>
                <w:sz w:val="16"/>
                <w:szCs w:val="24"/>
                <w:rtl/>
              </w:rPr>
              <w:t>462</w:t>
            </w:r>
          </w:p>
        </w:tc>
        <w:tc>
          <w:tcPr>
            <w:tcW w:w="1237"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1</w:t>
            </w:r>
            <w:r w:rsidRPr="00C70052">
              <w:rPr>
                <w:rFonts w:hint="cs"/>
                <w:sz w:val="16"/>
                <w:szCs w:val="24"/>
              </w:rPr>
              <w:t xml:space="preserve"> </w:t>
            </w:r>
            <w:r w:rsidRPr="00C70052">
              <w:rPr>
                <w:rFonts w:hint="cs"/>
                <w:sz w:val="16"/>
                <w:szCs w:val="24"/>
                <w:rtl/>
              </w:rPr>
              <w:t>616</w:t>
            </w:r>
            <w:r w:rsidRPr="00C70052">
              <w:rPr>
                <w:rFonts w:hint="cs"/>
                <w:sz w:val="16"/>
                <w:szCs w:val="24"/>
              </w:rPr>
              <w:t xml:space="preserve"> </w:t>
            </w:r>
            <w:r w:rsidRPr="00C70052">
              <w:rPr>
                <w:rFonts w:hint="cs"/>
                <w:sz w:val="16"/>
                <w:szCs w:val="24"/>
                <w:rtl/>
              </w:rPr>
              <w:t>780</w:t>
            </w:r>
          </w:p>
        </w:tc>
        <w:tc>
          <w:tcPr>
            <w:tcW w:w="1236"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1106</w:t>
            </w:r>
            <w:r w:rsidRPr="00C70052">
              <w:rPr>
                <w:sz w:val="16"/>
                <w:szCs w:val="24"/>
              </w:rPr>
              <w:t>,</w:t>
            </w:r>
            <w:r w:rsidRPr="00C70052">
              <w:rPr>
                <w:rFonts w:hint="cs"/>
                <w:sz w:val="16"/>
                <w:szCs w:val="24"/>
                <w:rtl/>
              </w:rPr>
              <w:t>103</w:t>
            </w:r>
          </w:p>
        </w:tc>
        <w:tc>
          <w:tcPr>
            <w:tcW w:w="1030"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241</w:t>
            </w:r>
            <w:r w:rsidRPr="00C70052">
              <w:rPr>
                <w:rFonts w:hint="cs"/>
                <w:sz w:val="16"/>
                <w:szCs w:val="24"/>
              </w:rPr>
              <w:t xml:space="preserve"> </w:t>
            </w:r>
            <w:r w:rsidRPr="00C70052">
              <w:rPr>
                <w:rFonts w:hint="cs"/>
                <w:sz w:val="16"/>
                <w:szCs w:val="24"/>
                <w:rtl/>
              </w:rPr>
              <w:t>655</w:t>
            </w:r>
          </w:p>
        </w:tc>
        <w:tc>
          <w:tcPr>
            <w:tcW w:w="1133"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1080</w:t>
            </w:r>
            <w:r w:rsidRPr="00C70052">
              <w:rPr>
                <w:rFonts w:hint="cs"/>
                <w:sz w:val="16"/>
                <w:szCs w:val="24"/>
              </w:rPr>
              <w:t xml:space="preserve"> </w:t>
            </w:r>
            <w:r w:rsidRPr="00C70052">
              <w:rPr>
                <w:rFonts w:hint="cs"/>
                <w:sz w:val="16"/>
                <w:szCs w:val="24"/>
                <w:rtl/>
              </w:rPr>
              <w:t>761</w:t>
            </w:r>
          </w:p>
        </w:tc>
        <w:tc>
          <w:tcPr>
            <w:tcW w:w="1132" w:type="dxa"/>
            <w:tcBorders>
              <w:bottom w:val="single" w:sz="4" w:space="0" w:color="auto"/>
            </w:tcBorders>
            <w:shd w:val="clear" w:color="auto" w:fill="auto"/>
            <w:vAlign w:val="bottom"/>
          </w:tcPr>
          <w:p w:rsidR="00137ABD" w:rsidRPr="00C70052" w:rsidRDefault="00137ABD" w:rsidP="005C69C7">
            <w:pPr>
              <w:bidi w:val="0"/>
              <w:spacing w:before="40" w:after="80" w:line="240" w:lineRule="exact"/>
              <w:jc w:val="right"/>
              <w:rPr>
                <w:sz w:val="16"/>
                <w:szCs w:val="24"/>
                <w:lang w:eastAsia="pt-BR"/>
              </w:rPr>
            </w:pPr>
            <w:r w:rsidRPr="00C70052">
              <w:rPr>
                <w:rFonts w:hint="cs"/>
                <w:sz w:val="16"/>
                <w:szCs w:val="24"/>
                <w:rtl/>
              </w:rPr>
              <w:t>1322</w:t>
            </w:r>
            <w:r w:rsidRPr="00C70052">
              <w:rPr>
                <w:rFonts w:hint="cs"/>
                <w:sz w:val="16"/>
                <w:szCs w:val="24"/>
              </w:rPr>
              <w:t xml:space="preserve"> </w:t>
            </w:r>
            <w:r w:rsidRPr="00C70052">
              <w:rPr>
                <w:rFonts w:hint="cs"/>
                <w:sz w:val="16"/>
                <w:szCs w:val="24"/>
                <w:rtl/>
              </w:rPr>
              <w:t>416</w:t>
            </w:r>
          </w:p>
        </w:tc>
      </w:tr>
      <w:tr w:rsidR="00137ABD" w:rsidRPr="00C70052">
        <w:trPr>
          <w:cantSplit/>
          <w:jc w:val="center"/>
        </w:trPr>
        <w:tc>
          <w:tcPr>
            <w:tcW w:w="1506" w:type="dxa"/>
            <w:tcBorders>
              <w:top w:val="single" w:sz="4" w:space="0" w:color="auto"/>
              <w:bottom w:val="single" w:sz="4" w:space="0" w:color="auto"/>
            </w:tcBorders>
            <w:shd w:val="clear" w:color="auto" w:fill="auto"/>
            <w:vAlign w:val="bottom"/>
          </w:tcPr>
          <w:p w:rsidR="00137ABD" w:rsidRPr="005C69C7" w:rsidRDefault="005C69C7" w:rsidP="005C69C7">
            <w:pPr>
              <w:spacing w:before="40" w:after="80" w:line="240" w:lineRule="exact"/>
              <w:rPr>
                <w:rFonts w:hint="cs"/>
                <w:b/>
                <w:bCs/>
                <w:sz w:val="16"/>
                <w:szCs w:val="24"/>
                <w:rtl/>
                <w:lang w:eastAsia="pt-BR" w:bidi="ar-EG"/>
              </w:rPr>
            </w:pPr>
            <w:r w:rsidRPr="005C69C7">
              <w:rPr>
                <w:rFonts w:hint="cs"/>
                <w:b/>
                <w:bCs/>
                <w:sz w:val="16"/>
                <w:szCs w:val="24"/>
                <w:rtl/>
                <w:lang w:bidi="ar-EG"/>
              </w:rPr>
              <w:t>المجموع</w:t>
            </w:r>
          </w:p>
        </w:tc>
        <w:tc>
          <w:tcPr>
            <w:tcW w:w="1339"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14</w:t>
            </w:r>
            <w:r w:rsidRPr="005C69C7">
              <w:rPr>
                <w:rFonts w:hint="cs"/>
                <w:b/>
                <w:bCs/>
                <w:sz w:val="16"/>
                <w:szCs w:val="24"/>
              </w:rPr>
              <w:t xml:space="preserve"> </w:t>
            </w:r>
            <w:r w:rsidRPr="005C69C7">
              <w:rPr>
                <w:rFonts w:hint="cs"/>
                <w:b/>
                <w:bCs/>
                <w:sz w:val="16"/>
                <w:szCs w:val="24"/>
                <w:rtl/>
              </w:rPr>
              <w:t>635</w:t>
            </w:r>
            <w:r w:rsidRPr="005C69C7">
              <w:rPr>
                <w:rFonts w:hint="cs"/>
                <w:b/>
                <w:bCs/>
                <w:sz w:val="16"/>
                <w:szCs w:val="24"/>
              </w:rPr>
              <w:t xml:space="preserve"> </w:t>
            </w:r>
            <w:r w:rsidRPr="005C69C7">
              <w:rPr>
                <w:rFonts w:hint="cs"/>
                <w:b/>
                <w:bCs/>
                <w:sz w:val="16"/>
                <w:szCs w:val="24"/>
                <w:rtl/>
              </w:rPr>
              <w:t>519</w:t>
            </w:r>
          </w:p>
        </w:tc>
        <w:tc>
          <w:tcPr>
            <w:tcW w:w="1235"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7</w:t>
            </w:r>
            <w:r w:rsidRPr="005C69C7">
              <w:rPr>
                <w:rFonts w:hint="cs"/>
                <w:b/>
                <w:bCs/>
                <w:sz w:val="16"/>
                <w:szCs w:val="24"/>
              </w:rPr>
              <w:t xml:space="preserve"> </w:t>
            </w:r>
            <w:r w:rsidRPr="005C69C7">
              <w:rPr>
                <w:rFonts w:hint="cs"/>
                <w:b/>
                <w:bCs/>
                <w:sz w:val="16"/>
                <w:szCs w:val="24"/>
                <w:rtl/>
              </w:rPr>
              <w:t>545</w:t>
            </w:r>
            <w:r w:rsidRPr="005C69C7">
              <w:rPr>
                <w:rFonts w:hint="cs"/>
                <w:b/>
                <w:bCs/>
                <w:sz w:val="16"/>
                <w:szCs w:val="24"/>
              </w:rPr>
              <w:t xml:space="preserve"> </w:t>
            </w:r>
            <w:r w:rsidRPr="005C69C7">
              <w:rPr>
                <w:rFonts w:hint="cs"/>
                <w:b/>
                <w:bCs/>
                <w:sz w:val="16"/>
                <w:szCs w:val="24"/>
                <w:rtl/>
              </w:rPr>
              <w:t>257</w:t>
            </w:r>
          </w:p>
        </w:tc>
        <w:tc>
          <w:tcPr>
            <w:tcW w:w="1237"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7</w:t>
            </w:r>
            <w:r w:rsidRPr="005C69C7">
              <w:rPr>
                <w:rFonts w:hint="cs"/>
                <w:b/>
                <w:bCs/>
                <w:sz w:val="16"/>
                <w:szCs w:val="24"/>
              </w:rPr>
              <w:t xml:space="preserve"> </w:t>
            </w:r>
            <w:r w:rsidRPr="005C69C7">
              <w:rPr>
                <w:rFonts w:hint="cs"/>
                <w:b/>
                <w:bCs/>
                <w:sz w:val="16"/>
                <w:szCs w:val="24"/>
                <w:rtl/>
              </w:rPr>
              <w:t>090</w:t>
            </w:r>
            <w:r w:rsidRPr="005C69C7">
              <w:rPr>
                <w:rFonts w:hint="cs"/>
                <w:b/>
                <w:bCs/>
                <w:sz w:val="16"/>
                <w:szCs w:val="24"/>
              </w:rPr>
              <w:t xml:space="preserve"> </w:t>
            </w:r>
            <w:r w:rsidRPr="005C69C7">
              <w:rPr>
                <w:rFonts w:hint="cs"/>
                <w:b/>
                <w:bCs/>
                <w:sz w:val="16"/>
                <w:szCs w:val="24"/>
                <w:rtl/>
              </w:rPr>
              <w:t>262</w:t>
            </w:r>
          </w:p>
        </w:tc>
        <w:tc>
          <w:tcPr>
            <w:tcW w:w="1236"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2672</w:t>
            </w:r>
            <w:r w:rsidRPr="005C69C7">
              <w:rPr>
                <w:rFonts w:hint="cs"/>
                <w:b/>
                <w:bCs/>
                <w:sz w:val="16"/>
                <w:szCs w:val="24"/>
              </w:rPr>
              <w:t xml:space="preserve"> </w:t>
            </w:r>
            <w:r w:rsidRPr="005C69C7">
              <w:rPr>
                <w:rFonts w:hint="cs"/>
                <w:b/>
                <w:bCs/>
                <w:sz w:val="16"/>
                <w:szCs w:val="24"/>
                <w:rtl/>
              </w:rPr>
              <w:t>549</w:t>
            </w:r>
          </w:p>
        </w:tc>
        <w:tc>
          <w:tcPr>
            <w:tcW w:w="1030"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692</w:t>
            </w:r>
            <w:r w:rsidRPr="005C69C7">
              <w:rPr>
                <w:rFonts w:hint="cs"/>
                <w:b/>
                <w:bCs/>
                <w:sz w:val="16"/>
                <w:szCs w:val="24"/>
              </w:rPr>
              <w:t xml:space="preserve"> </w:t>
            </w:r>
            <w:r w:rsidRPr="005C69C7">
              <w:rPr>
                <w:rFonts w:hint="cs"/>
                <w:b/>
                <w:bCs/>
                <w:sz w:val="16"/>
                <w:szCs w:val="24"/>
                <w:rtl/>
              </w:rPr>
              <w:t>667</w:t>
            </w:r>
          </w:p>
        </w:tc>
        <w:tc>
          <w:tcPr>
            <w:tcW w:w="1133"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4146</w:t>
            </w:r>
            <w:r w:rsidRPr="005C69C7">
              <w:rPr>
                <w:rFonts w:hint="cs"/>
                <w:b/>
                <w:bCs/>
                <w:sz w:val="16"/>
                <w:szCs w:val="24"/>
              </w:rPr>
              <w:t xml:space="preserve"> </w:t>
            </w:r>
            <w:r w:rsidRPr="005C69C7">
              <w:rPr>
                <w:rFonts w:hint="cs"/>
                <w:b/>
                <w:bCs/>
                <w:sz w:val="16"/>
                <w:szCs w:val="24"/>
                <w:rtl/>
              </w:rPr>
              <w:t>400</w:t>
            </w:r>
          </w:p>
        </w:tc>
        <w:tc>
          <w:tcPr>
            <w:tcW w:w="1132" w:type="dxa"/>
            <w:tcBorders>
              <w:top w:val="single" w:sz="4" w:space="0" w:color="auto"/>
              <w:bottom w:val="single" w:sz="4" w:space="0" w:color="auto"/>
            </w:tcBorders>
            <w:shd w:val="clear" w:color="auto" w:fill="auto"/>
            <w:vAlign w:val="bottom"/>
          </w:tcPr>
          <w:p w:rsidR="00137ABD" w:rsidRPr="005C69C7" w:rsidRDefault="00137ABD" w:rsidP="005C69C7">
            <w:pPr>
              <w:bidi w:val="0"/>
              <w:spacing w:before="40" w:after="80" w:line="240" w:lineRule="exact"/>
              <w:jc w:val="right"/>
              <w:rPr>
                <w:b/>
                <w:bCs/>
                <w:sz w:val="16"/>
                <w:szCs w:val="24"/>
                <w:lang w:eastAsia="pt-BR"/>
              </w:rPr>
            </w:pPr>
            <w:r w:rsidRPr="005C69C7">
              <w:rPr>
                <w:rFonts w:hint="cs"/>
                <w:b/>
                <w:bCs/>
                <w:sz w:val="16"/>
                <w:szCs w:val="24"/>
                <w:rtl/>
              </w:rPr>
              <w:t>4839</w:t>
            </w:r>
            <w:r w:rsidRPr="005C69C7">
              <w:rPr>
                <w:rFonts w:hint="cs"/>
                <w:b/>
                <w:bCs/>
                <w:sz w:val="16"/>
                <w:szCs w:val="24"/>
              </w:rPr>
              <w:t xml:space="preserve"> </w:t>
            </w:r>
            <w:r w:rsidRPr="005C69C7">
              <w:rPr>
                <w:rFonts w:hint="cs"/>
                <w:b/>
                <w:bCs/>
                <w:sz w:val="16"/>
                <w:szCs w:val="24"/>
                <w:rtl/>
              </w:rPr>
              <w:t>067</w:t>
            </w:r>
          </w:p>
        </w:tc>
      </w:tr>
      <w:tr w:rsidR="00137ABD" w:rsidRPr="00C70052">
        <w:trPr>
          <w:cantSplit/>
          <w:jc w:val="center"/>
        </w:trPr>
        <w:tc>
          <w:tcPr>
            <w:tcW w:w="1506" w:type="dxa"/>
            <w:tcBorders>
              <w:top w:val="single" w:sz="4" w:space="0" w:color="auto"/>
            </w:tcBorders>
            <w:shd w:val="clear" w:color="auto" w:fill="auto"/>
            <w:vAlign w:val="bottom"/>
          </w:tcPr>
          <w:p w:rsidR="00137ABD" w:rsidRPr="005C69C7" w:rsidRDefault="005C69C7" w:rsidP="005C69C7">
            <w:pPr>
              <w:spacing w:before="40" w:after="80" w:line="240" w:lineRule="exact"/>
              <w:rPr>
                <w:rFonts w:hint="cs"/>
                <w:b/>
                <w:bCs/>
                <w:sz w:val="16"/>
                <w:szCs w:val="24"/>
                <w:rtl/>
              </w:rPr>
            </w:pPr>
            <w:r>
              <w:rPr>
                <w:rFonts w:hint="cs"/>
                <w:b/>
                <w:bCs/>
                <w:sz w:val="16"/>
                <w:szCs w:val="24"/>
                <w:rtl/>
              </w:rPr>
              <w:t>نسبة الأمية</w:t>
            </w:r>
          </w:p>
        </w:tc>
        <w:tc>
          <w:tcPr>
            <w:tcW w:w="1339"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5"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7"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236"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030"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3"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c>
          <w:tcPr>
            <w:tcW w:w="1132" w:type="dxa"/>
            <w:tcBorders>
              <w:top w:val="single" w:sz="4" w:space="0" w:color="auto"/>
            </w:tcBorders>
            <w:shd w:val="clear" w:color="auto" w:fill="auto"/>
            <w:vAlign w:val="bottom"/>
          </w:tcPr>
          <w:p w:rsidR="00137ABD" w:rsidRPr="00C70052" w:rsidRDefault="00137ABD" w:rsidP="00051ABE">
            <w:pPr>
              <w:bidi w:val="0"/>
              <w:spacing w:before="40" w:after="80" w:line="240" w:lineRule="exact"/>
              <w:jc w:val="right"/>
              <w:rPr>
                <w:rFonts w:hint="cs"/>
                <w:sz w:val="16"/>
                <w:szCs w:val="24"/>
                <w:rtl/>
              </w:rPr>
            </w:pPr>
          </w:p>
        </w:tc>
      </w:tr>
      <w:tr w:rsidR="00137ABD" w:rsidRPr="00C70052">
        <w:trPr>
          <w:cantSplit/>
          <w:jc w:val="center"/>
        </w:trPr>
        <w:tc>
          <w:tcPr>
            <w:tcW w:w="1506" w:type="dxa"/>
            <w:shd w:val="clear" w:color="auto" w:fill="auto"/>
            <w:vAlign w:val="bottom"/>
          </w:tcPr>
          <w:p w:rsidR="00137ABD" w:rsidRPr="00C70052" w:rsidRDefault="00137ABD" w:rsidP="00051ABE">
            <w:pPr>
              <w:spacing w:before="40" w:after="40" w:line="240" w:lineRule="exact"/>
              <w:rPr>
                <w:sz w:val="16"/>
                <w:szCs w:val="24"/>
                <w:lang w:eastAsia="pt-BR"/>
              </w:rPr>
            </w:pPr>
            <w:r w:rsidRPr="00C70052">
              <w:rPr>
                <w:rFonts w:hint="cs"/>
                <w:sz w:val="16"/>
                <w:szCs w:val="24"/>
                <w:rtl/>
              </w:rPr>
              <w:t>15</w:t>
            </w:r>
            <w:r w:rsidR="005C69C7">
              <w:rPr>
                <w:sz w:val="16"/>
                <w:szCs w:val="24"/>
                <w:rtl/>
              </w:rPr>
              <w:t xml:space="preserve"> إلى </w:t>
            </w:r>
            <w:r w:rsidRPr="00C70052">
              <w:rPr>
                <w:rFonts w:hint="cs"/>
                <w:sz w:val="16"/>
                <w:szCs w:val="24"/>
                <w:rtl/>
              </w:rPr>
              <w:t>19</w:t>
            </w:r>
          </w:p>
        </w:tc>
        <w:tc>
          <w:tcPr>
            <w:tcW w:w="1339"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2</w:t>
            </w:r>
            <w:r w:rsidRPr="00C70052">
              <w:rPr>
                <w:sz w:val="16"/>
                <w:szCs w:val="24"/>
              </w:rPr>
              <w:t>,</w:t>
            </w:r>
            <w:r w:rsidRPr="00C70052">
              <w:rPr>
                <w:rFonts w:hint="cs"/>
                <w:sz w:val="16"/>
                <w:szCs w:val="24"/>
                <w:rtl/>
              </w:rPr>
              <w:t>6</w:t>
            </w:r>
          </w:p>
        </w:tc>
        <w:tc>
          <w:tcPr>
            <w:tcW w:w="1235"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w:t>
            </w:r>
            <w:r w:rsidRPr="00C70052">
              <w:rPr>
                <w:sz w:val="16"/>
                <w:szCs w:val="24"/>
              </w:rPr>
              <w:t>,</w:t>
            </w:r>
            <w:r w:rsidRPr="00C70052">
              <w:rPr>
                <w:rFonts w:hint="cs"/>
                <w:sz w:val="16"/>
                <w:szCs w:val="24"/>
                <w:rtl/>
              </w:rPr>
              <w:t>6</w:t>
            </w:r>
          </w:p>
        </w:tc>
        <w:tc>
          <w:tcPr>
            <w:tcW w:w="1237"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w:t>
            </w:r>
            <w:r w:rsidRPr="00C70052">
              <w:rPr>
                <w:sz w:val="16"/>
                <w:szCs w:val="24"/>
              </w:rPr>
              <w:t>,</w:t>
            </w:r>
            <w:r w:rsidRPr="00C70052">
              <w:rPr>
                <w:rFonts w:hint="cs"/>
                <w:sz w:val="16"/>
                <w:szCs w:val="24"/>
                <w:rtl/>
              </w:rPr>
              <w:t>6</w:t>
            </w:r>
          </w:p>
        </w:tc>
        <w:tc>
          <w:tcPr>
            <w:tcW w:w="1236"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0</w:t>
            </w:r>
            <w:r w:rsidRPr="00C70052">
              <w:rPr>
                <w:sz w:val="16"/>
                <w:szCs w:val="24"/>
              </w:rPr>
              <w:t>,</w:t>
            </w:r>
            <w:r w:rsidRPr="00C70052">
              <w:rPr>
                <w:rFonts w:hint="cs"/>
                <w:sz w:val="16"/>
                <w:szCs w:val="24"/>
                <w:rtl/>
              </w:rPr>
              <w:t>8</w:t>
            </w:r>
          </w:p>
        </w:tc>
        <w:tc>
          <w:tcPr>
            <w:tcW w:w="1030"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w:t>
            </w:r>
            <w:r w:rsidRPr="00C70052">
              <w:rPr>
                <w:sz w:val="16"/>
                <w:szCs w:val="24"/>
              </w:rPr>
              <w:t>,</w:t>
            </w:r>
            <w:r w:rsidRPr="00C70052">
              <w:rPr>
                <w:rFonts w:hint="cs"/>
                <w:sz w:val="16"/>
                <w:szCs w:val="24"/>
                <w:rtl/>
              </w:rPr>
              <w:t>6</w:t>
            </w:r>
          </w:p>
        </w:tc>
        <w:tc>
          <w:tcPr>
            <w:tcW w:w="1133"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2</w:t>
            </w:r>
            <w:r w:rsidRPr="00C70052">
              <w:rPr>
                <w:sz w:val="16"/>
                <w:szCs w:val="24"/>
              </w:rPr>
              <w:t>,</w:t>
            </w:r>
            <w:r w:rsidRPr="00C70052">
              <w:rPr>
                <w:rFonts w:hint="cs"/>
                <w:sz w:val="16"/>
                <w:szCs w:val="24"/>
                <w:rtl/>
              </w:rPr>
              <w:t>5</w:t>
            </w:r>
          </w:p>
        </w:tc>
        <w:tc>
          <w:tcPr>
            <w:tcW w:w="1132"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2</w:t>
            </w:r>
            <w:r w:rsidRPr="00C70052">
              <w:rPr>
                <w:sz w:val="16"/>
                <w:szCs w:val="24"/>
              </w:rPr>
              <w:t>,</w:t>
            </w:r>
            <w:r w:rsidRPr="00C70052">
              <w:rPr>
                <w:rFonts w:hint="cs"/>
                <w:sz w:val="16"/>
                <w:szCs w:val="24"/>
                <w:rtl/>
              </w:rPr>
              <w:t>4</w:t>
            </w:r>
          </w:p>
        </w:tc>
      </w:tr>
      <w:tr w:rsidR="00137ABD" w:rsidRPr="00C70052">
        <w:trPr>
          <w:cantSplit/>
          <w:jc w:val="center"/>
        </w:trPr>
        <w:tc>
          <w:tcPr>
            <w:tcW w:w="1506" w:type="dxa"/>
            <w:shd w:val="clear" w:color="auto" w:fill="auto"/>
            <w:vAlign w:val="bottom"/>
          </w:tcPr>
          <w:p w:rsidR="00137ABD" w:rsidRPr="00C70052" w:rsidRDefault="00137ABD" w:rsidP="00051ABE">
            <w:pPr>
              <w:spacing w:before="40" w:after="40" w:line="240" w:lineRule="exact"/>
              <w:rPr>
                <w:sz w:val="16"/>
                <w:szCs w:val="24"/>
                <w:lang w:eastAsia="pt-BR"/>
              </w:rPr>
            </w:pPr>
            <w:r w:rsidRPr="00C70052">
              <w:rPr>
                <w:rFonts w:hint="cs"/>
                <w:sz w:val="16"/>
                <w:szCs w:val="24"/>
                <w:rtl/>
              </w:rPr>
              <w:t>20</w:t>
            </w:r>
            <w:r w:rsidR="005C69C7">
              <w:rPr>
                <w:sz w:val="16"/>
                <w:szCs w:val="24"/>
                <w:rtl/>
              </w:rPr>
              <w:t xml:space="preserve"> إلى </w:t>
            </w:r>
            <w:r w:rsidRPr="00C70052">
              <w:rPr>
                <w:rFonts w:hint="cs"/>
                <w:sz w:val="16"/>
                <w:szCs w:val="24"/>
                <w:rtl/>
              </w:rPr>
              <w:t>24</w:t>
            </w:r>
          </w:p>
        </w:tc>
        <w:tc>
          <w:tcPr>
            <w:tcW w:w="1339"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4</w:t>
            </w:r>
            <w:r w:rsidRPr="00C70052">
              <w:rPr>
                <w:sz w:val="16"/>
                <w:szCs w:val="24"/>
              </w:rPr>
              <w:t>,</w:t>
            </w:r>
            <w:r w:rsidRPr="00C70052">
              <w:rPr>
                <w:rFonts w:hint="cs"/>
                <w:sz w:val="16"/>
                <w:szCs w:val="24"/>
                <w:rtl/>
              </w:rPr>
              <w:t>1</w:t>
            </w:r>
          </w:p>
        </w:tc>
        <w:tc>
          <w:tcPr>
            <w:tcW w:w="1235"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w:t>
            </w:r>
            <w:r w:rsidRPr="00C70052">
              <w:rPr>
                <w:sz w:val="16"/>
                <w:szCs w:val="24"/>
              </w:rPr>
              <w:t>,</w:t>
            </w:r>
            <w:r w:rsidRPr="00C70052">
              <w:rPr>
                <w:rFonts w:hint="cs"/>
                <w:sz w:val="16"/>
                <w:szCs w:val="24"/>
                <w:rtl/>
              </w:rPr>
              <w:t>1</w:t>
            </w:r>
          </w:p>
        </w:tc>
        <w:tc>
          <w:tcPr>
            <w:tcW w:w="1237"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w:t>
            </w:r>
            <w:r w:rsidRPr="00C70052">
              <w:rPr>
                <w:sz w:val="16"/>
                <w:szCs w:val="24"/>
              </w:rPr>
              <w:t>,</w:t>
            </w:r>
            <w:r w:rsidRPr="00C70052">
              <w:rPr>
                <w:rFonts w:hint="cs"/>
                <w:sz w:val="16"/>
                <w:szCs w:val="24"/>
                <w:rtl/>
              </w:rPr>
              <w:t>6</w:t>
            </w:r>
          </w:p>
        </w:tc>
        <w:tc>
          <w:tcPr>
            <w:tcW w:w="1236"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w:t>
            </w:r>
            <w:r w:rsidRPr="00C70052">
              <w:rPr>
                <w:sz w:val="16"/>
                <w:szCs w:val="24"/>
              </w:rPr>
              <w:t>,</w:t>
            </w:r>
            <w:r w:rsidRPr="00C70052">
              <w:rPr>
                <w:rFonts w:hint="cs"/>
                <w:sz w:val="16"/>
                <w:szCs w:val="24"/>
                <w:rtl/>
              </w:rPr>
              <w:t>5</w:t>
            </w:r>
          </w:p>
        </w:tc>
        <w:tc>
          <w:tcPr>
            <w:tcW w:w="1030"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4</w:t>
            </w:r>
            <w:r w:rsidRPr="00C70052">
              <w:rPr>
                <w:sz w:val="16"/>
                <w:szCs w:val="24"/>
              </w:rPr>
              <w:t>,</w:t>
            </w:r>
            <w:r w:rsidRPr="00C70052">
              <w:rPr>
                <w:rFonts w:hint="cs"/>
                <w:sz w:val="16"/>
                <w:szCs w:val="24"/>
                <w:rtl/>
              </w:rPr>
              <w:t>1</w:t>
            </w:r>
          </w:p>
        </w:tc>
        <w:tc>
          <w:tcPr>
            <w:tcW w:w="1133"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4</w:t>
            </w:r>
            <w:r w:rsidRPr="00C70052">
              <w:rPr>
                <w:sz w:val="16"/>
                <w:szCs w:val="24"/>
              </w:rPr>
              <w:t>,</w:t>
            </w:r>
            <w:r w:rsidRPr="00C70052">
              <w:rPr>
                <w:rFonts w:hint="cs"/>
                <w:sz w:val="16"/>
                <w:szCs w:val="24"/>
                <w:rtl/>
              </w:rPr>
              <w:t>9</w:t>
            </w:r>
          </w:p>
        </w:tc>
        <w:tc>
          <w:tcPr>
            <w:tcW w:w="1132"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4</w:t>
            </w:r>
            <w:r w:rsidRPr="00C70052">
              <w:rPr>
                <w:sz w:val="16"/>
                <w:szCs w:val="24"/>
              </w:rPr>
              <w:t>,</w:t>
            </w:r>
            <w:r w:rsidRPr="00C70052">
              <w:rPr>
                <w:rFonts w:hint="cs"/>
                <w:sz w:val="16"/>
                <w:szCs w:val="24"/>
                <w:rtl/>
              </w:rPr>
              <w:t>8</w:t>
            </w:r>
          </w:p>
        </w:tc>
      </w:tr>
      <w:tr w:rsidR="00137ABD" w:rsidRPr="00C70052">
        <w:trPr>
          <w:cantSplit/>
          <w:jc w:val="center"/>
        </w:trPr>
        <w:tc>
          <w:tcPr>
            <w:tcW w:w="1506" w:type="dxa"/>
            <w:shd w:val="clear" w:color="auto" w:fill="auto"/>
            <w:vAlign w:val="bottom"/>
          </w:tcPr>
          <w:p w:rsidR="00137ABD" w:rsidRPr="00C70052" w:rsidRDefault="00137ABD" w:rsidP="00051ABE">
            <w:pPr>
              <w:spacing w:before="40" w:after="40" w:line="240" w:lineRule="exact"/>
              <w:rPr>
                <w:sz w:val="16"/>
                <w:szCs w:val="24"/>
                <w:lang w:eastAsia="pt-BR"/>
              </w:rPr>
            </w:pPr>
            <w:r w:rsidRPr="00C70052">
              <w:rPr>
                <w:rFonts w:hint="cs"/>
                <w:sz w:val="16"/>
                <w:szCs w:val="24"/>
                <w:rtl/>
              </w:rPr>
              <w:t>25</w:t>
            </w:r>
            <w:r w:rsidR="005C69C7">
              <w:rPr>
                <w:sz w:val="16"/>
                <w:szCs w:val="24"/>
                <w:rtl/>
              </w:rPr>
              <w:t xml:space="preserve"> إلى </w:t>
            </w:r>
            <w:r w:rsidRPr="00C70052">
              <w:rPr>
                <w:rFonts w:hint="cs"/>
                <w:sz w:val="16"/>
                <w:szCs w:val="24"/>
                <w:rtl/>
              </w:rPr>
              <w:t>49</w:t>
            </w:r>
          </w:p>
        </w:tc>
        <w:tc>
          <w:tcPr>
            <w:tcW w:w="1339"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8</w:t>
            </w:r>
            <w:r w:rsidRPr="00C70052">
              <w:rPr>
                <w:sz w:val="16"/>
                <w:szCs w:val="24"/>
              </w:rPr>
              <w:t>,</w:t>
            </w:r>
            <w:r w:rsidRPr="00C70052">
              <w:rPr>
                <w:rFonts w:hint="cs"/>
                <w:sz w:val="16"/>
                <w:szCs w:val="24"/>
                <w:rtl/>
              </w:rPr>
              <w:t>8</w:t>
            </w:r>
          </w:p>
        </w:tc>
        <w:tc>
          <w:tcPr>
            <w:tcW w:w="1235"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7</w:t>
            </w:r>
            <w:r w:rsidRPr="00C70052">
              <w:rPr>
                <w:sz w:val="16"/>
                <w:szCs w:val="24"/>
              </w:rPr>
              <w:t>,</w:t>
            </w:r>
            <w:r w:rsidRPr="00C70052">
              <w:rPr>
                <w:rFonts w:hint="cs"/>
                <w:sz w:val="16"/>
                <w:szCs w:val="24"/>
                <w:rtl/>
              </w:rPr>
              <w:t>5</w:t>
            </w:r>
          </w:p>
        </w:tc>
        <w:tc>
          <w:tcPr>
            <w:tcW w:w="1237"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5</w:t>
            </w:r>
            <w:r w:rsidRPr="00C70052">
              <w:rPr>
                <w:sz w:val="16"/>
                <w:szCs w:val="24"/>
              </w:rPr>
              <w:t>,</w:t>
            </w:r>
            <w:r w:rsidRPr="00C70052">
              <w:rPr>
                <w:rFonts w:hint="cs"/>
                <w:sz w:val="16"/>
                <w:szCs w:val="24"/>
                <w:rtl/>
              </w:rPr>
              <w:t>2</w:t>
            </w:r>
          </w:p>
        </w:tc>
        <w:tc>
          <w:tcPr>
            <w:tcW w:w="1236"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w:t>
            </w:r>
            <w:r w:rsidRPr="00C70052">
              <w:rPr>
                <w:sz w:val="16"/>
                <w:szCs w:val="24"/>
              </w:rPr>
              <w:t>,</w:t>
            </w:r>
            <w:r w:rsidRPr="00C70052">
              <w:rPr>
                <w:rFonts w:hint="cs"/>
                <w:sz w:val="16"/>
                <w:szCs w:val="24"/>
                <w:rtl/>
              </w:rPr>
              <w:t>9</w:t>
            </w:r>
          </w:p>
        </w:tc>
        <w:tc>
          <w:tcPr>
            <w:tcW w:w="1030"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10</w:t>
            </w:r>
            <w:r w:rsidRPr="00C70052">
              <w:rPr>
                <w:sz w:val="16"/>
                <w:szCs w:val="24"/>
              </w:rPr>
              <w:t>,</w:t>
            </w:r>
            <w:r w:rsidRPr="00C70052">
              <w:rPr>
                <w:rFonts w:hint="cs"/>
                <w:sz w:val="16"/>
                <w:szCs w:val="24"/>
                <w:rtl/>
              </w:rPr>
              <w:t>4</w:t>
            </w:r>
          </w:p>
        </w:tc>
        <w:tc>
          <w:tcPr>
            <w:tcW w:w="1133"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12</w:t>
            </w:r>
            <w:r w:rsidRPr="00C70052">
              <w:rPr>
                <w:sz w:val="16"/>
                <w:szCs w:val="24"/>
              </w:rPr>
              <w:t>,</w:t>
            </w:r>
            <w:r w:rsidRPr="00C70052">
              <w:rPr>
                <w:rFonts w:hint="cs"/>
                <w:sz w:val="16"/>
                <w:szCs w:val="24"/>
                <w:rtl/>
              </w:rPr>
              <w:t>1</w:t>
            </w:r>
          </w:p>
        </w:tc>
        <w:tc>
          <w:tcPr>
            <w:tcW w:w="1132"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11</w:t>
            </w:r>
            <w:r w:rsidRPr="00C70052">
              <w:rPr>
                <w:sz w:val="16"/>
                <w:szCs w:val="24"/>
              </w:rPr>
              <w:t>,</w:t>
            </w:r>
            <w:r w:rsidRPr="00C70052">
              <w:rPr>
                <w:rFonts w:hint="cs"/>
                <w:sz w:val="16"/>
                <w:szCs w:val="24"/>
                <w:rtl/>
              </w:rPr>
              <w:t>9</w:t>
            </w:r>
          </w:p>
        </w:tc>
      </w:tr>
      <w:tr w:rsidR="00137ABD" w:rsidRPr="00C70052">
        <w:trPr>
          <w:cantSplit/>
          <w:jc w:val="center"/>
        </w:trPr>
        <w:tc>
          <w:tcPr>
            <w:tcW w:w="1506" w:type="dxa"/>
            <w:shd w:val="clear" w:color="auto" w:fill="auto"/>
            <w:vAlign w:val="bottom"/>
          </w:tcPr>
          <w:p w:rsidR="00137ABD" w:rsidRPr="00C70052" w:rsidRDefault="00137ABD" w:rsidP="00051ABE">
            <w:pPr>
              <w:spacing w:before="40" w:after="40" w:line="240" w:lineRule="exact"/>
              <w:rPr>
                <w:sz w:val="16"/>
                <w:szCs w:val="24"/>
                <w:lang w:eastAsia="pt-BR"/>
              </w:rPr>
            </w:pPr>
            <w:r w:rsidRPr="00C70052">
              <w:rPr>
                <w:rFonts w:hint="cs"/>
                <w:sz w:val="16"/>
                <w:szCs w:val="24"/>
                <w:rtl/>
              </w:rPr>
              <w:t>50</w:t>
            </w:r>
            <w:r w:rsidR="005C69C7">
              <w:rPr>
                <w:sz w:val="16"/>
                <w:szCs w:val="24"/>
                <w:rtl/>
              </w:rPr>
              <w:t xml:space="preserve"> إلى </w:t>
            </w:r>
            <w:r w:rsidRPr="00C70052">
              <w:rPr>
                <w:rFonts w:hint="cs"/>
                <w:sz w:val="16"/>
                <w:szCs w:val="24"/>
                <w:rtl/>
              </w:rPr>
              <w:t>64</w:t>
            </w:r>
          </w:p>
        </w:tc>
        <w:tc>
          <w:tcPr>
            <w:tcW w:w="1339"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20</w:t>
            </w:r>
            <w:r w:rsidRPr="00C70052">
              <w:rPr>
                <w:sz w:val="16"/>
                <w:szCs w:val="24"/>
              </w:rPr>
              <w:t>,</w:t>
            </w:r>
            <w:r w:rsidRPr="00C70052">
              <w:rPr>
                <w:rFonts w:hint="cs"/>
                <w:sz w:val="16"/>
                <w:szCs w:val="24"/>
                <w:rtl/>
              </w:rPr>
              <w:t>5</w:t>
            </w:r>
          </w:p>
        </w:tc>
        <w:tc>
          <w:tcPr>
            <w:tcW w:w="1235"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21</w:t>
            </w:r>
            <w:r w:rsidRPr="00C70052">
              <w:rPr>
                <w:sz w:val="16"/>
                <w:szCs w:val="24"/>
              </w:rPr>
              <w:t>,</w:t>
            </w:r>
            <w:r w:rsidRPr="00C70052">
              <w:rPr>
                <w:rFonts w:hint="cs"/>
                <w:sz w:val="16"/>
                <w:szCs w:val="24"/>
                <w:rtl/>
              </w:rPr>
              <w:t>8</w:t>
            </w:r>
          </w:p>
        </w:tc>
        <w:tc>
          <w:tcPr>
            <w:tcW w:w="1237"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w:t>
            </w:r>
            <w:r w:rsidRPr="00C70052">
              <w:rPr>
                <w:sz w:val="16"/>
                <w:szCs w:val="24"/>
              </w:rPr>
              <w:t>,</w:t>
            </w:r>
            <w:r w:rsidRPr="00C70052">
              <w:rPr>
                <w:rFonts w:hint="cs"/>
                <w:sz w:val="16"/>
                <w:szCs w:val="24"/>
                <w:rtl/>
              </w:rPr>
              <w:t>1</w:t>
            </w:r>
          </w:p>
        </w:tc>
        <w:tc>
          <w:tcPr>
            <w:tcW w:w="1236"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12</w:t>
            </w:r>
            <w:r w:rsidRPr="00C70052">
              <w:rPr>
                <w:sz w:val="16"/>
                <w:szCs w:val="24"/>
              </w:rPr>
              <w:t>,</w:t>
            </w:r>
            <w:r w:rsidRPr="00C70052">
              <w:rPr>
                <w:rFonts w:hint="cs"/>
                <w:sz w:val="16"/>
                <w:szCs w:val="24"/>
                <w:rtl/>
              </w:rPr>
              <w:t>9</w:t>
            </w:r>
          </w:p>
        </w:tc>
        <w:tc>
          <w:tcPr>
            <w:tcW w:w="1030"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32</w:t>
            </w:r>
            <w:r w:rsidRPr="00C70052">
              <w:rPr>
                <w:sz w:val="16"/>
                <w:szCs w:val="24"/>
              </w:rPr>
              <w:t>,</w:t>
            </w:r>
            <w:r w:rsidRPr="00C70052">
              <w:rPr>
                <w:rFonts w:hint="cs"/>
                <w:sz w:val="16"/>
                <w:szCs w:val="24"/>
                <w:rtl/>
              </w:rPr>
              <w:t>0</w:t>
            </w:r>
          </w:p>
        </w:tc>
        <w:tc>
          <w:tcPr>
            <w:tcW w:w="1133"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34</w:t>
            </w:r>
            <w:r w:rsidRPr="00C70052">
              <w:rPr>
                <w:sz w:val="16"/>
                <w:szCs w:val="24"/>
              </w:rPr>
              <w:t>,</w:t>
            </w:r>
            <w:r w:rsidRPr="00C70052">
              <w:rPr>
                <w:rFonts w:hint="cs"/>
                <w:sz w:val="16"/>
                <w:szCs w:val="24"/>
                <w:rtl/>
              </w:rPr>
              <w:t>6</w:t>
            </w:r>
          </w:p>
        </w:tc>
        <w:tc>
          <w:tcPr>
            <w:tcW w:w="1132" w:type="dxa"/>
            <w:shd w:val="clear" w:color="auto" w:fill="auto"/>
            <w:vAlign w:val="bottom"/>
          </w:tcPr>
          <w:p w:rsidR="00137ABD" w:rsidRPr="00C70052" w:rsidRDefault="00137ABD" w:rsidP="00051ABE">
            <w:pPr>
              <w:bidi w:val="0"/>
              <w:spacing w:before="40" w:after="40" w:line="240" w:lineRule="exact"/>
              <w:jc w:val="right"/>
              <w:rPr>
                <w:sz w:val="16"/>
                <w:szCs w:val="24"/>
                <w:lang w:eastAsia="pt-BR"/>
              </w:rPr>
            </w:pPr>
            <w:r w:rsidRPr="00C70052">
              <w:rPr>
                <w:rFonts w:hint="cs"/>
                <w:sz w:val="16"/>
                <w:szCs w:val="24"/>
                <w:rtl/>
              </w:rPr>
              <w:t>34</w:t>
            </w:r>
            <w:r w:rsidRPr="00C70052">
              <w:rPr>
                <w:sz w:val="16"/>
                <w:szCs w:val="24"/>
              </w:rPr>
              <w:t>,</w:t>
            </w:r>
            <w:r w:rsidRPr="00C70052">
              <w:rPr>
                <w:rFonts w:hint="cs"/>
                <w:sz w:val="16"/>
                <w:szCs w:val="24"/>
                <w:rtl/>
              </w:rPr>
              <w:t>2</w:t>
            </w:r>
          </w:p>
        </w:tc>
      </w:tr>
      <w:tr w:rsidR="00137ABD" w:rsidRPr="00C70052">
        <w:trPr>
          <w:cantSplit/>
          <w:jc w:val="center"/>
        </w:trPr>
        <w:tc>
          <w:tcPr>
            <w:tcW w:w="1506" w:type="dxa"/>
            <w:tcBorders>
              <w:bottom w:val="single" w:sz="4" w:space="0" w:color="auto"/>
            </w:tcBorders>
            <w:shd w:val="clear" w:color="auto" w:fill="auto"/>
            <w:vAlign w:val="bottom"/>
          </w:tcPr>
          <w:p w:rsidR="00137ABD" w:rsidRPr="00C70052" w:rsidRDefault="005C69C7" w:rsidP="005C69C7">
            <w:pPr>
              <w:spacing w:before="40" w:after="80" w:line="240" w:lineRule="exact"/>
              <w:rPr>
                <w:sz w:val="16"/>
                <w:szCs w:val="24"/>
                <w:lang w:eastAsia="pt-BR"/>
              </w:rPr>
            </w:pPr>
            <w:r>
              <w:rPr>
                <w:rFonts w:hint="cs"/>
                <w:sz w:val="16"/>
                <w:szCs w:val="24"/>
                <w:rtl/>
              </w:rPr>
              <w:t>65 أو أكبر</w:t>
            </w:r>
          </w:p>
        </w:tc>
        <w:tc>
          <w:tcPr>
            <w:tcW w:w="1339"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35</w:t>
            </w:r>
            <w:r w:rsidRPr="00C70052">
              <w:rPr>
                <w:sz w:val="16"/>
                <w:szCs w:val="24"/>
              </w:rPr>
              <w:t>,</w:t>
            </w:r>
            <w:r w:rsidRPr="00C70052">
              <w:rPr>
                <w:rFonts w:hint="cs"/>
                <w:sz w:val="16"/>
                <w:szCs w:val="24"/>
                <w:rtl/>
              </w:rPr>
              <w:t>2</w:t>
            </w:r>
          </w:p>
        </w:tc>
        <w:tc>
          <w:tcPr>
            <w:tcW w:w="1235"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37</w:t>
            </w:r>
            <w:r w:rsidRPr="00C70052">
              <w:rPr>
                <w:sz w:val="16"/>
                <w:szCs w:val="24"/>
              </w:rPr>
              <w:t>,</w:t>
            </w:r>
            <w:r w:rsidRPr="00C70052">
              <w:rPr>
                <w:rFonts w:hint="cs"/>
                <w:sz w:val="16"/>
                <w:szCs w:val="24"/>
                <w:rtl/>
              </w:rPr>
              <w:t>2</w:t>
            </w:r>
          </w:p>
        </w:tc>
        <w:tc>
          <w:tcPr>
            <w:tcW w:w="1237"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10</w:t>
            </w:r>
            <w:r w:rsidRPr="00C70052">
              <w:rPr>
                <w:sz w:val="16"/>
                <w:szCs w:val="24"/>
              </w:rPr>
              <w:t>,</w:t>
            </w:r>
            <w:r w:rsidRPr="00C70052">
              <w:rPr>
                <w:rFonts w:hint="cs"/>
                <w:sz w:val="16"/>
                <w:szCs w:val="24"/>
                <w:rtl/>
              </w:rPr>
              <w:t>1</w:t>
            </w:r>
          </w:p>
        </w:tc>
        <w:tc>
          <w:tcPr>
            <w:tcW w:w="1236"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27</w:t>
            </w:r>
            <w:r w:rsidRPr="00C70052">
              <w:rPr>
                <w:sz w:val="16"/>
                <w:szCs w:val="24"/>
              </w:rPr>
              <w:t>,</w:t>
            </w:r>
            <w:r w:rsidRPr="00C70052">
              <w:rPr>
                <w:rFonts w:hint="cs"/>
                <w:sz w:val="16"/>
                <w:szCs w:val="24"/>
                <w:rtl/>
              </w:rPr>
              <w:t>3</w:t>
            </w:r>
          </w:p>
        </w:tc>
        <w:tc>
          <w:tcPr>
            <w:tcW w:w="1030"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54</w:t>
            </w:r>
            <w:r w:rsidRPr="00C70052">
              <w:rPr>
                <w:sz w:val="16"/>
                <w:szCs w:val="24"/>
              </w:rPr>
              <w:t>,</w:t>
            </w:r>
            <w:r w:rsidRPr="00C70052">
              <w:rPr>
                <w:rFonts w:hint="cs"/>
                <w:sz w:val="16"/>
                <w:szCs w:val="24"/>
                <w:rtl/>
              </w:rPr>
              <w:t>1</w:t>
            </w:r>
          </w:p>
        </w:tc>
        <w:tc>
          <w:tcPr>
            <w:tcW w:w="1133"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54</w:t>
            </w:r>
            <w:r w:rsidRPr="00C70052">
              <w:rPr>
                <w:sz w:val="16"/>
                <w:szCs w:val="24"/>
              </w:rPr>
              <w:t>,</w:t>
            </w:r>
            <w:r w:rsidRPr="00C70052">
              <w:rPr>
                <w:rFonts w:hint="cs"/>
                <w:sz w:val="16"/>
                <w:szCs w:val="24"/>
                <w:rtl/>
              </w:rPr>
              <w:t>5</w:t>
            </w:r>
          </w:p>
        </w:tc>
        <w:tc>
          <w:tcPr>
            <w:tcW w:w="1132" w:type="dxa"/>
            <w:tcBorders>
              <w:bottom w:val="single" w:sz="4" w:space="0" w:color="auto"/>
            </w:tcBorders>
            <w:shd w:val="clear" w:color="auto" w:fill="auto"/>
            <w:vAlign w:val="bottom"/>
          </w:tcPr>
          <w:p w:rsidR="00137ABD" w:rsidRPr="00C70052" w:rsidRDefault="00137ABD" w:rsidP="00051ABE">
            <w:pPr>
              <w:bidi w:val="0"/>
              <w:spacing w:before="40" w:after="80" w:line="240" w:lineRule="exact"/>
              <w:jc w:val="right"/>
              <w:rPr>
                <w:sz w:val="16"/>
                <w:szCs w:val="24"/>
                <w:lang w:eastAsia="pt-BR"/>
              </w:rPr>
            </w:pPr>
            <w:r w:rsidRPr="00C70052">
              <w:rPr>
                <w:rFonts w:hint="cs"/>
                <w:sz w:val="16"/>
                <w:szCs w:val="24"/>
                <w:rtl/>
              </w:rPr>
              <w:t>54</w:t>
            </w:r>
            <w:r w:rsidRPr="00C70052">
              <w:rPr>
                <w:sz w:val="16"/>
                <w:szCs w:val="24"/>
              </w:rPr>
              <w:t>,</w:t>
            </w:r>
            <w:r w:rsidRPr="00C70052">
              <w:rPr>
                <w:rFonts w:hint="cs"/>
                <w:sz w:val="16"/>
                <w:szCs w:val="24"/>
                <w:rtl/>
              </w:rPr>
              <w:t>4</w:t>
            </w:r>
          </w:p>
        </w:tc>
      </w:tr>
      <w:tr w:rsidR="00137ABD" w:rsidRPr="005C69C7">
        <w:trPr>
          <w:cantSplit/>
          <w:jc w:val="center"/>
        </w:trPr>
        <w:tc>
          <w:tcPr>
            <w:tcW w:w="1506" w:type="dxa"/>
            <w:tcBorders>
              <w:top w:val="single" w:sz="4" w:space="0" w:color="auto"/>
              <w:bottom w:val="single" w:sz="12" w:space="0" w:color="auto"/>
            </w:tcBorders>
            <w:shd w:val="clear" w:color="auto" w:fill="auto"/>
            <w:vAlign w:val="bottom"/>
          </w:tcPr>
          <w:p w:rsidR="00137ABD" w:rsidRPr="005C69C7" w:rsidRDefault="005C69C7" w:rsidP="005C69C7">
            <w:pPr>
              <w:spacing w:before="40" w:after="80" w:line="240" w:lineRule="exact"/>
              <w:rPr>
                <w:rFonts w:hint="cs"/>
                <w:b/>
                <w:bCs/>
                <w:sz w:val="16"/>
                <w:szCs w:val="24"/>
                <w:rtl/>
                <w:lang w:eastAsia="pt-BR" w:bidi="ar-EG"/>
              </w:rPr>
            </w:pPr>
            <w:r w:rsidRPr="005C69C7">
              <w:rPr>
                <w:rFonts w:hint="cs"/>
                <w:b/>
                <w:bCs/>
                <w:sz w:val="16"/>
                <w:szCs w:val="24"/>
                <w:rtl/>
                <w:lang w:bidi="ar-EG"/>
              </w:rPr>
              <w:t>المجموع</w:t>
            </w:r>
          </w:p>
        </w:tc>
        <w:tc>
          <w:tcPr>
            <w:tcW w:w="1339"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11</w:t>
            </w:r>
            <w:r w:rsidRPr="005C69C7">
              <w:rPr>
                <w:b/>
                <w:bCs/>
                <w:sz w:val="16"/>
                <w:szCs w:val="24"/>
              </w:rPr>
              <w:t>,</w:t>
            </w:r>
            <w:r w:rsidRPr="005C69C7">
              <w:rPr>
                <w:rFonts w:hint="cs"/>
                <w:b/>
                <w:bCs/>
                <w:sz w:val="16"/>
                <w:szCs w:val="24"/>
                <w:rtl/>
              </w:rPr>
              <w:t>6</w:t>
            </w:r>
          </w:p>
        </w:tc>
        <w:tc>
          <w:tcPr>
            <w:tcW w:w="1235"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11</w:t>
            </w:r>
            <w:r w:rsidRPr="005C69C7">
              <w:rPr>
                <w:b/>
                <w:bCs/>
                <w:sz w:val="16"/>
                <w:szCs w:val="24"/>
              </w:rPr>
              <w:t>,</w:t>
            </w:r>
            <w:r w:rsidRPr="005C69C7">
              <w:rPr>
                <w:rFonts w:hint="cs"/>
                <w:b/>
                <w:bCs/>
                <w:sz w:val="16"/>
                <w:szCs w:val="24"/>
                <w:rtl/>
              </w:rPr>
              <w:t>4</w:t>
            </w:r>
          </w:p>
        </w:tc>
        <w:tc>
          <w:tcPr>
            <w:tcW w:w="1237"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11</w:t>
            </w:r>
            <w:r w:rsidRPr="005C69C7">
              <w:rPr>
                <w:b/>
                <w:bCs/>
                <w:sz w:val="16"/>
                <w:szCs w:val="24"/>
              </w:rPr>
              <w:t>,</w:t>
            </w:r>
            <w:r w:rsidRPr="005C69C7">
              <w:rPr>
                <w:rFonts w:hint="cs"/>
                <w:b/>
                <w:bCs/>
                <w:sz w:val="16"/>
                <w:szCs w:val="24"/>
                <w:rtl/>
              </w:rPr>
              <w:t>7</w:t>
            </w:r>
          </w:p>
        </w:tc>
        <w:tc>
          <w:tcPr>
            <w:tcW w:w="1236"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7</w:t>
            </w:r>
            <w:r w:rsidRPr="005C69C7">
              <w:rPr>
                <w:b/>
                <w:bCs/>
                <w:sz w:val="16"/>
                <w:szCs w:val="24"/>
              </w:rPr>
              <w:t>,</w:t>
            </w:r>
            <w:r w:rsidRPr="005C69C7">
              <w:rPr>
                <w:rFonts w:hint="cs"/>
                <w:b/>
                <w:bCs/>
                <w:sz w:val="16"/>
                <w:szCs w:val="24"/>
                <w:rtl/>
              </w:rPr>
              <w:t>4</w:t>
            </w:r>
          </w:p>
        </w:tc>
        <w:tc>
          <w:tcPr>
            <w:tcW w:w="1030"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17</w:t>
            </w:r>
            <w:r w:rsidRPr="005C69C7">
              <w:rPr>
                <w:b/>
                <w:bCs/>
                <w:sz w:val="16"/>
                <w:szCs w:val="24"/>
              </w:rPr>
              <w:t>,</w:t>
            </w:r>
            <w:r w:rsidRPr="005C69C7">
              <w:rPr>
                <w:rFonts w:hint="cs"/>
                <w:b/>
                <w:bCs/>
                <w:sz w:val="16"/>
                <w:szCs w:val="24"/>
                <w:rtl/>
              </w:rPr>
              <w:t>2</w:t>
            </w:r>
          </w:p>
        </w:tc>
        <w:tc>
          <w:tcPr>
            <w:tcW w:w="1133"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16</w:t>
            </w:r>
            <w:r w:rsidRPr="005C69C7">
              <w:rPr>
                <w:b/>
                <w:bCs/>
                <w:sz w:val="16"/>
                <w:szCs w:val="24"/>
              </w:rPr>
              <w:t>,</w:t>
            </w:r>
            <w:r w:rsidRPr="005C69C7">
              <w:rPr>
                <w:rFonts w:hint="cs"/>
                <w:b/>
                <w:bCs/>
                <w:sz w:val="16"/>
                <w:szCs w:val="24"/>
                <w:rtl/>
              </w:rPr>
              <w:t>4</w:t>
            </w:r>
          </w:p>
        </w:tc>
        <w:tc>
          <w:tcPr>
            <w:tcW w:w="1132" w:type="dxa"/>
            <w:tcBorders>
              <w:top w:val="single" w:sz="4" w:space="0" w:color="auto"/>
              <w:bottom w:val="single" w:sz="12" w:space="0" w:color="auto"/>
            </w:tcBorders>
            <w:shd w:val="clear" w:color="auto" w:fill="auto"/>
            <w:vAlign w:val="bottom"/>
          </w:tcPr>
          <w:p w:rsidR="00137ABD" w:rsidRPr="005C69C7" w:rsidRDefault="00137ABD" w:rsidP="00051ABE">
            <w:pPr>
              <w:bidi w:val="0"/>
              <w:spacing w:before="40" w:after="80" w:line="240" w:lineRule="exact"/>
              <w:jc w:val="right"/>
              <w:rPr>
                <w:b/>
                <w:bCs/>
                <w:sz w:val="16"/>
                <w:szCs w:val="24"/>
                <w:lang w:eastAsia="pt-BR"/>
              </w:rPr>
            </w:pPr>
            <w:r w:rsidRPr="005C69C7">
              <w:rPr>
                <w:rFonts w:hint="cs"/>
                <w:b/>
                <w:bCs/>
                <w:sz w:val="16"/>
                <w:szCs w:val="24"/>
                <w:rtl/>
              </w:rPr>
              <w:t>16</w:t>
            </w:r>
            <w:r w:rsidRPr="005C69C7">
              <w:rPr>
                <w:b/>
                <w:bCs/>
                <w:sz w:val="16"/>
                <w:szCs w:val="24"/>
              </w:rPr>
              <w:t>,</w:t>
            </w:r>
            <w:r w:rsidRPr="005C69C7">
              <w:rPr>
                <w:rFonts w:hint="cs"/>
                <w:b/>
                <w:bCs/>
                <w:sz w:val="16"/>
                <w:szCs w:val="24"/>
                <w:rtl/>
              </w:rPr>
              <w:t>5</w:t>
            </w:r>
          </w:p>
        </w:tc>
      </w:tr>
    </w:tbl>
    <w:p w:rsidR="00FA15E5" w:rsidRPr="00FA15E5" w:rsidRDefault="00FA15E5" w:rsidP="00FA15E5">
      <w:pPr>
        <w:pStyle w:val="FootnoteText"/>
        <w:tabs>
          <w:tab w:val="clear" w:pos="418"/>
          <w:tab w:val="right" w:pos="662"/>
          <w:tab w:val="left" w:pos="763"/>
          <w:tab w:val="left" w:pos="1210"/>
          <w:tab w:val="left" w:pos="1685"/>
          <w:tab w:val="left" w:pos="2174"/>
          <w:tab w:val="left" w:pos="2650"/>
        </w:tabs>
        <w:spacing w:line="120" w:lineRule="exact"/>
        <w:ind w:left="763" w:right="0" w:hanging="763"/>
        <w:rPr>
          <w:rFonts w:hint="cs"/>
          <w:sz w:val="10"/>
          <w:rtl/>
          <w:lang w:bidi="ar-EG"/>
        </w:rPr>
      </w:pPr>
    </w:p>
    <w:p w:rsidR="00D13761" w:rsidRDefault="005C69C7" w:rsidP="00FA15E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t>المصدر:</w:t>
      </w:r>
      <w:r>
        <w:rPr>
          <w:rFonts w:hint="cs"/>
          <w:rtl/>
          <w:lang w:bidi="ar-EG"/>
        </w:rPr>
        <w:tab/>
        <w:t>دراسة استقصائية وطنية للأسرة المعيشية (دراسة استقصائية وطنية لعينة من الأسر المعيشية/المعهد البرازيلي للجغرافيا والإحصاء) 2003.</w:t>
      </w:r>
    </w:p>
    <w:p w:rsidR="00FA15E5" w:rsidRDefault="00FA15E5" w:rsidP="00FA15E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Pr>
          <w:rFonts w:hint="cs"/>
          <w:i/>
          <w:iCs/>
          <w:rtl/>
          <w:lang w:bidi="ar-EG"/>
        </w:rPr>
        <w:t>الجدولة</w:t>
      </w:r>
      <w:r>
        <w:rPr>
          <w:rFonts w:hint="cs"/>
          <w:rtl/>
          <w:lang w:bidi="ar-EG"/>
        </w:rPr>
        <w:t>:</w:t>
      </w:r>
      <w:r>
        <w:rPr>
          <w:rFonts w:hint="cs"/>
          <w:rtl/>
          <w:lang w:bidi="ar-EG"/>
        </w:rPr>
        <w:tab/>
      </w:r>
      <w:r>
        <w:rPr>
          <w:lang w:bidi="ar-EG"/>
        </w:rPr>
        <w:t>DAIE</w:t>
      </w:r>
      <w:r>
        <w:rPr>
          <w:rFonts w:hint="cs"/>
          <w:rtl/>
          <w:lang w:bidi="ar-EG"/>
        </w:rPr>
        <w:t>/إدارة التعليم المتصل ومحو الأمية والتنوع/وزارة التعليم.</w:t>
      </w:r>
    </w:p>
    <w:p w:rsidR="00FA15E5" w:rsidRPr="00FA15E5" w:rsidRDefault="00FA15E5" w:rsidP="00FA15E5">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t>*</w:t>
      </w:r>
      <w:r>
        <w:rPr>
          <w:rFonts w:hint="cs"/>
          <w:rtl/>
          <w:lang w:bidi="ar-EG"/>
        </w:rPr>
        <w:tab/>
        <w:t>يعتبر الزنوج مجموع السكان السود والمولدين</w:t>
      </w:r>
    </w:p>
    <w:p w:rsidR="009E608C" w:rsidRDefault="00814C48" w:rsidP="00AB66EF">
      <w:pPr>
        <w:pStyle w:val="SingleTxt"/>
        <w:rPr>
          <w:rFonts w:hint="cs"/>
          <w:rtl/>
          <w:lang w:bidi="ar-EG"/>
        </w:rPr>
      </w:pPr>
      <w:r>
        <w:rPr>
          <w:lang w:bidi="ar-EG"/>
        </w:rPr>
        <w:tab/>
      </w:r>
      <w:r>
        <w:rPr>
          <w:rFonts w:hint="cs"/>
          <w:rtl/>
          <w:lang w:bidi="ar-EG"/>
        </w:rPr>
        <w:t xml:space="preserve">وبالتالي، </w:t>
      </w:r>
      <w:r w:rsidR="00AA3E3F">
        <w:rPr>
          <w:rFonts w:hint="cs"/>
          <w:rtl/>
          <w:lang w:bidi="ar-EG"/>
        </w:rPr>
        <w:t xml:space="preserve">رغم أن السياسات العامة كانت فعالة حتى الآن في تخفيض حدة التفاوتات بين الجنسين، فاستمرار وجود تلك السياسات داخل مجموعات معينة يعني أنه يجب أن </w:t>
      </w:r>
      <w:r w:rsidR="00AB66EF">
        <w:rPr>
          <w:rFonts w:hint="cs"/>
          <w:rtl/>
          <w:lang w:bidi="ar-EG"/>
        </w:rPr>
        <w:t>ت</w:t>
      </w:r>
      <w:r w:rsidR="00AA3E3F">
        <w:rPr>
          <w:rFonts w:hint="cs"/>
          <w:rtl/>
          <w:lang w:bidi="ar-EG"/>
        </w:rPr>
        <w:t xml:space="preserve">بدأ </w:t>
      </w:r>
      <w:r w:rsidR="00AB66EF">
        <w:rPr>
          <w:rFonts w:hint="cs"/>
          <w:rtl/>
          <w:lang w:bidi="ar-EG"/>
        </w:rPr>
        <w:t>معالجة</w:t>
      </w:r>
      <w:r w:rsidR="00AA3E3F">
        <w:rPr>
          <w:rFonts w:hint="cs"/>
          <w:rtl/>
          <w:lang w:bidi="ar-EG"/>
        </w:rPr>
        <w:t xml:space="preserve"> مسائل نوع الجنس والعنصر والإثنية معا عن طريق الاضطلاع بالأعمال الإيجابية.</w:t>
      </w:r>
    </w:p>
    <w:p w:rsidR="00AA3E3F" w:rsidRDefault="00AA3E3F" w:rsidP="009E608C">
      <w:pPr>
        <w:pStyle w:val="SingleTxt"/>
        <w:rPr>
          <w:rFonts w:hint="cs"/>
          <w:rtl/>
          <w:lang w:bidi="ar-EG"/>
        </w:rPr>
      </w:pPr>
      <w:r>
        <w:rPr>
          <w:rFonts w:hint="cs"/>
          <w:rtl/>
          <w:lang w:bidi="ar-EG"/>
        </w:rPr>
        <w:tab/>
        <w:t>وحرصا على معالجة هذه التباينات على نحو إيجابي، تتخذ الحكومة تدابير معينة لصالح المجموعات النسائية المهمشة.</w:t>
      </w:r>
    </w:p>
    <w:p w:rsidR="00AA3E3F" w:rsidRDefault="00AA3E3F" w:rsidP="009E608C">
      <w:pPr>
        <w:pStyle w:val="SingleTxt"/>
        <w:rPr>
          <w:rFonts w:hint="cs"/>
          <w:rtl/>
          <w:lang w:bidi="ar-EG"/>
        </w:rPr>
      </w:pPr>
      <w:r>
        <w:rPr>
          <w:rFonts w:hint="cs"/>
          <w:rtl/>
          <w:lang w:bidi="ar-EG"/>
        </w:rPr>
        <w:tab/>
        <w:t>ووقعت الأمانة الخاصة لسياسات تعزيز المساواة العنصرية ووزارة التعليم على بروتوكول للنوايا بغية التقدم باقتراح لإدخال المسائل العنصرية بطريقة مستعرضة في التعليم. وسيجري تحقيق ذلك من خلال إنشاء برنامج لإدراج الأفراد السود في التعليم في البرازيل.</w:t>
      </w:r>
    </w:p>
    <w:p w:rsidR="00AA3E3F" w:rsidRDefault="00AA3E3F" w:rsidP="009E608C">
      <w:pPr>
        <w:pStyle w:val="SingleTxt"/>
        <w:rPr>
          <w:rFonts w:hint="cs"/>
          <w:rtl/>
          <w:lang w:bidi="ar-EG"/>
        </w:rPr>
      </w:pPr>
      <w:r>
        <w:rPr>
          <w:rFonts w:hint="cs"/>
          <w:rtl/>
          <w:lang w:bidi="ar-EG"/>
        </w:rPr>
        <w:tab/>
        <w:t>وضمت حكومة البرازيل جهودها إلى الأمانة الخاصة لسياسات تعزيز المساواة العنصرية ووزارة التعليم من أجل تدعيم سياسات العمل الإيجابي في مجال التعليم العالي. وجرى تشكيل فريق عامل يضم ممثلين عن الأمانة الخاصة وإدارة التعليم العالي/وزارة التعليم والمراكز الجامعية الموجودة في كل منطقة والمعنية بالدراسات البرازيلية - الأفريقية من أجل وضع مبادئ توجيهية بشأن إمكانية التحاق الطلبة من أصل أفريقي بالجامعات واستمرارهم فيها.</w:t>
      </w:r>
    </w:p>
    <w:p w:rsidR="00AA3E3F" w:rsidRDefault="00AA3E3F" w:rsidP="00AA3E3F">
      <w:pPr>
        <w:pStyle w:val="SingleTxt"/>
        <w:rPr>
          <w:rFonts w:hint="cs"/>
          <w:rtl/>
          <w:lang w:bidi="ar-EG"/>
        </w:rPr>
      </w:pPr>
      <w:r>
        <w:rPr>
          <w:rFonts w:hint="cs"/>
          <w:rtl/>
          <w:lang w:bidi="ar-EG"/>
        </w:rPr>
        <w:tab/>
        <w:t>وإلى جانب انتهاج سياسات تخصيص حصص للطلبة السود، يجري النظر في وضع مبادئ توجيهية للميادين التعليمية المتصلة بالمهنيين في مجال التعليم، ولنشر مواد تعليمية، ولتنفيذ القانون رقم 10639/2003</w:t>
      </w:r>
      <w:r w:rsidR="00353D3F" w:rsidRPr="00353D3F">
        <w:rPr>
          <w:vertAlign w:val="superscript"/>
          <w:rtl/>
          <w:lang w:bidi="ar-EG"/>
        </w:rPr>
        <w:t>(</w:t>
      </w:r>
      <w:r w:rsidR="00353D3F">
        <w:rPr>
          <w:rStyle w:val="FootnoteReference"/>
          <w:rtl/>
        </w:rPr>
        <w:footnoteReference w:id="5"/>
      </w:r>
      <w:r w:rsidR="00353D3F" w:rsidRPr="00353D3F">
        <w:rPr>
          <w:vertAlign w:val="superscript"/>
          <w:rtl/>
          <w:lang w:bidi="ar-EG"/>
        </w:rPr>
        <w:t>)</w:t>
      </w:r>
      <w:r>
        <w:rPr>
          <w:rFonts w:hint="cs"/>
          <w:rtl/>
          <w:lang w:bidi="ar-EG"/>
        </w:rPr>
        <w:t>. ويجري أيضا تحليل المبادئ التوجيهية المعنية بالاستمرار داخل النظام التعليمي، مثل تقديم منح دراسية تتصل بالبحوث والدورات التكميلية إلى الطلبة الذين يدرسون في ظل نظام الحصص.</w:t>
      </w:r>
    </w:p>
    <w:p w:rsidR="00353D3F" w:rsidRDefault="00353D3F" w:rsidP="00AA3E3F">
      <w:pPr>
        <w:pStyle w:val="SingleTxt"/>
        <w:rPr>
          <w:rFonts w:hint="cs"/>
          <w:rtl/>
          <w:lang w:bidi="ar-EG"/>
        </w:rPr>
      </w:pPr>
      <w:r>
        <w:rPr>
          <w:rFonts w:hint="cs"/>
          <w:rtl/>
          <w:lang w:bidi="ar-EG"/>
        </w:rPr>
        <w:tab/>
        <w:t>وتشارك جميع الكيانات الحكوم</w:t>
      </w:r>
      <w:r w:rsidR="00AB66EF">
        <w:rPr>
          <w:rFonts w:hint="cs"/>
          <w:rtl/>
          <w:lang w:bidi="ar-EG"/>
        </w:rPr>
        <w:t>ي</w:t>
      </w:r>
      <w:r>
        <w:rPr>
          <w:rFonts w:hint="cs"/>
          <w:rtl/>
          <w:lang w:bidi="ar-EG"/>
        </w:rPr>
        <w:t>ة السالفة الذكر في رصد مشروع قانون تنفيذ نظام الحصص للسكان السود والسكان الأصليين في نظام التعليم العام. وأرسلت رئاسة الجمهورية مشروع القانون هذا (مشروع القانون 3627/2004) إلى الكونغرس الوطني للموافقة عليه.</w:t>
      </w:r>
    </w:p>
    <w:p w:rsidR="00353D3F" w:rsidRDefault="00353D3F" w:rsidP="00AB66EF">
      <w:pPr>
        <w:pStyle w:val="SingleTxt"/>
        <w:rPr>
          <w:rFonts w:hint="cs"/>
          <w:rtl/>
          <w:lang w:bidi="ar-EG"/>
        </w:rPr>
      </w:pPr>
      <w:r>
        <w:rPr>
          <w:rFonts w:hint="cs"/>
          <w:rtl/>
          <w:lang w:bidi="ar-EG"/>
        </w:rPr>
        <w:tab/>
        <w:t>و</w:t>
      </w:r>
      <w:r w:rsidR="00AB66EF">
        <w:rPr>
          <w:rFonts w:hint="cs"/>
          <w:rtl/>
          <w:lang w:bidi="ar-EG"/>
        </w:rPr>
        <w:t>ي</w:t>
      </w:r>
      <w:r>
        <w:rPr>
          <w:rFonts w:hint="cs"/>
          <w:rtl/>
          <w:lang w:bidi="ar-EG"/>
        </w:rPr>
        <w:t xml:space="preserve">كفل </w:t>
      </w:r>
      <w:r w:rsidR="00AB66EF">
        <w:rPr>
          <w:rFonts w:hint="cs"/>
          <w:rtl/>
          <w:lang w:bidi="ar-EG"/>
        </w:rPr>
        <w:t xml:space="preserve">برنامج </w:t>
      </w:r>
      <w:r>
        <w:rPr>
          <w:rFonts w:hint="cs"/>
          <w:rtl/>
          <w:lang w:bidi="ar-EG"/>
        </w:rPr>
        <w:t xml:space="preserve">جامعة </w:t>
      </w:r>
      <w:r w:rsidR="00AB66EF">
        <w:rPr>
          <w:rFonts w:hint="cs"/>
          <w:rtl/>
          <w:lang w:bidi="ar-EG"/>
        </w:rPr>
        <w:t>لل</w:t>
      </w:r>
      <w:r>
        <w:rPr>
          <w:rFonts w:hint="cs"/>
          <w:rtl/>
          <w:lang w:bidi="ar-EG"/>
        </w:rPr>
        <w:t>جميع توفير حافز مالي للجامعات الخاصة إذا قدمت منحا دراسية جزئية أو كاملة إلى الطلبة الذين يتخرجون في نظام المدارس العامة. وتعطى الأولوية لاختيار الطلبة من السكان الأصليين أو السود أو السمر أو المعوقين.</w:t>
      </w:r>
    </w:p>
    <w:p w:rsidR="00353D3F" w:rsidRDefault="00353D3F" w:rsidP="00AA3E3F">
      <w:pPr>
        <w:pStyle w:val="SingleTxt"/>
        <w:rPr>
          <w:rFonts w:hint="cs"/>
          <w:rtl/>
          <w:lang w:bidi="ar-EG"/>
        </w:rPr>
      </w:pPr>
      <w:r>
        <w:rPr>
          <w:rFonts w:hint="cs"/>
          <w:rtl/>
          <w:lang w:bidi="ar-EG"/>
        </w:rPr>
        <w:tab/>
        <w:t>وفضلا عما تقدم، فقد نفذت وزارة التعليم منذ عام 2003 مشروعا رائدا لإجراء البحوث والأعمال في بعض الولايات بغية تعزيز إمكانية وصول الشباب البرازيليين من أصل أفريقي إلى التعليم العالي. ويجري التوصل إلى ذلك من خلال تمويل الدورات التحضيرية لامتحانات القبول بالجامعات، بالإضافة إلى تقديم المنح الدراسية إلى نفس هؤلاء الشباب. وفي عام 2004، جرى التعاقد على 29 دورة من تلك الدورات، مقارنة بـ 12 دورة عام 2003. وسينتفع بهذه الدورات 5370 طالبا في ولايات باهيا، ومارانهاو، وميناس غيرايس، وريو دي جانيرو، وساو باولو، وماتو غروسو، وماتو غرسو دو سول. وفي نفس السنة، موّل المشروع 15 دراسة تتعلق بالسكان البرازيليين من أصل أفريقي، وقسمت هذه الدراسات إلى ثلاثة مجالات هي توقعات إدماج الشباب السود (من الفتيان والفتيات) بالمدارس المتوسطة في سوق العمل؛ والبرازيليون من أصل أفريقي والدين في المدارس المتوسطة؛ والتعليم النظامي وغير النظامي في المجتمعات المحلية الريفية للسود.</w:t>
      </w:r>
    </w:p>
    <w:p w:rsidR="009F468B" w:rsidRDefault="009F468B" w:rsidP="00AB66EF">
      <w:pPr>
        <w:pStyle w:val="SingleTxt"/>
        <w:rPr>
          <w:rFonts w:hint="cs"/>
          <w:rtl/>
          <w:lang w:bidi="ar-EG"/>
        </w:rPr>
      </w:pPr>
      <w:r>
        <w:rPr>
          <w:rFonts w:hint="cs"/>
          <w:rtl/>
          <w:lang w:bidi="ar-EG"/>
        </w:rPr>
        <w:tab/>
        <w:t xml:space="preserve">وتشجع حكومة البرازيل، من خلال وزارة التعليم، إجراء تحسينات في التعليم في مجتمعات </w:t>
      </w:r>
      <w:r w:rsidR="00AB66EF" w:rsidRPr="00AB66EF">
        <w:rPr>
          <w:rFonts w:hint="cs"/>
          <w:i/>
          <w:rtl/>
          <w:lang w:bidi="ar-EG"/>
        </w:rPr>
        <w:t>كويلومبو</w:t>
      </w:r>
      <w:r w:rsidR="00AB66EF">
        <w:rPr>
          <w:rFonts w:hint="cs"/>
          <w:iCs/>
          <w:rtl/>
          <w:lang w:bidi="ar-EG"/>
        </w:rPr>
        <w:t xml:space="preserve"> </w:t>
      </w:r>
      <w:r w:rsidR="00AB66EF" w:rsidRPr="00AB66EF">
        <w:rPr>
          <w:i/>
          <w:lang w:bidi="ar-EG"/>
        </w:rPr>
        <w:t>quilombo</w:t>
      </w:r>
      <w:r>
        <w:rPr>
          <w:rFonts w:hint="cs"/>
          <w:iCs/>
          <w:rtl/>
          <w:lang w:bidi="ar-EG"/>
        </w:rPr>
        <w:t xml:space="preserve"> </w:t>
      </w:r>
      <w:r w:rsidRPr="009F468B">
        <w:rPr>
          <w:rFonts w:hint="cs"/>
          <w:i/>
          <w:rtl/>
          <w:lang w:bidi="ar-EG"/>
        </w:rPr>
        <w:t>(مجتمعات العبيد الهاربين السابقين)</w:t>
      </w:r>
      <w:r>
        <w:rPr>
          <w:rFonts w:hint="cs"/>
          <w:i/>
          <w:rtl/>
          <w:lang w:bidi="ar-EG"/>
        </w:rPr>
        <w:t>. وتنصب الأنشطة في هذا المجال على تقديم التدريب المتصل للمعلمين، وإدخال تحسينات على المدارس، وتوزيع المواد التعليمية على هذه المجتمعات. ومن عام 2002 إلى عام 2004 انتفع من هذه الأنشطة 777 12 معلما و 000 51 طالب.</w:t>
      </w:r>
    </w:p>
    <w:p w:rsidR="009F468B" w:rsidRDefault="009F468B" w:rsidP="00AB66EF">
      <w:pPr>
        <w:pStyle w:val="SingleTxt"/>
        <w:rPr>
          <w:rFonts w:hint="cs"/>
          <w:rtl/>
          <w:lang w:bidi="ar-EG"/>
        </w:rPr>
      </w:pPr>
      <w:r>
        <w:rPr>
          <w:rFonts w:hint="cs"/>
          <w:rtl/>
          <w:lang w:bidi="ar-EG"/>
        </w:rPr>
        <w:tab/>
        <w:t>وبالنسبة للنساء من السكان الأصليين، يكفل دستور البرازيل تعليمهن بلغاتهن الأصلية ويعترف بعمليات التدريب الخاصة بهن. وفي عام 2004 أنشأت وزارة التعليم وكالة التنسيق العامة لتعليم السكان الأصليين، وهي الوكالة المسؤولة عن دعم المبادرات المتنوعة لتدريب المعلمين من السكان الأصليين، وفقا للمرجع الوطني للمناهج الدراسية الوطنية لمدارس السكان الأصليين (1998)</w:t>
      </w:r>
      <w:r w:rsidR="00AB66EF">
        <w:rPr>
          <w:rFonts w:hint="cs"/>
          <w:rtl/>
          <w:lang w:bidi="ar-EG"/>
        </w:rPr>
        <w:t>،</w:t>
      </w:r>
      <w:r>
        <w:rPr>
          <w:rFonts w:hint="cs"/>
          <w:rtl/>
          <w:lang w:bidi="ar-EG"/>
        </w:rPr>
        <w:t xml:space="preserve"> الذي يهدف إلى تعزيز التعليم المتعدد الثقافات والتعليم ثنائي </w:t>
      </w:r>
      <w:r w:rsidR="0062200E">
        <w:rPr>
          <w:rFonts w:hint="cs"/>
          <w:rtl/>
          <w:lang w:bidi="ar-EG"/>
        </w:rPr>
        <w:t>اللغة/متعدد اللغات. وتعمل وكالة التنسيق في إطار شراكة قوية مع السكان البرازيليين الأصليين وزعمائهم، وكثير منهم من النساء.</w:t>
      </w:r>
    </w:p>
    <w:p w:rsidR="0062200E" w:rsidRDefault="0062200E" w:rsidP="00AB66EF">
      <w:pPr>
        <w:pStyle w:val="SingleTxt"/>
        <w:rPr>
          <w:rFonts w:hint="cs"/>
          <w:rtl/>
          <w:lang w:bidi="ar-EG"/>
        </w:rPr>
      </w:pPr>
      <w:r>
        <w:rPr>
          <w:rFonts w:hint="cs"/>
          <w:rtl/>
          <w:lang w:bidi="ar-EG"/>
        </w:rPr>
        <w:tab/>
        <w:t xml:space="preserve">وفي نفس الوقت لم تثر القيادات النسائية مطالب جنسانية محددة فيما يتعلق بالتعليم. ونعلم أن مشاركة المرأة كمعلمة في مدارس السكان الأصليين تختلف باختلاف المناطق في البرازيل، ويعتمد ذلك على خصائص الاتصال داخل كل منطقة، كما يعتمد على ثقافة كل مجموعة إثنية، دون أن يعني ذلك بالضرورة أن هناك تمييزا بين الجنسين. ويزداد نشاط النساء بوصفهن قائدات للسكان الأصليين. </w:t>
      </w:r>
      <w:r w:rsidR="00AB66EF">
        <w:rPr>
          <w:rFonts w:hint="cs"/>
          <w:rtl/>
          <w:lang w:bidi="ar-EG"/>
        </w:rPr>
        <w:t>وتشكل النساء</w:t>
      </w:r>
      <w:r>
        <w:rPr>
          <w:rFonts w:hint="cs"/>
          <w:rtl/>
          <w:lang w:bidi="ar-EG"/>
        </w:rPr>
        <w:t xml:space="preserve"> أغلبية المعلمين في المنطقتين الشمالية الشرقية والجنوبية الشرقية، إلا أنهن أقلية في المنطقة الشمالية و</w:t>
      </w:r>
      <w:r w:rsidR="00AB66EF">
        <w:rPr>
          <w:rFonts w:hint="cs"/>
          <w:rtl/>
          <w:lang w:bidi="ar-EG"/>
        </w:rPr>
        <w:t xml:space="preserve">المنطقة </w:t>
      </w:r>
      <w:r>
        <w:rPr>
          <w:rFonts w:hint="cs"/>
          <w:rtl/>
          <w:lang w:bidi="ar-EG"/>
        </w:rPr>
        <w:t>الغربية الوسطى، رغم أن هذه النسبة أكثر اعتدالا في ولاية رورايما. ومع ذلك، لا يوجد لدينا بعد أدوات لتوثيق تطور تلك العملية ولا لتفسيرها.</w:t>
      </w:r>
    </w:p>
    <w:p w:rsidR="0062200E" w:rsidRDefault="0062200E" w:rsidP="009F468B">
      <w:pPr>
        <w:pStyle w:val="SingleTxt"/>
        <w:rPr>
          <w:rFonts w:hint="cs"/>
          <w:rtl/>
          <w:lang w:bidi="ar-EG"/>
        </w:rPr>
      </w:pPr>
      <w:r>
        <w:rPr>
          <w:rFonts w:hint="cs"/>
          <w:rtl/>
          <w:lang w:bidi="ar-EG"/>
        </w:rPr>
        <w:tab/>
        <w:t>ومنذ إصدار التقرير السابق، أنشأت ولاية أخرى (بخلاف ماتو غروسو في عام 2001)، وهي رورايما، دورة عالية المستوى لتدريب المعلمين من السكان الأصليين. وتشارك المرأة في الدورات التي تعطي التراخيص، والتي تقدمها جامعة ولاية ماتو غروسو والجامعة الاتحادية في ولاية رورايما.</w:t>
      </w:r>
    </w:p>
    <w:p w:rsidR="0062200E" w:rsidRDefault="0062200E" w:rsidP="009F468B">
      <w:pPr>
        <w:pStyle w:val="SingleTxt"/>
        <w:rPr>
          <w:rFonts w:hint="cs"/>
          <w:rtl/>
          <w:lang w:bidi="ar-EG"/>
        </w:rPr>
      </w:pPr>
      <w:r>
        <w:rPr>
          <w:rFonts w:hint="cs"/>
          <w:rtl/>
          <w:lang w:bidi="ar-EG"/>
        </w:rPr>
        <w:tab/>
        <w:t xml:space="preserve">وأشرنا في التقرير السابق إلى أن </w:t>
      </w:r>
      <w:r>
        <w:rPr>
          <w:rFonts w:hint="eastAsia"/>
          <w:rtl/>
          <w:lang w:bidi="ar-EG"/>
        </w:rPr>
        <w:t>”الوثائق البرازيلية الرسمية تنص من جديد على أن نظام التعليم البرازيلي محصن من التمييز ضد المرأة ومن التمييز الجنساني (المجلس الوطني لحقوق المرأة، عام 1998؛ ووزارة التعليم/المعهد الوطني لدراسات وبحوث التعليم، عام 1999 وعام 2000)</w:t>
      </w:r>
      <w:r>
        <w:rPr>
          <w:rFonts w:hint="cs"/>
          <w:rtl/>
          <w:lang w:bidi="ar-EG"/>
        </w:rPr>
        <w:t>“. ورغم أن هذا الموقف يضعف، إلا أنه ما زال موجودا لدى كثير من الإداريين.</w:t>
      </w:r>
    </w:p>
    <w:p w:rsidR="0062200E" w:rsidRDefault="0062200E" w:rsidP="00AB66EF">
      <w:pPr>
        <w:pStyle w:val="SingleTxt"/>
        <w:rPr>
          <w:rFonts w:hint="cs"/>
          <w:rtl/>
          <w:lang w:bidi="ar-EG"/>
        </w:rPr>
      </w:pPr>
      <w:r>
        <w:rPr>
          <w:rFonts w:hint="cs"/>
          <w:rtl/>
          <w:lang w:bidi="ar-EG"/>
        </w:rPr>
        <w:tab/>
        <w:t xml:space="preserve">والحكم الذاتي للنظم التعليمية في الولايات والبلديات </w:t>
      </w:r>
      <w:r w:rsidR="009C5E4A">
        <w:rPr>
          <w:rFonts w:hint="cs"/>
          <w:rtl/>
          <w:lang w:bidi="ar-EG"/>
        </w:rPr>
        <w:t>ي</w:t>
      </w:r>
      <w:r w:rsidR="00AB66EF">
        <w:rPr>
          <w:rFonts w:hint="cs"/>
          <w:rtl/>
          <w:lang w:bidi="ar-EG"/>
        </w:rPr>
        <w:t>ؤدي إلى</w:t>
      </w:r>
      <w:r w:rsidR="009C5E4A">
        <w:rPr>
          <w:rFonts w:hint="cs"/>
          <w:rtl/>
          <w:lang w:bidi="ar-EG"/>
        </w:rPr>
        <w:t xml:space="preserve"> الحد من السلطة التنفيذية لوزارة التعليم. ودور الوزارة معياري بشكل أساسي. وبالتالي، لا بد أن تراعى حقوق الإنسان والمواضيع المتصلة بها (نوع الجنس، والتنوع الديني، وتنوع التوجه الجنسي، والإعاقات) عند وضع المبادئ التوجيهية الوطنية لمناهج التدريب الأولى للأساتذة والمعلمين، وللمناهج التعليمية للحضانة والمدارس الابتدائية والمتوسطة والثانوية أيضا. وكانت هذه النتيجة إحدى النتائج الأساسية للحلقة الدراسية </w:t>
      </w:r>
      <w:r w:rsidR="009C5E4A">
        <w:rPr>
          <w:rFonts w:hint="eastAsia"/>
          <w:rtl/>
          <w:lang w:bidi="ar-EG"/>
        </w:rPr>
        <w:t>”التعليم من أجل المساواة بين الجنسين وفيما يتعلق بالعنصر والتوجه الجنسي</w:t>
      </w:r>
      <w:r w:rsidR="009C5E4A">
        <w:rPr>
          <w:rFonts w:hint="cs"/>
          <w:rtl/>
          <w:lang w:bidi="ar-EG"/>
        </w:rPr>
        <w:t>“، المذكورة أعلاه.</w:t>
      </w:r>
    </w:p>
    <w:p w:rsidR="009C5E4A" w:rsidRDefault="009C5E4A" w:rsidP="009F468B">
      <w:pPr>
        <w:pStyle w:val="SingleTxt"/>
        <w:rPr>
          <w:rFonts w:hint="cs"/>
          <w:rtl/>
          <w:lang w:bidi="ar-EG"/>
        </w:rPr>
      </w:pPr>
      <w:r>
        <w:rPr>
          <w:rFonts w:hint="cs"/>
          <w:rtl/>
          <w:lang w:bidi="ar-EG"/>
        </w:rPr>
        <w:tab/>
        <w:t xml:space="preserve">ومع ذلك، يجب قبل إعداد هذه المبادئ التوجيهية أن يجري التوصل إلى توافق في الآراء بين جميع إدارات وزارة التعليم بشأن ضرورة وضع سياسات جنسانية في النظام التعليمي. وإنشاء </w:t>
      </w:r>
      <w:r>
        <w:rPr>
          <w:rFonts w:hint="eastAsia"/>
          <w:rtl/>
          <w:lang w:bidi="ar-EG"/>
        </w:rPr>
        <w:t>”إدارة التعليم المتصل، ومحو الأمية، والتنوع</w:t>
      </w:r>
      <w:r>
        <w:rPr>
          <w:rFonts w:hint="cs"/>
          <w:rtl/>
          <w:lang w:bidi="ar-EG"/>
        </w:rPr>
        <w:t xml:space="preserve">“ يعني أن المسؤولية عن </w:t>
      </w:r>
      <w:r>
        <w:rPr>
          <w:rFonts w:hint="eastAsia"/>
          <w:rtl/>
          <w:lang w:bidi="ar-EG"/>
        </w:rPr>
        <w:t>”تنسيق</w:t>
      </w:r>
      <w:r>
        <w:rPr>
          <w:rFonts w:hint="cs"/>
          <w:rtl/>
          <w:lang w:bidi="ar-EG"/>
        </w:rPr>
        <w:t xml:space="preserve">“ مسائل حقوق الإنسان و </w:t>
      </w:r>
      <w:r>
        <w:rPr>
          <w:rFonts w:hint="eastAsia"/>
          <w:rtl/>
          <w:lang w:bidi="ar-EG"/>
        </w:rPr>
        <w:t>”الإدماج التعليمي</w:t>
      </w:r>
      <w:r>
        <w:rPr>
          <w:rFonts w:hint="cs"/>
          <w:rtl/>
          <w:lang w:bidi="ar-EG"/>
        </w:rPr>
        <w:t>“ للمجموعات الضعيفة تقع على عاتق إحدى الإدارات. وضرورة إدخال هذه السياسات بصورة مستعرضة في جميع مستويات التعليم وطرائقه تعني أنه من المطلوب بذل جهود ضخمة لضمان الترابط بين الإدارات.</w:t>
      </w:r>
    </w:p>
    <w:p w:rsidR="009C5E4A" w:rsidRDefault="009C5E4A" w:rsidP="00AB66EF">
      <w:pPr>
        <w:pStyle w:val="SingleTxt"/>
        <w:rPr>
          <w:rFonts w:hint="cs"/>
          <w:rtl/>
          <w:lang w:bidi="ar-EG"/>
        </w:rPr>
      </w:pPr>
      <w:r>
        <w:rPr>
          <w:rFonts w:hint="cs"/>
          <w:rtl/>
          <w:lang w:bidi="ar-EG"/>
        </w:rPr>
        <w:tab/>
        <w:t xml:space="preserve">ورغم أننا أوضحنا نواحي التقدم التي تم إحرازها، مثل إدراج مسائل نوع الجنس والعنصر في بحوث وزارة التعليم، فلا يزال هناك الكثير مما يجب القيام به بشأن تصنيف المعلومات التعليمية على أساس </w:t>
      </w:r>
      <w:r w:rsidR="00AB66EF">
        <w:rPr>
          <w:rFonts w:hint="cs"/>
          <w:rtl/>
          <w:lang w:bidi="ar-EG"/>
        </w:rPr>
        <w:t xml:space="preserve">نوع </w:t>
      </w:r>
      <w:r>
        <w:rPr>
          <w:rFonts w:hint="cs"/>
          <w:rtl/>
          <w:lang w:bidi="ar-EG"/>
        </w:rPr>
        <w:t>الجنس والعنصر. وينطبق هذا أيضا على جمع البيانات</w:t>
      </w:r>
      <w:r w:rsidR="00AB66EF">
        <w:rPr>
          <w:rFonts w:hint="cs"/>
          <w:rtl/>
          <w:lang w:bidi="ar-EG"/>
        </w:rPr>
        <w:t>،</w:t>
      </w:r>
      <w:r>
        <w:rPr>
          <w:rFonts w:hint="cs"/>
          <w:rtl/>
          <w:lang w:bidi="ar-EG"/>
        </w:rPr>
        <w:t xml:space="preserve"> </w:t>
      </w:r>
      <w:r w:rsidR="00AB66EF">
        <w:rPr>
          <w:rFonts w:hint="cs"/>
          <w:rtl/>
          <w:lang w:bidi="ar-EG"/>
        </w:rPr>
        <w:t>و</w:t>
      </w:r>
      <w:r>
        <w:rPr>
          <w:rFonts w:hint="cs"/>
          <w:rtl/>
          <w:lang w:bidi="ar-EG"/>
        </w:rPr>
        <w:t>ب</w:t>
      </w:r>
      <w:r w:rsidR="00AB66EF">
        <w:rPr>
          <w:rFonts w:hint="cs"/>
          <w:rtl/>
          <w:lang w:bidi="ar-EG"/>
        </w:rPr>
        <w:t>خا</w:t>
      </w:r>
      <w:r>
        <w:rPr>
          <w:rFonts w:hint="cs"/>
          <w:rtl/>
          <w:lang w:bidi="ar-EG"/>
        </w:rPr>
        <w:t xml:space="preserve">صة </w:t>
      </w:r>
      <w:r w:rsidR="00AB66EF">
        <w:rPr>
          <w:rFonts w:hint="cs"/>
          <w:rtl/>
          <w:lang w:bidi="ar-EG"/>
        </w:rPr>
        <w:t>من المجموعات المستبعدة على</w:t>
      </w:r>
      <w:r>
        <w:rPr>
          <w:rFonts w:hint="cs"/>
          <w:rtl/>
          <w:lang w:bidi="ar-EG"/>
        </w:rPr>
        <w:t xml:space="preserve"> نحو تقليدي، مثل السكان الأصليين والمعوقين والعبيد الهاربين السابقين.</w:t>
      </w:r>
    </w:p>
    <w:p w:rsidR="009C5E4A" w:rsidRPr="009C5E4A" w:rsidRDefault="009C5E4A" w:rsidP="009C5E4A">
      <w:pPr>
        <w:pStyle w:val="SingleTxt"/>
        <w:spacing w:after="0" w:line="120" w:lineRule="exact"/>
        <w:rPr>
          <w:rFonts w:hint="cs"/>
          <w:sz w:val="10"/>
          <w:rtl/>
          <w:lang w:bidi="ar-EG"/>
        </w:rPr>
      </w:pPr>
    </w:p>
    <w:p w:rsidR="00A06D75" w:rsidRDefault="00A06D75" w:rsidP="00A06D7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من اتفاقية القضاء على جميع أشكال التمييز ضد المرأة</w:t>
      </w:r>
    </w:p>
    <w:p w:rsidR="00814C66" w:rsidRPr="00675564" w:rsidRDefault="00445830" w:rsidP="00445830">
      <w:pPr>
        <w:pStyle w:val="SingleTxt"/>
        <w:ind w:left="1930" w:hanging="663"/>
        <w:rPr>
          <w:rtl/>
        </w:rPr>
      </w:pPr>
      <w:r>
        <w:rPr>
          <w:rFonts w:hint="cs"/>
          <w:rtl/>
        </w:rPr>
        <w:tab/>
      </w:r>
      <w:r>
        <w:rPr>
          <w:rFonts w:hint="cs"/>
          <w:rtl/>
        </w:rPr>
        <w:tab/>
      </w:r>
      <w:r w:rsidR="00814C66" w:rsidRPr="00675564">
        <w:rPr>
          <w:rtl/>
        </w:rPr>
        <w:t>1 -</w:t>
      </w:r>
      <w:r w:rsidR="00814C66" w:rsidRPr="00675564">
        <w:rPr>
          <w:rtl/>
        </w:rPr>
        <w:tab/>
        <w:t>تتخـــذ الــدول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814C66" w:rsidRPr="00675564" w:rsidRDefault="00445830" w:rsidP="00445830">
      <w:pPr>
        <w:pStyle w:val="SingleTxt"/>
        <w:ind w:left="1930" w:hanging="663"/>
        <w:rPr>
          <w:rtl/>
        </w:rPr>
      </w:pPr>
      <w:r>
        <w:rPr>
          <w:rFonts w:hint="cs"/>
          <w:rtl/>
        </w:rPr>
        <w:tab/>
      </w:r>
      <w:r w:rsidR="00814C66" w:rsidRPr="00675564">
        <w:rPr>
          <w:rtl/>
        </w:rPr>
        <w:tab/>
        <w:t>(أ)</w:t>
      </w:r>
      <w:r w:rsidR="00814C66" w:rsidRPr="00675564">
        <w:rPr>
          <w:rtl/>
        </w:rPr>
        <w:tab/>
        <w:t>الحق في العمل بوصفه حقا ثابتا لجميع البشر؛</w:t>
      </w:r>
    </w:p>
    <w:p w:rsidR="00814C66" w:rsidRPr="00675564" w:rsidRDefault="00445830" w:rsidP="00445830">
      <w:pPr>
        <w:pStyle w:val="SingleTxt"/>
        <w:ind w:left="1930" w:hanging="663"/>
        <w:rPr>
          <w:rtl/>
        </w:rPr>
      </w:pPr>
      <w:r>
        <w:rPr>
          <w:rFonts w:hint="cs"/>
          <w:rtl/>
        </w:rPr>
        <w:tab/>
      </w:r>
      <w:r w:rsidR="00814C66" w:rsidRPr="00675564">
        <w:rPr>
          <w:rtl/>
        </w:rPr>
        <w:tab/>
        <w:t>(ب)</w:t>
      </w:r>
      <w:r w:rsidR="00814C66" w:rsidRPr="00675564">
        <w:rPr>
          <w:rtl/>
        </w:rPr>
        <w:tab/>
        <w:t>الحق في التمتع بنفس فرص العمالة، بما في ذلك تطبيق معايير اختيار واحدة في شؤون الاستخدام؛</w:t>
      </w:r>
    </w:p>
    <w:p w:rsidR="00814C66" w:rsidRPr="00675564" w:rsidRDefault="00445830" w:rsidP="00445830">
      <w:pPr>
        <w:pStyle w:val="SingleTxt"/>
        <w:ind w:left="1930" w:hanging="663"/>
        <w:rPr>
          <w:rtl/>
        </w:rPr>
      </w:pPr>
      <w:r>
        <w:rPr>
          <w:rFonts w:hint="cs"/>
          <w:rtl/>
        </w:rPr>
        <w:tab/>
      </w:r>
      <w:r w:rsidR="00814C66" w:rsidRPr="00675564">
        <w:rPr>
          <w:rtl/>
        </w:rPr>
        <w:tab/>
        <w:t>(ج)</w:t>
      </w:r>
      <w:r w:rsidR="00814C66" w:rsidRPr="00675564">
        <w:rPr>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814C66" w:rsidRPr="00675564" w:rsidRDefault="00445830" w:rsidP="00445830">
      <w:pPr>
        <w:pStyle w:val="SingleTxt"/>
        <w:ind w:left="1930" w:hanging="663"/>
        <w:rPr>
          <w:rtl/>
        </w:rPr>
      </w:pPr>
      <w:r>
        <w:rPr>
          <w:rFonts w:hint="cs"/>
          <w:rtl/>
        </w:rPr>
        <w:tab/>
      </w:r>
      <w:r w:rsidR="00814C66" w:rsidRPr="00675564">
        <w:rPr>
          <w:rtl/>
        </w:rPr>
        <w:tab/>
        <w:t>(د)</w:t>
      </w:r>
      <w:r w:rsidR="00814C66" w:rsidRPr="00675564">
        <w:rPr>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814C66" w:rsidRPr="00675564" w:rsidRDefault="00445830" w:rsidP="00445830">
      <w:pPr>
        <w:pStyle w:val="SingleTxt"/>
        <w:ind w:left="1930" w:hanging="663"/>
        <w:rPr>
          <w:rtl/>
        </w:rPr>
      </w:pPr>
      <w:r>
        <w:rPr>
          <w:rFonts w:hint="cs"/>
          <w:rtl/>
        </w:rPr>
        <w:tab/>
      </w:r>
      <w:r w:rsidR="00814C66" w:rsidRPr="00675564">
        <w:rPr>
          <w:rtl/>
        </w:rPr>
        <w:tab/>
        <w:t>(هـ)</w:t>
      </w:r>
      <w:r w:rsidR="00814C66" w:rsidRPr="00675564">
        <w:rPr>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814C66" w:rsidRPr="00675564" w:rsidRDefault="00445830" w:rsidP="00445830">
      <w:pPr>
        <w:pStyle w:val="SingleTxt"/>
        <w:ind w:left="1930" w:hanging="663"/>
        <w:rPr>
          <w:rtl/>
        </w:rPr>
      </w:pPr>
      <w:r>
        <w:rPr>
          <w:rFonts w:hint="cs"/>
          <w:rtl/>
        </w:rPr>
        <w:tab/>
      </w:r>
      <w:r w:rsidR="00814C66" w:rsidRPr="00675564">
        <w:rPr>
          <w:rtl/>
        </w:rPr>
        <w:tab/>
        <w:t>(و)</w:t>
      </w:r>
      <w:r w:rsidR="00814C66" w:rsidRPr="00675564">
        <w:rPr>
          <w:rtl/>
        </w:rPr>
        <w:tab/>
        <w:t>الحق في الوقاية الصحية وسلامة ظروف العمل، بما في ذلك حماية وظيفة الإنجاب.</w:t>
      </w:r>
    </w:p>
    <w:p w:rsidR="00814C66" w:rsidRPr="00675564" w:rsidRDefault="00445830" w:rsidP="00445830">
      <w:pPr>
        <w:pStyle w:val="SingleTxt"/>
        <w:ind w:left="1930" w:hanging="663"/>
        <w:rPr>
          <w:rtl/>
        </w:rPr>
      </w:pPr>
      <w:r>
        <w:rPr>
          <w:rFonts w:hint="cs"/>
          <w:rtl/>
        </w:rPr>
        <w:tab/>
      </w:r>
      <w:r>
        <w:rPr>
          <w:rFonts w:hint="cs"/>
          <w:rtl/>
        </w:rPr>
        <w:tab/>
      </w:r>
      <w:r w:rsidR="00814C66" w:rsidRPr="00675564">
        <w:rPr>
          <w:rtl/>
        </w:rPr>
        <w:t>2 -</w:t>
      </w:r>
      <w:r w:rsidR="00814C66" w:rsidRPr="00675564">
        <w:rPr>
          <w:rtl/>
        </w:rPr>
        <w:tab/>
        <w:t>توخيا لمنع التمييز ضد المرأة بسبب الزواج أو الأمومة، ضمانا لحقها الفعلي في العمل، تتخذ الدول الأطراف التدابير المناسبة:</w:t>
      </w:r>
    </w:p>
    <w:p w:rsidR="00814C66" w:rsidRPr="00675564" w:rsidRDefault="00445830" w:rsidP="00445830">
      <w:pPr>
        <w:pStyle w:val="SingleTxt"/>
        <w:ind w:left="1930" w:hanging="663"/>
        <w:rPr>
          <w:rtl/>
        </w:rPr>
      </w:pPr>
      <w:r>
        <w:rPr>
          <w:rFonts w:hint="cs"/>
          <w:rtl/>
        </w:rPr>
        <w:tab/>
      </w:r>
      <w:r w:rsidR="00814C66" w:rsidRPr="00675564">
        <w:rPr>
          <w:rtl/>
        </w:rPr>
        <w:tab/>
        <w:t>(أ)</w:t>
      </w:r>
      <w:r w:rsidR="00814C66" w:rsidRPr="00675564">
        <w:rPr>
          <w:rtl/>
        </w:rPr>
        <w:tab/>
        <w:t>لحظر الفصل من الخدمة بسبب الحمل أو إجازة الأمومة والتمييز في الفصل من العمل على أساس الحالة الزوجية، مع فرض جزاءات على المخالفين؛</w:t>
      </w:r>
    </w:p>
    <w:p w:rsidR="00814C66" w:rsidRPr="00675564" w:rsidRDefault="00445830" w:rsidP="00445830">
      <w:pPr>
        <w:pStyle w:val="SingleTxt"/>
        <w:ind w:left="1930" w:hanging="663"/>
        <w:rPr>
          <w:rtl/>
        </w:rPr>
      </w:pPr>
      <w:r>
        <w:rPr>
          <w:rFonts w:hint="cs"/>
          <w:rtl/>
        </w:rPr>
        <w:tab/>
      </w:r>
      <w:r w:rsidR="00814C66" w:rsidRPr="00675564">
        <w:rPr>
          <w:rtl/>
        </w:rPr>
        <w:tab/>
        <w:t>(ب)</w:t>
      </w:r>
      <w:r w:rsidR="00814C66" w:rsidRPr="00675564">
        <w:rPr>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814C66" w:rsidRPr="00675564" w:rsidRDefault="00445830" w:rsidP="00445830">
      <w:pPr>
        <w:pStyle w:val="SingleTxt"/>
        <w:ind w:left="1930" w:hanging="663"/>
        <w:rPr>
          <w:rtl/>
        </w:rPr>
      </w:pPr>
      <w:r>
        <w:rPr>
          <w:rFonts w:hint="cs"/>
          <w:rtl/>
        </w:rPr>
        <w:tab/>
      </w:r>
      <w:r w:rsidR="00814C66" w:rsidRPr="00675564">
        <w:rPr>
          <w:rtl/>
        </w:rPr>
        <w:tab/>
        <w:t>(ج)</w:t>
      </w:r>
      <w:r w:rsidR="00814C66" w:rsidRPr="00675564">
        <w:rPr>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814C66" w:rsidRPr="00675564" w:rsidRDefault="00445830" w:rsidP="00445830">
      <w:pPr>
        <w:pStyle w:val="SingleTxt"/>
        <w:ind w:left="1930" w:hanging="663"/>
        <w:rPr>
          <w:rtl/>
        </w:rPr>
      </w:pPr>
      <w:r>
        <w:rPr>
          <w:rFonts w:hint="cs"/>
          <w:rtl/>
        </w:rPr>
        <w:tab/>
      </w:r>
      <w:r w:rsidR="00814C66" w:rsidRPr="00675564">
        <w:rPr>
          <w:rtl/>
        </w:rPr>
        <w:tab/>
        <w:t>(د)</w:t>
      </w:r>
      <w:r w:rsidR="00814C66" w:rsidRPr="00675564">
        <w:rPr>
          <w:rtl/>
        </w:rPr>
        <w:tab/>
        <w:t>لتوفــير حمايـة خاصـة للمرأة أثناء فترة الحمل في الأعمال التي يثبت أنها مؤذية لها.</w:t>
      </w:r>
    </w:p>
    <w:p w:rsidR="00814C66" w:rsidRPr="00675564" w:rsidRDefault="00445830" w:rsidP="00445830">
      <w:pPr>
        <w:pStyle w:val="SingleTxt"/>
        <w:ind w:left="1930" w:hanging="663"/>
        <w:rPr>
          <w:rtl/>
        </w:rPr>
      </w:pPr>
      <w:r>
        <w:rPr>
          <w:rFonts w:hint="cs"/>
          <w:rtl/>
        </w:rPr>
        <w:tab/>
      </w:r>
      <w:r>
        <w:rPr>
          <w:rFonts w:hint="cs"/>
          <w:rtl/>
        </w:rPr>
        <w:tab/>
      </w:r>
      <w:r w:rsidR="00814C66" w:rsidRPr="00675564">
        <w:rPr>
          <w:rtl/>
        </w:rPr>
        <w:t>3 -</w:t>
      </w:r>
      <w:r w:rsidR="00814C66" w:rsidRPr="00675564">
        <w:rPr>
          <w:rtl/>
        </w:rPr>
        <w:tab/>
        <w:t>يجب أن تستعرض التشريعات الوقائية المتصلة بالمسائل المشمولة بهذه المادة استعراضــا دوريــــا فــي ضـــوء  المعرفة العلمية والتكنولوجية، وأن يتم تنقيحها أو إلغاؤها أو توسيع نطاقها حسب الاقتضاء.</w:t>
      </w:r>
    </w:p>
    <w:p w:rsidR="00A06D75" w:rsidRDefault="00675564" w:rsidP="00355B4D">
      <w:pPr>
        <w:pStyle w:val="SingleTxt"/>
        <w:rPr>
          <w:rFonts w:hint="cs"/>
          <w:rtl/>
        </w:rPr>
      </w:pPr>
      <w:r>
        <w:rPr>
          <w:rFonts w:hint="cs"/>
          <w:rtl/>
        </w:rPr>
        <w:tab/>
        <w:t>لقد اعتمدت حكومة البرازيل تدابير متعددة امتثالا لهذه المادة وللتوصية رقم 7، التي تتناول اعتماد تدابير للقضاء على الفقر. وتعطي هذه التدابير أولوية للمرأة البرازيلية من سلالة أفريقية، وللنساء من السكان الأصليين، وللنساء اللاتي يرأسن الأسر، وغير ذلك من الجماعات النسائية المستبعدة أو المهمشة. وتتابع هذه التدابير التوصية رقم 14، التي تتناول تطبيق اتفاقيات منظمة العمل الدولية بشأن عدم التمييز في مكان العمل والأجر المتكافئ للرجل والمرأة مقابل العمل المتساوي في النوعية والقيمة.</w:t>
      </w:r>
    </w:p>
    <w:p w:rsidR="00675564" w:rsidRDefault="00675564" w:rsidP="00355B4D">
      <w:pPr>
        <w:pStyle w:val="SingleTxt"/>
        <w:rPr>
          <w:rFonts w:hint="cs"/>
          <w:rtl/>
        </w:rPr>
      </w:pPr>
      <w:r>
        <w:rPr>
          <w:rFonts w:hint="cs"/>
          <w:rtl/>
        </w:rPr>
        <w:tab/>
        <w:t>وهناك تدبير هام في انتظار الموافقة عليه من جانب الكونغرس الوطني، وسيؤثر هذا التدبير على حياة المرأة</w:t>
      </w:r>
      <w:r w:rsidR="0035037F">
        <w:rPr>
          <w:rFonts w:hint="cs"/>
          <w:rtl/>
        </w:rPr>
        <w:t>،</w:t>
      </w:r>
      <w:r>
        <w:rPr>
          <w:rFonts w:hint="cs"/>
          <w:rtl/>
        </w:rPr>
        <w:t xml:space="preserve"> وهو اقتراح بمشروع قانون بإنشاء صندوق لصيانة وتطوير التعليم </w:t>
      </w:r>
      <w:r w:rsidR="00B10864">
        <w:rPr>
          <w:rFonts w:hint="cs"/>
          <w:rtl/>
        </w:rPr>
        <w:t>الأساسي ولرفع شأن المهنيين التعليميين. وسيحل هذا الصندوق محل الصندوق الموجود حاليا لصيانة وتطوير التعليم الابتدائي ولرفع شأن المهنيين التعليميين. ومشروع القانون هذا يغير قواعد تمويل تعليم الأطفال عن طريق توسيع نطاق التمويل بحيث يتضمن التعليم في مرحلة الطفولة المبكرة، وهو مطلب هام من مطالب الحركة النسائية. وقد صاغت وزارة التعليم مشروع القانون، وجرى إرساله إلى رئاسة الجمهورية في 2 كانون الأول/ديسمبر 2004 من أجل النظر فيه وتحويله بعد ذلك إلى الكونغرس الوطني.</w:t>
      </w:r>
    </w:p>
    <w:p w:rsidR="00B10864" w:rsidRDefault="00B10864" w:rsidP="00355B4D">
      <w:pPr>
        <w:pStyle w:val="SingleTxt"/>
        <w:rPr>
          <w:rFonts w:hint="cs"/>
          <w:rtl/>
        </w:rPr>
      </w:pPr>
      <w:r>
        <w:rPr>
          <w:rFonts w:hint="cs"/>
          <w:rtl/>
        </w:rPr>
        <w:tab/>
        <w:t>ومشروع القانون هذا لا يتناول بشكل مباشر إمكانية حصول المرأة على التعليم. ولكن الصندوق الجديد لصيانة وتطوير التعليم الأساسي سيسهم في توسيع نطاق نظام المدارس العامة بحيث يتضمن الأطفال بين سن صفر و 3 سنوات. ويشكل ذلك أولوية قصوى للعاملات. ومن المعروف على نطاق واسع أن دخول المرأة إلى سوق العمل يتصل اتصالا مباشرا بكل من وضعها داخل الأسرة (كرأس للأسرة أو كزوجة) وبعدد الأطفال وأعمارهم. وبالتالي تكون المرأة التي لديها أطفال في سن ما قبل المدرسة الأكثر تضررا في سوق العمل، بل ويزيد الضرر إذا كانت المرأة ترأس الأسرة.</w:t>
      </w:r>
    </w:p>
    <w:p w:rsidR="00B10864" w:rsidRDefault="00B10864" w:rsidP="00355B4D">
      <w:pPr>
        <w:pStyle w:val="SingleTxt"/>
        <w:rPr>
          <w:rFonts w:hint="cs"/>
          <w:rtl/>
        </w:rPr>
      </w:pPr>
      <w:r>
        <w:rPr>
          <w:rFonts w:hint="cs"/>
          <w:rtl/>
        </w:rPr>
        <w:tab/>
        <w:t>وبالمقارنة مع القواعد السابقة لتمويل التعليم، تصبح الميزة الرئيسية هي إدراج مراكز الرعاية النهارية ودور الحضانة في مستويات التعليم التي سيكون لها حد أدنى ثابت على أساس سنوي على الصعيد الوطني لما يتكلفه كل طالب سنويا. ويزيد هذا التدبير من ضمان التمويل والاستثمار في هذا المجال. وعلاوة على ذلك، يدرك هذا التدبير الاختلافات الأخرى التي لم تعالج قبل ذلك، مثل الشقين الحضري والريفي للتعليم الأساسي والمتوسط، والمدارس الثانوية التقنية، وتعليم الشباب والكبار، والتعليم الخاص، وتعليم السكان الأصليين.</w:t>
      </w:r>
    </w:p>
    <w:p w:rsidR="00B10864" w:rsidRDefault="00B10864" w:rsidP="00355B4D">
      <w:pPr>
        <w:pStyle w:val="SingleTxt"/>
        <w:rPr>
          <w:rFonts w:hint="cs"/>
          <w:rtl/>
        </w:rPr>
      </w:pPr>
      <w:r>
        <w:rPr>
          <w:rFonts w:hint="cs"/>
          <w:rtl/>
        </w:rPr>
        <w:tab/>
        <w:t>وبرنامج القضاء الكامل على الجوع، الذي كان عملا من أول الأعمال التي اضطلعت بها حكومة الرئيس لولا، هو سياسة حكومية هدفها الرئيسي الإدماج الاجتماعي. ويجري التوصل إلى الإدماج الاجتماعي من خلال تعميم حقوق المواطنة، ابتداء من الحقوق الاجتماعية الأساسية؛ وهي إمكانية الحصول على الأغذية والرعاية الصحية، والتعليم، والضمان الاجتماعي والحماية الوظيفية؛ بغية تخفيض العجز الاجتماعي الموجود في البرازيل.</w:t>
      </w:r>
    </w:p>
    <w:p w:rsidR="00B10864" w:rsidRDefault="00B10864" w:rsidP="0035037F">
      <w:pPr>
        <w:pStyle w:val="SingleTxt"/>
        <w:rPr>
          <w:rFonts w:hint="cs"/>
          <w:rtl/>
        </w:rPr>
      </w:pPr>
      <w:r>
        <w:rPr>
          <w:rFonts w:hint="cs"/>
          <w:rtl/>
        </w:rPr>
        <w:tab/>
        <w:t>والقانون رقم 10836 بتاريخ 9 كانون الثاني/يناير 2004 أنشأ برنامج المنح الأسرية، الذي وحّد جميع البرامج الموجودة لتحويل الدخل، بما فيها برنامج بطاقة الأغذية الذي أنشئ في بداية عام 2003 كأداة لت</w:t>
      </w:r>
      <w:r w:rsidR="0070027D">
        <w:rPr>
          <w:rFonts w:hint="cs"/>
          <w:rtl/>
        </w:rPr>
        <w:t>حويل الدخل بغرض تأمين الأغذية والتغذية. والقرار رقم 5209 بتاريخ 17 أيلول/سبتمبر 2004 ينظم برنامج المنح الأسرية. والفقر</w:t>
      </w:r>
      <w:r w:rsidR="0035037F">
        <w:rPr>
          <w:rFonts w:hint="cs"/>
          <w:rtl/>
        </w:rPr>
        <w:t>ت</w:t>
      </w:r>
      <w:r w:rsidR="0070027D">
        <w:rPr>
          <w:rFonts w:hint="cs"/>
          <w:rtl/>
        </w:rPr>
        <w:t>ا</w:t>
      </w:r>
      <w:r w:rsidR="0035037F">
        <w:rPr>
          <w:rFonts w:hint="cs"/>
          <w:rtl/>
        </w:rPr>
        <w:t>ن</w:t>
      </w:r>
      <w:r w:rsidR="0070027D">
        <w:rPr>
          <w:rFonts w:hint="cs"/>
          <w:rtl/>
        </w:rPr>
        <w:t xml:space="preserve"> 14 و 23 على التوالي من المادة 2 من هذا القرار تنص</w:t>
      </w:r>
      <w:r w:rsidR="0035037F">
        <w:rPr>
          <w:rFonts w:hint="cs"/>
          <w:rtl/>
        </w:rPr>
        <w:t>ان</w:t>
      </w:r>
      <w:r w:rsidR="0070027D">
        <w:rPr>
          <w:rFonts w:hint="cs"/>
          <w:rtl/>
        </w:rPr>
        <w:t xml:space="preserve"> على أنه من الأفضل </w:t>
      </w:r>
      <w:r w:rsidR="00A9226D">
        <w:rPr>
          <w:rFonts w:hint="cs"/>
          <w:rtl/>
        </w:rPr>
        <w:t>أن</w:t>
      </w:r>
      <w:r w:rsidR="0070027D">
        <w:rPr>
          <w:rFonts w:hint="cs"/>
          <w:rtl/>
        </w:rPr>
        <w:t xml:space="preserve"> تكون المرأة هي التي تحصل على تلك الاستحقاقات وتحمل بطاقة البرنامج. وترأس المرأة في الوقت الحالي أكثر من 90 في المائة من الأسر التي تتلقى هذه الاستحقاقات.</w:t>
      </w:r>
    </w:p>
    <w:p w:rsidR="0070027D" w:rsidRDefault="0070027D" w:rsidP="0035037F">
      <w:pPr>
        <w:pStyle w:val="SingleTxt"/>
        <w:rPr>
          <w:rFonts w:hint="cs"/>
          <w:rtl/>
          <w:lang w:bidi="ar-EG"/>
        </w:rPr>
      </w:pPr>
      <w:r>
        <w:rPr>
          <w:rFonts w:hint="cs"/>
          <w:rtl/>
        </w:rPr>
        <w:tab/>
        <w:t xml:space="preserve">والبرامج الأخرى التي أنشأتها وزارة التنمية الاجتماعية تتضمن برنامج التثقيف المعني بالأغذية والتغذية، وبرنامج </w:t>
      </w:r>
      <w:r w:rsidR="0035037F">
        <w:rPr>
          <w:rFonts w:hint="cs"/>
          <w:rtl/>
          <w:lang w:bidi="ar-EG"/>
        </w:rPr>
        <w:t>الآبار</w:t>
      </w:r>
      <w:r>
        <w:rPr>
          <w:rFonts w:hint="cs"/>
          <w:rtl/>
          <w:lang w:bidi="ar-EG"/>
        </w:rPr>
        <w:t xml:space="preserve"> وبرنامج اللبن، وهما جزء من برنامج الحصول على الأغذية. وهدف هذه البرامج تحسين الظروف المعيشية للنساء في الريف والحضر، حيث أن النساء هن اللاتي يمارسن الأدوار الأساسية في الأمن الغذائي للأسر. وتعزز هذه البرامج أيضا إدماج النساء بوصفهن مواطنات حيث أن البرامج الحكومية تيسر إمكانية الحصول على السلع اللازمة لبقاء الأسرة.</w:t>
      </w:r>
    </w:p>
    <w:p w:rsidR="0070027D" w:rsidRDefault="0070027D" w:rsidP="00355B4D">
      <w:pPr>
        <w:pStyle w:val="SingleTxt"/>
        <w:rPr>
          <w:rFonts w:hint="cs"/>
          <w:rtl/>
          <w:lang w:bidi="ar-EG"/>
        </w:rPr>
      </w:pPr>
      <w:r>
        <w:rPr>
          <w:rFonts w:hint="cs"/>
          <w:rtl/>
          <w:lang w:bidi="ar-EG"/>
        </w:rPr>
        <w:tab/>
        <w:t xml:space="preserve">والبيانات المصنفة حسب المناطق الإدارية والواردة من برامج تحويل الدخل التابعة لوزارة التنمية الاجتماعية تبين استثمارات الحكومة في هذا المجال. </w:t>
      </w:r>
    </w:p>
    <w:p w:rsidR="003E55E9" w:rsidRPr="003E55E9" w:rsidRDefault="0070027D" w:rsidP="003E55E9">
      <w:pPr>
        <w:pStyle w:val="SingleTxt"/>
        <w:spacing w:after="0" w:line="120" w:lineRule="exact"/>
        <w:rPr>
          <w:sz w:val="10"/>
          <w:rtl/>
          <w:lang w:bidi="ar-EG"/>
        </w:rPr>
      </w:pPr>
      <w:r>
        <w:rPr>
          <w:rtl/>
          <w:lang w:bidi="ar-EG"/>
        </w:rPr>
        <w:br w:type="page"/>
      </w:r>
    </w:p>
    <w:tbl>
      <w:tblPr>
        <w:bidiVisual/>
        <w:tblW w:w="9967" w:type="dxa"/>
        <w:jc w:val="center"/>
        <w:tblLayout w:type="fixed"/>
        <w:tblCellMar>
          <w:left w:w="29" w:type="dxa"/>
          <w:right w:w="29" w:type="dxa"/>
        </w:tblCellMar>
        <w:tblLook w:val="0000" w:firstRow="0" w:lastRow="0" w:firstColumn="0" w:lastColumn="0" w:noHBand="0" w:noVBand="0"/>
      </w:tblPr>
      <w:tblGrid>
        <w:gridCol w:w="591"/>
        <w:gridCol w:w="824"/>
        <w:gridCol w:w="1236"/>
        <w:gridCol w:w="78"/>
        <w:gridCol w:w="748"/>
        <w:gridCol w:w="1133"/>
        <w:gridCol w:w="78"/>
        <w:gridCol w:w="541"/>
        <w:gridCol w:w="926"/>
        <w:gridCol w:w="106"/>
        <w:gridCol w:w="721"/>
        <w:gridCol w:w="924"/>
        <w:gridCol w:w="106"/>
        <w:gridCol w:w="824"/>
        <w:gridCol w:w="1131"/>
      </w:tblGrid>
      <w:tr w:rsidR="003E55E9" w:rsidRPr="004B2F6C">
        <w:trPr>
          <w:cantSplit/>
          <w:tblHeader/>
          <w:jc w:val="center"/>
        </w:trPr>
        <w:tc>
          <w:tcPr>
            <w:tcW w:w="9967" w:type="dxa"/>
            <w:gridSpan w:val="15"/>
            <w:tcBorders>
              <w:top w:val="single" w:sz="4" w:space="0" w:color="auto"/>
              <w:bottom w:val="single" w:sz="4" w:space="0" w:color="auto"/>
            </w:tcBorders>
            <w:shd w:val="clear" w:color="auto" w:fill="auto"/>
            <w:vAlign w:val="bottom"/>
          </w:tcPr>
          <w:p w:rsidR="003E55E9" w:rsidRDefault="00813400" w:rsidP="003E55E9">
            <w:pPr>
              <w:spacing w:before="80" w:after="80" w:line="240" w:lineRule="exact"/>
              <w:jc w:val="center"/>
              <w:rPr>
                <w:rFonts w:hint="cs"/>
                <w:b/>
                <w:bCs/>
                <w:sz w:val="12"/>
                <w:szCs w:val="18"/>
                <w:rtl/>
              </w:rPr>
            </w:pPr>
            <w:r>
              <w:rPr>
                <w:rFonts w:hint="cs"/>
                <w:b/>
                <w:bCs/>
                <w:szCs w:val="26"/>
                <w:rtl/>
              </w:rPr>
              <w:t xml:space="preserve">جدول </w:t>
            </w:r>
            <w:r w:rsidR="003E55E9" w:rsidRPr="003E55E9">
              <w:rPr>
                <w:rFonts w:hint="cs"/>
                <w:b/>
                <w:bCs/>
                <w:szCs w:val="26"/>
                <w:rtl/>
              </w:rPr>
              <w:t>بر</w:t>
            </w:r>
            <w:r>
              <w:rPr>
                <w:rFonts w:hint="cs"/>
                <w:b/>
                <w:bCs/>
                <w:szCs w:val="26"/>
                <w:rtl/>
              </w:rPr>
              <w:t>ن</w:t>
            </w:r>
            <w:r w:rsidR="003E55E9" w:rsidRPr="003E55E9">
              <w:rPr>
                <w:rFonts w:hint="cs"/>
                <w:b/>
                <w:bCs/>
                <w:szCs w:val="26"/>
                <w:rtl/>
              </w:rPr>
              <w:t>امج تحويل الدخل</w:t>
            </w:r>
            <w:r>
              <w:rPr>
                <w:rFonts w:hint="cs"/>
                <w:b/>
                <w:bCs/>
                <w:szCs w:val="26"/>
                <w:rtl/>
              </w:rPr>
              <w:t>، حسب المنطقة الإدارية</w:t>
            </w:r>
          </w:p>
          <w:p w:rsidR="00813400" w:rsidRPr="003E55E9" w:rsidRDefault="00813400" w:rsidP="00813400">
            <w:pPr>
              <w:spacing w:before="80" w:after="120" w:line="240" w:lineRule="exact"/>
              <w:jc w:val="center"/>
              <w:rPr>
                <w:rFonts w:hint="cs"/>
                <w:b/>
                <w:bCs/>
                <w:sz w:val="12"/>
                <w:szCs w:val="18"/>
                <w:rtl/>
              </w:rPr>
            </w:pPr>
            <w:r w:rsidRPr="00813400">
              <w:rPr>
                <w:rFonts w:hint="cs"/>
                <w:sz w:val="21"/>
                <w:rtl/>
                <w:lang w:bidi="ar-EG"/>
              </w:rPr>
              <w:t>المرجع:</w:t>
            </w:r>
            <w:r w:rsidRPr="00813400">
              <w:rPr>
                <w:rFonts w:hint="cs"/>
                <w:sz w:val="21"/>
                <w:rtl/>
                <w:lang w:bidi="ar-EG"/>
              </w:rPr>
              <w:tab/>
              <w:t>كانون الأول/ديسمبر 2004</w:t>
            </w:r>
          </w:p>
        </w:tc>
      </w:tr>
      <w:tr w:rsidR="003E55E9" w:rsidRPr="004B2F6C">
        <w:trPr>
          <w:cantSplit/>
          <w:tblHeader/>
          <w:jc w:val="center"/>
        </w:trPr>
        <w:tc>
          <w:tcPr>
            <w:tcW w:w="591" w:type="dxa"/>
            <w:tcBorders>
              <w:top w:val="single" w:sz="4" w:space="0" w:color="auto"/>
            </w:tcBorders>
            <w:shd w:val="clear" w:color="auto" w:fill="auto"/>
            <w:vAlign w:val="bottom"/>
          </w:tcPr>
          <w:p w:rsidR="003E55E9" w:rsidRPr="00C25775" w:rsidRDefault="003E55E9" w:rsidP="003E55E9">
            <w:pPr>
              <w:spacing w:after="80" w:line="240" w:lineRule="exact"/>
              <w:ind w:right="72"/>
              <w:rPr>
                <w:i/>
                <w:iCs/>
                <w:sz w:val="14"/>
                <w:szCs w:val="20"/>
              </w:rPr>
            </w:pPr>
          </w:p>
        </w:tc>
        <w:tc>
          <w:tcPr>
            <w:tcW w:w="2060" w:type="dxa"/>
            <w:gridSpan w:val="2"/>
            <w:tcBorders>
              <w:top w:val="single" w:sz="4" w:space="0" w:color="auto"/>
              <w:bottom w:val="single" w:sz="4" w:space="0" w:color="auto"/>
            </w:tcBorders>
            <w:shd w:val="clear" w:color="auto" w:fill="auto"/>
            <w:vAlign w:val="bottom"/>
          </w:tcPr>
          <w:p w:rsidR="003E55E9" w:rsidRPr="00C25775" w:rsidRDefault="00C25775" w:rsidP="003E55E9">
            <w:pPr>
              <w:spacing w:after="80" w:line="240" w:lineRule="exact"/>
              <w:jc w:val="center"/>
              <w:rPr>
                <w:rFonts w:hint="cs"/>
                <w:i/>
                <w:iCs/>
                <w:sz w:val="14"/>
                <w:szCs w:val="20"/>
                <w:rtl/>
              </w:rPr>
            </w:pPr>
            <w:r w:rsidRPr="00C25775">
              <w:rPr>
                <w:rFonts w:hint="cs"/>
                <w:i/>
                <w:iCs/>
                <w:sz w:val="14"/>
                <w:szCs w:val="20"/>
                <w:rtl/>
              </w:rPr>
              <w:t>المنح الأسرية</w:t>
            </w:r>
          </w:p>
        </w:tc>
        <w:tc>
          <w:tcPr>
            <w:tcW w:w="78" w:type="dxa"/>
            <w:tcBorders>
              <w:top w:val="single" w:sz="4" w:space="0" w:color="auto"/>
            </w:tcBorders>
            <w:shd w:val="clear" w:color="auto" w:fill="auto"/>
            <w:vAlign w:val="bottom"/>
          </w:tcPr>
          <w:p w:rsidR="003E55E9" w:rsidRPr="00C25775" w:rsidRDefault="003E55E9" w:rsidP="003E55E9">
            <w:pPr>
              <w:spacing w:after="80" w:line="240" w:lineRule="exact"/>
              <w:jc w:val="center"/>
              <w:rPr>
                <w:rFonts w:hint="cs"/>
                <w:i/>
                <w:iCs/>
                <w:sz w:val="14"/>
                <w:szCs w:val="20"/>
                <w:rtl/>
              </w:rPr>
            </w:pPr>
          </w:p>
        </w:tc>
        <w:tc>
          <w:tcPr>
            <w:tcW w:w="1881" w:type="dxa"/>
            <w:gridSpan w:val="2"/>
            <w:tcBorders>
              <w:top w:val="single" w:sz="4" w:space="0" w:color="auto"/>
              <w:bottom w:val="single" w:sz="4" w:space="0" w:color="auto"/>
            </w:tcBorders>
            <w:shd w:val="clear" w:color="auto" w:fill="auto"/>
            <w:vAlign w:val="bottom"/>
          </w:tcPr>
          <w:p w:rsidR="003E55E9" w:rsidRPr="00C25775" w:rsidRDefault="00C25775" w:rsidP="003E55E9">
            <w:pPr>
              <w:spacing w:after="80" w:line="240" w:lineRule="exact"/>
              <w:jc w:val="center"/>
              <w:rPr>
                <w:rFonts w:hint="cs"/>
                <w:i/>
                <w:iCs/>
                <w:sz w:val="14"/>
                <w:szCs w:val="20"/>
                <w:rtl/>
              </w:rPr>
            </w:pPr>
            <w:r w:rsidRPr="00C25775">
              <w:rPr>
                <w:rFonts w:hint="cs"/>
                <w:i/>
                <w:iCs/>
                <w:sz w:val="14"/>
                <w:szCs w:val="20"/>
                <w:rtl/>
              </w:rPr>
              <w:t>منح الطلبة</w:t>
            </w:r>
          </w:p>
        </w:tc>
        <w:tc>
          <w:tcPr>
            <w:tcW w:w="78" w:type="dxa"/>
            <w:tcBorders>
              <w:top w:val="single" w:sz="4" w:space="0" w:color="auto"/>
            </w:tcBorders>
            <w:shd w:val="clear" w:color="auto" w:fill="auto"/>
            <w:vAlign w:val="bottom"/>
          </w:tcPr>
          <w:p w:rsidR="003E55E9" w:rsidRPr="00C25775" w:rsidRDefault="003E55E9" w:rsidP="003E55E9">
            <w:pPr>
              <w:spacing w:after="80" w:line="240" w:lineRule="exact"/>
              <w:jc w:val="center"/>
              <w:rPr>
                <w:rFonts w:hint="cs"/>
                <w:i/>
                <w:iCs/>
                <w:sz w:val="14"/>
                <w:szCs w:val="20"/>
                <w:rtl/>
              </w:rPr>
            </w:pPr>
          </w:p>
        </w:tc>
        <w:tc>
          <w:tcPr>
            <w:tcW w:w="1467" w:type="dxa"/>
            <w:gridSpan w:val="2"/>
            <w:tcBorders>
              <w:top w:val="single" w:sz="4" w:space="0" w:color="auto"/>
              <w:bottom w:val="single" w:sz="4" w:space="0" w:color="auto"/>
            </w:tcBorders>
            <w:shd w:val="clear" w:color="auto" w:fill="auto"/>
            <w:vAlign w:val="bottom"/>
          </w:tcPr>
          <w:p w:rsidR="003E55E9" w:rsidRPr="00C25775" w:rsidRDefault="00C25775" w:rsidP="003E55E9">
            <w:pPr>
              <w:spacing w:after="80" w:line="240" w:lineRule="exact"/>
              <w:jc w:val="center"/>
              <w:rPr>
                <w:rFonts w:hint="cs"/>
                <w:i/>
                <w:iCs/>
                <w:sz w:val="14"/>
                <w:szCs w:val="20"/>
                <w:rtl/>
              </w:rPr>
            </w:pPr>
            <w:r w:rsidRPr="00C25775">
              <w:rPr>
                <w:rFonts w:hint="cs"/>
                <w:i/>
                <w:iCs/>
                <w:sz w:val="14"/>
                <w:szCs w:val="20"/>
                <w:rtl/>
              </w:rPr>
              <w:t>برنامج الإعانة الغذائية</w:t>
            </w:r>
          </w:p>
        </w:tc>
        <w:tc>
          <w:tcPr>
            <w:tcW w:w="106" w:type="dxa"/>
            <w:tcBorders>
              <w:top w:val="single" w:sz="4" w:space="0" w:color="auto"/>
            </w:tcBorders>
            <w:shd w:val="clear" w:color="auto" w:fill="auto"/>
            <w:vAlign w:val="bottom"/>
          </w:tcPr>
          <w:p w:rsidR="003E55E9" w:rsidRPr="00C25775" w:rsidRDefault="003E55E9" w:rsidP="003E55E9">
            <w:pPr>
              <w:spacing w:after="80" w:line="240" w:lineRule="exact"/>
              <w:jc w:val="center"/>
              <w:rPr>
                <w:rFonts w:hint="cs"/>
                <w:i/>
                <w:iCs/>
                <w:sz w:val="14"/>
                <w:szCs w:val="20"/>
                <w:rtl/>
              </w:rPr>
            </w:pPr>
          </w:p>
        </w:tc>
        <w:tc>
          <w:tcPr>
            <w:tcW w:w="1645" w:type="dxa"/>
            <w:gridSpan w:val="2"/>
            <w:tcBorders>
              <w:top w:val="single" w:sz="4" w:space="0" w:color="auto"/>
              <w:bottom w:val="single" w:sz="4" w:space="0" w:color="auto"/>
            </w:tcBorders>
            <w:shd w:val="clear" w:color="auto" w:fill="auto"/>
            <w:vAlign w:val="bottom"/>
          </w:tcPr>
          <w:p w:rsidR="003E55E9" w:rsidRPr="00C25775" w:rsidRDefault="00C25775" w:rsidP="003E55E9">
            <w:pPr>
              <w:spacing w:after="80" w:line="240" w:lineRule="exact"/>
              <w:jc w:val="center"/>
              <w:rPr>
                <w:rFonts w:hint="cs"/>
                <w:i/>
                <w:iCs/>
                <w:sz w:val="14"/>
                <w:szCs w:val="20"/>
                <w:rtl/>
              </w:rPr>
            </w:pPr>
            <w:r w:rsidRPr="00C25775">
              <w:rPr>
                <w:rFonts w:hint="cs"/>
                <w:i/>
                <w:iCs/>
                <w:sz w:val="14"/>
                <w:szCs w:val="20"/>
                <w:rtl/>
              </w:rPr>
              <w:t>برنامج البطاقة الغذائية</w:t>
            </w:r>
          </w:p>
        </w:tc>
        <w:tc>
          <w:tcPr>
            <w:tcW w:w="106" w:type="dxa"/>
            <w:tcBorders>
              <w:top w:val="single" w:sz="4" w:space="0" w:color="auto"/>
            </w:tcBorders>
            <w:shd w:val="clear" w:color="auto" w:fill="auto"/>
            <w:vAlign w:val="bottom"/>
          </w:tcPr>
          <w:p w:rsidR="003E55E9" w:rsidRPr="00C25775" w:rsidRDefault="003E55E9" w:rsidP="003E55E9">
            <w:pPr>
              <w:spacing w:after="80" w:line="240" w:lineRule="exact"/>
              <w:jc w:val="center"/>
              <w:rPr>
                <w:rFonts w:hint="cs"/>
                <w:i/>
                <w:iCs/>
                <w:sz w:val="14"/>
                <w:szCs w:val="20"/>
                <w:rtl/>
              </w:rPr>
            </w:pPr>
          </w:p>
        </w:tc>
        <w:tc>
          <w:tcPr>
            <w:tcW w:w="1955" w:type="dxa"/>
            <w:gridSpan w:val="2"/>
            <w:tcBorders>
              <w:top w:val="single" w:sz="4" w:space="0" w:color="auto"/>
              <w:bottom w:val="single" w:sz="4" w:space="0" w:color="auto"/>
            </w:tcBorders>
            <w:shd w:val="clear" w:color="auto" w:fill="auto"/>
            <w:vAlign w:val="bottom"/>
          </w:tcPr>
          <w:p w:rsidR="003E55E9" w:rsidRPr="00C25775" w:rsidRDefault="00C25775" w:rsidP="003E55E9">
            <w:pPr>
              <w:spacing w:after="80" w:line="240" w:lineRule="exact"/>
              <w:jc w:val="center"/>
              <w:rPr>
                <w:rFonts w:hint="cs"/>
                <w:i/>
                <w:iCs/>
                <w:sz w:val="14"/>
                <w:szCs w:val="20"/>
                <w:rtl/>
              </w:rPr>
            </w:pPr>
            <w:r w:rsidRPr="00C25775">
              <w:rPr>
                <w:rFonts w:hint="cs"/>
                <w:i/>
                <w:iCs/>
                <w:sz w:val="14"/>
                <w:szCs w:val="20"/>
                <w:rtl/>
              </w:rPr>
              <w:t>برنامج إعانة الغاز</w:t>
            </w:r>
          </w:p>
        </w:tc>
      </w:tr>
      <w:tr w:rsidR="003E55E9" w:rsidRPr="004B2F6C">
        <w:trPr>
          <w:cantSplit/>
          <w:tblHeader/>
          <w:jc w:val="center"/>
        </w:trPr>
        <w:tc>
          <w:tcPr>
            <w:tcW w:w="591" w:type="dxa"/>
            <w:tcBorders>
              <w:bottom w:val="single" w:sz="12" w:space="0" w:color="auto"/>
            </w:tcBorders>
            <w:shd w:val="clear" w:color="auto" w:fill="auto"/>
            <w:vAlign w:val="bottom"/>
          </w:tcPr>
          <w:p w:rsidR="003E55E9" w:rsidRPr="00C25775" w:rsidRDefault="003E55E9" w:rsidP="003E55E9">
            <w:pPr>
              <w:spacing w:after="80" w:line="240" w:lineRule="exact"/>
              <w:ind w:right="72"/>
              <w:rPr>
                <w:rFonts w:hint="cs"/>
                <w:i/>
                <w:iCs/>
                <w:sz w:val="14"/>
                <w:szCs w:val="20"/>
              </w:rPr>
            </w:pPr>
            <w:r w:rsidRPr="00C25775">
              <w:rPr>
                <w:rFonts w:hint="cs"/>
                <w:i/>
                <w:iCs/>
                <w:sz w:val="14"/>
                <w:szCs w:val="20"/>
                <w:rtl/>
              </w:rPr>
              <w:t>المنطقة</w:t>
            </w:r>
          </w:p>
        </w:tc>
        <w:tc>
          <w:tcPr>
            <w:tcW w:w="824" w:type="dxa"/>
            <w:tcBorders>
              <w:bottom w:val="single" w:sz="12" w:space="0" w:color="auto"/>
            </w:tcBorders>
            <w:shd w:val="clear" w:color="auto" w:fill="auto"/>
            <w:vAlign w:val="bottom"/>
          </w:tcPr>
          <w:p w:rsidR="003E55E9" w:rsidRPr="00C25775" w:rsidRDefault="003E55E9" w:rsidP="003E55E9">
            <w:pPr>
              <w:spacing w:after="80" w:line="240" w:lineRule="exact"/>
              <w:rPr>
                <w:rFonts w:hint="cs"/>
                <w:i/>
                <w:iCs/>
                <w:sz w:val="14"/>
                <w:szCs w:val="20"/>
                <w:rtl/>
              </w:rPr>
            </w:pPr>
            <w:r w:rsidRPr="00C25775">
              <w:rPr>
                <w:rFonts w:hint="cs"/>
                <w:i/>
                <w:iCs/>
                <w:sz w:val="14"/>
                <w:szCs w:val="20"/>
                <w:rtl/>
              </w:rPr>
              <w:t>الأسر</w:t>
            </w:r>
          </w:p>
        </w:tc>
        <w:tc>
          <w:tcPr>
            <w:tcW w:w="1236" w:type="dxa"/>
            <w:tcBorders>
              <w:bottom w:val="single" w:sz="12" w:space="0" w:color="auto"/>
            </w:tcBorders>
            <w:shd w:val="clear" w:color="auto" w:fill="auto"/>
            <w:vAlign w:val="bottom"/>
          </w:tcPr>
          <w:p w:rsidR="003E55E9" w:rsidRPr="00C25775" w:rsidRDefault="003E55E9" w:rsidP="00C25775">
            <w:pPr>
              <w:spacing w:after="80" w:line="240" w:lineRule="exact"/>
              <w:jc w:val="left"/>
              <w:rPr>
                <w:rFonts w:hint="cs"/>
                <w:i/>
                <w:iCs/>
                <w:sz w:val="14"/>
                <w:szCs w:val="20"/>
                <w:rtl/>
              </w:rPr>
            </w:pPr>
            <w:r w:rsidRPr="00C25775">
              <w:rPr>
                <w:rFonts w:hint="cs"/>
                <w:i/>
                <w:iCs/>
                <w:sz w:val="14"/>
                <w:szCs w:val="20"/>
                <w:rtl/>
              </w:rPr>
              <w:t>المجموع (بالريال البرازيلي)</w:t>
            </w:r>
          </w:p>
        </w:tc>
        <w:tc>
          <w:tcPr>
            <w:tcW w:w="826" w:type="dxa"/>
            <w:gridSpan w:val="2"/>
            <w:tcBorders>
              <w:bottom w:val="single" w:sz="12" w:space="0" w:color="auto"/>
            </w:tcBorders>
            <w:shd w:val="clear" w:color="auto" w:fill="auto"/>
            <w:vAlign w:val="bottom"/>
          </w:tcPr>
          <w:p w:rsidR="003E55E9" w:rsidRPr="00C25775" w:rsidRDefault="003E55E9" w:rsidP="003E55E9">
            <w:pPr>
              <w:spacing w:after="80" w:line="240" w:lineRule="exact"/>
              <w:rPr>
                <w:rFonts w:hint="cs"/>
                <w:i/>
                <w:iCs/>
                <w:sz w:val="14"/>
                <w:szCs w:val="20"/>
                <w:rtl/>
              </w:rPr>
            </w:pPr>
            <w:r w:rsidRPr="00C25775">
              <w:rPr>
                <w:rFonts w:hint="cs"/>
                <w:i/>
                <w:iCs/>
                <w:sz w:val="14"/>
                <w:szCs w:val="20"/>
                <w:rtl/>
              </w:rPr>
              <w:t>الأسر</w:t>
            </w:r>
          </w:p>
        </w:tc>
        <w:tc>
          <w:tcPr>
            <w:tcW w:w="1133" w:type="dxa"/>
            <w:tcBorders>
              <w:bottom w:val="single" w:sz="12" w:space="0" w:color="auto"/>
            </w:tcBorders>
            <w:shd w:val="clear" w:color="auto" w:fill="auto"/>
            <w:vAlign w:val="bottom"/>
          </w:tcPr>
          <w:p w:rsidR="003E55E9" w:rsidRPr="00C25775" w:rsidRDefault="003E55E9" w:rsidP="00C25775">
            <w:pPr>
              <w:spacing w:after="80" w:line="240" w:lineRule="exact"/>
              <w:jc w:val="left"/>
              <w:rPr>
                <w:rFonts w:hint="cs"/>
                <w:i/>
                <w:iCs/>
                <w:sz w:val="14"/>
                <w:szCs w:val="20"/>
                <w:rtl/>
              </w:rPr>
            </w:pPr>
            <w:r w:rsidRPr="00C25775">
              <w:rPr>
                <w:rFonts w:hint="cs"/>
                <w:i/>
                <w:iCs/>
                <w:sz w:val="14"/>
                <w:szCs w:val="20"/>
                <w:rtl/>
              </w:rPr>
              <w:t>المجموع (بالريال البرازيلي)</w:t>
            </w:r>
          </w:p>
        </w:tc>
        <w:tc>
          <w:tcPr>
            <w:tcW w:w="619" w:type="dxa"/>
            <w:gridSpan w:val="2"/>
            <w:tcBorders>
              <w:bottom w:val="single" w:sz="12" w:space="0" w:color="auto"/>
            </w:tcBorders>
            <w:shd w:val="clear" w:color="auto" w:fill="auto"/>
            <w:vAlign w:val="bottom"/>
          </w:tcPr>
          <w:p w:rsidR="003E55E9" w:rsidRPr="00C25775" w:rsidRDefault="003E55E9" w:rsidP="001F15B7">
            <w:pPr>
              <w:spacing w:after="80" w:line="240" w:lineRule="exact"/>
              <w:rPr>
                <w:rFonts w:hint="cs"/>
                <w:i/>
                <w:iCs/>
                <w:sz w:val="14"/>
                <w:szCs w:val="20"/>
                <w:rtl/>
              </w:rPr>
            </w:pPr>
            <w:r w:rsidRPr="00C25775">
              <w:rPr>
                <w:rFonts w:hint="cs"/>
                <w:i/>
                <w:iCs/>
                <w:sz w:val="14"/>
                <w:szCs w:val="20"/>
                <w:rtl/>
              </w:rPr>
              <w:t>الأسر</w:t>
            </w:r>
          </w:p>
        </w:tc>
        <w:tc>
          <w:tcPr>
            <w:tcW w:w="1032" w:type="dxa"/>
            <w:gridSpan w:val="2"/>
            <w:tcBorders>
              <w:bottom w:val="single" w:sz="12" w:space="0" w:color="auto"/>
            </w:tcBorders>
            <w:shd w:val="clear" w:color="auto" w:fill="auto"/>
            <w:vAlign w:val="bottom"/>
          </w:tcPr>
          <w:p w:rsidR="003E55E9" w:rsidRPr="00C25775" w:rsidRDefault="003E55E9" w:rsidP="00C25775">
            <w:pPr>
              <w:spacing w:after="80" w:line="240" w:lineRule="exact"/>
              <w:jc w:val="left"/>
              <w:rPr>
                <w:rFonts w:hint="cs"/>
                <w:i/>
                <w:iCs/>
                <w:sz w:val="14"/>
                <w:szCs w:val="20"/>
                <w:rtl/>
              </w:rPr>
            </w:pPr>
            <w:r w:rsidRPr="00C25775">
              <w:rPr>
                <w:rFonts w:hint="cs"/>
                <w:i/>
                <w:iCs/>
                <w:sz w:val="14"/>
                <w:szCs w:val="20"/>
                <w:rtl/>
              </w:rPr>
              <w:t>المجموع (بالريال البرازيلي)</w:t>
            </w:r>
          </w:p>
        </w:tc>
        <w:tc>
          <w:tcPr>
            <w:tcW w:w="721" w:type="dxa"/>
            <w:tcBorders>
              <w:bottom w:val="single" w:sz="12" w:space="0" w:color="auto"/>
            </w:tcBorders>
            <w:shd w:val="clear" w:color="auto" w:fill="auto"/>
            <w:vAlign w:val="bottom"/>
          </w:tcPr>
          <w:p w:rsidR="003E55E9" w:rsidRPr="00C25775" w:rsidRDefault="003E55E9" w:rsidP="001F15B7">
            <w:pPr>
              <w:spacing w:after="80" w:line="240" w:lineRule="exact"/>
              <w:rPr>
                <w:rFonts w:hint="cs"/>
                <w:i/>
                <w:iCs/>
                <w:sz w:val="14"/>
                <w:szCs w:val="20"/>
                <w:rtl/>
              </w:rPr>
            </w:pPr>
            <w:r w:rsidRPr="00C25775">
              <w:rPr>
                <w:rFonts w:hint="cs"/>
                <w:i/>
                <w:iCs/>
                <w:sz w:val="14"/>
                <w:szCs w:val="20"/>
                <w:rtl/>
              </w:rPr>
              <w:t>الأسر</w:t>
            </w:r>
          </w:p>
        </w:tc>
        <w:tc>
          <w:tcPr>
            <w:tcW w:w="1030" w:type="dxa"/>
            <w:gridSpan w:val="2"/>
            <w:tcBorders>
              <w:bottom w:val="single" w:sz="12" w:space="0" w:color="auto"/>
            </w:tcBorders>
            <w:shd w:val="clear" w:color="auto" w:fill="auto"/>
            <w:vAlign w:val="bottom"/>
          </w:tcPr>
          <w:p w:rsidR="003E55E9" w:rsidRPr="00C25775" w:rsidRDefault="003E55E9" w:rsidP="00C25775">
            <w:pPr>
              <w:spacing w:after="80" w:line="240" w:lineRule="exact"/>
              <w:jc w:val="left"/>
              <w:rPr>
                <w:rFonts w:hint="cs"/>
                <w:i/>
                <w:iCs/>
                <w:sz w:val="14"/>
                <w:szCs w:val="20"/>
                <w:rtl/>
              </w:rPr>
            </w:pPr>
            <w:r w:rsidRPr="00C25775">
              <w:rPr>
                <w:rFonts w:hint="cs"/>
                <w:i/>
                <w:iCs/>
                <w:sz w:val="14"/>
                <w:szCs w:val="20"/>
                <w:rtl/>
              </w:rPr>
              <w:t>المجموع (بالريال البرازيلي)</w:t>
            </w:r>
          </w:p>
        </w:tc>
        <w:tc>
          <w:tcPr>
            <w:tcW w:w="824" w:type="dxa"/>
            <w:tcBorders>
              <w:bottom w:val="single" w:sz="12" w:space="0" w:color="auto"/>
            </w:tcBorders>
            <w:shd w:val="clear" w:color="auto" w:fill="auto"/>
            <w:vAlign w:val="bottom"/>
          </w:tcPr>
          <w:p w:rsidR="003E55E9" w:rsidRPr="00C25775" w:rsidRDefault="003E55E9" w:rsidP="001F15B7">
            <w:pPr>
              <w:spacing w:after="80" w:line="240" w:lineRule="exact"/>
              <w:rPr>
                <w:rFonts w:hint="cs"/>
                <w:i/>
                <w:iCs/>
                <w:sz w:val="14"/>
                <w:szCs w:val="20"/>
                <w:rtl/>
              </w:rPr>
            </w:pPr>
            <w:r w:rsidRPr="00C25775">
              <w:rPr>
                <w:rFonts w:hint="cs"/>
                <w:i/>
                <w:iCs/>
                <w:sz w:val="14"/>
                <w:szCs w:val="20"/>
                <w:rtl/>
              </w:rPr>
              <w:t>الأسر</w:t>
            </w:r>
          </w:p>
        </w:tc>
        <w:tc>
          <w:tcPr>
            <w:tcW w:w="1131" w:type="dxa"/>
            <w:tcBorders>
              <w:bottom w:val="single" w:sz="12" w:space="0" w:color="auto"/>
            </w:tcBorders>
            <w:shd w:val="clear" w:color="auto" w:fill="auto"/>
            <w:vAlign w:val="bottom"/>
          </w:tcPr>
          <w:p w:rsidR="003E55E9" w:rsidRPr="00C25775" w:rsidRDefault="003E55E9" w:rsidP="00C25775">
            <w:pPr>
              <w:spacing w:after="80" w:line="240" w:lineRule="exact"/>
              <w:jc w:val="left"/>
              <w:rPr>
                <w:rFonts w:hint="cs"/>
                <w:i/>
                <w:iCs/>
                <w:sz w:val="14"/>
                <w:szCs w:val="20"/>
                <w:rtl/>
              </w:rPr>
            </w:pPr>
            <w:r w:rsidRPr="00C25775">
              <w:rPr>
                <w:rFonts w:hint="cs"/>
                <w:i/>
                <w:iCs/>
                <w:sz w:val="14"/>
                <w:szCs w:val="20"/>
                <w:rtl/>
              </w:rPr>
              <w:t>المجموع (بالريال البرازيلي)</w:t>
            </w:r>
          </w:p>
        </w:tc>
      </w:tr>
      <w:tr w:rsidR="003E55E9" w:rsidRPr="004B2F6C">
        <w:trPr>
          <w:cantSplit/>
          <w:trHeight w:hRule="exact" w:val="115"/>
          <w:tblHeader/>
          <w:jc w:val="center"/>
        </w:trPr>
        <w:tc>
          <w:tcPr>
            <w:tcW w:w="591" w:type="dxa"/>
            <w:tcBorders>
              <w:top w:val="single" w:sz="12" w:space="0" w:color="auto"/>
            </w:tcBorders>
            <w:shd w:val="clear" w:color="auto" w:fill="auto"/>
            <w:vAlign w:val="bottom"/>
          </w:tcPr>
          <w:p w:rsidR="003E55E9" w:rsidRPr="004B2F6C" w:rsidRDefault="003E55E9" w:rsidP="001F15B7">
            <w:pPr>
              <w:spacing w:before="40" w:after="80" w:line="240" w:lineRule="exact"/>
              <w:ind w:right="72"/>
              <w:jc w:val="right"/>
              <w:rPr>
                <w:sz w:val="18"/>
                <w:szCs w:val="18"/>
              </w:rPr>
            </w:pPr>
          </w:p>
        </w:tc>
        <w:tc>
          <w:tcPr>
            <w:tcW w:w="824"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1236"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826" w:type="dxa"/>
            <w:gridSpan w:val="2"/>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1133"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619" w:type="dxa"/>
            <w:gridSpan w:val="2"/>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1032" w:type="dxa"/>
            <w:gridSpan w:val="2"/>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721"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1030" w:type="dxa"/>
            <w:gridSpan w:val="2"/>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824"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c>
          <w:tcPr>
            <w:tcW w:w="1131" w:type="dxa"/>
            <w:tcBorders>
              <w:top w:val="single" w:sz="12" w:space="0" w:color="auto"/>
            </w:tcBorders>
            <w:shd w:val="clear" w:color="auto" w:fill="auto"/>
            <w:vAlign w:val="bottom"/>
          </w:tcPr>
          <w:p w:rsidR="003E55E9" w:rsidRPr="004B2F6C" w:rsidRDefault="003E55E9" w:rsidP="001F15B7">
            <w:pPr>
              <w:bidi w:val="0"/>
              <w:spacing w:before="40" w:after="80" w:line="240" w:lineRule="exact"/>
              <w:jc w:val="right"/>
              <w:rPr>
                <w:rFonts w:hint="cs"/>
                <w:sz w:val="12"/>
                <w:szCs w:val="18"/>
                <w:rtl/>
              </w:rPr>
            </w:pPr>
          </w:p>
        </w:tc>
      </w:tr>
      <w:tr w:rsidR="003E55E9" w:rsidRPr="004B2F6C">
        <w:trPr>
          <w:cantSplit/>
          <w:jc w:val="center"/>
        </w:trPr>
        <w:tc>
          <w:tcPr>
            <w:tcW w:w="591" w:type="dxa"/>
            <w:shd w:val="clear" w:color="auto" w:fill="auto"/>
            <w:vAlign w:val="bottom"/>
          </w:tcPr>
          <w:p w:rsidR="003E55E9" w:rsidRPr="004B2F6C" w:rsidRDefault="00C25775" w:rsidP="00C25775">
            <w:pPr>
              <w:spacing w:before="40" w:after="80" w:line="180" w:lineRule="exact"/>
              <w:ind w:right="72"/>
              <w:rPr>
                <w:rFonts w:hint="cs"/>
                <w:sz w:val="18"/>
                <w:szCs w:val="18"/>
                <w:lang w:eastAsia="pt-BR"/>
              </w:rPr>
            </w:pPr>
            <w:r>
              <w:rPr>
                <w:rFonts w:hint="cs"/>
                <w:sz w:val="18"/>
                <w:szCs w:val="18"/>
                <w:rtl/>
              </w:rPr>
              <w:t>الغربية الوسطى</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292</w:t>
            </w:r>
            <w:r w:rsidRPr="004B2F6C">
              <w:rPr>
                <w:rFonts w:hint="cs"/>
                <w:sz w:val="12"/>
                <w:szCs w:val="18"/>
              </w:rPr>
              <w:t xml:space="preserve"> </w:t>
            </w:r>
            <w:r w:rsidRPr="004B2F6C">
              <w:rPr>
                <w:rFonts w:hint="cs"/>
                <w:sz w:val="12"/>
                <w:szCs w:val="18"/>
                <w:rtl/>
              </w:rPr>
              <w:t>405</w:t>
            </w:r>
          </w:p>
        </w:tc>
        <w:tc>
          <w:tcPr>
            <w:tcW w:w="1236"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17</w:t>
            </w:r>
            <w:r w:rsidRPr="004B2F6C">
              <w:rPr>
                <w:rFonts w:hint="cs"/>
                <w:sz w:val="12"/>
                <w:szCs w:val="18"/>
              </w:rPr>
              <w:t xml:space="preserve"> </w:t>
            </w:r>
            <w:r w:rsidRPr="004B2F6C">
              <w:rPr>
                <w:rFonts w:hint="cs"/>
                <w:sz w:val="12"/>
                <w:szCs w:val="18"/>
                <w:rtl/>
              </w:rPr>
              <w:t>540</w:t>
            </w:r>
            <w:r w:rsidRPr="004B2F6C">
              <w:rPr>
                <w:rFonts w:hint="cs"/>
                <w:sz w:val="12"/>
                <w:szCs w:val="18"/>
              </w:rPr>
              <w:t xml:space="preserve"> </w:t>
            </w:r>
            <w:r w:rsidRPr="004B2F6C">
              <w:rPr>
                <w:rFonts w:hint="cs"/>
                <w:sz w:val="12"/>
                <w:szCs w:val="18"/>
                <w:rtl/>
              </w:rPr>
              <w:t>488</w:t>
            </w:r>
            <w:r w:rsidRPr="004B2F6C">
              <w:rPr>
                <w:sz w:val="12"/>
                <w:szCs w:val="18"/>
              </w:rPr>
              <w:t>,</w:t>
            </w:r>
            <w:r w:rsidRPr="004B2F6C">
              <w:rPr>
                <w:rFonts w:hint="cs"/>
                <w:sz w:val="12"/>
                <w:szCs w:val="18"/>
                <w:rtl/>
              </w:rPr>
              <w:t>00</w:t>
            </w:r>
          </w:p>
        </w:tc>
        <w:tc>
          <w:tcPr>
            <w:tcW w:w="826"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196</w:t>
            </w:r>
            <w:r w:rsidRPr="004B2F6C">
              <w:rPr>
                <w:sz w:val="12"/>
                <w:szCs w:val="18"/>
              </w:rPr>
              <w:t>,</w:t>
            </w:r>
            <w:r w:rsidRPr="004B2F6C">
              <w:rPr>
                <w:rFonts w:hint="cs"/>
                <w:sz w:val="12"/>
                <w:szCs w:val="18"/>
                <w:rtl/>
              </w:rPr>
              <w:t>037</w:t>
            </w:r>
          </w:p>
        </w:tc>
        <w:tc>
          <w:tcPr>
            <w:tcW w:w="1133"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4</w:t>
            </w:r>
            <w:r w:rsidRPr="004B2F6C">
              <w:rPr>
                <w:rFonts w:hint="cs"/>
                <w:sz w:val="12"/>
                <w:szCs w:val="18"/>
              </w:rPr>
              <w:t xml:space="preserve"> </w:t>
            </w:r>
            <w:r w:rsidRPr="004B2F6C">
              <w:rPr>
                <w:rFonts w:hint="cs"/>
                <w:sz w:val="12"/>
                <w:szCs w:val="18"/>
                <w:rtl/>
              </w:rPr>
              <w:t>424</w:t>
            </w:r>
            <w:r w:rsidRPr="004B2F6C">
              <w:rPr>
                <w:rFonts w:hint="cs"/>
                <w:sz w:val="12"/>
                <w:szCs w:val="18"/>
              </w:rPr>
              <w:t xml:space="preserve"> </w:t>
            </w:r>
            <w:r w:rsidRPr="004B2F6C">
              <w:rPr>
                <w:rFonts w:hint="cs"/>
                <w:sz w:val="12"/>
                <w:szCs w:val="18"/>
                <w:rtl/>
              </w:rPr>
              <w:t>550</w:t>
            </w:r>
            <w:r w:rsidRPr="004B2F6C">
              <w:rPr>
                <w:sz w:val="12"/>
                <w:szCs w:val="18"/>
              </w:rPr>
              <w:t>,</w:t>
            </w:r>
            <w:r w:rsidRPr="004B2F6C">
              <w:rPr>
                <w:rFonts w:hint="cs"/>
                <w:sz w:val="12"/>
                <w:szCs w:val="18"/>
                <w:rtl/>
              </w:rPr>
              <w:t>00</w:t>
            </w:r>
          </w:p>
        </w:tc>
        <w:tc>
          <w:tcPr>
            <w:tcW w:w="619"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w:t>
            </w:r>
            <w:r w:rsidRPr="004B2F6C">
              <w:rPr>
                <w:rFonts w:hint="cs"/>
                <w:sz w:val="12"/>
                <w:szCs w:val="18"/>
              </w:rPr>
              <w:t xml:space="preserve"> </w:t>
            </w:r>
            <w:r w:rsidRPr="004B2F6C">
              <w:rPr>
                <w:rFonts w:hint="cs"/>
                <w:sz w:val="12"/>
                <w:szCs w:val="18"/>
                <w:rtl/>
              </w:rPr>
              <w:t>812</w:t>
            </w:r>
          </w:p>
        </w:tc>
        <w:tc>
          <w:tcPr>
            <w:tcW w:w="1032"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69</w:t>
            </w:r>
            <w:r w:rsidRPr="004B2F6C">
              <w:rPr>
                <w:rFonts w:hint="cs"/>
                <w:sz w:val="12"/>
                <w:szCs w:val="18"/>
              </w:rPr>
              <w:t xml:space="preserve"> </w:t>
            </w:r>
            <w:r w:rsidRPr="004B2F6C">
              <w:rPr>
                <w:rFonts w:hint="cs"/>
                <w:sz w:val="12"/>
                <w:szCs w:val="18"/>
                <w:rtl/>
              </w:rPr>
              <w:t>120</w:t>
            </w:r>
            <w:r w:rsidRPr="004B2F6C">
              <w:rPr>
                <w:sz w:val="12"/>
                <w:szCs w:val="18"/>
              </w:rPr>
              <w:t>,</w:t>
            </w:r>
            <w:r w:rsidRPr="004B2F6C">
              <w:rPr>
                <w:rFonts w:hint="cs"/>
                <w:sz w:val="12"/>
                <w:szCs w:val="18"/>
                <w:rtl/>
              </w:rPr>
              <w:t>00</w:t>
            </w:r>
          </w:p>
        </w:tc>
        <w:tc>
          <w:tcPr>
            <w:tcW w:w="72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41</w:t>
            </w:r>
          </w:p>
        </w:tc>
        <w:tc>
          <w:tcPr>
            <w:tcW w:w="1030"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w:t>
            </w:r>
            <w:r w:rsidRPr="004B2F6C">
              <w:rPr>
                <w:rFonts w:hint="cs"/>
                <w:sz w:val="12"/>
                <w:szCs w:val="18"/>
              </w:rPr>
              <w:t xml:space="preserve"> </w:t>
            </w:r>
            <w:r w:rsidRPr="004B2F6C">
              <w:rPr>
                <w:rFonts w:hint="cs"/>
                <w:sz w:val="12"/>
                <w:szCs w:val="18"/>
                <w:rtl/>
              </w:rPr>
              <w:t>050</w:t>
            </w:r>
            <w:r w:rsidRPr="004B2F6C">
              <w:rPr>
                <w:sz w:val="12"/>
                <w:szCs w:val="18"/>
              </w:rPr>
              <w:t>,</w:t>
            </w:r>
            <w:r w:rsidRPr="004B2F6C">
              <w:rPr>
                <w:rFonts w:hint="cs"/>
                <w:sz w:val="12"/>
                <w:szCs w:val="18"/>
                <w:rtl/>
              </w:rPr>
              <w:t>00</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259</w:t>
            </w:r>
            <w:r w:rsidRPr="004B2F6C">
              <w:rPr>
                <w:rFonts w:hint="cs"/>
                <w:sz w:val="12"/>
                <w:szCs w:val="18"/>
              </w:rPr>
              <w:t xml:space="preserve"> </w:t>
            </w:r>
            <w:r w:rsidRPr="004B2F6C">
              <w:rPr>
                <w:rFonts w:hint="cs"/>
                <w:sz w:val="12"/>
                <w:szCs w:val="18"/>
                <w:rtl/>
              </w:rPr>
              <w:t>072</w:t>
            </w:r>
          </w:p>
        </w:tc>
        <w:tc>
          <w:tcPr>
            <w:tcW w:w="113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w:t>
            </w:r>
            <w:r w:rsidRPr="004B2F6C">
              <w:rPr>
                <w:rFonts w:hint="cs"/>
                <w:sz w:val="12"/>
                <w:szCs w:val="18"/>
              </w:rPr>
              <w:t xml:space="preserve"> </w:t>
            </w:r>
            <w:r w:rsidRPr="004B2F6C">
              <w:rPr>
                <w:rFonts w:hint="cs"/>
                <w:sz w:val="12"/>
                <w:szCs w:val="18"/>
                <w:rtl/>
              </w:rPr>
              <w:t>886</w:t>
            </w:r>
            <w:r w:rsidRPr="004B2F6C">
              <w:rPr>
                <w:rFonts w:hint="cs"/>
                <w:sz w:val="12"/>
                <w:szCs w:val="18"/>
              </w:rPr>
              <w:t xml:space="preserve"> </w:t>
            </w:r>
            <w:r w:rsidRPr="004B2F6C">
              <w:rPr>
                <w:rFonts w:hint="cs"/>
                <w:sz w:val="12"/>
                <w:szCs w:val="18"/>
                <w:rtl/>
              </w:rPr>
              <w:t>080</w:t>
            </w:r>
            <w:r w:rsidRPr="004B2F6C">
              <w:rPr>
                <w:sz w:val="12"/>
                <w:szCs w:val="18"/>
              </w:rPr>
              <w:t>,</w:t>
            </w:r>
            <w:r w:rsidRPr="004B2F6C">
              <w:rPr>
                <w:rFonts w:hint="cs"/>
                <w:sz w:val="12"/>
                <w:szCs w:val="18"/>
                <w:rtl/>
              </w:rPr>
              <w:t>00</w:t>
            </w:r>
          </w:p>
        </w:tc>
      </w:tr>
      <w:tr w:rsidR="003E55E9" w:rsidRPr="004B2F6C">
        <w:trPr>
          <w:cantSplit/>
          <w:jc w:val="center"/>
        </w:trPr>
        <w:tc>
          <w:tcPr>
            <w:tcW w:w="591" w:type="dxa"/>
            <w:shd w:val="clear" w:color="auto" w:fill="auto"/>
            <w:vAlign w:val="bottom"/>
          </w:tcPr>
          <w:p w:rsidR="003E55E9" w:rsidRPr="004B2F6C" w:rsidRDefault="003E55E9" w:rsidP="00C25775">
            <w:pPr>
              <w:spacing w:before="40" w:after="80" w:line="180" w:lineRule="exact"/>
              <w:ind w:right="72"/>
              <w:rPr>
                <w:rFonts w:hint="cs"/>
                <w:sz w:val="18"/>
                <w:szCs w:val="18"/>
                <w:rtl/>
                <w:lang w:eastAsia="pt-BR" w:bidi="ar-EG"/>
              </w:rPr>
            </w:pPr>
            <w:r>
              <w:rPr>
                <w:rFonts w:hint="cs"/>
                <w:sz w:val="18"/>
                <w:szCs w:val="18"/>
                <w:rtl/>
                <w:lang w:bidi="ar-EG"/>
              </w:rPr>
              <w:t>الشمال</w:t>
            </w:r>
            <w:r w:rsidR="00C25775">
              <w:rPr>
                <w:rFonts w:hint="cs"/>
                <w:sz w:val="18"/>
                <w:szCs w:val="18"/>
                <w:rtl/>
                <w:lang w:bidi="ar-EG"/>
              </w:rPr>
              <w:t>ية</w:t>
            </w:r>
            <w:r>
              <w:rPr>
                <w:rFonts w:hint="cs"/>
                <w:sz w:val="18"/>
                <w:szCs w:val="18"/>
                <w:rtl/>
                <w:lang w:bidi="ar-EG"/>
              </w:rPr>
              <w:t xml:space="preserve"> الشرقي</w:t>
            </w:r>
            <w:r w:rsidR="00C25775">
              <w:rPr>
                <w:rFonts w:hint="cs"/>
                <w:sz w:val="18"/>
                <w:szCs w:val="18"/>
                <w:rtl/>
                <w:lang w:eastAsia="pt-BR" w:bidi="ar-EG"/>
              </w:rPr>
              <w:t>ة</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w:t>
            </w:r>
            <w:r w:rsidRPr="004B2F6C">
              <w:rPr>
                <w:rFonts w:hint="cs"/>
                <w:sz w:val="12"/>
                <w:szCs w:val="18"/>
              </w:rPr>
              <w:t xml:space="preserve"> </w:t>
            </w:r>
            <w:r w:rsidRPr="004B2F6C">
              <w:rPr>
                <w:rFonts w:hint="cs"/>
                <w:sz w:val="12"/>
                <w:szCs w:val="18"/>
                <w:rtl/>
              </w:rPr>
              <w:t>320</w:t>
            </w:r>
            <w:r w:rsidRPr="004B2F6C">
              <w:rPr>
                <w:rFonts w:hint="cs"/>
                <w:sz w:val="12"/>
                <w:szCs w:val="18"/>
              </w:rPr>
              <w:t xml:space="preserve"> </w:t>
            </w:r>
            <w:r w:rsidRPr="004B2F6C">
              <w:rPr>
                <w:rFonts w:hint="cs"/>
                <w:sz w:val="12"/>
                <w:szCs w:val="18"/>
                <w:rtl/>
              </w:rPr>
              <w:t>446</w:t>
            </w:r>
          </w:p>
        </w:tc>
        <w:tc>
          <w:tcPr>
            <w:tcW w:w="1236"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234</w:t>
            </w:r>
            <w:r w:rsidRPr="004B2F6C">
              <w:rPr>
                <w:rFonts w:hint="cs"/>
                <w:sz w:val="12"/>
                <w:szCs w:val="18"/>
              </w:rPr>
              <w:t xml:space="preserve"> </w:t>
            </w:r>
            <w:r w:rsidRPr="004B2F6C">
              <w:rPr>
                <w:rFonts w:hint="cs"/>
                <w:sz w:val="12"/>
                <w:szCs w:val="18"/>
                <w:rtl/>
              </w:rPr>
              <w:t>533</w:t>
            </w:r>
            <w:r w:rsidRPr="004B2F6C">
              <w:rPr>
                <w:rFonts w:hint="cs"/>
                <w:sz w:val="12"/>
                <w:szCs w:val="18"/>
              </w:rPr>
              <w:t xml:space="preserve"> </w:t>
            </w:r>
            <w:r w:rsidRPr="004B2F6C">
              <w:rPr>
                <w:rFonts w:hint="cs"/>
                <w:sz w:val="12"/>
                <w:szCs w:val="18"/>
                <w:rtl/>
              </w:rPr>
              <w:t>410</w:t>
            </w:r>
            <w:r w:rsidRPr="004B2F6C">
              <w:rPr>
                <w:sz w:val="12"/>
                <w:szCs w:val="18"/>
              </w:rPr>
              <w:t>,</w:t>
            </w:r>
            <w:r w:rsidRPr="004B2F6C">
              <w:rPr>
                <w:rFonts w:hint="cs"/>
                <w:sz w:val="12"/>
                <w:szCs w:val="18"/>
                <w:rtl/>
              </w:rPr>
              <w:t>00</w:t>
            </w:r>
          </w:p>
        </w:tc>
        <w:tc>
          <w:tcPr>
            <w:tcW w:w="826"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w:t>
            </w:r>
            <w:r w:rsidRPr="004B2F6C">
              <w:rPr>
                <w:sz w:val="12"/>
                <w:szCs w:val="18"/>
              </w:rPr>
              <w:t>,</w:t>
            </w:r>
            <w:r w:rsidRPr="004B2F6C">
              <w:rPr>
                <w:rFonts w:hint="cs"/>
                <w:sz w:val="12"/>
                <w:szCs w:val="18"/>
                <w:rtl/>
              </w:rPr>
              <w:t>451</w:t>
            </w:r>
            <w:r w:rsidRPr="004B2F6C">
              <w:rPr>
                <w:sz w:val="12"/>
                <w:szCs w:val="18"/>
              </w:rPr>
              <w:t>,</w:t>
            </w:r>
            <w:r w:rsidRPr="004B2F6C">
              <w:rPr>
                <w:rFonts w:hint="cs"/>
                <w:sz w:val="12"/>
                <w:szCs w:val="18"/>
                <w:rtl/>
              </w:rPr>
              <w:t>545</w:t>
            </w:r>
          </w:p>
        </w:tc>
        <w:tc>
          <w:tcPr>
            <w:tcW w:w="1133"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33</w:t>
            </w:r>
            <w:r w:rsidRPr="004B2F6C">
              <w:rPr>
                <w:rFonts w:hint="cs"/>
                <w:sz w:val="12"/>
                <w:szCs w:val="18"/>
              </w:rPr>
              <w:t xml:space="preserve"> </w:t>
            </w:r>
            <w:r w:rsidRPr="004B2F6C">
              <w:rPr>
                <w:rFonts w:hint="cs"/>
                <w:sz w:val="12"/>
                <w:szCs w:val="18"/>
                <w:rtl/>
              </w:rPr>
              <w:t>720</w:t>
            </w:r>
            <w:r w:rsidRPr="004B2F6C">
              <w:rPr>
                <w:rFonts w:hint="cs"/>
                <w:sz w:val="12"/>
                <w:szCs w:val="18"/>
              </w:rPr>
              <w:t xml:space="preserve"> </w:t>
            </w:r>
            <w:r w:rsidRPr="004B2F6C">
              <w:rPr>
                <w:rFonts w:hint="cs"/>
                <w:sz w:val="12"/>
                <w:szCs w:val="18"/>
                <w:rtl/>
              </w:rPr>
              <w:t>735</w:t>
            </w:r>
            <w:r w:rsidRPr="004B2F6C">
              <w:rPr>
                <w:sz w:val="12"/>
                <w:szCs w:val="18"/>
              </w:rPr>
              <w:t>,</w:t>
            </w:r>
            <w:r w:rsidRPr="004B2F6C">
              <w:rPr>
                <w:rFonts w:hint="cs"/>
                <w:sz w:val="12"/>
                <w:szCs w:val="18"/>
                <w:rtl/>
              </w:rPr>
              <w:t>00</w:t>
            </w:r>
          </w:p>
        </w:tc>
        <w:tc>
          <w:tcPr>
            <w:tcW w:w="619"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25</w:t>
            </w:r>
            <w:r w:rsidRPr="004B2F6C">
              <w:rPr>
                <w:rFonts w:hint="cs"/>
                <w:sz w:val="12"/>
                <w:szCs w:val="18"/>
              </w:rPr>
              <w:t xml:space="preserve"> </w:t>
            </w:r>
            <w:r w:rsidRPr="004B2F6C">
              <w:rPr>
                <w:rFonts w:hint="cs"/>
                <w:sz w:val="12"/>
                <w:szCs w:val="18"/>
                <w:rtl/>
              </w:rPr>
              <w:t>535</w:t>
            </w:r>
          </w:p>
        </w:tc>
        <w:tc>
          <w:tcPr>
            <w:tcW w:w="1032"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482</w:t>
            </w:r>
            <w:r w:rsidRPr="004B2F6C">
              <w:rPr>
                <w:rFonts w:hint="cs"/>
                <w:sz w:val="12"/>
                <w:szCs w:val="18"/>
              </w:rPr>
              <w:t xml:space="preserve"> </w:t>
            </w:r>
            <w:r w:rsidRPr="004B2F6C">
              <w:rPr>
                <w:rFonts w:hint="cs"/>
                <w:sz w:val="12"/>
                <w:szCs w:val="18"/>
                <w:rtl/>
              </w:rPr>
              <w:t>370</w:t>
            </w:r>
            <w:r w:rsidRPr="004B2F6C">
              <w:rPr>
                <w:sz w:val="12"/>
                <w:szCs w:val="18"/>
              </w:rPr>
              <w:t>,</w:t>
            </w:r>
            <w:r w:rsidRPr="004B2F6C">
              <w:rPr>
                <w:rFonts w:hint="cs"/>
                <w:sz w:val="12"/>
                <w:szCs w:val="18"/>
                <w:rtl/>
              </w:rPr>
              <w:t>00</w:t>
            </w:r>
          </w:p>
        </w:tc>
        <w:tc>
          <w:tcPr>
            <w:tcW w:w="72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95</w:t>
            </w:r>
            <w:r w:rsidRPr="004B2F6C">
              <w:rPr>
                <w:rFonts w:hint="cs"/>
                <w:sz w:val="12"/>
                <w:szCs w:val="18"/>
              </w:rPr>
              <w:t xml:space="preserve"> </w:t>
            </w:r>
            <w:r w:rsidRPr="004B2F6C">
              <w:rPr>
                <w:rFonts w:hint="cs"/>
                <w:sz w:val="12"/>
                <w:szCs w:val="18"/>
                <w:rtl/>
              </w:rPr>
              <w:t>192</w:t>
            </w:r>
          </w:p>
        </w:tc>
        <w:tc>
          <w:tcPr>
            <w:tcW w:w="1030"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4</w:t>
            </w:r>
            <w:r w:rsidRPr="004B2F6C">
              <w:rPr>
                <w:rFonts w:hint="cs"/>
                <w:sz w:val="12"/>
                <w:szCs w:val="18"/>
              </w:rPr>
              <w:t xml:space="preserve"> </w:t>
            </w:r>
            <w:r w:rsidRPr="004B2F6C">
              <w:rPr>
                <w:rFonts w:hint="cs"/>
                <w:sz w:val="12"/>
                <w:szCs w:val="18"/>
                <w:rtl/>
              </w:rPr>
              <w:t>759</w:t>
            </w:r>
            <w:r w:rsidRPr="004B2F6C">
              <w:rPr>
                <w:rFonts w:hint="cs"/>
                <w:sz w:val="12"/>
                <w:szCs w:val="18"/>
              </w:rPr>
              <w:t xml:space="preserve"> </w:t>
            </w:r>
            <w:r w:rsidRPr="004B2F6C">
              <w:rPr>
                <w:rFonts w:hint="cs"/>
                <w:sz w:val="12"/>
                <w:szCs w:val="18"/>
                <w:rtl/>
              </w:rPr>
              <w:t>600</w:t>
            </w:r>
            <w:r w:rsidRPr="004B2F6C">
              <w:rPr>
                <w:sz w:val="12"/>
                <w:szCs w:val="18"/>
              </w:rPr>
              <w:t>,</w:t>
            </w:r>
            <w:r w:rsidRPr="004B2F6C">
              <w:rPr>
                <w:rFonts w:hint="cs"/>
                <w:sz w:val="12"/>
                <w:szCs w:val="18"/>
                <w:rtl/>
              </w:rPr>
              <w:t>00</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w:t>
            </w:r>
            <w:r w:rsidRPr="004B2F6C">
              <w:rPr>
                <w:rFonts w:hint="cs"/>
                <w:sz w:val="12"/>
                <w:szCs w:val="18"/>
              </w:rPr>
              <w:t xml:space="preserve"> </w:t>
            </w:r>
            <w:r w:rsidRPr="004B2F6C">
              <w:rPr>
                <w:rFonts w:hint="cs"/>
                <w:sz w:val="12"/>
                <w:szCs w:val="18"/>
                <w:rtl/>
              </w:rPr>
              <w:t>011</w:t>
            </w:r>
            <w:r w:rsidRPr="004B2F6C">
              <w:rPr>
                <w:rFonts w:hint="cs"/>
                <w:sz w:val="12"/>
                <w:szCs w:val="18"/>
              </w:rPr>
              <w:t xml:space="preserve"> </w:t>
            </w:r>
            <w:r w:rsidRPr="004B2F6C">
              <w:rPr>
                <w:rFonts w:hint="cs"/>
                <w:sz w:val="12"/>
                <w:szCs w:val="18"/>
                <w:rtl/>
              </w:rPr>
              <w:t>133</w:t>
            </w:r>
          </w:p>
        </w:tc>
        <w:tc>
          <w:tcPr>
            <w:tcW w:w="113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30</w:t>
            </w:r>
            <w:r w:rsidRPr="004B2F6C">
              <w:rPr>
                <w:rFonts w:hint="cs"/>
                <w:sz w:val="12"/>
                <w:szCs w:val="18"/>
              </w:rPr>
              <w:t xml:space="preserve"> </w:t>
            </w:r>
            <w:r w:rsidRPr="004B2F6C">
              <w:rPr>
                <w:rFonts w:hint="cs"/>
                <w:sz w:val="12"/>
                <w:szCs w:val="18"/>
                <w:rtl/>
              </w:rPr>
              <w:t>166</w:t>
            </w:r>
            <w:r w:rsidRPr="004B2F6C">
              <w:rPr>
                <w:rFonts w:hint="cs"/>
                <w:sz w:val="12"/>
                <w:szCs w:val="18"/>
              </w:rPr>
              <w:t xml:space="preserve"> </w:t>
            </w:r>
            <w:r w:rsidRPr="004B2F6C">
              <w:rPr>
                <w:rFonts w:hint="cs"/>
                <w:sz w:val="12"/>
                <w:szCs w:val="18"/>
                <w:rtl/>
              </w:rPr>
              <w:t>995</w:t>
            </w:r>
            <w:r w:rsidRPr="004B2F6C">
              <w:rPr>
                <w:sz w:val="12"/>
                <w:szCs w:val="18"/>
              </w:rPr>
              <w:t>,</w:t>
            </w:r>
            <w:r w:rsidRPr="004B2F6C">
              <w:rPr>
                <w:rFonts w:hint="cs"/>
                <w:sz w:val="12"/>
                <w:szCs w:val="18"/>
                <w:rtl/>
              </w:rPr>
              <w:t>00</w:t>
            </w:r>
          </w:p>
        </w:tc>
      </w:tr>
      <w:tr w:rsidR="003E55E9" w:rsidRPr="004B2F6C">
        <w:trPr>
          <w:cantSplit/>
          <w:jc w:val="center"/>
        </w:trPr>
        <w:tc>
          <w:tcPr>
            <w:tcW w:w="591" w:type="dxa"/>
            <w:shd w:val="clear" w:color="auto" w:fill="auto"/>
            <w:vAlign w:val="bottom"/>
          </w:tcPr>
          <w:p w:rsidR="003E55E9" w:rsidRPr="004B2F6C" w:rsidRDefault="003E55E9" w:rsidP="00C25775">
            <w:pPr>
              <w:spacing w:before="40" w:after="80" w:line="180" w:lineRule="exact"/>
              <w:ind w:right="72"/>
              <w:rPr>
                <w:rFonts w:hint="cs"/>
                <w:sz w:val="18"/>
                <w:szCs w:val="18"/>
                <w:lang w:eastAsia="pt-BR"/>
              </w:rPr>
            </w:pPr>
            <w:r>
              <w:rPr>
                <w:rFonts w:hint="cs"/>
                <w:sz w:val="18"/>
                <w:szCs w:val="18"/>
                <w:rtl/>
              </w:rPr>
              <w:t>الشمال</w:t>
            </w:r>
            <w:r w:rsidR="00C25775">
              <w:rPr>
                <w:rFonts w:hint="cs"/>
                <w:sz w:val="18"/>
                <w:szCs w:val="18"/>
                <w:rtl/>
                <w:lang w:eastAsia="pt-BR"/>
              </w:rPr>
              <w:t>ية</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527</w:t>
            </w:r>
            <w:r w:rsidRPr="004B2F6C">
              <w:rPr>
                <w:rFonts w:hint="cs"/>
                <w:sz w:val="12"/>
                <w:szCs w:val="18"/>
              </w:rPr>
              <w:t xml:space="preserve"> </w:t>
            </w:r>
            <w:r w:rsidRPr="004B2F6C">
              <w:rPr>
                <w:rFonts w:hint="cs"/>
                <w:sz w:val="12"/>
                <w:szCs w:val="18"/>
                <w:rtl/>
              </w:rPr>
              <w:t>652</w:t>
            </w:r>
          </w:p>
        </w:tc>
        <w:tc>
          <w:tcPr>
            <w:tcW w:w="1236"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37</w:t>
            </w:r>
            <w:r w:rsidRPr="004B2F6C">
              <w:rPr>
                <w:rFonts w:hint="cs"/>
                <w:sz w:val="12"/>
                <w:szCs w:val="18"/>
              </w:rPr>
              <w:t xml:space="preserve"> </w:t>
            </w:r>
            <w:r w:rsidRPr="004B2F6C">
              <w:rPr>
                <w:rFonts w:hint="cs"/>
                <w:sz w:val="12"/>
                <w:szCs w:val="18"/>
                <w:rtl/>
              </w:rPr>
              <w:t>758</w:t>
            </w:r>
            <w:r w:rsidRPr="004B2F6C">
              <w:rPr>
                <w:rFonts w:hint="cs"/>
                <w:sz w:val="12"/>
                <w:szCs w:val="18"/>
              </w:rPr>
              <w:t xml:space="preserve"> </w:t>
            </w:r>
            <w:r w:rsidRPr="004B2F6C">
              <w:rPr>
                <w:rFonts w:hint="cs"/>
                <w:sz w:val="12"/>
                <w:szCs w:val="18"/>
                <w:rtl/>
              </w:rPr>
              <w:t>137</w:t>
            </w:r>
            <w:r w:rsidRPr="004B2F6C">
              <w:rPr>
                <w:sz w:val="12"/>
                <w:szCs w:val="18"/>
              </w:rPr>
              <w:t>,</w:t>
            </w:r>
            <w:r w:rsidRPr="004B2F6C">
              <w:rPr>
                <w:rFonts w:hint="cs"/>
                <w:sz w:val="12"/>
                <w:szCs w:val="18"/>
                <w:rtl/>
              </w:rPr>
              <w:t>00</w:t>
            </w:r>
          </w:p>
        </w:tc>
        <w:tc>
          <w:tcPr>
            <w:tcW w:w="826"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323</w:t>
            </w:r>
            <w:r w:rsidRPr="004B2F6C">
              <w:rPr>
                <w:sz w:val="12"/>
                <w:szCs w:val="18"/>
              </w:rPr>
              <w:t>,</w:t>
            </w:r>
            <w:r w:rsidRPr="004B2F6C">
              <w:rPr>
                <w:rFonts w:hint="cs"/>
                <w:sz w:val="12"/>
                <w:szCs w:val="18"/>
                <w:rtl/>
              </w:rPr>
              <w:t>771</w:t>
            </w:r>
          </w:p>
        </w:tc>
        <w:tc>
          <w:tcPr>
            <w:tcW w:w="1133"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8</w:t>
            </w:r>
            <w:r w:rsidRPr="004B2F6C">
              <w:rPr>
                <w:rFonts w:hint="cs"/>
                <w:sz w:val="12"/>
                <w:szCs w:val="18"/>
              </w:rPr>
              <w:t xml:space="preserve"> </w:t>
            </w:r>
            <w:r w:rsidRPr="004B2F6C">
              <w:rPr>
                <w:rFonts w:hint="cs"/>
                <w:sz w:val="12"/>
                <w:szCs w:val="18"/>
                <w:rtl/>
              </w:rPr>
              <w:t>194</w:t>
            </w:r>
            <w:r w:rsidRPr="004B2F6C">
              <w:rPr>
                <w:rFonts w:hint="cs"/>
                <w:sz w:val="12"/>
                <w:szCs w:val="18"/>
              </w:rPr>
              <w:t xml:space="preserve"> </w:t>
            </w:r>
            <w:r w:rsidRPr="004B2F6C">
              <w:rPr>
                <w:rFonts w:hint="cs"/>
                <w:sz w:val="12"/>
                <w:szCs w:val="18"/>
                <w:rtl/>
              </w:rPr>
              <w:t>605</w:t>
            </w:r>
            <w:r w:rsidRPr="004B2F6C">
              <w:rPr>
                <w:sz w:val="12"/>
                <w:szCs w:val="18"/>
              </w:rPr>
              <w:t>,</w:t>
            </w:r>
            <w:r w:rsidRPr="004B2F6C">
              <w:rPr>
                <w:rFonts w:hint="cs"/>
                <w:sz w:val="12"/>
                <w:szCs w:val="18"/>
                <w:rtl/>
              </w:rPr>
              <w:t>00</w:t>
            </w:r>
          </w:p>
        </w:tc>
        <w:tc>
          <w:tcPr>
            <w:tcW w:w="619"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7</w:t>
            </w:r>
            <w:r w:rsidRPr="004B2F6C">
              <w:rPr>
                <w:rFonts w:hint="cs"/>
                <w:sz w:val="12"/>
                <w:szCs w:val="18"/>
              </w:rPr>
              <w:t xml:space="preserve"> </w:t>
            </w:r>
            <w:r w:rsidRPr="004B2F6C">
              <w:rPr>
                <w:rFonts w:hint="cs"/>
                <w:sz w:val="12"/>
                <w:szCs w:val="18"/>
                <w:rtl/>
              </w:rPr>
              <w:t>229</w:t>
            </w:r>
          </w:p>
        </w:tc>
        <w:tc>
          <w:tcPr>
            <w:tcW w:w="1032"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134</w:t>
            </w:r>
            <w:r w:rsidRPr="004B2F6C">
              <w:rPr>
                <w:rFonts w:hint="cs"/>
                <w:sz w:val="12"/>
                <w:szCs w:val="18"/>
              </w:rPr>
              <w:t xml:space="preserve"> </w:t>
            </w:r>
            <w:r w:rsidRPr="004B2F6C">
              <w:rPr>
                <w:rFonts w:hint="cs"/>
                <w:sz w:val="12"/>
                <w:szCs w:val="18"/>
                <w:rtl/>
              </w:rPr>
              <w:t>450</w:t>
            </w:r>
            <w:r w:rsidRPr="004B2F6C">
              <w:rPr>
                <w:sz w:val="12"/>
                <w:szCs w:val="18"/>
              </w:rPr>
              <w:t>,</w:t>
            </w:r>
            <w:r w:rsidRPr="004B2F6C">
              <w:rPr>
                <w:rFonts w:hint="cs"/>
                <w:sz w:val="12"/>
                <w:szCs w:val="18"/>
                <w:rtl/>
              </w:rPr>
              <w:t>00</w:t>
            </w:r>
          </w:p>
        </w:tc>
        <w:tc>
          <w:tcPr>
            <w:tcW w:w="72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575</w:t>
            </w:r>
          </w:p>
        </w:tc>
        <w:tc>
          <w:tcPr>
            <w:tcW w:w="1030"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28</w:t>
            </w:r>
            <w:r w:rsidRPr="004B2F6C">
              <w:rPr>
                <w:rFonts w:hint="cs"/>
                <w:sz w:val="12"/>
                <w:szCs w:val="18"/>
              </w:rPr>
              <w:t xml:space="preserve"> </w:t>
            </w:r>
            <w:r w:rsidRPr="004B2F6C">
              <w:rPr>
                <w:rFonts w:hint="cs"/>
                <w:sz w:val="12"/>
                <w:szCs w:val="18"/>
                <w:rtl/>
              </w:rPr>
              <w:t>750</w:t>
            </w:r>
            <w:r w:rsidRPr="004B2F6C">
              <w:rPr>
                <w:sz w:val="12"/>
                <w:szCs w:val="18"/>
              </w:rPr>
              <w:t>,</w:t>
            </w:r>
            <w:r w:rsidRPr="004B2F6C">
              <w:rPr>
                <w:rFonts w:hint="cs"/>
                <w:sz w:val="12"/>
                <w:szCs w:val="18"/>
                <w:rtl/>
              </w:rPr>
              <w:t>00</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379</w:t>
            </w:r>
            <w:r w:rsidRPr="004B2F6C">
              <w:rPr>
                <w:rFonts w:hint="cs"/>
                <w:sz w:val="12"/>
                <w:szCs w:val="18"/>
              </w:rPr>
              <w:t xml:space="preserve"> </w:t>
            </w:r>
            <w:r w:rsidRPr="004B2F6C">
              <w:rPr>
                <w:rFonts w:hint="cs"/>
                <w:sz w:val="12"/>
                <w:szCs w:val="18"/>
                <w:rtl/>
              </w:rPr>
              <w:t>656</w:t>
            </w:r>
          </w:p>
        </w:tc>
        <w:tc>
          <w:tcPr>
            <w:tcW w:w="113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w:t>
            </w:r>
            <w:r w:rsidRPr="004B2F6C">
              <w:rPr>
                <w:rFonts w:hint="cs"/>
                <w:sz w:val="12"/>
                <w:szCs w:val="18"/>
              </w:rPr>
              <w:t xml:space="preserve"> </w:t>
            </w:r>
            <w:r w:rsidRPr="004B2F6C">
              <w:rPr>
                <w:rFonts w:hint="cs"/>
                <w:sz w:val="12"/>
                <w:szCs w:val="18"/>
                <w:rtl/>
              </w:rPr>
              <w:t>694</w:t>
            </w:r>
            <w:r w:rsidRPr="004B2F6C">
              <w:rPr>
                <w:rFonts w:hint="cs"/>
                <w:sz w:val="12"/>
                <w:szCs w:val="18"/>
              </w:rPr>
              <w:t xml:space="preserve"> </w:t>
            </w:r>
            <w:r w:rsidRPr="004B2F6C">
              <w:rPr>
                <w:rFonts w:hint="cs"/>
                <w:sz w:val="12"/>
                <w:szCs w:val="18"/>
                <w:rtl/>
              </w:rPr>
              <w:t>840</w:t>
            </w:r>
            <w:r w:rsidRPr="004B2F6C">
              <w:rPr>
                <w:sz w:val="12"/>
                <w:szCs w:val="18"/>
              </w:rPr>
              <w:t>,</w:t>
            </w:r>
            <w:r w:rsidRPr="004B2F6C">
              <w:rPr>
                <w:rFonts w:hint="cs"/>
                <w:sz w:val="12"/>
                <w:szCs w:val="18"/>
                <w:rtl/>
              </w:rPr>
              <w:t>00</w:t>
            </w:r>
          </w:p>
        </w:tc>
      </w:tr>
      <w:tr w:rsidR="003E55E9" w:rsidRPr="004B2F6C">
        <w:trPr>
          <w:cantSplit/>
          <w:jc w:val="center"/>
        </w:trPr>
        <w:tc>
          <w:tcPr>
            <w:tcW w:w="591" w:type="dxa"/>
            <w:shd w:val="clear" w:color="auto" w:fill="auto"/>
            <w:vAlign w:val="bottom"/>
          </w:tcPr>
          <w:p w:rsidR="003E55E9" w:rsidRPr="004B2F6C" w:rsidRDefault="003E55E9" w:rsidP="00C25775">
            <w:pPr>
              <w:spacing w:before="40" w:after="80" w:line="180" w:lineRule="exact"/>
              <w:ind w:right="72"/>
              <w:rPr>
                <w:rFonts w:hint="cs"/>
                <w:sz w:val="18"/>
                <w:szCs w:val="18"/>
                <w:rtl/>
                <w:lang w:eastAsia="pt-BR" w:bidi="ar-EG"/>
              </w:rPr>
            </w:pPr>
            <w:r>
              <w:rPr>
                <w:rFonts w:hint="cs"/>
                <w:sz w:val="18"/>
                <w:szCs w:val="18"/>
                <w:rtl/>
                <w:lang w:bidi="ar-EG"/>
              </w:rPr>
              <w:t>الجنوب</w:t>
            </w:r>
            <w:r w:rsidR="00C25775">
              <w:rPr>
                <w:rFonts w:hint="cs"/>
                <w:sz w:val="18"/>
                <w:szCs w:val="18"/>
                <w:rtl/>
                <w:lang w:bidi="ar-EG"/>
              </w:rPr>
              <w:t>ية</w:t>
            </w:r>
            <w:r>
              <w:rPr>
                <w:rFonts w:hint="cs"/>
                <w:sz w:val="18"/>
                <w:szCs w:val="18"/>
                <w:rtl/>
                <w:lang w:bidi="ar-EG"/>
              </w:rPr>
              <w:t xml:space="preserve"> الشرقي</w:t>
            </w:r>
            <w:r w:rsidR="00C25775">
              <w:rPr>
                <w:rFonts w:hint="cs"/>
                <w:sz w:val="18"/>
                <w:szCs w:val="18"/>
                <w:rtl/>
                <w:lang w:eastAsia="pt-BR" w:bidi="ar-EG"/>
              </w:rPr>
              <w:t>ة</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w:t>
            </w:r>
            <w:r w:rsidRPr="004B2F6C">
              <w:rPr>
                <w:rFonts w:hint="cs"/>
                <w:sz w:val="12"/>
                <w:szCs w:val="18"/>
              </w:rPr>
              <w:t xml:space="preserve"> </w:t>
            </w:r>
            <w:r w:rsidRPr="004B2F6C">
              <w:rPr>
                <w:rFonts w:hint="cs"/>
                <w:sz w:val="12"/>
                <w:szCs w:val="18"/>
                <w:rtl/>
              </w:rPr>
              <w:t>730</w:t>
            </w:r>
            <w:r w:rsidRPr="004B2F6C">
              <w:rPr>
                <w:rFonts w:hint="cs"/>
                <w:sz w:val="12"/>
                <w:szCs w:val="18"/>
              </w:rPr>
              <w:t xml:space="preserve"> </w:t>
            </w:r>
            <w:r w:rsidRPr="004B2F6C">
              <w:rPr>
                <w:rFonts w:hint="cs"/>
                <w:sz w:val="12"/>
                <w:szCs w:val="18"/>
                <w:rtl/>
              </w:rPr>
              <w:t>675</w:t>
            </w:r>
          </w:p>
        </w:tc>
        <w:tc>
          <w:tcPr>
            <w:tcW w:w="1236"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107</w:t>
            </w:r>
            <w:r w:rsidRPr="004B2F6C">
              <w:rPr>
                <w:rFonts w:hint="cs"/>
                <w:sz w:val="12"/>
                <w:szCs w:val="18"/>
              </w:rPr>
              <w:t xml:space="preserve"> </w:t>
            </w:r>
            <w:r w:rsidRPr="004B2F6C">
              <w:rPr>
                <w:rFonts w:hint="cs"/>
                <w:sz w:val="12"/>
                <w:szCs w:val="18"/>
                <w:rtl/>
              </w:rPr>
              <w:t>969</w:t>
            </w:r>
            <w:r w:rsidRPr="004B2F6C">
              <w:rPr>
                <w:rFonts w:hint="cs"/>
                <w:sz w:val="12"/>
                <w:szCs w:val="18"/>
              </w:rPr>
              <w:t xml:space="preserve"> </w:t>
            </w:r>
            <w:r w:rsidRPr="004B2F6C">
              <w:rPr>
                <w:rFonts w:hint="cs"/>
                <w:sz w:val="12"/>
                <w:szCs w:val="18"/>
                <w:rtl/>
              </w:rPr>
              <w:t>438</w:t>
            </w:r>
            <w:r w:rsidRPr="004B2F6C">
              <w:rPr>
                <w:sz w:val="12"/>
                <w:szCs w:val="18"/>
              </w:rPr>
              <w:t>,</w:t>
            </w:r>
            <w:r w:rsidRPr="004B2F6C">
              <w:rPr>
                <w:rFonts w:hint="cs"/>
                <w:sz w:val="12"/>
                <w:szCs w:val="18"/>
                <w:rtl/>
              </w:rPr>
              <w:t>00</w:t>
            </w:r>
          </w:p>
        </w:tc>
        <w:tc>
          <w:tcPr>
            <w:tcW w:w="826"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747</w:t>
            </w:r>
            <w:r w:rsidRPr="004B2F6C">
              <w:rPr>
                <w:sz w:val="12"/>
                <w:szCs w:val="18"/>
              </w:rPr>
              <w:t>,</w:t>
            </w:r>
            <w:r w:rsidRPr="004B2F6C">
              <w:rPr>
                <w:rFonts w:hint="cs"/>
                <w:sz w:val="12"/>
                <w:szCs w:val="18"/>
                <w:rtl/>
              </w:rPr>
              <w:t>783</w:t>
            </w:r>
          </w:p>
        </w:tc>
        <w:tc>
          <w:tcPr>
            <w:tcW w:w="1133"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17</w:t>
            </w:r>
            <w:r w:rsidRPr="004B2F6C">
              <w:rPr>
                <w:rFonts w:hint="cs"/>
                <w:sz w:val="12"/>
                <w:szCs w:val="18"/>
              </w:rPr>
              <w:t xml:space="preserve"> </w:t>
            </w:r>
            <w:r w:rsidRPr="004B2F6C">
              <w:rPr>
                <w:rFonts w:hint="cs"/>
                <w:sz w:val="12"/>
                <w:szCs w:val="18"/>
                <w:rtl/>
              </w:rPr>
              <w:t>138</w:t>
            </w:r>
            <w:r w:rsidRPr="004B2F6C">
              <w:rPr>
                <w:rFonts w:hint="cs"/>
                <w:sz w:val="12"/>
                <w:szCs w:val="18"/>
              </w:rPr>
              <w:t xml:space="preserve"> </w:t>
            </w:r>
            <w:r w:rsidRPr="004B2F6C">
              <w:rPr>
                <w:rFonts w:hint="cs"/>
                <w:sz w:val="12"/>
                <w:szCs w:val="18"/>
                <w:rtl/>
              </w:rPr>
              <w:t>130</w:t>
            </w:r>
            <w:r w:rsidRPr="004B2F6C">
              <w:rPr>
                <w:sz w:val="12"/>
                <w:szCs w:val="18"/>
              </w:rPr>
              <w:t>,</w:t>
            </w:r>
            <w:r w:rsidRPr="004B2F6C">
              <w:rPr>
                <w:rFonts w:hint="cs"/>
                <w:sz w:val="12"/>
                <w:szCs w:val="18"/>
                <w:rtl/>
              </w:rPr>
              <w:t>00</w:t>
            </w:r>
          </w:p>
        </w:tc>
        <w:tc>
          <w:tcPr>
            <w:tcW w:w="619"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11</w:t>
            </w:r>
            <w:r w:rsidRPr="004B2F6C">
              <w:rPr>
                <w:rFonts w:hint="cs"/>
                <w:sz w:val="12"/>
                <w:szCs w:val="18"/>
              </w:rPr>
              <w:t xml:space="preserve"> </w:t>
            </w:r>
            <w:r w:rsidRPr="004B2F6C">
              <w:rPr>
                <w:rFonts w:hint="cs"/>
                <w:sz w:val="12"/>
                <w:szCs w:val="18"/>
                <w:rtl/>
              </w:rPr>
              <w:t>775</w:t>
            </w:r>
          </w:p>
        </w:tc>
        <w:tc>
          <w:tcPr>
            <w:tcW w:w="1032"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225</w:t>
            </w:r>
            <w:r w:rsidRPr="004B2F6C">
              <w:rPr>
                <w:rFonts w:hint="cs"/>
                <w:sz w:val="12"/>
                <w:szCs w:val="18"/>
              </w:rPr>
              <w:t xml:space="preserve"> </w:t>
            </w:r>
            <w:r w:rsidRPr="004B2F6C">
              <w:rPr>
                <w:rFonts w:hint="cs"/>
                <w:sz w:val="12"/>
                <w:szCs w:val="18"/>
                <w:rtl/>
              </w:rPr>
              <w:t>345</w:t>
            </w:r>
            <w:r w:rsidRPr="004B2F6C">
              <w:rPr>
                <w:sz w:val="12"/>
                <w:szCs w:val="18"/>
              </w:rPr>
              <w:t>,</w:t>
            </w:r>
            <w:r w:rsidRPr="004B2F6C">
              <w:rPr>
                <w:rFonts w:hint="cs"/>
                <w:sz w:val="12"/>
                <w:szCs w:val="18"/>
                <w:rtl/>
              </w:rPr>
              <w:t>00</w:t>
            </w:r>
          </w:p>
        </w:tc>
        <w:tc>
          <w:tcPr>
            <w:tcW w:w="72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10</w:t>
            </w:r>
            <w:r w:rsidRPr="004B2F6C">
              <w:rPr>
                <w:rFonts w:hint="cs"/>
                <w:sz w:val="12"/>
                <w:szCs w:val="18"/>
              </w:rPr>
              <w:t xml:space="preserve"> </w:t>
            </w:r>
            <w:r w:rsidRPr="004B2F6C">
              <w:rPr>
                <w:rFonts w:hint="cs"/>
                <w:sz w:val="12"/>
                <w:szCs w:val="18"/>
                <w:rtl/>
              </w:rPr>
              <w:t>943</w:t>
            </w:r>
          </w:p>
        </w:tc>
        <w:tc>
          <w:tcPr>
            <w:tcW w:w="1030"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547</w:t>
            </w:r>
            <w:r w:rsidRPr="004B2F6C">
              <w:rPr>
                <w:rFonts w:hint="cs"/>
                <w:sz w:val="12"/>
                <w:szCs w:val="18"/>
              </w:rPr>
              <w:t xml:space="preserve"> </w:t>
            </w:r>
            <w:r w:rsidRPr="004B2F6C">
              <w:rPr>
                <w:rFonts w:hint="cs"/>
                <w:sz w:val="12"/>
                <w:szCs w:val="18"/>
                <w:rtl/>
              </w:rPr>
              <w:t>150</w:t>
            </w:r>
            <w:r w:rsidRPr="004B2F6C">
              <w:rPr>
                <w:sz w:val="12"/>
                <w:szCs w:val="18"/>
              </w:rPr>
              <w:t>,</w:t>
            </w:r>
            <w:r w:rsidRPr="004B2F6C">
              <w:rPr>
                <w:rFonts w:hint="cs"/>
                <w:sz w:val="12"/>
                <w:szCs w:val="18"/>
                <w:rtl/>
              </w:rPr>
              <w:t>00</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w:t>
            </w:r>
            <w:r w:rsidRPr="004B2F6C">
              <w:rPr>
                <w:rFonts w:hint="cs"/>
                <w:sz w:val="12"/>
                <w:szCs w:val="18"/>
              </w:rPr>
              <w:t xml:space="preserve"> </w:t>
            </w:r>
            <w:r w:rsidRPr="004B2F6C">
              <w:rPr>
                <w:rFonts w:hint="cs"/>
                <w:sz w:val="12"/>
                <w:szCs w:val="18"/>
                <w:rtl/>
              </w:rPr>
              <w:t>069</w:t>
            </w:r>
            <w:r w:rsidRPr="004B2F6C">
              <w:rPr>
                <w:rFonts w:hint="cs"/>
                <w:sz w:val="12"/>
                <w:szCs w:val="18"/>
              </w:rPr>
              <w:t xml:space="preserve"> </w:t>
            </w:r>
            <w:r w:rsidRPr="004B2F6C">
              <w:rPr>
                <w:rFonts w:hint="cs"/>
                <w:sz w:val="12"/>
                <w:szCs w:val="18"/>
                <w:rtl/>
              </w:rPr>
              <w:t>095</w:t>
            </w:r>
          </w:p>
        </w:tc>
        <w:tc>
          <w:tcPr>
            <w:tcW w:w="113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16</w:t>
            </w:r>
            <w:r w:rsidRPr="004B2F6C">
              <w:rPr>
                <w:rFonts w:hint="cs"/>
                <w:sz w:val="12"/>
                <w:szCs w:val="18"/>
              </w:rPr>
              <w:t xml:space="preserve"> </w:t>
            </w:r>
            <w:r w:rsidRPr="004B2F6C">
              <w:rPr>
                <w:rFonts w:hint="cs"/>
                <w:sz w:val="12"/>
                <w:szCs w:val="18"/>
                <w:rtl/>
              </w:rPr>
              <w:t>036</w:t>
            </w:r>
            <w:r w:rsidRPr="004B2F6C">
              <w:rPr>
                <w:rFonts w:hint="cs"/>
                <w:sz w:val="12"/>
                <w:szCs w:val="18"/>
              </w:rPr>
              <w:t xml:space="preserve"> </w:t>
            </w:r>
            <w:r w:rsidRPr="004B2F6C">
              <w:rPr>
                <w:rFonts w:hint="cs"/>
                <w:sz w:val="12"/>
                <w:szCs w:val="18"/>
                <w:rtl/>
              </w:rPr>
              <w:t>425</w:t>
            </w:r>
            <w:r w:rsidRPr="004B2F6C">
              <w:rPr>
                <w:sz w:val="12"/>
                <w:szCs w:val="18"/>
              </w:rPr>
              <w:t>,</w:t>
            </w:r>
            <w:r w:rsidRPr="004B2F6C">
              <w:rPr>
                <w:rFonts w:hint="cs"/>
                <w:sz w:val="12"/>
                <w:szCs w:val="18"/>
                <w:rtl/>
              </w:rPr>
              <w:t>00</w:t>
            </w:r>
          </w:p>
        </w:tc>
      </w:tr>
      <w:tr w:rsidR="003E55E9" w:rsidRPr="004B2F6C">
        <w:trPr>
          <w:cantSplit/>
          <w:jc w:val="center"/>
        </w:trPr>
        <w:tc>
          <w:tcPr>
            <w:tcW w:w="591" w:type="dxa"/>
            <w:shd w:val="clear" w:color="auto" w:fill="auto"/>
            <w:vAlign w:val="bottom"/>
          </w:tcPr>
          <w:p w:rsidR="003E55E9" w:rsidRPr="004B2F6C" w:rsidRDefault="003E55E9" w:rsidP="00C25775">
            <w:pPr>
              <w:spacing w:before="40" w:after="80" w:line="180" w:lineRule="exact"/>
              <w:ind w:right="72"/>
              <w:rPr>
                <w:rFonts w:hint="cs"/>
                <w:sz w:val="18"/>
                <w:szCs w:val="18"/>
                <w:lang w:eastAsia="pt-BR"/>
              </w:rPr>
            </w:pPr>
            <w:r>
              <w:rPr>
                <w:rFonts w:hint="cs"/>
                <w:sz w:val="18"/>
                <w:szCs w:val="18"/>
                <w:rtl/>
              </w:rPr>
              <w:t>الجنوب</w:t>
            </w:r>
            <w:r w:rsidR="00C25775">
              <w:rPr>
                <w:rFonts w:hint="cs"/>
                <w:sz w:val="18"/>
                <w:szCs w:val="18"/>
                <w:rtl/>
                <w:lang w:eastAsia="pt-BR"/>
              </w:rPr>
              <w:t>ية</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700</w:t>
            </w:r>
            <w:r w:rsidRPr="004B2F6C">
              <w:rPr>
                <w:rFonts w:hint="cs"/>
                <w:sz w:val="12"/>
                <w:szCs w:val="18"/>
              </w:rPr>
              <w:t xml:space="preserve"> </w:t>
            </w:r>
            <w:r w:rsidRPr="004B2F6C">
              <w:rPr>
                <w:rFonts w:hint="cs"/>
                <w:sz w:val="12"/>
                <w:szCs w:val="18"/>
                <w:rtl/>
              </w:rPr>
              <w:t>664</w:t>
            </w:r>
          </w:p>
        </w:tc>
        <w:tc>
          <w:tcPr>
            <w:tcW w:w="1236"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42</w:t>
            </w:r>
            <w:r w:rsidRPr="004B2F6C">
              <w:rPr>
                <w:rFonts w:hint="cs"/>
                <w:sz w:val="12"/>
                <w:szCs w:val="18"/>
              </w:rPr>
              <w:t xml:space="preserve"> </w:t>
            </w:r>
            <w:r w:rsidRPr="004B2F6C">
              <w:rPr>
                <w:rFonts w:hint="cs"/>
                <w:sz w:val="12"/>
                <w:szCs w:val="18"/>
                <w:rtl/>
              </w:rPr>
              <w:t>069</w:t>
            </w:r>
            <w:r w:rsidRPr="004B2F6C">
              <w:rPr>
                <w:rFonts w:hint="cs"/>
                <w:sz w:val="12"/>
                <w:szCs w:val="18"/>
              </w:rPr>
              <w:t xml:space="preserve"> </w:t>
            </w:r>
            <w:r w:rsidRPr="004B2F6C">
              <w:rPr>
                <w:rFonts w:hint="cs"/>
                <w:sz w:val="12"/>
                <w:szCs w:val="18"/>
                <w:rtl/>
              </w:rPr>
              <w:t>337</w:t>
            </w:r>
            <w:r w:rsidRPr="004B2F6C">
              <w:rPr>
                <w:sz w:val="12"/>
                <w:szCs w:val="18"/>
              </w:rPr>
              <w:t>,</w:t>
            </w:r>
            <w:r w:rsidRPr="004B2F6C">
              <w:rPr>
                <w:rFonts w:hint="cs"/>
                <w:sz w:val="12"/>
                <w:szCs w:val="18"/>
                <w:rtl/>
              </w:rPr>
              <w:t>00</w:t>
            </w:r>
          </w:p>
        </w:tc>
        <w:tc>
          <w:tcPr>
            <w:tcW w:w="826"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323</w:t>
            </w:r>
            <w:r w:rsidRPr="004B2F6C">
              <w:rPr>
                <w:sz w:val="12"/>
                <w:szCs w:val="18"/>
              </w:rPr>
              <w:t>,</w:t>
            </w:r>
            <w:r w:rsidRPr="004B2F6C">
              <w:rPr>
                <w:rFonts w:hint="cs"/>
                <w:sz w:val="12"/>
                <w:szCs w:val="18"/>
                <w:rtl/>
              </w:rPr>
              <w:t>658</w:t>
            </w:r>
          </w:p>
        </w:tc>
        <w:tc>
          <w:tcPr>
            <w:tcW w:w="1133"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7</w:t>
            </w:r>
            <w:r w:rsidRPr="004B2F6C">
              <w:rPr>
                <w:rFonts w:hint="cs"/>
                <w:sz w:val="12"/>
                <w:szCs w:val="18"/>
              </w:rPr>
              <w:t xml:space="preserve"> </w:t>
            </w:r>
            <w:r w:rsidRPr="004B2F6C">
              <w:rPr>
                <w:rFonts w:hint="cs"/>
                <w:sz w:val="12"/>
                <w:szCs w:val="18"/>
                <w:rtl/>
              </w:rPr>
              <w:t>151</w:t>
            </w:r>
            <w:r w:rsidRPr="004B2F6C">
              <w:rPr>
                <w:rFonts w:hint="cs"/>
                <w:sz w:val="12"/>
                <w:szCs w:val="18"/>
              </w:rPr>
              <w:t xml:space="preserve"> </w:t>
            </w:r>
            <w:r w:rsidRPr="004B2F6C">
              <w:rPr>
                <w:rFonts w:hint="cs"/>
                <w:sz w:val="12"/>
                <w:szCs w:val="18"/>
                <w:rtl/>
              </w:rPr>
              <w:t>175</w:t>
            </w:r>
            <w:r w:rsidRPr="004B2F6C">
              <w:rPr>
                <w:sz w:val="12"/>
                <w:szCs w:val="18"/>
              </w:rPr>
              <w:t>,</w:t>
            </w:r>
            <w:r w:rsidRPr="004B2F6C">
              <w:rPr>
                <w:rFonts w:hint="cs"/>
                <w:sz w:val="12"/>
                <w:szCs w:val="18"/>
                <w:rtl/>
              </w:rPr>
              <w:t>00</w:t>
            </w:r>
          </w:p>
        </w:tc>
        <w:tc>
          <w:tcPr>
            <w:tcW w:w="619"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w:t>
            </w:r>
            <w:r w:rsidRPr="004B2F6C">
              <w:rPr>
                <w:rFonts w:hint="cs"/>
                <w:sz w:val="12"/>
                <w:szCs w:val="18"/>
              </w:rPr>
              <w:t xml:space="preserve"> </w:t>
            </w:r>
            <w:r w:rsidRPr="004B2F6C">
              <w:rPr>
                <w:rFonts w:hint="cs"/>
                <w:sz w:val="12"/>
                <w:szCs w:val="18"/>
                <w:rtl/>
              </w:rPr>
              <w:t>156</w:t>
            </w:r>
          </w:p>
        </w:tc>
        <w:tc>
          <w:tcPr>
            <w:tcW w:w="1032"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92</w:t>
            </w:r>
            <w:r w:rsidRPr="004B2F6C">
              <w:rPr>
                <w:rFonts w:hint="cs"/>
                <w:sz w:val="12"/>
                <w:szCs w:val="18"/>
              </w:rPr>
              <w:t xml:space="preserve"> </w:t>
            </w:r>
            <w:r w:rsidRPr="004B2F6C">
              <w:rPr>
                <w:rFonts w:hint="cs"/>
                <w:sz w:val="12"/>
                <w:szCs w:val="18"/>
                <w:rtl/>
              </w:rPr>
              <w:t>865</w:t>
            </w:r>
            <w:r w:rsidRPr="004B2F6C">
              <w:rPr>
                <w:sz w:val="12"/>
                <w:szCs w:val="18"/>
              </w:rPr>
              <w:t>,</w:t>
            </w:r>
            <w:r w:rsidRPr="004B2F6C">
              <w:rPr>
                <w:rFonts w:hint="cs"/>
                <w:sz w:val="12"/>
                <w:szCs w:val="18"/>
                <w:rtl/>
              </w:rPr>
              <w:t>00</w:t>
            </w:r>
          </w:p>
        </w:tc>
        <w:tc>
          <w:tcPr>
            <w:tcW w:w="72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1</w:t>
            </w:r>
            <w:r w:rsidRPr="004B2F6C">
              <w:rPr>
                <w:rFonts w:hint="cs"/>
                <w:sz w:val="12"/>
                <w:szCs w:val="18"/>
              </w:rPr>
              <w:t xml:space="preserve"> </w:t>
            </w:r>
            <w:r w:rsidRPr="004B2F6C">
              <w:rPr>
                <w:rFonts w:hint="cs"/>
                <w:sz w:val="12"/>
                <w:szCs w:val="18"/>
                <w:rtl/>
              </w:rPr>
              <w:t>156</w:t>
            </w:r>
          </w:p>
        </w:tc>
        <w:tc>
          <w:tcPr>
            <w:tcW w:w="1030" w:type="dxa"/>
            <w:gridSpan w:val="2"/>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57</w:t>
            </w:r>
            <w:r w:rsidRPr="004B2F6C">
              <w:rPr>
                <w:rFonts w:hint="cs"/>
                <w:sz w:val="12"/>
                <w:szCs w:val="18"/>
              </w:rPr>
              <w:t xml:space="preserve"> </w:t>
            </w:r>
            <w:r w:rsidRPr="004B2F6C">
              <w:rPr>
                <w:rFonts w:hint="cs"/>
                <w:sz w:val="12"/>
                <w:szCs w:val="18"/>
                <w:rtl/>
              </w:rPr>
              <w:t>800</w:t>
            </w:r>
            <w:r w:rsidRPr="004B2F6C">
              <w:rPr>
                <w:sz w:val="12"/>
                <w:szCs w:val="18"/>
              </w:rPr>
              <w:t>,</w:t>
            </w:r>
            <w:r w:rsidRPr="004B2F6C">
              <w:rPr>
                <w:rFonts w:hint="cs"/>
                <w:sz w:val="12"/>
                <w:szCs w:val="18"/>
                <w:rtl/>
              </w:rPr>
              <w:t>00</w:t>
            </w:r>
          </w:p>
        </w:tc>
        <w:tc>
          <w:tcPr>
            <w:tcW w:w="824"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501</w:t>
            </w:r>
            <w:r w:rsidRPr="004B2F6C">
              <w:rPr>
                <w:rFonts w:hint="cs"/>
                <w:sz w:val="12"/>
                <w:szCs w:val="18"/>
              </w:rPr>
              <w:t xml:space="preserve"> </w:t>
            </w:r>
            <w:r w:rsidRPr="004B2F6C">
              <w:rPr>
                <w:rFonts w:hint="cs"/>
                <w:sz w:val="12"/>
                <w:szCs w:val="18"/>
                <w:rtl/>
              </w:rPr>
              <w:t>997</w:t>
            </w:r>
          </w:p>
        </w:tc>
        <w:tc>
          <w:tcPr>
            <w:tcW w:w="1131" w:type="dxa"/>
            <w:shd w:val="clear" w:color="auto" w:fill="auto"/>
            <w:vAlign w:val="bottom"/>
          </w:tcPr>
          <w:p w:rsidR="003E55E9" w:rsidRPr="004B2F6C" w:rsidRDefault="003E55E9" w:rsidP="00C25775">
            <w:pPr>
              <w:bidi w:val="0"/>
              <w:spacing w:before="40" w:after="80" w:line="180" w:lineRule="exact"/>
              <w:jc w:val="right"/>
              <w:rPr>
                <w:sz w:val="12"/>
                <w:szCs w:val="18"/>
                <w:lang w:eastAsia="pt-BR"/>
              </w:rPr>
            </w:pPr>
            <w:r w:rsidRPr="004B2F6C">
              <w:rPr>
                <w:rFonts w:hint="cs"/>
                <w:sz w:val="12"/>
                <w:szCs w:val="18"/>
                <w:rtl/>
              </w:rPr>
              <w:t>7</w:t>
            </w:r>
            <w:r w:rsidRPr="004B2F6C">
              <w:rPr>
                <w:rFonts w:hint="cs"/>
                <w:sz w:val="12"/>
                <w:szCs w:val="18"/>
              </w:rPr>
              <w:t xml:space="preserve"> </w:t>
            </w:r>
            <w:r w:rsidRPr="004B2F6C">
              <w:rPr>
                <w:rFonts w:hint="cs"/>
                <w:sz w:val="12"/>
                <w:szCs w:val="18"/>
                <w:rtl/>
              </w:rPr>
              <w:t>529</w:t>
            </w:r>
            <w:r w:rsidRPr="004B2F6C">
              <w:rPr>
                <w:rFonts w:hint="cs"/>
                <w:sz w:val="12"/>
                <w:szCs w:val="18"/>
              </w:rPr>
              <w:t xml:space="preserve"> </w:t>
            </w:r>
            <w:r w:rsidRPr="004B2F6C">
              <w:rPr>
                <w:rFonts w:hint="cs"/>
                <w:sz w:val="12"/>
                <w:szCs w:val="18"/>
                <w:rtl/>
              </w:rPr>
              <w:t>955</w:t>
            </w:r>
            <w:r w:rsidRPr="004B2F6C">
              <w:rPr>
                <w:sz w:val="12"/>
                <w:szCs w:val="18"/>
              </w:rPr>
              <w:t>,</w:t>
            </w:r>
            <w:r w:rsidRPr="004B2F6C">
              <w:rPr>
                <w:rFonts w:hint="cs"/>
                <w:sz w:val="12"/>
                <w:szCs w:val="18"/>
                <w:rtl/>
              </w:rPr>
              <w:t>00</w:t>
            </w:r>
          </w:p>
        </w:tc>
      </w:tr>
      <w:tr w:rsidR="003E55E9" w:rsidRPr="004B2F6C">
        <w:trPr>
          <w:cantSplit/>
          <w:jc w:val="center"/>
        </w:trPr>
        <w:tc>
          <w:tcPr>
            <w:tcW w:w="591" w:type="dxa"/>
            <w:tcBorders>
              <w:bottom w:val="single" w:sz="12" w:space="0" w:color="auto"/>
            </w:tcBorders>
            <w:shd w:val="clear" w:color="auto" w:fill="auto"/>
            <w:vAlign w:val="bottom"/>
          </w:tcPr>
          <w:p w:rsidR="003E55E9" w:rsidRPr="00C25775" w:rsidRDefault="003E55E9" w:rsidP="00CB3271">
            <w:pPr>
              <w:spacing w:before="40" w:after="80" w:line="220" w:lineRule="exact"/>
              <w:ind w:right="72"/>
              <w:rPr>
                <w:rFonts w:hint="cs"/>
                <w:b/>
                <w:bCs/>
                <w:sz w:val="18"/>
                <w:szCs w:val="18"/>
                <w:rtl/>
                <w:lang w:eastAsia="pt-BR" w:bidi="ar-EG"/>
              </w:rPr>
            </w:pPr>
            <w:r w:rsidRPr="00C25775">
              <w:rPr>
                <w:rFonts w:hint="cs"/>
                <w:b/>
                <w:bCs/>
                <w:sz w:val="18"/>
                <w:szCs w:val="18"/>
                <w:rtl/>
                <w:lang w:bidi="ar-EG"/>
              </w:rPr>
              <w:t>مجموع البرازيل</w:t>
            </w:r>
          </w:p>
        </w:tc>
        <w:tc>
          <w:tcPr>
            <w:tcW w:w="824"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8</w:t>
            </w:r>
            <w:r w:rsidRPr="00CB3271">
              <w:rPr>
                <w:rFonts w:hint="cs"/>
                <w:b/>
                <w:bCs/>
                <w:w w:val="98"/>
                <w:sz w:val="12"/>
                <w:szCs w:val="18"/>
              </w:rPr>
              <w:t xml:space="preserve"> </w:t>
            </w:r>
            <w:r w:rsidRPr="00CB3271">
              <w:rPr>
                <w:rFonts w:hint="cs"/>
                <w:b/>
                <w:bCs/>
                <w:w w:val="98"/>
                <w:sz w:val="12"/>
                <w:szCs w:val="18"/>
                <w:rtl/>
              </w:rPr>
              <w:t>571</w:t>
            </w:r>
            <w:r w:rsidRPr="00CB3271">
              <w:rPr>
                <w:rFonts w:hint="cs"/>
                <w:b/>
                <w:bCs/>
                <w:w w:val="98"/>
                <w:sz w:val="12"/>
                <w:szCs w:val="18"/>
              </w:rPr>
              <w:t xml:space="preserve"> </w:t>
            </w:r>
            <w:r w:rsidRPr="00CB3271">
              <w:rPr>
                <w:rFonts w:hint="cs"/>
                <w:b/>
                <w:bCs/>
                <w:w w:val="98"/>
                <w:sz w:val="12"/>
                <w:szCs w:val="18"/>
                <w:rtl/>
              </w:rPr>
              <w:t>842</w:t>
            </w:r>
          </w:p>
        </w:tc>
        <w:tc>
          <w:tcPr>
            <w:tcW w:w="1236"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439</w:t>
            </w:r>
            <w:r w:rsidRPr="00CB3271">
              <w:rPr>
                <w:rFonts w:hint="cs"/>
                <w:b/>
                <w:bCs/>
                <w:w w:val="98"/>
                <w:sz w:val="12"/>
                <w:szCs w:val="18"/>
              </w:rPr>
              <w:t xml:space="preserve"> </w:t>
            </w:r>
            <w:r w:rsidRPr="00CB3271">
              <w:rPr>
                <w:rFonts w:hint="cs"/>
                <w:b/>
                <w:bCs/>
                <w:w w:val="98"/>
                <w:sz w:val="12"/>
                <w:szCs w:val="18"/>
                <w:rtl/>
              </w:rPr>
              <w:t>870</w:t>
            </w:r>
            <w:r w:rsidRPr="00CB3271">
              <w:rPr>
                <w:rFonts w:hint="cs"/>
                <w:b/>
                <w:bCs/>
                <w:w w:val="98"/>
                <w:sz w:val="12"/>
                <w:szCs w:val="18"/>
              </w:rPr>
              <w:t xml:space="preserve"> </w:t>
            </w:r>
            <w:r w:rsidRPr="00CB3271">
              <w:rPr>
                <w:rFonts w:hint="cs"/>
                <w:b/>
                <w:bCs/>
                <w:w w:val="98"/>
                <w:sz w:val="12"/>
                <w:szCs w:val="18"/>
                <w:rtl/>
              </w:rPr>
              <w:t>810</w:t>
            </w:r>
            <w:r w:rsidRPr="00CB3271">
              <w:rPr>
                <w:b/>
                <w:bCs/>
                <w:w w:val="98"/>
                <w:sz w:val="12"/>
                <w:szCs w:val="18"/>
              </w:rPr>
              <w:t>,</w:t>
            </w:r>
            <w:r w:rsidRPr="00CB3271">
              <w:rPr>
                <w:rFonts w:hint="cs"/>
                <w:b/>
                <w:bCs/>
                <w:w w:val="98"/>
                <w:sz w:val="12"/>
                <w:szCs w:val="18"/>
                <w:rtl/>
              </w:rPr>
              <w:t>00</w:t>
            </w:r>
          </w:p>
        </w:tc>
        <w:tc>
          <w:tcPr>
            <w:tcW w:w="826" w:type="dxa"/>
            <w:gridSpan w:val="2"/>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3</w:t>
            </w:r>
            <w:r w:rsidRPr="00CB3271">
              <w:rPr>
                <w:b/>
                <w:bCs/>
                <w:w w:val="98"/>
                <w:sz w:val="12"/>
                <w:szCs w:val="18"/>
              </w:rPr>
              <w:t>,</w:t>
            </w:r>
            <w:r w:rsidRPr="00CB3271">
              <w:rPr>
                <w:rFonts w:hint="cs"/>
                <w:b/>
                <w:bCs/>
                <w:w w:val="98"/>
                <w:sz w:val="12"/>
                <w:szCs w:val="18"/>
                <w:rtl/>
              </w:rPr>
              <w:t>042</w:t>
            </w:r>
            <w:r w:rsidRPr="00CB3271">
              <w:rPr>
                <w:b/>
                <w:bCs/>
                <w:w w:val="98"/>
                <w:sz w:val="12"/>
                <w:szCs w:val="18"/>
              </w:rPr>
              <w:t>,</w:t>
            </w:r>
            <w:r w:rsidRPr="00CB3271">
              <w:rPr>
                <w:rFonts w:hint="cs"/>
                <w:b/>
                <w:bCs/>
                <w:w w:val="98"/>
                <w:sz w:val="12"/>
                <w:szCs w:val="18"/>
                <w:rtl/>
              </w:rPr>
              <w:t>794</w:t>
            </w:r>
          </w:p>
        </w:tc>
        <w:tc>
          <w:tcPr>
            <w:tcW w:w="1133"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70</w:t>
            </w:r>
            <w:r w:rsidRPr="00CB3271">
              <w:rPr>
                <w:rFonts w:hint="cs"/>
                <w:b/>
                <w:bCs/>
                <w:w w:val="98"/>
                <w:sz w:val="12"/>
                <w:szCs w:val="18"/>
              </w:rPr>
              <w:t xml:space="preserve"> </w:t>
            </w:r>
            <w:r w:rsidRPr="00CB3271">
              <w:rPr>
                <w:rFonts w:hint="cs"/>
                <w:b/>
                <w:bCs/>
                <w:w w:val="98"/>
                <w:sz w:val="12"/>
                <w:szCs w:val="18"/>
                <w:rtl/>
              </w:rPr>
              <w:t>629</w:t>
            </w:r>
            <w:r w:rsidRPr="00CB3271">
              <w:rPr>
                <w:rFonts w:hint="cs"/>
                <w:b/>
                <w:bCs/>
                <w:w w:val="98"/>
                <w:sz w:val="12"/>
                <w:szCs w:val="18"/>
              </w:rPr>
              <w:t xml:space="preserve"> </w:t>
            </w:r>
            <w:r w:rsidRPr="00CB3271">
              <w:rPr>
                <w:rFonts w:hint="cs"/>
                <w:b/>
                <w:bCs/>
                <w:w w:val="98"/>
                <w:sz w:val="12"/>
                <w:szCs w:val="18"/>
                <w:rtl/>
              </w:rPr>
              <w:t>195</w:t>
            </w:r>
            <w:r w:rsidRPr="00CB3271">
              <w:rPr>
                <w:b/>
                <w:bCs/>
                <w:w w:val="98"/>
                <w:sz w:val="12"/>
                <w:szCs w:val="18"/>
              </w:rPr>
              <w:t>,</w:t>
            </w:r>
            <w:r w:rsidRPr="00CB3271">
              <w:rPr>
                <w:rFonts w:hint="cs"/>
                <w:b/>
                <w:bCs/>
                <w:w w:val="98"/>
                <w:sz w:val="12"/>
                <w:szCs w:val="18"/>
                <w:rtl/>
              </w:rPr>
              <w:t>00</w:t>
            </w:r>
          </w:p>
        </w:tc>
        <w:tc>
          <w:tcPr>
            <w:tcW w:w="619" w:type="dxa"/>
            <w:gridSpan w:val="2"/>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53</w:t>
            </w:r>
            <w:r w:rsidRPr="00CB3271">
              <w:rPr>
                <w:rFonts w:hint="cs"/>
                <w:b/>
                <w:bCs/>
                <w:w w:val="98"/>
                <w:sz w:val="12"/>
                <w:szCs w:val="18"/>
              </w:rPr>
              <w:t xml:space="preserve"> </w:t>
            </w:r>
            <w:r w:rsidRPr="00CB3271">
              <w:rPr>
                <w:rFonts w:hint="cs"/>
                <w:b/>
                <w:bCs/>
                <w:w w:val="98"/>
                <w:sz w:val="12"/>
                <w:szCs w:val="18"/>
                <w:rtl/>
              </w:rPr>
              <w:t>507</w:t>
            </w:r>
          </w:p>
        </w:tc>
        <w:tc>
          <w:tcPr>
            <w:tcW w:w="1032" w:type="dxa"/>
            <w:gridSpan w:val="2"/>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1</w:t>
            </w:r>
            <w:r w:rsidRPr="00CB3271">
              <w:rPr>
                <w:rFonts w:hint="cs"/>
                <w:b/>
                <w:bCs/>
                <w:w w:val="98"/>
                <w:sz w:val="12"/>
                <w:szCs w:val="18"/>
              </w:rPr>
              <w:t xml:space="preserve"> </w:t>
            </w:r>
            <w:r w:rsidRPr="00CB3271">
              <w:rPr>
                <w:rFonts w:hint="cs"/>
                <w:b/>
                <w:bCs/>
                <w:w w:val="98"/>
                <w:sz w:val="12"/>
                <w:szCs w:val="18"/>
                <w:rtl/>
              </w:rPr>
              <w:t>004</w:t>
            </w:r>
            <w:r w:rsidRPr="00CB3271">
              <w:rPr>
                <w:rFonts w:hint="cs"/>
                <w:b/>
                <w:bCs/>
                <w:w w:val="98"/>
                <w:sz w:val="12"/>
                <w:szCs w:val="18"/>
              </w:rPr>
              <w:t xml:space="preserve"> </w:t>
            </w:r>
            <w:r w:rsidRPr="00CB3271">
              <w:rPr>
                <w:rFonts w:hint="cs"/>
                <w:b/>
                <w:bCs/>
                <w:w w:val="98"/>
                <w:sz w:val="12"/>
                <w:szCs w:val="18"/>
                <w:rtl/>
              </w:rPr>
              <w:t>150</w:t>
            </w:r>
            <w:r w:rsidRPr="00CB3271">
              <w:rPr>
                <w:b/>
                <w:bCs/>
                <w:w w:val="98"/>
                <w:sz w:val="12"/>
                <w:szCs w:val="18"/>
              </w:rPr>
              <w:t>,</w:t>
            </w:r>
            <w:r w:rsidRPr="00CB3271">
              <w:rPr>
                <w:rFonts w:hint="cs"/>
                <w:b/>
                <w:bCs/>
                <w:w w:val="98"/>
                <w:sz w:val="12"/>
                <w:szCs w:val="18"/>
                <w:rtl/>
              </w:rPr>
              <w:t>00</w:t>
            </w:r>
          </w:p>
        </w:tc>
        <w:tc>
          <w:tcPr>
            <w:tcW w:w="721"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107</w:t>
            </w:r>
            <w:r w:rsidRPr="00CB3271">
              <w:rPr>
                <w:rFonts w:hint="cs"/>
                <w:b/>
                <w:bCs/>
                <w:w w:val="98"/>
                <w:sz w:val="12"/>
                <w:szCs w:val="18"/>
              </w:rPr>
              <w:t xml:space="preserve"> </w:t>
            </w:r>
            <w:r w:rsidRPr="00CB3271">
              <w:rPr>
                <w:rFonts w:hint="cs"/>
                <w:b/>
                <w:bCs/>
                <w:w w:val="98"/>
                <w:sz w:val="12"/>
                <w:szCs w:val="18"/>
                <w:rtl/>
              </w:rPr>
              <w:t>907</w:t>
            </w:r>
          </w:p>
        </w:tc>
        <w:tc>
          <w:tcPr>
            <w:tcW w:w="1030" w:type="dxa"/>
            <w:gridSpan w:val="2"/>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6</w:t>
            </w:r>
            <w:r w:rsidRPr="00CB3271">
              <w:rPr>
                <w:rFonts w:hint="cs"/>
                <w:b/>
                <w:bCs/>
                <w:w w:val="98"/>
                <w:sz w:val="12"/>
                <w:szCs w:val="18"/>
              </w:rPr>
              <w:t xml:space="preserve"> </w:t>
            </w:r>
            <w:r w:rsidRPr="00CB3271">
              <w:rPr>
                <w:rFonts w:hint="cs"/>
                <w:b/>
                <w:bCs/>
                <w:w w:val="98"/>
                <w:sz w:val="12"/>
                <w:szCs w:val="18"/>
                <w:rtl/>
              </w:rPr>
              <w:t>395</w:t>
            </w:r>
            <w:r w:rsidRPr="00CB3271">
              <w:rPr>
                <w:rFonts w:hint="cs"/>
                <w:b/>
                <w:bCs/>
                <w:w w:val="98"/>
                <w:sz w:val="12"/>
                <w:szCs w:val="18"/>
              </w:rPr>
              <w:t xml:space="preserve"> </w:t>
            </w:r>
            <w:r w:rsidRPr="00CB3271">
              <w:rPr>
                <w:rFonts w:hint="cs"/>
                <w:b/>
                <w:bCs/>
                <w:w w:val="98"/>
                <w:sz w:val="12"/>
                <w:szCs w:val="18"/>
                <w:rtl/>
              </w:rPr>
              <w:t>350</w:t>
            </w:r>
            <w:r w:rsidRPr="00CB3271">
              <w:rPr>
                <w:b/>
                <w:bCs/>
                <w:w w:val="98"/>
                <w:sz w:val="12"/>
                <w:szCs w:val="18"/>
              </w:rPr>
              <w:t>,</w:t>
            </w:r>
            <w:r w:rsidRPr="00CB3271">
              <w:rPr>
                <w:rFonts w:hint="cs"/>
                <w:b/>
                <w:bCs/>
                <w:w w:val="98"/>
                <w:sz w:val="12"/>
                <w:szCs w:val="18"/>
                <w:rtl/>
              </w:rPr>
              <w:t>00</w:t>
            </w:r>
          </w:p>
        </w:tc>
        <w:tc>
          <w:tcPr>
            <w:tcW w:w="824"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4</w:t>
            </w:r>
            <w:r w:rsidRPr="00CB3271">
              <w:rPr>
                <w:rFonts w:hint="cs"/>
                <w:b/>
                <w:bCs/>
                <w:w w:val="98"/>
                <w:sz w:val="12"/>
                <w:szCs w:val="18"/>
              </w:rPr>
              <w:t xml:space="preserve"> </w:t>
            </w:r>
            <w:r w:rsidRPr="00CB3271">
              <w:rPr>
                <w:rFonts w:hint="cs"/>
                <w:b/>
                <w:bCs/>
                <w:w w:val="98"/>
                <w:sz w:val="12"/>
                <w:szCs w:val="18"/>
                <w:rtl/>
              </w:rPr>
              <w:t>220</w:t>
            </w:r>
            <w:r w:rsidRPr="00CB3271">
              <w:rPr>
                <w:rFonts w:hint="cs"/>
                <w:b/>
                <w:bCs/>
                <w:w w:val="98"/>
                <w:sz w:val="12"/>
                <w:szCs w:val="18"/>
              </w:rPr>
              <w:t xml:space="preserve"> </w:t>
            </w:r>
            <w:r w:rsidRPr="00CB3271">
              <w:rPr>
                <w:rFonts w:hint="cs"/>
                <w:b/>
                <w:bCs/>
                <w:w w:val="98"/>
                <w:sz w:val="12"/>
                <w:szCs w:val="18"/>
                <w:rtl/>
              </w:rPr>
              <w:t>953</w:t>
            </w:r>
          </w:p>
        </w:tc>
        <w:tc>
          <w:tcPr>
            <w:tcW w:w="1131" w:type="dxa"/>
            <w:tcBorders>
              <w:bottom w:val="single" w:sz="12" w:space="0" w:color="auto"/>
            </w:tcBorders>
            <w:shd w:val="clear" w:color="auto" w:fill="auto"/>
            <w:vAlign w:val="bottom"/>
          </w:tcPr>
          <w:p w:rsidR="003E55E9" w:rsidRPr="00CB3271" w:rsidRDefault="003E55E9" w:rsidP="001F15B7">
            <w:pPr>
              <w:bidi w:val="0"/>
              <w:spacing w:before="40" w:after="80" w:line="200" w:lineRule="exact"/>
              <w:jc w:val="right"/>
              <w:rPr>
                <w:b/>
                <w:bCs/>
                <w:w w:val="98"/>
                <w:sz w:val="12"/>
                <w:szCs w:val="18"/>
                <w:lang w:eastAsia="pt-BR"/>
              </w:rPr>
            </w:pPr>
            <w:r w:rsidRPr="00CB3271">
              <w:rPr>
                <w:rFonts w:hint="cs"/>
                <w:b/>
                <w:bCs/>
                <w:w w:val="98"/>
                <w:sz w:val="12"/>
                <w:szCs w:val="18"/>
                <w:rtl/>
              </w:rPr>
              <w:t>63</w:t>
            </w:r>
            <w:r w:rsidRPr="00CB3271">
              <w:rPr>
                <w:rFonts w:hint="cs"/>
                <w:b/>
                <w:bCs/>
                <w:w w:val="98"/>
                <w:sz w:val="12"/>
                <w:szCs w:val="18"/>
              </w:rPr>
              <w:t xml:space="preserve"> </w:t>
            </w:r>
            <w:r w:rsidRPr="00CB3271">
              <w:rPr>
                <w:rFonts w:hint="cs"/>
                <w:b/>
                <w:bCs/>
                <w:w w:val="98"/>
                <w:sz w:val="12"/>
                <w:szCs w:val="18"/>
                <w:rtl/>
              </w:rPr>
              <w:t>314</w:t>
            </w:r>
            <w:r w:rsidRPr="00CB3271">
              <w:rPr>
                <w:rFonts w:hint="cs"/>
                <w:b/>
                <w:bCs/>
                <w:w w:val="98"/>
                <w:sz w:val="12"/>
                <w:szCs w:val="18"/>
              </w:rPr>
              <w:t xml:space="preserve"> </w:t>
            </w:r>
            <w:r w:rsidRPr="00CB3271">
              <w:rPr>
                <w:rFonts w:hint="cs"/>
                <w:b/>
                <w:bCs/>
                <w:w w:val="98"/>
                <w:sz w:val="12"/>
                <w:szCs w:val="18"/>
                <w:rtl/>
              </w:rPr>
              <w:t>295</w:t>
            </w:r>
            <w:r w:rsidRPr="00CB3271">
              <w:rPr>
                <w:b/>
                <w:bCs/>
                <w:w w:val="98"/>
                <w:sz w:val="12"/>
                <w:szCs w:val="18"/>
              </w:rPr>
              <w:t>,</w:t>
            </w:r>
            <w:r w:rsidRPr="00CB3271">
              <w:rPr>
                <w:rFonts w:hint="cs"/>
                <w:b/>
                <w:bCs/>
                <w:w w:val="98"/>
                <w:sz w:val="12"/>
                <w:szCs w:val="18"/>
                <w:rtl/>
              </w:rPr>
              <w:t>00</w:t>
            </w:r>
          </w:p>
        </w:tc>
      </w:tr>
    </w:tbl>
    <w:p w:rsidR="00CB3271" w:rsidRPr="00CB3271" w:rsidRDefault="00CB3271" w:rsidP="00CB3271">
      <w:pPr>
        <w:pStyle w:val="SingleTxt"/>
        <w:spacing w:after="0" w:line="120" w:lineRule="exact"/>
        <w:rPr>
          <w:rFonts w:hint="cs"/>
          <w:sz w:val="10"/>
          <w:rtl/>
          <w:lang w:bidi="ar-EG"/>
        </w:rPr>
      </w:pPr>
    </w:p>
    <w:p w:rsidR="00CB3271" w:rsidRPr="00CB3271" w:rsidRDefault="00CB3271" w:rsidP="00CB3271">
      <w:pPr>
        <w:pStyle w:val="SingleTxt"/>
        <w:spacing w:after="0" w:line="120" w:lineRule="exact"/>
        <w:rPr>
          <w:rFonts w:hint="cs"/>
          <w:sz w:val="10"/>
          <w:rtl/>
          <w:lang w:bidi="ar-EG"/>
        </w:rPr>
      </w:pPr>
    </w:p>
    <w:p w:rsidR="00CB3271" w:rsidRPr="00CB3271" w:rsidRDefault="00CB3271" w:rsidP="00CB3271">
      <w:pPr>
        <w:pStyle w:val="SingleTxt"/>
        <w:spacing w:after="0" w:line="120" w:lineRule="exact"/>
        <w:rPr>
          <w:rFonts w:hint="cs"/>
          <w:sz w:val="10"/>
          <w:rtl/>
          <w:lang w:bidi="ar-EG"/>
        </w:rPr>
      </w:pPr>
    </w:p>
    <w:p w:rsidR="00B70C69" w:rsidRDefault="00B70C69" w:rsidP="00355B4D">
      <w:pPr>
        <w:pStyle w:val="SingleTxt"/>
        <w:rPr>
          <w:rFonts w:hint="cs"/>
          <w:rtl/>
          <w:lang w:bidi="ar-EG"/>
        </w:rPr>
      </w:pPr>
      <w:r>
        <w:rPr>
          <w:rFonts w:hint="cs"/>
          <w:noProof/>
          <w:w w:val="100"/>
          <w:rtl/>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56.65pt;margin-top:.25pt;width:375.95pt;height:181.3pt;z-index:3">
            <v:imagedata r:id="rId15" o:title=""/>
          </v:shape>
          <o:OLEObject Type="Embed" ProgID="MSGraph.Chart.8" ShapeID="_x0000_s1028" DrawAspect="Content" ObjectID="_1394528681" r:id="rId16">
            <o:FieldCodes>\s</o:FieldCodes>
          </o:OLEObject>
        </w:pict>
      </w:r>
    </w:p>
    <w:p w:rsidR="00B70C69" w:rsidRDefault="00B70C69" w:rsidP="00355B4D">
      <w:pPr>
        <w:pStyle w:val="SingleTxt"/>
        <w:rPr>
          <w:rFonts w:hint="cs"/>
          <w:rtl/>
          <w:lang w:bidi="ar-EG"/>
        </w:rPr>
      </w:pPr>
    </w:p>
    <w:p w:rsidR="00B70C69" w:rsidRDefault="00B70C69" w:rsidP="00355B4D">
      <w:pPr>
        <w:pStyle w:val="SingleTxt"/>
        <w:rPr>
          <w:rFonts w:hint="cs"/>
          <w:rtl/>
          <w:lang w:bidi="ar-EG"/>
        </w:rPr>
      </w:pPr>
    </w:p>
    <w:p w:rsidR="00B70C69" w:rsidRDefault="00B70C69" w:rsidP="00355B4D">
      <w:pPr>
        <w:pStyle w:val="SingleTxt"/>
        <w:rPr>
          <w:rFonts w:hint="cs"/>
          <w:rtl/>
          <w:lang w:bidi="ar-EG"/>
        </w:rPr>
      </w:pPr>
    </w:p>
    <w:p w:rsidR="00B70C69" w:rsidRDefault="00B70C69" w:rsidP="00355B4D">
      <w:pPr>
        <w:pStyle w:val="SingleTxt"/>
        <w:rPr>
          <w:rFonts w:hint="cs"/>
          <w:rtl/>
          <w:lang w:bidi="ar-EG"/>
        </w:rPr>
      </w:pPr>
    </w:p>
    <w:p w:rsidR="00B70C69" w:rsidRDefault="00B70C69" w:rsidP="00355B4D">
      <w:pPr>
        <w:pStyle w:val="SingleTxt"/>
        <w:rPr>
          <w:rFonts w:hint="cs"/>
          <w:rtl/>
          <w:lang w:bidi="ar-EG"/>
        </w:rPr>
      </w:pPr>
    </w:p>
    <w:p w:rsidR="00B70C69" w:rsidRDefault="00B70C69" w:rsidP="00355B4D">
      <w:pPr>
        <w:pStyle w:val="SingleTxt"/>
        <w:rPr>
          <w:rFonts w:hint="cs"/>
          <w:rtl/>
          <w:lang w:bidi="ar-EG"/>
        </w:rPr>
      </w:pPr>
    </w:p>
    <w:p w:rsidR="00B44C56" w:rsidRPr="00B44C56" w:rsidRDefault="00B44C56" w:rsidP="00B44C56">
      <w:pPr>
        <w:pStyle w:val="SingleTxt"/>
        <w:spacing w:after="0" w:line="120" w:lineRule="exact"/>
        <w:rPr>
          <w:rFonts w:hint="cs"/>
          <w:sz w:val="10"/>
          <w:rtl/>
          <w:lang w:bidi="ar-EG"/>
        </w:rPr>
      </w:pPr>
    </w:p>
    <w:p w:rsidR="00CB3271" w:rsidRDefault="00B93EB1" w:rsidP="00355B4D">
      <w:pPr>
        <w:pStyle w:val="SingleTxt"/>
        <w:rPr>
          <w:rFonts w:hint="cs"/>
          <w:rtl/>
          <w:lang w:bidi="ar-EG"/>
        </w:rPr>
      </w:pPr>
      <w:r>
        <w:rPr>
          <w:rFonts w:hint="cs"/>
          <w:rtl/>
          <w:lang w:bidi="ar-EG"/>
        </w:rPr>
        <w:tab/>
        <w:t xml:space="preserve">وأثناء السنوات الماضية، كانت </w:t>
      </w:r>
      <w:r w:rsidR="00EF22C7">
        <w:rPr>
          <w:rFonts w:hint="cs"/>
          <w:rtl/>
          <w:lang w:bidi="ar-EG"/>
        </w:rPr>
        <w:t xml:space="preserve">هناك زيادة في </w:t>
      </w:r>
      <w:r w:rsidR="00B70C69">
        <w:rPr>
          <w:rFonts w:hint="cs"/>
          <w:rtl/>
          <w:lang w:bidi="ar-EG"/>
        </w:rPr>
        <w:t>مشاركة المرأة في سوق العمل، مما</w:t>
      </w:r>
      <w:r w:rsidR="00B70C69">
        <w:rPr>
          <w:rFonts w:hint="eastAsia"/>
          <w:rtl/>
          <w:lang w:bidi="ar-EG"/>
        </w:rPr>
        <w:t> </w:t>
      </w:r>
      <w:r w:rsidR="00EF22C7">
        <w:rPr>
          <w:rFonts w:hint="cs"/>
          <w:rtl/>
          <w:lang w:bidi="ar-EG"/>
        </w:rPr>
        <w:t>يشكل أحد التغيرات الرئيسية في هذا المجال في البرازيل. ورغم ذلك، لم يؤد هذا التقدم إلى تغيير ملحوظ في العمليات التي تولد التباين بين الرجل والمرأة وتعمل على استمراره.</w:t>
      </w:r>
    </w:p>
    <w:p w:rsidR="00EF22C7" w:rsidRDefault="00EF22C7" w:rsidP="00355B4D">
      <w:pPr>
        <w:pStyle w:val="SingleTxt"/>
        <w:rPr>
          <w:rFonts w:hint="cs"/>
          <w:rtl/>
          <w:lang w:bidi="ar-EG"/>
        </w:rPr>
      </w:pPr>
      <w:r>
        <w:rPr>
          <w:rFonts w:hint="cs"/>
          <w:rtl/>
          <w:lang w:bidi="ar-EG"/>
        </w:rPr>
        <w:tab/>
        <w:t>وتعي الحكومة البرازيلية هذه الحقيقة، وتلتزم بتشجيع اتخاذ إجراءات استراتيجية لتعزيز تكافؤ الفرص للرجل والمرأة في سوق العمل.</w:t>
      </w:r>
    </w:p>
    <w:p w:rsidR="00EF22C7" w:rsidRDefault="00EF22C7" w:rsidP="0035037F">
      <w:pPr>
        <w:pStyle w:val="SingleTxt"/>
        <w:rPr>
          <w:rFonts w:hint="cs"/>
          <w:rtl/>
          <w:lang w:bidi="ar-EG"/>
        </w:rPr>
      </w:pPr>
      <w:r>
        <w:rPr>
          <w:rFonts w:hint="cs"/>
          <w:rtl/>
          <w:lang w:bidi="ar-EG"/>
        </w:rPr>
        <w:tab/>
        <w:t xml:space="preserve">وبالتالي، </w:t>
      </w:r>
      <w:r w:rsidR="0035037F">
        <w:rPr>
          <w:rFonts w:hint="cs"/>
          <w:rtl/>
          <w:lang w:bidi="ar-EG"/>
        </w:rPr>
        <w:t>تهتم</w:t>
      </w:r>
      <w:r>
        <w:rPr>
          <w:rFonts w:hint="cs"/>
          <w:rtl/>
          <w:lang w:bidi="ar-EG"/>
        </w:rPr>
        <w:t xml:space="preserve"> أعمال وبرامج عديدة </w:t>
      </w:r>
      <w:r w:rsidR="0035037F">
        <w:rPr>
          <w:rFonts w:hint="cs"/>
          <w:rtl/>
          <w:lang w:bidi="ar-EG"/>
        </w:rPr>
        <w:t>اهتماما كبيرا ب</w:t>
      </w:r>
      <w:r>
        <w:rPr>
          <w:rFonts w:hint="cs"/>
          <w:rtl/>
          <w:lang w:bidi="ar-EG"/>
        </w:rPr>
        <w:t xml:space="preserve">تعزيز عمالة المرأة في ظل ظروف مساوية لظروف عمل الرجل، دون أي شكل من أشكال التمييز. </w:t>
      </w:r>
      <w:r w:rsidR="0035037F">
        <w:rPr>
          <w:rFonts w:hint="cs"/>
          <w:rtl/>
          <w:lang w:bidi="ar-EG"/>
        </w:rPr>
        <w:t>وتنفيذا</w:t>
      </w:r>
      <w:r>
        <w:rPr>
          <w:rFonts w:hint="cs"/>
          <w:rtl/>
          <w:lang w:bidi="ar-EG"/>
        </w:rPr>
        <w:t xml:space="preserve"> لالتزام </w:t>
      </w:r>
      <w:r w:rsidR="0035037F">
        <w:rPr>
          <w:rFonts w:hint="cs"/>
          <w:rtl/>
          <w:lang w:bidi="ar-EG"/>
        </w:rPr>
        <w:t>الحكومة هذا أنشأت</w:t>
      </w:r>
      <w:r>
        <w:rPr>
          <w:rFonts w:hint="cs"/>
          <w:rtl/>
          <w:lang w:bidi="ar-EG"/>
        </w:rPr>
        <w:t xml:space="preserve"> الأمانة الخاصة لسياسات المرأة والأمانة الخاصة لسياسات تعزيز المساواة العنصرية. وهاتان الأمانتان مسؤولتان عن التنسيق مع الوزارات الأخرى من أجل </w:t>
      </w:r>
      <w:r w:rsidR="0035037F">
        <w:rPr>
          <w:rFonts w:hint="cs"/>
          <w:rtl/>
          <w:lang w:bidi="ar-EG"/>
        </w:rPr>
        <w:t>وضع</w:t>
      </w:r>
      <w:r>
        <w:rPr>
          <w:rFonts w:hint="cs"/>
          <w:rtl/>
          <w:lang w:bidi="ar-EG"/>
        </w:rPr>
        <w:t xml:space="preserve"> سياسات تستهدف تخفيض التباين والتمييز عن طريق إدماج سياسة لنوع الجنس تلبي مطلبا طال أمده من جانب الحركة النسائية في البرازيل. وهاتان الأمانتان مسؤولتان أيضا عن تشجيع اتخاذ مبادرات لمكافحة التباين العنصري في البلد من خلال السياسة الوطنية المعنية بالمساواة العنصرية.</w:t>
      </w:r>
    </w:p>
    <w:p w:rsidR="00EF22C7" w:rsidRDefault="00EF22C7" w:rsidP="00355B4D">
      <w:pPr>
        <w:pStyle w:val="SingleTxt"/>
        <w:rPr>
          <w:rFonts w:hint="cs"/>
          <w:rtl/>
          <w:lang w:bidi="ar-EG"/>
        </w:rPr>
      </w:pPr>
      <w:r>
        <w:rPr>
          <w:rFonts w:hint="cs"/>
          <w:rtl/>
          <w:lang w:bidi="ar-EG"/>
        </w:rPr>
        <w:tab/>
      </w:r>
      <w:r w:rsidR="00A9644E">
        <w:rPr>
          <w:rFonts w:hint="cs"/>
          <w:rtl/>
          <w:lang w:bidi="ar-EG"/>
        </w:rPr>
        <w:t>ويجدر بنا أن نذكر البرامج والأعمال التالية التي يجري تنفيذ معظمها من خلال الشراكة بين وزارة العمل والعمالة</w:t>
      </w:r>
      <w:r w:rsidR="0035037F">
        <w:rPr>
          <w:rFonts w:hint="cs"/>
          <w:rtl/>
          <w:lang w:bidi="ar-EG"/>
        </w:rPr>
        <w:t>،</w:t>
      </w:r>
      <w:r w:rsidR="00A9644E">
        <w:rPr>
          <w:rFonts w:hint="cs"/>
          <w:rtl/>
          <w:lang w:bidi="ar-EG"/>
        </w:rPr>
        <w:t xml:space="preserve"> والأمانة الخاصة لسياسات المرأة</w:t>
      </w:r>
      <w:r w:rsidR="0035037F">
        <w:rPr>
          <w:rFonts w:hint="cs"/>
          <w:rtl/>
          <w:lang w:bidi="ar-EG"/>
        </w:rPr>
        <w:t>،</w:t>
      </w:r>
      <w:r w:rsidR="00A9644E">
        <w:rPr>
          <w:rFonts w:hint="cs"/>
          <w:rtl/>
          <w:lang w:bidi="ar-EG"/>
        </w:rPr>
        <w:t xml:space="preserve"> والأمانة الخاصة لسياسات تعزيز المساواة:</w:t>
      </w:r>
    </w:p>
    <w:p w:rsidR="00A9644E" w:rsidRDefault="00A9644E" w:rsidP="003503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برنامج تشجيع الاستقلال الذاتي الاقتصادي للمرأة في عالم العمل - </w:t>
      </w:r>
      <w:r w:rsidR="0035037F">
        <w:rPr>
          <w:rFonts w:hint="cs"/>
          <w:rtl/>
          <w:lang w:bidi="ar-EG"/>
        </w:rPr>
        <w:t xml:space="preserve">يقيم هذا البرنامج، </w:t>
      </w:r>
      <w:r>
        <w:rPr>
          <w:rFonts w:hint="cs"/>
          <w:rtl/>
          <w:lang w:bidi="ar-EG"/>
        </w:rPr>
        <w:t>في ظل مسؤولية الأمانة الخاصة لسياسات المرأة</w:t>
      </w:r>
      <w:r w:rsidR="0035037F">
        <w:rPr>
          <w:rFonts w:hint="cs"/>
          <w:rtl/>
          <w:lang w:bidi="ar-EG"/>
        </w:rPr>
        <w:t>،</w:t>
      </w:r>
      <w:r>
        <w:rPr>
          <w:rFonts w:hint="cs"/>
          <w:rtl/>
          <w:lang w:bidi="ar-EG"/>
        </w:rPr>
        <w:t xml:space="preserve"> شراكات مع المنظمات الحكومية والخاصة وغير الحكومية بغية تنفيذ أنشطة بناء القدرات المهنية للنساء، وتعزيز اتخاذ المبادرات التي تهدف إلى توليد العمالة والدخل. ومن الأمثلة على ذلك اتفاق التعاون التقني بين الإدارة البرازيلية لدعم المشاريع الصغيرة والمتوسطة </w:t>
      </w:r>
      <w:r w:rsidR="00E713E4">
        <w:rPr>
          <w:rFonts w:hint="cs"/>
          <w:rtl/>
          <w:lang w:bidi="ar-EG"/>
        </w:rPr>
        <w:t>الحجم و</w:t>
      </w:r>
      <w:r w:rsidR="0035037F">
        <w:rPr>
          <w:rFonts w:hint="cs"/>
          <w:rtl/>
          <w:lang w:bidi="ar-EG"/>
        </w:rPr>
        <w:t xml:space="preserve">جماعة </w:t>
      </w:r>
      <w:r w:rsidR="00E713E4">
        <w:rPr>
          <w:rFonts w:hint="cs"/>
          <w:rtl/>
          <w:lang w:bidi="ar-EG"/>
        </w:rPr>
        <w:t>البرازيليات من سيدات الأعمال المشتغلات بالمهن الحرة</w:t>
      </w:r>
      <w:r w:rsidR="0035037F">
        <w:rPr>
          <w:rFonts w:hint="cs"/>
          <w:rtl/>
          <w:lang w:bidi="ar-EG"/>
        </w:rPr>
        <w:t>،</w:t>
      </w:r>
      <w:r w:rsidR="00E713E4">
        <w:rPr>
          <w:rFonts w:hint="cs"/>
          <w:rtl/>
          <w:lang w:bidi="ar-EG"/>
        </w:rPr>
        <w:t xml:space="preserve"> ويؤكد هذا الاتفاق تشجيع الاستقلال الذاتي للمرأة. وفي عام 2004 وقعت الأمانة الخاصة لسياسات المرأة 23 اتفاقا في جميع أنحاء البلد بلغت قيمتها حوالي 1.6 مليون ريال برازيلي تمثل 89.98 في المائة من الموارد المتاحة لهذا البرنامج.</w:t>
      </w:r>
    </w:p>
    <w:p w:rsidR="00E713E4" w:rsidRDefault="00E713E4" w:rsidP="0035037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برنامج مكافحة الفقر - اختارت الحكومة مشروع </w:t>
      </w:r>
      <w:r>
        <w:rPr>
          <w:lang w:bidi="ar-EG"/>
        </w:rPr>
        <w:t>Qu</w:t>
      </w:r>
      <w:r w:rsidR="0035037F">
        <w:rPr>
          <w:lang w:bidi="ar-EG"/>
        </w:rPr>
        <w:t>i</w:t>
      </w:r>
      <w:r>
        <w:rPr>
          <w:lang w:bidi="ar-EG"/>
        </w:rPr>
        <w:t>lombo Kalunga</w:t>
      </w:r>
      <w:r>
        <w:rPr>
          <w:rFonts w:hint="cs"/>
          <w:rtl/>
          <w:lang w:bidi="ar-EG"/>
        </w:rPr>
        <w:t xml:space="preserve"> كمشروع رائد لتنمية مجتمعات </w:t>
      </w:r>
      <w:r w:rsidR="0035037F">
        <w:rPr>
          <w:rFonts w:hint="cs"/>
          <w:rtl/>
          <w:lang w:bidi="ar-EG"/>
        </w:rPr>
        <w:t>العبيد الهاربين السابقين</w:t>
      </w:r>
      <w:r>
        <w:rPr>
          <w:rFonts w:hint="cs"/>
          <w:rtl/>
          <w:lang w:bidi="ar-EG"/>
        </w:rPr>
        <w:t>. وتنصب مشاركة الأمانة الخاصة لسياسات المرأة في هذا البرنامج على تنفيذ مشروع لتوليد العمالة والدخل للمرأة.</w:t>
      </w:r>
    </w:p>
    <w:p w:rsidR="00E713E4" w:rsidRDefault="00E713E4" w:rsidP="00272C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اللجنة الثلاثية لتكافؤ فرص العمل بغض النظر عن نوع الجنس أو العنصر - تشكلت هذه اللجنة بقرار رئاسي في 20 آب/أغسطس 2004. وهدف اللجنة كفالة إمكانية وصول الرجل والمرأة إلى سوق العمل على قدم المساواة. ويجري اتخاذ هذا الإجراء بموجب التزامات البرازيل الدولية بتنفيذ سياسات عامة لتعزيز تكافؤ الفرص والمساواة في المعاملة، ومكافحة التمييز، وبخاصة في العمل. وتتناول اللجنة أيضا المبادئ التي نص عليها دستور البرازيل بشأن المساواة أمام القانون وتعزيز الرفاه للجميع دون أي شكل من أشكال التمييز.</w:t>
      </w:r>
    </w:p>
    <w:p w:rsidR="00E713E4" w:rsidRDefault="00272C66" w:rsidP="00272C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E713E4">
        <w:rPr>
          <w:rFonts w:hint="cs"/>
          <w:rtl/>
          <w:lang w:bidi="ar-EG"/>
        </w:rPr>
        <w:tab/>
        <w:t>وتمثل هذه اللجنة أداة هامة لمناقشة واقتراح سياسات عامة بشأن تكافؤ الفرص والمساواة في المعاملة، ومكافحة جميع أشكال التمييز في العمل، مع إعطاء الأولوية للمسائل الجنسانية والعنصرية والعرقية. وتشجع اللجنة على إدماج تلك المسائل في أنشطة وضع البرامج والتنفيذ والإشراف والتقييم التي تضطلع بها وزارة العمل والعمالة. وتشجع اللجنة أيضا اتخاذ مبادرات برلمانية بشأن تلك المسائل.</w:t>
      </w:r>
    </w:p>
    <w:p w:rsidR="00272C66" w:rsidRDefault="00272C66" w:rsidP="00507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برنامج التدعيم المؤسسي للمساواة الجنسانية والعنصرية، والقضاء على الفقر، وتوليد العمالة - يتضمن هذا البرنامج شراكة بين منظمة العمل الدولية والحكومة البرازيلية لإدماج نوع الجنس والعنصر في السياسات العامة المكرسة لمكافحة الفقر وتوليد العمالة. وتتضمن أعمال البرنامج الارتقاء بالوعي، وبناء القدرات، وتدريب الإداريين العامين وغيرهم من </w:t>
      </w:r>
      <w:r w:rsidR="00507A99">
        <w:rPr>
          <w:rFonts w:hint="cs"/>
          <w:rtl/>
          <w:lang w:bidi="ar-EG"/>
        </w:rPr>
        <w:t>الكيانات</w:t>
      </w:r>
      <w:r>
        <w:rPr>
          <w:rFonts w:hint="cs"/>
          <w:rtl/>
          <w:lang w:bidi="ar-EG"/>
        </w:rPr>
        <w:t xml:space="preserve"> الاجتماعية (وبخاصة النقابات ومنظمات أصحاب العمل)، وإنشاء أنشطة المساعدة التقنية، وتدعيم منتديات لإجراء الحوار والمداولات الاجتماعية بشأن هذه المسائل.</w:t>
      </w:r>
    </w:p>
    <w:p w:rsidR="00272C66" w:rsidRDefault="00272C66" w:rsidP="00507A9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 xml:space="preserve">ويشكل هذا البرنامج جزءا من جدول الأعمال الوطني لمنظمة العمل الدولية فيما يتعلق بالعمل اللائق. وقد عقدت على مدى العامين الماضيين حلقة عمل وطنية وحلقات عمل محلية. ويجري العمل في الوقت الحالي، </w:t>
      </w:r>
      <w:r w:rsidR="00507A99">
        <w:rPr>
          <w:rFonts w:hint="cs"/>
          <w:rtl/>
          <w:lang w:bidi="ar-EG"/>
        </w:rPr>
        <w:t>بمشاركة</w:t>
      </w:r>
      <w:r>
        <w:rPr>
          <w:rFonts w:hint="cs"/>
          <w:rtl/>
          <w:lang w:bidi="ar-EG"/>
        </w:rPr>
        <w:t xml:space="preserve"> وكالة تنمية وادي جيكويتنهونها لمنطقة ميسو لنهري جيكويتنهونها وموكوري في ولايتي ميناس غيرايس وباهيا؛ وحكومة بلدية ساو باولو؛ ومنطقة مدن </w:t>
      </w:r>
      <w:r w:rsidR="00507A99">
        <w:rPr>
          <w:lang w:bidi="ar-EG"/>
        </w:rPr>
        <w:t>ABC</w:t>
      </w:r>
      <w:r w:rsidR="00507A99">
        <w:rPr>
          <w:rFonts w:hint="cs"/>
          <w:rtl/>
          <w:lang w:bidi="ar-EG"/>
        </w:rPr>
        <w:t xml:space="preserve"> في ولاية </w:t>
      </w:r>
      <w:r>
        <w:rPr>
          <w:rFonts w:hint="cs"/>
          <w:rtl/>
          <w:lang w:bidi="ar-EG"/>
        </w:rPr>
        <w:t xml:space="preserve">ساو باولو </w:t>
      </w:r>
      <w:r w:rsidR="00507A99">
        <w:rPr>
          <w:rFonts w:hint="cs"/>
          <w:rtl/>
          <w:lang w:bidi="ar-EG"/>
        </w:rPr>
        <w:t xml:space="preserve">- الاتحاد المشترك بين البلديات لمنطقة مدن </w:t>
      </w:r>
      <w:r w:rsidR="00507A99">
        <w:rPr>
          <w:lang w:bidi="ar-EG"/>
        </w:rPr>
        <w:t>ABC</w:t>
      </w:r>
      <w:r w:rsidR="00507A99">
        <w:rPr>
          <w:rFonts w:hint="cs"/>
          <w:rtl/>
          <w:lang w:bidi="ar-EG"/>
        </w:rPr>
        <w:t xml:space="preserve">؛ </w:t>
      </w:r>
      <w:r>
        <w:rPr>
          <w:rFonts w:hint="cs"/>
          <w:rtl/>
          <w:lang w:bidi="ar-EG"/>
        </w:rPr>
        <w:t>وحكومة بلدية السلفادور.</w:t>
      </w:r>
    </w:p>
    <w:p w:rsidR="00E44C50" w:rsidRDefault="00E44C50" w:rsidP="00272C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Pr>
          <w:rFonts w:hint="cs"/>
          <w:rtl/>
          <w:lang w:bidi="ar-EG"/>
        </w:rPr>
        <w:tab/>
        <w:t>وتتحمل الكيانات الاتحادية وكيانات الولايات والبلديات المسؤولية عن تنفيذ هذا البرنامج، بما فيها وزارة العمل والعمالة، ووزارة التنمية الاجتماعية ومكافحة الجوع، وإدارة مجلس التنمية الاقتصادية والاجتماعية، والأمانة الخاصة لسياسات المرأة، والأمانة الخاصة لسياسات تعزيز المساواة العنصرية.</w:t>
      </w:r>
    </w:p>
    <w:p w:rsidR="00E44C50" w:rsidRDefault="00E44C50" w:rsidP="00272C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المساواة العنصرية - يهدف هذا المشروع إلى الإسهام في القضاء على التمييز العنصري في سوق العمل وخفض التباينات الاقتصادية - الاجتماعية بين البيض والسود، مع الأخذ في الحسبان بحالة النساء السود واحتياجاتهن. وتنشئ هذا المشروع إدارات العمل الإقليمية.</w:t>
      </w:r>
    </w:p>
    <w:p w:rsidR="00E44C50" w:rsidRDefault="00E44C50" w:rsidP="00272C6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برنامج تكافؤ الفرص ومكافحة التمييز في العمل - تنفذ وزارة العمل والعمالة هذا البرنامج الذي يستهدف المكافحة الفعالة للإقصاء الاجتماعي في سوق العمل، الناجم عن مختلف أشكال التمييز. ومن الأهداف الأخرى إدماج تكافؤ الفرص إدماجا قويا من أجل ضمان الممارسة الكاملة للمواطنة وتشجيع أصحاب الأعمال على الالتزام الرسمي بإلغاء الممارسات التمييزية في مكان العمل. والهدف الرئيسي هو حماية عمالة النساء حيث أنهن في واقع الأمر يشكلن أغلبية الضحايا، وبخاصة فيما يتعلق بمسألتي الحمل ورعاية الطفل.</w:t>
      </w:r>
    </w:p>
    <w:p w:rsidR="00E44C50" w:rsidRDefault="00E44C50" w:rsidP="00E44C50">
      <w:pPr>
        <w:pStyle w:val="SingleTxt"/>
        <w:rPr>
          <w:rFonts w:hint="cs"/>
          <w:rtl/>
          <w:lang w:bidi="ar-EG"/>
        </w:rPr>
      </w:pPr>
      <w:r>
        <w:rPr>
          <w:rFonts w:hint="cs"/>
          <w:rtl/>
          <w:lang w:bidi="ar-EG"/>
        </w:rPr>
        <w:tab/>
        <w:t>وجرى وضع قاعدة تطالب الشركات التي تعمل بها أكثر من 30 امرأة يتجاوزن سن 16 سنة بإنشاء أماكن ملائمة تستوعب أطفالهن الرضع ويلقون فيها الرعاية. ويقدم القانون للشركات إمكانيات متعددة للوفاء بهذه القاعدة إما عن طريق الاحتفاظ المباشر بمنشآت للرعاية النهارية، أو عن طريق إبرام اتفاقات مع دور أخرى للرعاية النهارية في المجتمع المحلي تديرها كيانات عامة أو خاصة أو عن طريق دور للرعاية النهارية تقوم بإنشائها النقابات أو منظمات الرعاية. وهناك خيار آخر، وهو تسديد تكاليف الرعاية النهارية للموظفين.</w:t>
      </w:r>
    </w:p>
    <w:p w:rsidR="00E44C50" w:rsidRDefault="00E44C50" w:rsidP="00E44C50">
      <w:pPr>
        <w:pStyle w:val="SingleTxt"/>
        <w:rPr>
          <w:rFonts w:hint="cs"/>
          <w:rtl/>
          <w:lang w:bidi="ar-EG"/>
        </w:rPr>
      </w:pPr>
      <w:r>
        <w:rPr>
          <w:rFonts w:hint="cs"/>
          <w:rtl/>
          <w:lang w:bidi="ar-EG"/>
        </w:rPr>
        <w:tab/>
        <w:t xml:space="preserve">ومن الممارسات التمييزية الأخرى التي تضر النساء بصفة عامة، والنساء السود بصفة خاصة، مطلب </w:t>
      </w:r>
      <w:r>
        <w:rPr>
          <w:rFonts w:hint="eastAsia"/>
          <w:rtl/>
          <w:lang w:bidi="ar-EG"/>
        </w:rPr>
        <w:t>”المظهر الحسن</w:t>
      </w:r>
      <w:r>
        <w:rPr>
          <w:rFonts w:hint="cs"/>
          <w:rtl/>
          <w:lang w:bidi="ar-EG"/>
        </w:rPr>
        <w:t>“ الذي يوجد في إعلانات الوظائف بالصحف. وهذه الممارسة يحظرها القانون، الذي يحظر إعلانات الوظائف التي تت</w:t>
      </w:r>
      <w:r w:rsidR="00507A99">
        <w:rPr>
          <w:rFonts w:hint="cs"/>
          <w:rtl/>
          <w:lang w:bidi="ar-EG"/>
        </w:rPr>
        <w:t>ضمن إشارة إلى نوع الجنس أو العمر</w:t>
      </w:r>
      <w:r>
        <w:rPr>
          <w:rFonts w:hint="cs"/>
          <w:rtl/>
          <w:lang w:bidi="ar-EG"/>
        </w:rPr>
        <w:t xml:space="preserve"> أو اللون. والاستثناء الوحيد الذي يسمح به القانون هو الحالات التي يكون من المعروف فيها أن طبيعة النشاط المطلوب القيام به تستلزم الوفاء بمثل هذه المتطلبات.</w:t>
      </w:r>
    </w:p>
    <w:p w:rsidR="00E44C50" w:rsidRDefault="00E44C50" w:rsidP="00E44C50">
      <w:pPr>
        <w:pStyle w:val="SingleTxt"/>
        <w:rPr>
          <w:rFonts w:hint="cs"/>
          <w:rtl/>
          <w:lang w:bidi="ar-EG"/>
        </w:rPr>
      </w:pPr>
      <w:r>
        <w:rPr>
          <w:rFonts w:hint="cs"/>
          <w:rtl/>
          <w:lang w:bidi="ar-EG"/>
        </w:rPr>
        <w:tab/>
        <w:t xml:space="preserve">وكثير من الشكاوى التي يجري تلقيها بموجب ذلك البرنامج تتعلق بالنساء اللاتي يتعرضن للتحرش الجنسي في محيط </w:t>
      </w:r>
      <w:r w:rsidR="000427BA">
        <w:rPr>
          <w:rFonts w:hint="cs"/>
          <w:rtl/>
          <w:lang w:bidi="ar-EG"/>
        </w:rPr>
        <w:t>عملهن، وبخاصة عندما يعملن كخادمات في المنازل. ومما</w:t>
      </w:r>
      <w:r w:rsidR="000427BA">
        <w:rPr>
          <w:rFonts w:hint="eastAsia"/>
          <w:rtl/>
          <w:lang w:bidi="ar-EG"/>
        </w:rPr>
        <w:t> </w:t>
      </w:r>
      <w:r w:rsidR="000427BA">
        <w:rPr>
          <w:rFonts w:hint="cs"/>
          <w:rtl/>
          <w:lang w:bidi="ar-EG"/>
        </w:rPr>
        <w:t>يؤسف له أن هذه الممارسة تحدث في جميع مجالات العمل، بما في ذلك ما يحدث للنساء اللاتي يشغلن وظائف تتطلب مؤهلات عالية. وأغلبية الشكاوى الواردة تسوى من خلال عمليات الوساطة. وعندما تطابق الحادثة جريمة التحرش الجنسي، بمقتضى المادة 216 - ألف من قانون العقوبات، تحال الشكوى إلى السلطة المختصة.</w:t>
      </w:r>
    </w:p>
    <w:p w:rsidR="000427BA" w:rsidRDefault="000427BA" w:rsidP="00E44C50">
      <w:pPr>
        <w:pStyle w:val="SingleTxt"/>
        <w:rPr>
          <w:rFonts w:hint="cs"/>
          <w:rtl/>
          <w:lang w:bidi="ar-EG"/>
        </w:rPr>
      </w:pPr>
      <w:r>
        <w:rPr>
          <w:rFonts w:hint="cs"/>
          <w:rtl/>
          <w:lang w:bidi="ar-EG"/>
        </w:rPr>
        <w:tab/>
        <w:t>وتتولى وزارة العمل والعمالة التحليل الدقيق لما تتضمنه الاتفاقيات والاتفاقات الجماعية من شروط تتعلق بإجراءات التحقيق والتحليل بشأن انتهاكات تكافؤ الفرص بين الرجل والمرأة في العمل. ويهدف التحليل إلى تحديد الشروط التي تتضمن الإيذاء، أو الجوانب غير المشروعة، أو تلك التي تشكل تهديدا للمساواة في الحقوق في العمل.</w:t>
      </w:r>
    </w:p>
    <w:p w:rsidR="000427BA" w:rsidRDefault="000427BA" w:rsidP="00507A99">
      <w:pPr>
        <w:pStyle w:val="SingleTxt"/>
        <w:rPr>
          <w:rFonts w:hint="cs"/>
          <w:rtl/>
          <w:lang w:bidi="ar-EG"/>
        </w:rPr>
      </w:pPr>
      <w:r>
        <w:rPr>
          <w:rFonts w:hint="cs"/>
          <w:rtl/>
          <w:lang w:bidi="ar-EG"/>
        </w:rPr>
        <w:tab/>
        <w:t>ونظام الاستخدام الوطني شبكة لتقديم المساعدات تنفذ من خلالها أعمال برنامج الضمان ضد البطالة، مثل الوساطة في مجال العمل، والتدريب المهني، وتوفير معلومات عن سوق العمل، وتقديم الدعم التشغيلي لبرنامج توليد العمالة والدخل. و</w:t>
      </w:r>
      <w:r w:rsidR="00507A99">
        <w:rPr>
          <w:rFonts w:hint="cs"/>
          <w:rtl/>
          <w:lang w:bidi="ar-EG"/>
        </w:rPr>
        <w:t xml:space="preserve">يستهدف </w:t>
      </w:r>
      <w:r>
        <w:rPr>
          <w:rFonts w:hint="cs"/>
          <w:rtl/>
          <w:lang w:bidi="ar-EG"/>
        </w:rPr>
        <w:t>نظام الاستخدام الوطني بصفة رئيسية العاملات المهمشات، مثل النساء اللاتي التحقن بالمدارس لمدة تقل عن أربع سنوات، أو النساء اللاتي لم يكملن دراستهن الابتدائية بغض النظر عن أعمارهن. وقد أنشأ هذا البرنامج تنسيقا مشتركا بين الوزارات بشأن المنظور الجنساني يرتكز على مفهوم عريض لبناء سياسات اجتماعية وقانونية وعامة تستهدف تعزيز مواطنة العاملين من الذكور والإناث واستقلالهم الذاتي الذي تضطلع المرأة فيه بدور أساسي.</w:t>
      </w:r>
    </w:p>
    <w:p w:rsidR="008662E7" w:rsidRDefault="000427BA" w:rsidP="008662E7">
      <w:pPr>
        <w:pStyle w:val="SingleTxt"/>
        <w:rPr>
          <w:rFonts w:hint="cs"/>
          <w:rtl/>
          <w:lang w:bidi="ar-EG"/>
        </w:rPr>
      </w:pPr>
      <w:r>
        <w:rPr>
          <w:rFonts w:hint="cs"/>
          <w:rtl/>
          <w:lang w:bidi="ar-EG"/>
        </w:rPr>
        <w:tab/>
        <w:t xml:space="preserve">وتسهم خطة التدريب الوطنية في تعزيز </w:t>
      </w:r>
      <w:r w:rsidR="008662E7">
        <w:rPr>
          <w:rFonts w:hint="cs"/>
          <w:rtl/>
          <w:lang w:bidi="ar-EG"/>
        </w:rPr>
        <w:t>إدماج السياسات، وفي تنسيق الأعمال المتعلقة بالتدريب الاجتماعي والمهني في البرازيل. وتهدف الخطة والسياسات والأعمال الأخرى المتصلة بالعمالة والعمل والدخل والتعليم إلى التعميم التدريجي لحق العاملين في الحصول على التدريب. ويعمل كل ذلك على تيسير إدماج العاملين ومشاركتهم المدنية في سوق العمل. وتسهم الخطة في إتاحة التدريب على نطاق أوسع للعاملين والعاملات البرازيليين بغية زيادة الفرص المتاحة لهم للعثور على وظيفة وعمل لائق. وتساعد الخطة أيضا على زيادة مستوى دراسة العاملين من الذكور والإناث، وتيسير عملية الإدماج الاجتماعي وتخفيض حدة الفقر. وتسهم الخطة في مكافحة التمييز وتقليل جوانب الضعف لدى الأفراد. وتساعد الخطة على زيادة احتمال بقاء عدد أكبر من الأفراد في سوق العمل وزيادة الإنتاجية.</w:t>
      </w:r>
    </w:p>
    <w:p w:rsidR="008662E7" w:rsidRDefault="008662E7" w:rsidP="00507A99">
      <w:pPr>
        <w:pStyle w:val="SingleTxt"/>
        <w:rPr>
          <w:rFonts w:hint="cs"/>
          <w:rtl/>
          <w:lang w:bidi="ar-EG"/>
        </w:rPr>
      </w:pPr>
      <w:r>
        <w:rPr>
          <w:rFonts w:hint="cs"/>
          <w:rtl/>
          <w:lang w:bidi="ar-EG"/>
        </w:rPr>
        <w:tab/>
        <w:t xml:space="preserve">وبالتالي، فإن ضمان الوصول العام، بمقتضى </w:t>
      </w:r>
      <w:r w:rsidR="00507A99">
        <w:rPr>
          <w:rFonts w:hint="cs"/>
          <w:rtl/>
          <w:lang w:bidi="ar-EG"/>
        </w:rPr>
        <w:t xml:space="preserve">سياسة </w:t>
      </w:r>
      <w:r>
        <w:rPr>
          <w:rFonts w:hint="cs"/>
          <w:rtl/>
          <w:lang w:bidi="ar-EG"/>
        </w:rPr>
        <w:t xml:space="preserve">التدريب الوطنية، بوصفه حقا اجتماعيا، يرتبط بإعطاء الأولوية، عند تقديم المساعدة، إلى القطاعات التي </w:t>
      </w:r>
      <w:r w:rsidR="00507A99">
        <w:rPr>
          <w:rFonts w:hint="cs"/>
          <w:rtl/>
          <w:lang w:bidi="ar-EG"/>
        </w:rPr>
        <w:t xml:space="preserve">كانت هدفا في </w:t>
      </w:r>
      <w:r>
        <w:rPr>
          <w:rFonts w:hint="cs"/>
          <w:rtl/>
          <w:lang w:bidi="ar-EG"/>
        </w:rPr>
        <w:t>الماضي لعمليات الإقصاء والتمييز الاجتماعي. ويحظى بالأولوية من بين جمهور المشتركين أولئك الذين يعتبرون أكثر الأفراد ضعفا من الناحيتين الاقتصادية والاجتماعية، مثل العاملين ذوي الدخل المنخفض، والعاملين الحاصلين على تعليم ضئيل، والسكان الذين يقعون ضحية لمختلف أشكال التمييز الاجتماعي، وبالتالي يجدون صعوبة أكبر في العثور على وظائف (العاطلون لمدة طويلة، والمنحدرون من سلالة أفريقية، ومن سلالة السكان الأصليين، والنساء، والشباب، والمعوقون، ومن يتجاوزون من العمر 40 سنة، وغيرهم).</w:t>
      </w:r>
    </w:p>
    <w:p w:rsidR="008662E7" w:rsidRDefault="008662E7" w:rsidP="00507A99">
      <w:pPr>
        <w:pStyle w:val="SingleTxt"/>
        <w:rPr>
          <w:rFonts w:hint="cs"/>
          <w:rtl/>
          <w:lang w:bidi="ar-EG"/>
        </w:rPr>
      </w:pPr>
      <w:r>
        <w:rPr>
          <w:rFonts w:hint="cs"/>
          <w:rtl/>
          <w:lang w:bidi="ar-EG"/>
        </w:rPr>
        <w:tab/>
        <w:t xml:space="preserve">والأمانة الوطنية لاقتصاد التضامن بوزارة العمل والعمالة تنفذ برنامجا لاقتصاد التضامن في التنمية. ويهدف هذا البرنامج إلى تدعيم اقتصاد التضامن ونشره عن طريق رسم سياسات متكاملة لتوليد العمالة والدخل مع توفير الإدماج الاجتماعي. وبالتالي، تتيح الخطة </w:t>
      </w:r>
      <w:r w:rsidR="00DA255E">
        <w:rPr>
          <w:rFonts w:hint="cs"/>
          <w:rtl/>
          <w:lang w:bidi="ar-EG"/>
        </w:rPr>
        <w:t xml:space="preserve">المتعددة السنوات 2004-2007 شرح وتنفيذ خطة عمل لاقتصاد التضامن في التنمية من أجل توليد العمالة والدخل في مجتمعات </w:t>
      </w:r>
      <w:r w:rsidR="00507A99">
        <w:rPr>
          <w:rFonts w:hint="cs"/>
          <w:rtl/>
          <w:lang w:bidi="ar-EG"/>
        </w:rPr>
        <w:t>العبيد الهاربين السابقين</w:t>
      </w:r>
      <w:r w:rsidR="00DA255E">
        <w:rPr>
          <w:rFonts w:hint="cs"/>
          <w:rtl/>
          <w:lang w:bidi="ar-EG"/>
        </w:rPr>
        <w:t xml:space="preserve">. وتتيح هذه الخطة تدريبا للعاملين في مجال التنمية الإثنية من أجل بناء اقتصاد متضامن وتعزيز التنظيم والاستقلال الذاتي </w:t>
      </w:r>
      <w:r w:rsidR="00507A99">
        <w:rPr>
          <w:rFonts w:hint="cs"/>
          <w:rtl/>
          <w:lang w:bidi="ar-EG"/>
        </w:rPr>
        <w:t>لأنشطته</w:t>
      </w:r>
      <w:r w:rsidR="00DA255E">
        <w:rPr>
          <w:rFonts w:hint="cs"/>
          <w:rtl/>
          <w:lang w:bidi="ar-EG"/>
        </w:rPr>
        <w:t xml:space="preserve"> الإنتاجية في شكل رابطات تقوم على أساس قانوني.</w:t>
      </w:r>
    </w:p>
    <w:p w:rsidR="00DA255E" w:rsidRDefault="00DA255E" w:rsidP="008662E7">
      <w:pPr>
        <w:pStyle w:val="SingleTxt"/>
        <w:rPr>
          <w:rFonts w:hint="cs"/>
          <w:rtl/>
          <w:lang w:bidi="ar-EG"/>
        </w:rPr>
      </w:pPr>
      <w:r>
        <w:rPr>
          <w:rFonts w:hint="cs"/>
          <w:rtl/>
          <w:lang w:bidi="ar-EG"/>
        </w:rPr>
        <w:tab/>
        <w:t>وقد اتخذت وزارة العمل والعمالة مبادرات لحماية خدم المنازل، وأغلبيتهم من النساء. والهدف</w:t>
      </w:r>
      <w:r w:rsidR="00D0397B">
        <w:rPr>
          <w:rFonts w:hint="cs"/>
          <w:rtl/>
          <w:lang w:bidi="ar-EG"/>
        </w:rPr>
        <w:t xml:space="preserve"> </w:t>
      </w:r>
      <w:r w:rsidR="00507A99">
        <w:rPr>
          <w:rFonts w:hint="cs"/>
          <w:rtl/>
          <w:lang w:bidi="ar-EG"/>
        </w:rPr>
        <w:t xml:space="preserve">من هذه المبادرات </w:t>
      </w:r>
      <w:r w:rsidR="00D0397B">
        <w:rPr>
          <w:rFonts w:hint="cs"/>
          <w:rtl/>
          <w:lang w:bidi="ar-EG"/>
        </w:rPr>
        <w:t>ضمان احترام حقوق العمل الخاصة بهم والتي يكفلها الدستور. ويتضمن ذلك تغيير الطبيعة غير النظامية للعمل وكفالة حد أدنى للأجور.</w:t>
      </w:r>
    </w:p>
    <w:p w:rsidR="00D0397B" w:rsidRDefault="00D0397B" w:rsidP="008662E7">
      <w:pPr>
        <w:pStyle w:val="SingleTxt"/>
        <w:rPr>
          <w:rFonts w:hint="cs"/>
          <w:rtl/>
          <w:lang w:bidi="ar-EG"/>
        </w:rPr>
      </w:pPr>
      <w:r>
        <w:rPr>
          <w:rFonts w:hint="cs"/>
          <w:rtl/>
          <w:lang w:bidi="ar-EG"/>
        </w:rPr>
        <w:tab/>
        <w:t>وتسلم وزارة العمل والعمالة بضرورة إنشاء آليات لتيسير إمكانية الحصول على المعلومات وضمان الامتثال الكامل لقواعد حماية العمل والمواطنة. وبالتالي، نشرت إدارة التفتيش على العمل التابعة للوزارة كتيبا في عام 2004 يوجز بشكل مبسط وتعليمي حقوق وواجبات علاقة العمل المنـزلي من بدايتها إلى نهايتها.</w:t>
      </w:r>
    </w:p>
    <w:p w:rsidR="00D0397B" w:rsidRDefault="00D0397B" w:rsidP="00507A99">
      <w:pPr>
        <w:pStyle w:val="SingleTxt"/>
        <w:rPr>
          <w:rFonts w:hint="cs"/>
          <w:rtl/>
          <w:lang w:bidi="ar-EG"/>
        </w:rPr>
      </w:pPr>
      <w:r>
        <w:rPr>
          <w:rFonts w:hint="cs"/>
          <w:rtl/>
          <w:lang w:bidi="ar-EG"/>
        </w:rPr>
        <w:tab/>
        <w:t>ومسألة العمل المنـزلي من أولويات الخطة الوطنية لسياسات المرأة. و</w:t>
      </w:r>
      <w:r w:rsidR="00507A99">
        <w:rPr>
          <w:rFonts w:hint="cs"/>
          <w:rtl/>
          <w:lang w:bidi="ar-EG"/>
        </w:rPr>
        <w:t>ت</w:t>
      </w:r>
      <w:r>
        <w:rPr>
          <w:rFonts w:hint="cs"/>
          <w:rtl/>
          <w:lang w:bidi="ar-EG"/>
        </w:rPr>
        <w:t xml:space="preserve">هدف </w:t>
      </w:r>
      <w:r w:rsidR="00507A99">
        <w:rPr>
          <w:rFonts w:hint="cs"/>
          <w:rtl/>
          <w:lang w:bidi="ar-EG"/>
        </w:rPr>
        <w:t xml:space="preserve">الخطة إلى </w:t>
      </w:r>
      <w:r>
        <w:rPr>
          <w:rFonts w:hint="cs"/>
          <w:rtl/>
          <w:lang w:bidi="ar-EG"/>
        </w:rPr>
        <w:t>ضمان الامتثال للتشريع المتعلق بالعمل المنـزلي والتشجيع على تشاطر المهام المنـزلية. وفضلا عن ذلك، سيجري تنقيح التشريع بغية توسيع نطاق كل حقوق الع</w:t>
      </w:r>
      <w:r w:rsidR="00507A99">
        <w:rPr>
          <w:rFonts w:hint="cs"/>
          <w:rtl/>
          <w:lang w:bidi="ar-EG"/>
        </w:rPr>
        <w:t>ا</w:t>
      </w:r>
      <w:r>
        <w:rPr>
          <w:rFonts w:hint="cs"/>
          <w:rtl/>
          <w:lang w:bidi="ar-EG"/>
        </w:rPr>
        <w:t>مل</w:t>
      </w:r>
      <w:r w:rsidR="00507A99">
        <w:rPr>
          <w:rFonts w:hint="cs"/>
          <w:rtl/>
          <w:lang w:bidi="ar-EG"/>
        </w:rPr>
        <w:t>ين</w:t>
      </w:r>
      <w:r>
        <w:rPr>
          <w:rFonts w:hint="cs"/>
          <w:rtl/>
          <w:lang w:bidi="ar-EG"/>
        </w:rPr>
        <w:t xml:space="preserve"> لتشمل خدم المنازل.</w:t>
      </w:r>
    </w:p>
    <w:p w:rsidR="00D0397B" w:rsidRDefault="00D0397B" w:rsidP="001206AD">
      <w:pPr>
        <w:pStyle w:val="SingleTxt"/>
        <w:rPr>
          <w:rFonts w:hint="cs"/>
          <w:rtl/>
          <w:lang w:bidi="ar-EG"/>
        </w:rPr>
      </w:pPr>
      <w:r>
        <w:rPr>
          <w:rFonts w:hint="cs"/>
          <w:rtl/>
          <w:lang w:bidi="ar-EG"/>
        </w:rPr>
        <w:tab/>
        <w:t xml:space="preserve">وبرنامج القضاء على عمل الطفل، الذي يتكون الآن من عملين محددين، يهدف إلى تقديم المساعدة إلى الأسر التي لديها أطفال دون سن 16 سنة يشكلون جزءا من قوة عمل </w:t>
      </w:r>
      <w:r w:rsidR="001206AD">
        <w:rPr>
          <w:rFonts w:hint="cs"/>
          <w:rtl/>
          <w:lang w:bidi="ar-EG"/>
        </w:rPr>
        <w:t>الأطفال</w:t>
      </w:r>
      <w:r>
        <w:rPr>
          <w:rFonts w:hint="cs"/>
          <w:rtl/>
          <w:lang w:bidi="ar-EG"/>
        </w:rPr>
        <w:t>. ويتكون البرنامج في الوقت الحالي من عملي</w:t>
      </w:r>
      <w:r w:rsidR="001206AD">
        <w:rPr>
          <w:rFonts w:hint="cs"/>
          <w:rtl/>
          <w:lang w:bidi="ar-EG"/>
        </w:rPr>
        <w:t>ن</w:t>
      </w:r>
      <w:r>
        <w:rPr>
          <w:rFonts w:hint="cs"/>
          <w:rtl/>
          <w:lang w:bidi="ar-EG"/>
        </w:rPr>
        <w:t xml:space="preserve"> محددين: (أ) منحة المواطن الطفل التي تدفع للأسر والتي توفر دخلا تكميليا لدخل الأسرة لكي تعوض إنهاء عمل الطفل أو المراهق؛ و (ب) إشراك الأطفال بعد المدرسة في أنشطة تعليمية - اجتماعية وأنشطة خارجة عن المناهج الدراسية، من خلال تحويل حكومات البلديات أرصدة بمبلغ 10 ريال</w:t>
      </w:r>
      <w:r w:rsidR="001206AD">
        <w:rPr>
          <w:rFonts w:hint="cs"/>
          <w:rtl/>
          <w:lang w:bidi="ar-EG"/>
        </w:rPr>
        <w:t>ات</w:t>
      </w:r>
      <w:r>
        <w:rPr>
          <w:rFonts w:hint="cs"/>
          <w:rtl/>
          <w:lang w:bidi="ar-EG"/>
        </w:rPr>
        <w:t xml:space="preserve"> برازيلي</w:t>
      </w:r>
      <w:r w:rsidR="001206AD">
        <w:rPr>
          <w:rFonts w:hint="cs"/>
          <w:rtl/>
          <w:lang w:bidi="ar-EG"/>
        </w:rPr>
        <w:t>ة</w:t>
      </w:r>
      <w:r>
        <w:rPr>
          <w:rFonts w:hint="cs"/>
          <w:rtl/>
          <w:lang w:bidi="ar-EG"/>
        </w:rPr>
        <w:t xml:space="preserve"> لكل فرد في المناطق الحضرية و 20 ريال</w:t>
      </w:r>
      <w:r w:rsidR="001206AD">
        <w:rPr>
          <w:rFonts w:hint="cs"/>
          <w:rtl/>
          <w:lang w:bidi="ar-EG"/>
        </w:rPr>
        <w:t>ا</w:t>
      </w:r>
      <w:r>
        <w:rPr>
          <w:rFonts w:hint="cs"/>
          <w:rtl/>
          <w:lang w:bidi="ar-EG"/>
        </w:rPr>
        <w:t xml:space="preserve"> برازيلي</w:t>
      </w:r>
      <w:r w:rsidR="001206AD">
        <w:rPr>
          <w:rFonts w:hint="cs"/>
          <w:rtl/>
          <w:lang w:bidi="ar-EG"/>
        </w:rPr>
        <w:t>ا</w:t>
      </w:r>
      <w:r>
        <w:rPr>
          <w:rFonts w:hint="cs"/>
          <w:rtl/>
          <w:lang w:bidi="ar-EG"/>
        </w:rPr>
        <w:t xml:space="preserve"> في المناطق الريفية.</w:t>
      </w:r>
    </w:p>
    <w:p w:rsidR="00D0397B" w:rsidRDefault="00D0397B" w:rsidP="00D0397B">
      <w:pPr>
        <w:pStyle w:val="SingleTxt"/>
        <w:rPr>
          <w:rFonts w:hint="cs"/>
          <w:rtl/>
          <w:lang w:bidi="ar-EG"/>
        </w:rPr>
      </w:pPr>
      <w:r>
        <w:rPr>
          <w:rFonts w:hint="cs"/>
          <w:rtl/>
          <w:lang w:bidi="ar-EG"/>
        </w:rPr>
        <w:tab/>
        <w:t xml:space="preserve">وفي عام </w:t>
      </w:r>
      <w:r w:rsidR="00CC7CDE">
        <w:rPr>
          <w:rFonts w:hint="cs"/>
          <w:rtl/>
          <w:lang w:bidi="ar-EG"/>
        </w:rPr>
        <w:t>2003 قدمت الحكومة المساعدات إلى 823 810 من الأطفال والمراهقين (316 314 في المناطق الحضرية و 507 496 في المناطق الريفية) في 606 2 بلدية في جميع الوحدات الاتحادية ومنطقة العاصمة الاتحادية. وأعطيت الأولوية للأطفال العاملين في أنشطة تعتبر ضارة بتنميتهم في الولايات الشمالية الشرقية والمناطق الريفية. وفي عام 2003 بلغ مجموع مصروفات الميزانية 487.6 مليون ريال برازيلي، كان معظمها ما تكلفه تحويل الدخل والأنشطة التعليمية - الاجتماعية والأنشطة الخارجة عن المناهج الدراسية.</w:t>
      </w:r>
    </w:p>
    <w:p w:rsidR="00CC7CDE" w:rsidRDefault="00CC7CDE" w:rsidP="001206AD">
      <w:pPr>
        <w:pStyle w:val="SingleTxt"/>
        <w:rPr>
          <w:rFonts w:hint="cs"/>
          <w:rtl/>
          <w:lang w:bidi="ar-EG"/>
        </w:rPr>
      </w:pPr>
      <w:r>
        <w:rPr>
          <w:rFonts w:hint="cs"/>
          <w:rtl/>
          <w:lang w:bidi="ar-EG"/>
        </w:rPr>
        <w:tab/>
        <w:t>ومن كانون الثاني/يناير إلى أيار/مايو 2004 تولى البرنامج تقديم المساعدات إلى 050 814 طفل في أكثر من 619 2 بلدية في كل وحدة اتحادية وفي منطقة العاصمة الاتحادية. وبمقارنة البيانات الواردة في الدراسة الاستقصائية لعينة من الأسر المعيشية الوطنية</w:t>
      </w:r>
      <w:r w:rsidR="001206AD">
        <w:rPr>
          <w:rFonts w:hint="cs"/>
          <w:rtl/>
          <w:lang w:bidi="ar-EG"/>
        </w:rPr>
        <w:t xml:space="preserve"> لعام 2002</w:t>
      </w:r>
      <w:r>
        <w:rPr>
          <w:rFonts w:hint="cs"/>
          <w:rtl/>
          <w:lang w:bidi="ar-EG"/>
        </w:rPr>
        <w:t>)</w:t>
      </w:r>
      <w:r w:rsidR="00896050">
        <w:rPr>
          <w:rFonts w:hint="cs"/>
          <w:rtl/>
          <w:lang w:bidi="ar-EG"/>
        </w:rPr>
        <w:t xml:space="preserve"> بعدد الأطفال الذين ساعدهم البرنامج، تبين أن نسبتهم 27.23 في المائة من الأطفال والمراهقين العاملين ممن تتراوح أعمارهم بين 5 و 15 سنة. ويعيش 60 في المائة من الأطفال المشاركين في البرنامج في المناطق الريفية. ومنذ حزيران/يونيه 2004 قدم البرنامج المساعدة إلى أكثر من 774 116 من الأطفال والمراهقين ممن يعيشون في 788 2 بلدية. وبالتالي، حقق البرنامج هدف تقديم المساعدة إلى 824 930 من الأطفال والمراهقين، وبلغ إجمالي ما أنفقه 487 مليون ريال برازيلي.</w:t>
      </w:r>
    </w:p>
    <w:p w:rsidR="00896050" w:rsidRDefault="001206AD" w:rsidP="001206AD">
      <w:pPr>
        <w:pStyle w:val="SingleTxt"/>
        <w:rPr>
          <w:rFonts w:hint="cs"/>
          <w:rtl/>
          <w:lang w:bidi="ar-EG"/>
        </w:rPr>
      </w:pPr>
      <w:r>
        <w:rPr>
          <w:rFonts w:hint="cs"/>
          <w:rtl/>
          <w:lang w:bidi="ar-EG"/>
        </w:rPr>
        <w:tab/>
        <w:t>وتبين إ</w:t>
      </w:r>
      <w:r w:rsidR="00896050">
        <w:rPr>
          <w:rFonts w:hint="cs"/>
          <w:rtl/>
          <w:lang w:bidi="ar-EG"/>
        </w:rPr>
        <w:t>حد</w:t>
      </w:r>
      <w:r>
        <w:rPr>
          <w:rFonts w:hint="cs"/>
          <w:rtl/>
          <w:lang w:bidi="ar-EG"/>
        </w:rPr>
        <w:t>ى</w:t>
      </w:r>
      <w:r w:rsidR="00896050">
        <w:rPr>
          <w:rFonts w:hint="cs"/>
          <w:rtl/>
          <w:lang w:bidi="ar-EG"/>
        </w:rPr>
        <w:t xml:space="preserve"> الدراسات الاستقصائية التي أجريت في أيلول/سبتمبر 2002 أن 000</w:t>
      </w:r>
      <w:r w:rsidR="00896050">
        <w:rPr>
          <w:rFonts w:hint="eastAsia"/>
          <w:rtl/>
          <w:lang w:bidi="ar-EG"/>
        </w:rPr>
        <w:t> </w:t>
      </w:r>
      <w:r w:rsidR="00896050">
        <w:rPr>
          <w:rFonts w:hint="cs"/>
          <w:rtl/>
          <w:lang w:bidi="ar-EG"/>
        </w:rPr>
        <w:t>220 من الأطفال والمراهقين ممن تتراوح أعمارهم بين 5 و 15 سنة قاموا بالعمل المنـزلي على نحو غير قانوني. وكان</w:t>
      </w:r>
      <w:r>
        <w:rPr>
          <w:rFonts w:hint="cs"/>
          <w:rtl/>
          <w:lang w:bidi="ar-EG"/>
        </w:rPr>
        <w:t>ت</w:t>
      </w:r>
      <w:r w:rsidR="00896050">
        <w:rPr>
          <w:rFonts w:hint="cs"/>
          <w:rtl/>
          <w:lang w:bidi="ar-EG"/>
        </w:rPr>
        <w:t xml:space="preserve"> أغلبية هؤلاء الأطفال من البنات. ولهذا، ففي عام 2003 أصبح العمل المنـزلي هدف تدخل هذا البرنامج، الذي قدم المساعدة إلى 000 13 من الأطفال والمراهقين </w:t>
      </w:r>
      <w:r>
        <w:rPr>
          <w:rFonts w:hint="cs"/>
          <w:rtl/>
          <w:lang w:bidi="ar-EG"/>
        </w:rPr>
        <w:t>ممن</w:t>
      </w:r>
      <w:r w:rsidR="00896050">
        <w:rPr>
          <w:rFonts w:hint="cs"/>
          <w:rtl/>
          <w:lang w:bidi="ar-EG"/>
        </w:rPr>
        <w:t xml:space="preserve"> يمارسون هذا النوع من العمل الذي يقع ضمن مختلف طرائق عمل الطفل المعروفة في البرازيل.</w:t>
      </w:r>
    </w:p>
    <w:p w:rsidR="00896050" w:rsidRDefault="00896050" w:rsidP="00D0397B">
      <w:pPr>
        <w:pStyle w:val="SingleTxt"/>
        <w:rPr>
          <w:rFonts w:hint="cs"/>
          <w:rtl/>
          <w:lang w:bidi="ar-EG"/>
        </w:rPr>
      </w:pPr>
      <w:r>
        <w:rPr>
          <w:rFonts w:hint="cs"/>
          <w:rtl/>
          <w:lang w:bidi="ar-EG"/>
        </w:rPr>
        <w:tab/>
        <w:t>ورغبة في تحسين البرنامج بحيث يتلاءم مع السياسة الوطنية للمساعدة الاجتماعية، جرى تصوير البرنامج على أنه تدبير حمائي خاص لمن انتهكت حقوقهم الأساسية، بحيث يصبحون من المنتفعين بالخدمات الأخرى التي يقدمها النظام الواحد للمساعدة الاجتماعية.</w:t>
      </w:r>
    </w:p>
    <w:p w:rsidR="00896050" w:rsidRDefault="00896050" w:rsidP="001206AD">
      <w:pPr>
        <w:pStyle w:val="SingleTxt"/>
        <w:rPr>
          <w:rFonts w:hint="cs"/>
          <w:rtl/>
          <w:lang w:bidi="ar-EG"/>
        </w:rPr>
      </w:pPr>
      <w:r>
        <w:rPr>
          <w:rFonts w:hint="cs"/>
          <w:rtl/>
          <w:lang w:bidi="ar-EG"/>
        </w:rPr>
        <w:tab/>
        <w:t>وكان معيار توسيع نطاق البرنامج عام 2004 هو تصنيف الولايات حسب نسبة حدوث عمالة الطفل في الفئة العمرية من 5 إلى 15 سنة، استنادا إلى أحدث بيانات الدراسة الاستقصائية لعينة من الأسر المعيشية الوطنية</w:t>
      </w:r>
      <w:r w:rsidR="001206AD">
        <w:rPr>
          <w:rFonts w:hint="cs"/>
          <w:rtl/>
          <w:lang w:bidi="ar-EG"/>
        </w:rPr>
        <w:t xml:space="preserve"> لعام 2002،</w:t>
      </w:r>
      <w:r>
        <w:rPr>
          <w:rFonts w:hint="cs"/>
          <w:rtl/>
          <w:lang w:bidi="ar-EG"/>
        </w:rPr>
        <w:t xml:space="preserve"> بالمقارنة مع نسبة تغطية البرنامج في الولاية المعنية. وبالتالي، يحاول البرنامج أن يهتم بالولايات التي تحدث فيها أكثر حالات عمالة الأطفال وأقل تغطية. وقد أعطيت الأولوية أيضا لحالات عمالة الطفل في المناطق الحضرية، مثل قيام الأطفال والمراهقين بالعمل في الشوارع وبالأعمال المنـزلية، أي في المدن الكبرى لكل ولاية </w:t>
      </w:r>
      <w:r w:rsidR="009D0DCA">
        <w:rPr>
          <w:rFonts w:hint="cs"/>
          <w:rtl/>
          <w:lang w:bidi="ar-EG"/>
        </w:rPr>
        <w:t>تكثر فيها حالات عمل الطفل.</w:t>
      </w:r>
    </w:p>
    <w:p w:rsidR="009D0DCA" w:rsidRDefault="009D0DCA" w:rsidP="001206AD">
      <w:pPr>
        <w:pStyle w:val="SingleTxt"/>
        <w:rPr>
          <w:rFonts w:hint="cs"/>
          <w:rtl/>
          <w:lang w:bidi="ar-EG"/>
        </w:rPr>
      </w:pPr>
      <w:r>
        <w:rPr>
          <w:rFonts w:hint="cs"/>
          <w:rtl/>
          <w:lang w:bidi="ar-EG"/>
        </w:rPr>
        <w:tab/>
        <w:t>ومن المهم أن نوض</w:t>
      </w:r>
      <w:r w:rsidR="001206AD">
        <w:rPr>
          <w:rFonts w:hint="cs"/>
          <w:rtl/>
          <w:lang w:bidi="ar-EG"/>
        </w:rPr>
        <w:t>ح</w:t>
      </w:r>
      <w:r>
        <w:rPr>
          <w:rFonts w:hint="cs"/>
          <w:rtl/>
          <w:lang w:bidi="ar-EG"/>
        </w:rPr>
        <w:t xml:space="preserve"> أن هذه هي المرة الأولى التي يعتمد فيها توسيع نطاق البرنامج - منذ إقامته - على مؤشرات اجتماعية نابعة عن </w:t>
      </w:r>
      <w:r w:rsidR="001206AD">
        <w:rPr>
          <w:rFonts w:hint="cs"/>
          <w:rtl/>
          <w:lang w:bidi="ar-EG"/>
        </w:rPr>
        <w:t>مسح</w:t>
      </w:r>
      <w:r>
        <w:rPr>
          <w:rFonts w:hint="cs"/>
          <w:rtl/>
          <w:lang w:bidi="ar-EG"/>
        </w:rPr>
        <w:t xml:space="preserve"> على الصعيد الوطني </w:t>
      </w:r>
      <w:r w:rsidR="001206AD">
        <w:rPr>
          <w:rFonts w:hint="cs"/>
          <w:rtl/>
          <w:lang w:bidi="ar-EG"/>
        </w:rPr>
        <w:t>أ</w:t>
      </w:r>
      <w:r>
        <w:rPr>
          <w:rFonts w:hint="cs"/>
          <w:rtl/>
          <w:lang w:bidi="ar-EG"/>
        </w:rPr>
        <w:t>جر</w:t>
      </w:r>
      <w:r w:rsidR="001206AD">
        <w:rPr>
          <w:rFonts w:hint="cs"/>
          <w:rtl/>
          <w:lang w:bidi="ar-EG"/>
        </w:rPr>
        <w:t>ا</w:t>
      </w:r>
      <w:r>
        <w:rPr>
          <w:rFonts w:hint="cs"/>
          <w:rtl/>
          <w:lang w:bidi="ar-EG"/>
        </w:rPr>
        <w:t xml:space="preserve">ه المعهد البرازيلي للجغرافيا والإحصاءات بناء على دراسة </w:t>
      </w:r>
      <w:r w:rsidR="001206AD">
        <w:rPr>
          <w:rFonts w:hint="cs"/>
          <w:rtl/>
          <w:lang w:bidi="ar-EG"/>
        </w:rPr>
        <w:t>ل</w:t>
      </w:r>
      <w:r>
        <w:rPr>
          <w:rFonts w:hint="cs"/>
          <w:rtl/>
          <w:lang w:bidi="ar-EG"/>
        </w:rPr>
        <w:t xml:space="preserve">منظمة العمل الدولية </w:t>
      </w:r>
      <w:r w:rsidR="001206AD">
        <w:rPr>
          <w:rFonts w:hint="cs"/>
          <w:rtl/>
          <w:lang w:bidi="ar-EG"/>
        </w:rPr>
        <w:t>ل</w:t>
      </w:r>
      <w:r>
        <w:rPr>
          <w:rFonts w:hint="cs"/>
          <w:rtl/>
          <w:lang w:bidi="ar-EG"/>
        </w:rPr>
        <w:t>تيسير التعرف على الجمهور الذي يستهدف</w:t>
      </w:r>
      <w:r w:rsidR="001206AD">
        <w:rPr>
          <w:rFonts w:hint="cs"/>
          <w:rtl/>
          <w:lang w:bidi="ar-EG"/>
        </w:rPr>
        <w:t>ه</w:t>
      </w:r>
      <w:r>
        <w:rPr>
          <w:rFonts w:hint="cs"/>
          <w:rtl/>
          <w:lang w:bidi="ar-EG"/>
        </w:rPr>
        <w:t xml:space="preserve"> البرنامج.</w:t>
      </w:r>
    </w:p>
    <w:p w:rsidR="009D0DCA" w:rsidRDefault="009D0DCA" w:rsidP="001206AD">
      <w:pPr>
        <w:pStyle w:val="SingleTxt"/>
        <w:rPr>
          <w:rFonts w:hint="cs"/>
          <w:rtl/>
          <w:lang w:bidi="ar-EG"/>
        </w:rPr>
      </w:pPr>
      <w:r>
        <w:rPr>
          <w:rFonts w:hint="cs"/>
          <w:rtl/>
          <w:lang w:bidi="ar-EG"/>
        </w:rPr>
        <w:tab/>
        <w:t xml:space="preserve">وأثناء الفترة المشمولة بهذا التقرير، </w:t>
      </w:r>
      <w:r w:rsidR="001206AD">
        <w:rPr>
          <w:rFonts w:hint="cs"/>
          <w:rtl/>
          <w:lang w:bidi="ar-EG"/>
        </w:rPr>
        <w:t>أنشأت</w:t>
      </w:r>
      <w:r>
        <w:rPr>
          <w:rFonts w:hint="cs"/>
          <w:rtl/>
          <w:lang w:bidi="ar-EG"/>
        </w:rPr>
        <w:t xml:space="preserve"> الأمانة الخاصة لسياسات المرأة مجموعة من الأنشطة لبناء القدرات. وفي عام 2004، اشتركت 380 امرأة في مشروع للتنمية وبناء القدرات للعاملات الزراعيات من أجل </w:t>
      </w:r>
      <w:r w:rsidR="001206AD">
        <w:rPr>
          <w:rFonts w:hint="cs"/>
          <w:rtl/>
          <w:lang w:bidi="ar-EG"/>
        </w:rPr>
        <w:t>إدارة الممتلكات والتعاونيات، وهذا المشروع هو</w:t>
      </w:r>
      <w:r>
        <w:rPr>
          <w:rFonts w:hint="cs"/>
          <w:rtl/>
          <w:lang w:bidi="ar-EG"/>
        </w:rPr>
        <w:t xml:space="preserve"> تعاونية آلتو أوروغواي لتربية الماشية (كوتريمايو)، الواقعة في تريس دي مايو (ولاية ريو غراندي دو سول)، وهو مشروع نابع عن شراكة بين الأمانة الخاصة لسياسات المرأة ووزارة الزراعة والماشية والتوريدات.</w:t>
      </w:r>
    </w:p>
    <w:p w:rsidR="009D0DCA" w:rsidRDefault="009D0DCA" w:rsidP="001206AD">
      <w:pPr>
        <w:pStyle w:val="SingleTxt"/>
        <w:rPr>
          <w:rFonts w:hint="cs"/>
          <w:rtl/>
          <w:lang w:bidi="ar-EG"/>
        </w:rPr>
      </w:pPr>
      <w:r>
        <w:rPr>
          <w:rFonts w:hint="cs"/>
          <w:rtl/>
          <w:lang w:bidi="ar-EG"/>
        </w:rPr>
        <w:tab/>
        <w:t>وأول معيار لهذا النشاط تناول هيكل كوتريمايو والأم</w:t>
      </w:r>
      <w:r w:rsidR="001206AD">
        <w:rPr>
          <w:rFonts w:hint="cs"/>
          <w:rtl/>
          <w:lang w:bidi="ar-EG"/>
        </w:rPr>
        <w:t>ور</w:t>
      </w:r>
      <w:r>
        <w:rPr>
          <w:rFonts w:hint="cs"/>
          <w:rtl/>
          <w:lang w:bidi="ar-EG"/>
        </w:rPr>
        <w:t xml:space="preserve"> الأساسية لكيفية عمل النظام الذي يرتكز على التعاونيات. وقدم هذا المعيار أيضا فهما أساسيا للاقتصاد والسوق والبيئة والتكنولوجيا. وتناول المعيار الثاني شرح كيفية عمل سوق الماشية، ومفاهيم الاقتصاد الصغير، وآلية التسعير الذي يرتكز على السوق، وإدارة الممتلكات الزراعية. أما المعيار الثالث فأكد الجوانب المتعلقة بحقوق المرأة وإدماجها في المجتمع البرازيلي. وركز هذا المعيار على القانون المدني الجديد، والمفاهيم الجاري تشريعها والمتعلقة بحقوق المرأة، والعلاقات الإنسانية، والإدارة العامة، والديمقراطية، والنظام الراهن لنقابات العمال، والعلم والتكنولوجيا.</w:t>
      </w:r>
    </w:p>
    <w:p w:rsidR="00814C66" w:rsidRDefault="00814C66" w:rsidP="00814C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 من اتفاقية القضاء على جميع أشكال التمييز ضد المرأة</w:t>
      </w:r>
    </w:p>
    <w:p w:rsidR="00814C66" w:rsidRPr="00814C66" w:rsidRDefault="00445830" w:rsidP="00445830">
      <w:pPr>
        <w:pStyle w:val="SingleTxt"/>
        <w:ind w:left="1930" w:hanging="663"/>
        <w:rPr>
          <w:rFonts w:hint="cs"/>
          <w:rtl/>
          <w:lang w:bidi="ar-EG"/>
        </w:rPr>
      </w:pPr>
      <w:r>
        <w:rPr>
          <w:rFonts w:hint="cs"/>
          <w:rtl/>
          <w:lang w:bidi="ar-EG"/>
        </w:rPr>
        <w:tab/>
      </w:r>
      <w:r>
        <w:rPr>
          <w:rFonts w:hint="cs"/>
          <w:rtl/>
          <w:lang w:bidi="ar-EG"/>
        </w:rPr>
        <w:tab/>
      </w:r>
      <w:r w:rsidR="00814C66" w:rsidRPr="00814C66">
        <w:rPr>
          <w:rFonts w:hint="cs"/>
          <w:rtl/>
          <w:lang w:bidi="ar-EG"/>
        </w:rPr>
        <w:t>1 -</w:t>
      </w:r>
      <w:r w:rsidR="00814C66" w:rsidRPr="00814C66">
        <w:rPr>
          <w:rFonts w:hint="cs"/>
          <w:rtl/>
          <w:lang w:bidi="ar-EG"/>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814C66" w:rsidRPr="00814C66" w:rsidRDefault="00445830" w:rsidP="00445830">
      <w:pPr>
        <w:pStyle w:val="SingleTxt"/>
        <w:ind w:left="1930" w:hanging="663"/>
        <w:rPr>
          <w:rFonts w:hint="cs"/>
          <w:rtl/>
          <w:lang w:bidi="ar-EG"/>
        </w:rPr>
      </w:pPr>
      <w:r>
        <w:rPr>
          <w:rFonts w:hint="cs"/>
          <w:rtl/>
          <w:lang w:bidi="ar-EG"/>
        </w:rPr>
        <w:tab/>
      </w:r>
      <w:r>
        <w:rPr>
          <w:rFonts w:hint="cs"/>
          <w:rtl/>
          <w:lang w:bidi="ar-EG"/>
        </w:rPr>
        <w:tab/>
      </w:r>
      <w:r w:rsidR="00814C66" w:rsidRPr="00814C66">
        <w:rPr>
          <w:rFonts w:hint="cs"/>
          <w:rtl/>
          <w:lang w:bidi="ar-EG"/>
        </w:rPr>
        <w:t>2 -</w:t>
      </w:r>
      <w:r w:rsidR="00814C66" w:rsidRPr="00814C66">
        <w:rPr>
          <w:rFonts w:hint="cs"/>
          <w:rtl/>
          <w:lang w:bidi="ar-EG"/>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814C66" w:rsidRDefault="009D0DCA" w:rsidP="00355B4D">
      <w:pPr>
        <w:pStyle w:val="SingleTxt"/>
        <w:rPr>
          <w:rFonts w:hint="cs"/>
          <w:rtl/>
          <w:lang w:bidi="ar-EG"/>
        </w:rPr>
      </w:pPr>
      <w:r>
        <w:rPr>
          <w:rFonts w:hint="cs"/>
          <w:rtl/>
          <w:lang w:bidi="ar-EG"/>
        </w:rPr>
        <w:tab/>
      </w:r>
      <w:r w:rsidR="00E323BC">
        <w:rPr>
          <w:rFonts w:hint="cs"/>
          <w:rtl/>
          <w:lang w:bidi="ar-EG"/>
        </w:rPr>
        <w:t>تشكل النساء أغلبية سكان البرازيل (50.77 في المائة) كما أنهن المستخدمات الرئيسيات للنظام الصحي الموحد. وتستخدم النساء الخدمات الصحية لأنفسهن، وبدرجة أكبر لأطفالهن وغيرهم من أفراد الأسرة المسنين والمعوقين والجيران والأصدقاء. والنساء هن اللاتي يقمن بالرعاية أيضا، لا للأطفال أو لأفراد الأسرة الآخرين فحسب، بل للأفراد في الحي وفي المجتمع المحلي كذلك.</w:t>
      </w:r>
    </w:p>
    <w:p w:rsidR="00E323BC" w:rsidRDefault="00E323BC" w:rsidP="00355B4D">
      <w:pPr>
        <w:pStyle w:val="SingleTxt"/>
        <w:rPr>
          <w:rFonts w:hint="cs"/>
          <w:rtl/>
          <w:lang w:bidi="ar-EG"/>
        </w:rPr>
      </w:pPr>
      <w:r>
        <w:rPr>
          <w:rFonts w:hint="cs"/>
          <w:rtl/>
          <w:lang w:bidi="ar-EG"/>
        </w:rPr>
        <w:tab/>
        <w:t>وتتضمن الصحة جوانب الحياة المتنوعة، مثل علاقة الفرد بظروف البيئة والترفيه والتغذية والعمل والإسكان والدخل. وتتفاقم المشاكل عند الإشارة إلى المرأة بصفة خاصة، نظرا للتمييز ضدها في العمل ولتحملها ما لا يطاق من المسؤوليات المنـزلية. وتؤدي المتغيرات الأخرى، مثل العنصر والإثنية والفقر إلى زيادة تفاقم أوجه عدم المساواة. وأعمار النساء أطول من أعمار الرجال، ومع ذلك فهن يتعرضن بدرجة أكبر للإصابة بالأمراض. وتعود أسباب إصابة النساء ببعض الأمراض، كما تعود أسباب وفاتهن، إلى التمييز الذي يعانين منه في المجتمع أكثر مما تعود إلى العوامل البيولوجية.</w:t>
      </w:r>
    </w:p>
    <w:p w:rsidR="00E323BC" w:rsidRDefault="00E323BC" w:rsidP="001206AD">
      <w:pPr>
        <w:pStyle w:val="SingleTxt"/>
        <w:rPr>
          <w:rFonts w:hint="cs"/>
          <w:rtl/>
          <w:lang w:bidi="ar-EG"/>
        </w:rPr>
      </w:pPr>
      <w:r>
        <w:rPr>
          <w:rFonts w:hint="cs"/>
          <w:rtl/>
          <w:lang w:bidi="ar-EG"/>
        </w:rPr>
        <w:tab/>
        <w:t>وتكشف مؤشرات الأمراض الوبائية في البرازيل عن وجود الأمراض التي تتميز بها البلدان المتقدمة النمو (أمراض القلب والأوعية الدموية والأمراض الانحلالية المزمنة) جنبا إلى جنب مع الأمراض التي يتميز بها العالم النامي (</w:t>
      </w:r>
      <w:r w:rsidR="001206AD">
        <w:rPr>
          <w:rFonts w:hint="cs"/>
          <w:rtl/>
          <w:lang w:bidi="ar-EG"/>
        </w:rPr>
        <w:t>ال</w:t>
      </w:r>
      <w:r>
        <w:rPr>
          <w:rFonts w:hint="cs"/>
          <w:rtl/>
          <w:lang w:bidi="ar-EG"/>
        </w:rPr>
        <w:t xml:space="preserve">وفيات </w:t>
      </w:r>
      <w:r w:rsidR="001206AD">
        <w:rPr>
          <w:rFonts w:hint="cs"/>
          <w:rtl/>
          <w:lang w:bidi="ar-EG"/>
        </w:rPr>
        <w:t xml:space="preserve">النفاسية </w:t>
      </w:r>
      <w:r>
        <w:rPr>
          <w:rFonts w:hint="cs"/>
          <w:rtl/>
          <w:lang w:bidi="ar-EG"/>
        </w:rPr>
        <w:t>وسوء التغذية). وتكشف أيضا مستويات معدلات اعتلال ووفيات النساء عن هذا الخليط من الأمراض التي تختلف بدورها وفقا للاختلافات الداخلية للتنمية الإقليمية وللطبقات الاجتماعية.</w:t>
      </w:r>
    </w:p>
    <w:p w:rsidR="00E323BC" w:rsidRDefault="00E323BC" w:rsidP="001206AD">
      <w:pPr>
        <w:pStyle w:val="SingleTxt"/>
        <w:rPr>
          <w:rFonts w:hint="cs"/>
          <w:rtl/>
          <w:lang w:bidi="ar-EG"/>
        </w:rPr>
      </w:pPr>
      <w:r>
        <w:rPr>
          <w:rFonts w:hint="cs"/>
          <w:rtl/>
          <w:lang w:bidi="ar-EG"/>
        </w:rPr>
        <w:tab/>
        <w:t>وأثناء الفترة المشمولة بهذا التقرير، اتخذت الحكومة البرازيلية إجراءات عديدة استجابة للتوصية رقم 15، وهي أنه ينبغي للبرازيل أن تعتمد، ضمن جملة أمور، تدابير إضافية للضمان الكافي لحصول النساء، وبخاصة الشابات والنساء من الفئات المحرومة الريفيات، على المعلومات والخدمات المتعلقة بالرعاية الصحية، ولا سيما ما يتصل بالصحة الجنسية والإنجابية.</w:t>
      </w:r>
    </w:p>
    <w:p w:rsidR="00E323BC" w:rsidRDefault="003A22E4" w:rsidP="00355B4D">
      <w:pPr>
        <w:pStyle w:val="SingleTxt"/>
        <w:rPr>
          <w:rFonts w:hint="cs"/>
          <w:rtl/>
          <w:lang w:bidi="ar-EG"/>
        </w:rPr>
      </w:pPr>
      <w:r>
        <w:rPr>
          <w:rFonts w:hint="cs"/>
          <w:rtl/>
          <w:lang w:bidi="ar-EG"/>
        </w:rPr>
        <w:tab/>
        <w:t>ولذلك، تضع وزارة الصحة الميثاق الوطني لتخفيض معدلات الوفيات النفاسية ووفيات المواليد، رغبة منها في تخفيض معدلات اعتلال ووفيات الإناث. والمجالات الإدارية الثلاثة للنظام الصحي الموحد، بالإضافة إلى الهيئات الحكومية الأخرى ومنظمات المجتمع المدني، مسؤولة عن تنفيذ هذا الميثاق. والهدف تخفيض معدل الوفيات للحوامل والمواليد الجدد بنسبة 15 في المائة بحلول عام 2007. ويجري إقامة شبكة لتقديم المساعدات إلى النساء والمراهقين من ضحايا العنف. وهناك قاعدة تقنية أيضا على وشك أن تصدر وتوزع بهدف تقديم المساعدات الإنسانية في حالات الإجهاض. وسيجري تدريب المهنيين الصحيين على تقديم خدمات للنساء اللاتي يجرين إجهاضا غير مأمون.</w:t>
      </w:r>
    </w:p>
    <w:p w:rsidR="003A22E4" w:rsidRDefault="003A22E4" w:rsidP="00355B4D">
      <w:pPr>
        <w:pStyle w:val="SingleTxt"/>
        <w:rPr>
          <w:rFonts w:hint="cs"/>
          <w:rtl/>
          <w:lang w:bidi="ar-EG"/>
        </w:rPr>
      </w:pPr>
      <w:r>
        <w:rPr>
          <w:rFonts w:hint="cs"/>
          <w:rtl/>
          <w:lang w:bidi="ar-EG"/>
        </w:rPr>
        <w:tab/>
        <w:t>واحترام وكفالة حقوق الإنسان - التي تتضمن الحقوق الجنسية والإنجابية - يشكلان المبادئ التوجيهية التي تتبعها الحكومة البرازيلية عند صياغة وتنفيذ سياسات تنظيم الأسرة وأية مسألة أخرى تتعلق بالسكان والتنمية.</w:t>
      </w:r>
    </w:p>
    <w:p w:rsidR="003A22E4" w:rsidRDefault="003A22E4" w:rsidP="00355B4D">
      <w:pPr>
        <w:pStyle w:val="SingleTxt"/>
        <w:rPr>
          <w:rFonts w:hint="cs"/>
          <w:rtl/>
          <w:lang w:bidi="ar-EG"/>
        </w:rPr>
      </w:pPr>
      <w:r>
        <w:rPr>
          <w:rFonts w:hint="cs"/>
          <w:rtl/>
          <w:lang w:bidi="ar-EG"/>
        </w:rPr>
        <w:tab/>
        <w:t xml:space="preserve">والدستور الاتحادي في الفقرة 7، المادة 226، الفصل السابع، العنوان السابع - النظام الاجتماعي - يصف مسؤولية الدولة إزاء تنظيم الأسرة كما يلي: </w:t>
      </w:r>
      <w:r>
        <w:rPr>
          <w:rFonts w:hint="eastAsia"/>
          <w:rtl/>
          <w:lang w:bidi="ar-EG"/>
        </w:rPr>
        <w:t>”</w:t>
      </w:r>
      <w:r>
        <w:rPr>
          <w:rFonts w:hint="cs"/>
          <w:i/>
          <w:iCs/>
          <w:rtl/>
          <w:lang w:bidi="ar-EG"/>
        </w:rPr>
        <w:t>بناء على مبادئ الكرامة الإنسانية والوالدية المسؤولة، فإن تنظيم الأسرة قرار يتخذه الزوجان بحرية. ومع ذلك، فالدولة مسؤولة عن توفير الموارد التعليمية والعلمية لممارسة هذا الحق. ويمنع أي قسر تمارسه وكالات رسمية أو خاصة</w:t>
      </w:r>
      <w:r w:rsidRPr="003A22E4">
        <w:rPr>
          <w:rFonts w:hint="eastAsia"/>
          <w:rtl/>
          <w:lang w:bidi="ar-EG"/>
        </w:rPr>
        <w:t>“</w:t>
      </w:r>
      <w:r>
        <w:rPr>
          <w:rFonts w:hint="eastAsia"/>
          <w:i/>
          <w:iCs/>
          <w:rtl/>
          <w:lang w:bidi="ar-EG"/>
        </w:rPr>
        <w:t>.</w:t>
      </w:r>
    </w:p>
    <w:p w:rsidR="003A22E4" w:rsidRDefault="003A22E4" w:rsidP="00355B4D">
      <w:pPr>
        <w:pStyle w:val="SingleTxt"/>
        <w:rPr>
          <w:rFonts w:hint="cs"/>
          <w:rtl/>
          <w:lang w:bidi="ar-EG"/>
        </w:rPr>
      </w:pPr>
      <w:r>
        <w:rPr>
          <w:rFonts w:hint="cs"/>
          <w:rtl/>
          <w:lang w:bidi="ar-EG"/>
        </w:rPr>
        <w:tab/>
        <w:t xml:space="preserve">وفي 12 كانون الثاني/يناير 1996 أجيز القانون رقم 9263 لتنظيم الأسرة في البرازيل، وتنص المادة 2 منه على ما يلي: </w:t>
      </w:r>
      <w:r>
        <w:rPr>
          <w:rFonts w:hint="eastAsia"/>
          <w:rtl/>
          <w:lang w:bidi="ar-EG"/>
        </w:rPr>
        <w:t>”</w:t>
      </w:r>
      <w:r>
        <w:rPr>
          <w:rFonts w:hint="cs"/>
          <w:i/>
          <w:iCs/>
          <w:rtl/>
          <w:lang w:bidi="ar-EG"/>
        </w:rPr>
        <w:t xml:space="preserve">لأغراض هذا القانون، يفهم تنظيم الأسرة على أنه مجموعة من الإجراءات </w:t>
      </w:r>
      <w:r w:rsidR="00120806">
        <w:rPr>
          <w:rFonts w:hint="cs"/>
          <w:i/>
          <w:iCs/>
          <w:rtl/>
          <w:lang w:bidi="ar-EG"/>
        </w:rPr>
        <w:t>لتنظيم الخصوبة تكفل للمرأة أو للرجل أو للزوجين حقوقا متساوية بالنسبة لبدء الإنجاب والحد من عدد الأولاد أو زيادة عددهم</w:t>
      </w:r>
      <w:r w:rsidR="00120806">
        <w:rPr>
          <w:rFonts w:hint="eastAsia"/>
          <w:rtl/>
          <w:lang w:bidi="ar-EG"/>
        </w:rPr>
        <w:t>“</w:t>
      </w:r>
      <w:r w:rsidR="00120806">
        <w:rPr>
          <w:rFonts w:hint="cs"/>
          <w:rtl/>
          <w:lang w:bidi="ar-EG"/>
        </w:rPr>
        <w:t>.</w:t>
      </w:r>
    </w:p>
    <w:p w:rsidR="00120806" w:rsidRDefault="00120806" w:rsidP="005F5D48">
      <w:pPr>
        <w:pStyle w:val="SingleTxt"/>
        <w:rPr>
          <w:rFonts w:hint="cs"/>
          <w:rtl/>
          <w:lang w:bidi="ar-EG"/>
        </w:rPr>
      </w:pPr>
      <w:r>
        <w:rPr>
          <w:rFonts w:hint="cs"/>
          <w:rtl/>
          <w:lang w:bidi="ar-EG"/>
        </w:rPr>
        <w:tab/>
      </w:r>
      <w:r w:rsidR="00A700EE">
        <w:rPr>
          <w:rFonts w:hint="cs"/>
          <w:rtl/>
          <w:lang w:bidi="ar-EG"/>
        </w:rPr>
        <w:t xml:space="preserve">ومؤتمر الأمم المتحدة الدولي للسكان والتنمية، الذي عقد في القاهرة عام 1994، أعطى دورا أساسيا للحقوق المتعلقة بالصحة، وللحقوق </w:t>
      </w:r>
      <w:r w:rsidR="005F5D48">
        <w:rPr>
          <w:rFonts w:hint="cs"/>
          <w:rtl/>
          <w:lang w:bidi="ar-EG"/>
        </w:rPr>
        <w:t>الجنسية</w:t>
      </w:r>
      <w:r w:rsidR="00A700EE">
        <w:rPr>
          <w:rFonts w:hint="cs"/>
          <w:rtl/>
          <w:lang w:bidi="ar-EG"/>
        </w:rPr>
        <w:t xml:space="preserve"> والإنجابية، متجاوزا الأهداف الديمغرافية البحتة ومهتما بتنمية الإنسان. وتسبب المؤتمر في إحداث تغير كبير في مناقشة المسائل السكانية بإعطائه أولوية لقضايا حقوق الإنسان.</w:t>
      </w:r>
    </w:p>
    <w:p w:rsidR="00A700EE" w:rsidRDefault="00A700EE" w:rsidP="009E0C7F">
      <w:pPr>
        <w:pStyle w:val="SingleTxt"/>
        <w:rPr>
          <w:rFonts w:hint="cs"/>
          <w:rtl/>
          <w:lang w:bidi="ar-EG"/>
        </w:rPr>
      </w:pPr>
      <w:r>
        <w:rPr>
          <w:rFonts w:hint="cs"/>
          <w:rtl/>
          <w:lang w:bidi="ar-EG"/>
        </w:rPr>
        <w:tab/>
        <w:t xml:space="preserve">ويجري تعريف الحقوق الإنجابية على النحو التالي في الفصل السابع من برنامج عمل القاهرة: </w:t>
      </w:r>
      <w:r>
        <w:rPr>
          <w:rFonts w:hint="eastAsia"/>
          <w:rtl/>
          <w:lang w:bidi="ar-EG"/>
        </w:rPr>
        <w:t>”</w:t>
      </w:r>
      <w:r w:rsidRPr="005F5D48">
        <w:rPr>
          <w:rFonts w:hint="eastAsia"/>
          <w:i/>
          <w:iCs/>
          <w:rtl/>
          <w:lang w:bidi="ar-EG"/>
        </w:rPr>
        <w:t xml:space="preserve">تتضمن الحقوق الإنجابية بعض حقوق الإنسان التي سبق التسليم بها في القوانين الوطنية ووثائق حقوق الإنسان الدولية والوثائق الأخرى التي جرت الموافقة عليها بتوافق الآراء. </w:t>
      </w:r>
      <w:r w:rsidRPr="005F5D48">
        <w:rPr>
          <w:rFonts w:hint="cs"/>
          <w:i/>
          <w:iCs/>
          <w:rtl/>
          <w:lang w:bidi="ar-EG"/>
        </w:rPr>
        <w:t xml:space="preserve">وترتكز هذه الحقوق على التسليم بالحق الأساسي لكل زوجين ولجميع الأفراد في أن يقرروا بحرية ومسؤولية عدد أطفالهم والفترة بين إنجاب طفل وآخر وتوقيت ولاداتهم، وأن يحصلوا على </w:t>
      </w:r>
      <w:r w:rsidR="009E0C7F" w:rsidRPr="005F5D48">
        <w:rPr>
          <w:rFonts w:hint="cs"/>
          <w:i/>
          <w:iCs/>
          <w:rtl/>
          <w:lang w:bidi="ar-EG"/>
        </w:rPr>
        <w:t>المعلومات والوسائل لأداء ذلك، وحقهم في الحصول على أعلى مستويات الصحة الجنسية والإنجابية. وتتضمن هذه الحقوق أيضا حقهم في اتخاذ القرارات المتعلقة بالإنجاب دون أي تمييز أو إكراه أو عنف</w:t>
      </w:r>
      <w:r w:rsidR="009E0C7F">
        <w:rPr>
          <w:rFonts w:hint="eastAsia"/>
          <w:rtl/>
          <w:lang w:bidi="ar-EG"/>
        </w:rPr>
        <w:t xml:space="preserve">“ </w:t>
      </w:r>
      <w:r w:rsidR="009E0C7F">
        <w:rPr>
          <w:rFonts w:hint="cs"/>
          <w:rtl/>
          <w:lang w:bidi="ar-EG"/>
        </w:rPr>
        <w:t>(الفقرة 7-3).</w:t>
      </w:r>
    </w:p>
    <w:p w:rsidR="009E0C7F" w:rsidRDefault="009E0C7F" w:rsidP="009E0C7F">
      <w:pPr>
        <w:pStyle w:val="SingleTxt"/>
        <w:rPr>
          <w:rFonts w:hint="cs"/>
          <w:rtl/>
          <w:lang w:bidi="ar-EG"/>
        </w:rPr>
      </w:pPr>
      <w:r>
        <w:rPr>
          <w:rFonts w:hint="cs"/>
          <w:rtl/>
          <w:lang w:bidi="ar-EG"/>
        </w:rPr>
        <w:tab/>
        <w:t>وأثناء عقد المؤتمر العالمي المعني بالمرأة في بيجين عام 1995، جرى التأكيد من جديد على الاتفاقات التي عقدت في القاهرة، كما أحرز تقدم فيما يتعلق بتعريف الحقوق الإنجابية والجنسية بوصفها من حقوق الإنسان. وجرى تعريف الحقوق الجنسية على نحو أكثر استقلال</w:t>
      </w:r>
      <w:r w:rsidR="005F5D48">
        <w:rPr>
          <w:rFonts w:hint="cs"/>
          <w:rtl/>
          <w:lang w:bidi="ar-EG"/>
        </w:rPr>
        <w:t>ا</w:t>
      </w:r>
      <w:r>
        <w:rPr>
          <w:rFonts w:hint="cs"/>
          <w:rtl/>
          <w:lang w:bidi="ar-EG"/>
        </w:rPr>
        <w:t xml:space="preserve"> من الحقوق الإنجابية.</w:t>
      </w:r>
    </w:p>
    <w:p w:rsidR="009E0C7F" w:rsidRDefault="009E0C7F" w:rsidP="005F5D48">
      <w:pPr>
        <w:pStyle w:val="SingleTxt"/>
        <w:rPr>
          <w:rFonts w:hint="cs"/>
          <w:rtl/>
          <w:lang w:bidi="ar-EG"/>
        </w:rPr>
      </w:pPr>
      <w:r>
        <w:rPr>
          <w:rFonts w:hint="cs"/>
          <w:rtl/>
          <w:lang w:bidi="ar-EG"/>
        </w:rPr>
        <w:tab/>
        <w:t>وأثناء هذين المؤتمرين التزمت حكومات بلدان عديدة، بما فيها البرازيل، بإدراج منظور الحقوق الجنسية والإن</w:t>
      </w:r>
      <w:r w:rsidR="005F5D48">
        <w:rPr>
          <w:rFonts w:hint="cs"/>
          <w:rtl/>
          <w:lang w:bidi="ar-EG"/>
        </w:rPr>
        <w:t>ج</w:t>
      </w:r>
      <w:r>
        <w:rPr>
          <w:rFonts w:hint="cs"/>
          <w:rtl/>
          <w:lang w:bidi="ar-EG"/>
        </w:rPr>
        <w:t>ا</w:t>
      </w:r>
      <w:r w:rsidR="005F5D48">
        <w:rPr>
          <w:rFonts w:hint="cs"/>
          <w:rtl/>
          <w:lang w:bidi="ar-EG"/>
        </w:rPr>
        <w:t>ب</w:t>
      </w:r>
      <w:r>
        <w:rPr>
          <w:rFonts w:hint="cs"/>
          <w:rtl/>
          <w:lang w:bidi="ar-EG"/>
        </w:rPr>
        <w:t>ية في جميع البرامج والسياسات الوطنية المكرسة للسكان والتنمية، بما فيها برامج تنظيم الأسرة. وتعارض بشدة مبادئ القاهرة وبيجين الأهداف السكانية القسرية التي تتضمن الحمل أو منع الحمل.</w:t>
      </w:r>
    </w:p>
    <w:p w:rsidR="009E0C7F" w:rsidRDefault="009E0C7F" w:rsidP="009E0C7F">
      <w:pPr>
        <w:pStyle w:val="SingleTxt"/>
        <w:rPr>
          <w:rFonts w:hint="cs"/>
          <w:rtl/>
          <w:lang w:bidi="ar-EG"/>
        </w:rPr>
      </w:pPr>
      <w:r>
        <w:rPr>
          <w:rFonts w:hint="cs"/>
          <w:rtl/>
          <w:lang w:bidi="ar-EG"/>
        </w:rPr>
        <w:tab/>
        <w:t>والبرامج ومناهج العمل التي أسفر عنها المؤتمران المذكوران أعلاه تؤكد ضرورة تعزيز المساواة بين الرجل والمرأة كمطلب أساسي لإحراز أي تحسن في الصحة ونوعية الحياة، فضلا عن تعزيز المشاركة الفعالة والمسؤولية المشتركة للرجال على قدم المساواة في المسائل المتعلقة بالصحة الجنسية والإنجابية. ويجري حث الحكومات أيضا على تزويد المراهقين بالمعلومات والخدمات اللازمة للوفاء بما تتطلبه صحتهم الجنسية والإنجابية.</w:t>
      </w:r>
    </w:p>
    <w:p w:rsidR="009E0C7F" w:rsidRDefault="009E0C7F" w:rsidP="009E0C7F">
      <w:pPr>
        <w:pStyle w:val="SingleTxt"/>
        <w:rPr>
          <w:rFonts w:hint="cs"/>
          <w:rtl/>
          <w:lang w:bidi="ar-EG"/>
        </w:rPr>
      </w:pPr>
      <w:r>
        <w:rPr>
          <w:rFonts w:hint="cs"/>
          <w:rtl/>
          <w:lang w:bidi="ar-EG"/>
        </w:rPr>
        <w:tab/>
        <w:t xml:space="preserve">ومن الجدير بالذكر أنه فيما يتعلق بمسألة إمكان وقوع </w:t>
      </w:r>
      <w:r>
        <w:rPr>
          <w:rFonts w:hint="eastAsia"/>
          <w:rtl/>
          <w:lang w:bidi="ar-EG"/>
        </w:rPr>
        <w:t>”انفجار ديمغرافي</w:t>
      </w:r>
      <w:r>
        <w:rPr>
          <w:rFonts w:hint="cs"/>
          <w:rtl/>
          <w:lang w:bidi="ar-EG"/>
        </w:rPr>
        <w:t xml:space="preserve">“، تثبت البيانات عكس ذلك تماما. وما كان يحدث في واقع الأمر في البرازيل في العقود القليلة الماضية هو هبوط مؤكد ومنتظم في المعدل الإجمالي للخصوبة، مما خفض سرعة النمو السنوي للسكان. وكان متوسط المعدل الجبري للنمو السنوي للسكان أثناء الفترة من 1991 إلى 2000 مجرد 1.63 في المائة، وهو معدل من أقل المعدلات التي سجلت على الإطلاق. وهذا يصور تناقصا مستمرا في معدل الخصوبة </w:t>
      </w:r>
      <w:r w:rsidR="008B1C55">
        <w:rPr>
          <w:rFonts w:hint="cs"/>
          <w:rtl/>
          <w:lang w:bidi="ar-EG"/>
        </w:rPr>
        <w:t>في التسعينات. ويعم هذا التناقص في جميع أنحاء البلد (المعهد البرازيلي للجغرافيا والإحصاءات، الإحصاءات الديمغرافية من 1960 إلى 2000).</w:t>
      </w:r>
    </w:p>
    <w:p w:rsidR="008B1C55" w:rsidRDefault="008B1C55" w:rsidP="009E0C7F">
      <w:pPr>
        <w:pStyle w:val="SingleTxt"/>
        <w:rPr>
          <w:rFonts w:hint="cs"/>
          <w:rtl/>
          <w:lang w:bidi="ar-EG"/>
        </w:rPr>
      </w:pPr>
      <w:r>
        <w:rPr>
          <w:rFonts w:hint="cs"/>
          <w:rtl/>
          <w:lang w:bidi="ar-EG"/>
        </w:rPr>
        <w:tab/>
        <w:t xml:space="preserve">وإجمالي معدل الخصوبة الذي يقدر الآن بـ 2.3 أطفال لكل امرأة، تناقص من مستوى 6.2 الذي لوحظ في منتصف الستينات. ومن وجهة النظر الإقليمية، توجد أعلى القيم في المنطقة الشمالية والمنطقة الشمالية الشرقية، </w:t>
      </w:r>
      <w:r w:rsidR="005F5D48">
        <w:rPr>
          <w:rFonts w:hint="cs"/>
          <w:rtl/>
          <w:lang w:bidi="ar-EG"/>
        </w:rPr>
        <w:t>وهما 3.2 و 2.6 على التوالي. أما</w:t>
      </w:r>
      <w:r w:rsidR="005F5D48">
        <w:rPr>
          <w:rFonts w:hint="eastAsia"/>
          <w:rtl/>
          <w:lang w:bidi="ar-EG"/>
        </w:rPr>
        <w:t> </w:t>
      </w:r>
      <w:r>
        <w:rPr>
          <w:rFonts w:hint="cs"/>
          <w:rtl/>
          <w:lang w:bidi="ar-EG"/>
        </w:rPr>
        <w:t>القيم</w:t>
      </w:r>
      <w:r w:rsidR="005F5D48">
        <w:rPr>
          <w:rFonts w:hint="cs"/>
          <w:rtl/>
          <w:lang w:bidi="ar-EG"/>
        </w:rPr>
        <w:t>ة</w:t>
      </w:r>
      <w:r>
        <w:rPr>
          <w:rFonts w:hint="cs"/>
          <w:rtl/>
          <w:lang w:bidi="ar-EG"/>
        </w:rPr>
        <w:t xml:space="preserve"> في المنطقة الغربية الوسطى والمنطقة الجنوبية فهي 2.2، وفي المنطقة الجنوبية الشرقية 2.1. وفي عام 1970، كانت معدلات الخصوبة في المنطقة الشمالية والمنطقة الشمالية الشرقية أعلى من 8 أطفال لكل امرأة (المعهد البرازيلي للجغرافيا والإحصاءات، الإحصاءات الديمغرافية من 1960 إلى 2000).</w:t>
      </w:r>
    </w:p>
    <w:p w:rsidR="008B1C55" w:rsidRDefault="008B1C55" w:rsidP="005F5D48">
      <w:pPr>
        <w:pStyle w:val="SingleTxt"/>
        <w:rPr>
          <w:rFonts w:hint="cs"/>
          <w:rtl/>
          <w:lang w:bidi="ar-EG"/>
        </w:rPr>
      </w:pPr>
      <w:r>
        <w:rPr>
          <w:rFonts w:hint="cs"/>
          <w:rtl/>
          <w:lang w:bidi="ar-EG"/>
        </w:rPr>
        <w:tab/>
        <w:t xml:space="preserve">ويبلغ معدل الخصوبة الآن لدى أفقر النساء 4 أطفال، بعكس 1.6، وهو المعدل لدى النساء اللاتي يحظين بظروف اقتصادية - اجتماعية أفضل. ومع ذلك، تناقص معدل الخصوبة في الطبقات الأفقر تناقصا أكبر على مدى العقد الماضي </w:t>
      </w:r>
      <w:r w:rsidR="005F5D48">
        <w:rPr>
          <w:rFonts w:hint="cs"/>
          <w:rtl/>
          <w:lang w:bidi="ar-EG"/>
        </w:rPr>
        <w:t>بنسبة</w:t>
      </w:r>
      <w:r>
        <w:rPr>
          <w:rFonts w:hint="cs"/>
          <w:rtl/>
          <w:lang w:bidi="ar-EG"/>
        </w:rPr>
        <w:t xml:space="preserve"> 20.5 في المائة (المعهد البرازيلي للجغرافيا والإحصاءات، الإحصاءات الديمغرافية من 1960 إلى 2000).</w:t>
      </w:r>
    </w:p>
    <w:p w:rsidR="008B1C55" w:rsidRDefault="008B1C55" w:rsidP="009E0C7F">
      <w:pPr>
        <w:pStyle w:val="SingleTxt"/>
        <w:rPr>
          <w:rFonts w:hint="cs"/>
          <w:rtl/>
          <w:lang w:bidi="ar-EG"/>
        </w:rPr>
      </w:pPr>
      <w:r>
        <w:rPr>
          <w:rFonts w:hint="cs"/>
          <w:rtl/>
          <w:lang w:bidi="ar-EG"/>
        </w:rPr>
        <w:tab/>
        <w:t>وعملية هبوط معدل الخصوبة، وبخاصة ابتداء من الثمانينات، كانت ظاهرة عامة في جميع المناطق وفيما بين جميع الطبقات الاجتماعية. وبالتالي، كان هناك تناقص كبير في عام 2000 حتى في المناطق التي سبق أن شهدت معدلات خصوبة مرتفعة. ومع ذلك، فإن هذا الهبوط الشديد في معدل الخصوبة لم تتبعه تغيرات كبيرة في المستويات الموجودة للفقر والإجحاف الاجتماعي.</w:t>
      </w:r>
    </w:p>
    <w:p w:rsidR="008B1C55" w:rsidRDefault="008B1C55" w:rsidP="005F5D48">
      <w:pPr>
        <w:pStyle w:val="SingleTxt"/>
        <w:rPr>
          <w:rFonts w:hint="cs"/>
          <w:rtl/>
          <w:lang w:bidi="ar-EG"/>
        </w:rPr>
      </w:pPr>
      <w:r>
        <w:rPr>
          <w:rFonts w:hint="cs"/>
          <w:rtl/>
          <w:lang w:bidi="ar-EG"/>
        </w:rPr>
        <w:tab/>
        <w:t>ونلاحظ في المنطقة الشمالية الشرقية أعلى مستويات الفقر المدقع و</w:t>
      </w:r>
      <w:r w:rsidR="005F5D48">
        <w:rPr>
          <w:rFonts w:hint="cs"/>
          <w:rtl/>
          <w:lang w:bidi="ar-EG"/>
        </w:rPr>
        <w:t>أكبر ت</w:t>
      </w:r>
      <w:r>
        <w:rPr>
          <w:rFonts w:hint="cs"/>
          <w:rtl/>
          <w:lang w:bidi="ar-EG"/>
        </w:rPr>
        <w:t xml:space="preserve">ركيز </w:t>
      </w:r>
      <w:r w:rsidR="005F5D48">
        <w:rPr>
          <w:rFonts w:hint="cs"/>
          <w:rtl/>
          <w:lang w:bidi="ar-EG"/>
        </w:rPr>
        <w:t>ل</w:t>
      </w:r>
      <w:r>
        <w:rPr>
          <w:rFonts w:hint="cs"/>
          <w:rtl/>
          <w:lang w:bidi="ar-EG"/>
        </w:rPr>
        <w:t xml:space="preserve">لدخول في البلد. وتشير الدلائل أيضا إلى أن هذه الحالة أسوأ بصورة عامة بين النساء، وكذلك بين الرجال والنساء المنحدرين من أصل أفريقي. </w:t>
      </w:r>
    </w:p>
    <w:p w:rsidR="00A53DD4" w:rsidRDefault="00A53DD4" w:rsidP="009E0C7F">
      <w:pPr>
        <w:pStyle w:val="SingleTxt"/>
        <w:rPr>
          <w:rFonts w:hint="cs"/>
          <w:rtl/>
          <w:lang w:bidi="ar-EG"/>
        </w:rPr>
      </w:pPr>
      <w:r>
        <w:rPr>
          <w:rFonts w:hint="cs"/>
          <w:rtl/>
          <w:lang w:bidi="ar-EG"/>
        </w:rPr>
        <w:tab/>
        <w:t>وتعي وزارة الصحة أن تنظيم النسل الذي ينطوي على تدخل الحكومة في الحياة الإنجابية للرجال والنساء لا يشكل استراتيجية ملائمة لمعالجة الفقر الموجود في البلد. وهذا ينافي أيضا مبادئ الحقوق الجنسية والحقوق الإنجابية. وبغية التغلب على هذه الحالة، على الحكومة أن تنفذ سياسات تعزز التنمية المستدامة والتوزيع الأكثر عدلا للثروة، مما يقلل من أوجه الإجحاف الضخم الموجودة حاليا.</w:t>
      </w:r>
    </w:p>
    <w:p w:rsidR="00A53DD4" w:rsidRDefault="005F5D48" w:rsidP="009E0C7F">
      <w:pPr>
        <w:pStyle w:val="SingleTxt"/>
        <w:rPr>
          <w:rFonts w:hint="cs"/>
          <w:rtl/>
          <w:lang w:bidi="ar-EG"/>
        </w:rPr>
      </w:pPr>
      <w:r>
        <w:rPr>
          <w:rFonts w:hint="cs"/>
          <w:rtl/>
          <w:lang w:bidi="ar-EG"/>
        </w:rPr>
        <w:tab/>
        <w:t>وتخفيض معدل الوفيات النفاسية</w:t>
      </w:r>
      <w:r w:rsidR="00A53DD4">
        <w:rPr>
          <w:rFonts w:hint="cs"/>
          <w:rtl/>
          <w:lang w:bidi="ar-EG"/>
        </w:rPr>
        <w:t xml:space="preserve"> يشكل أولوية لدى الحكومة البرازيلية. والمعدل المرتفع للوفيات النفاسية في البرازيل يمثل انتهاكا لحقوق الإنسان للمرأة، وتتطلب معالجة تلك المشكلة مشاركة أطراف اجتماعية متنوعة. وفي 8 آذار/مارس 2004 بدأ الرئيس لويس إنانسيو لولا دا سيلفا تنفيذ الميثاق الوطني لتخفيض الوفيات النفاسية ووفيات المواليد من أجل ضمان التنفيذ الفعلي للسياسات الوطنية والوفاء بالاحتياجات المحلية الفعلية للسكان.</w:t>
      </w:r>
    </w:p>
    <w:p w:rsidR="00A53DD4" w:rsidRDefault="00A53DD4" w:rsidP="009E0C7F">
      <w:pPr>
        <w:pStyle w:val="SingleTxt"/>
        <w:rPr>
          <w:rFonts w:hint="cs"/>
          <w:rtl/>
          <w:lang w:bidi="ar-EG"/>
        </w:rPr>
      </w:pPr>
      <w:r>
        <w:rPr>
          <w:rFonts w:hint="cs"/>
          <w:rtl/>
          <w:lang w:bidi="ar-EG"/>
        </w:rPr>
        <w:tab/>
        <w:t>وفي شباط/فبراير 2004 عقدت حلقة دراسية وطنية بشأن رعاية التوليد والمواليد بغية توطيد الأعمال الاستراتيجية لذلك الميثاق. وشارك في هذه الحلقة الدراسية ممثلون عن الإدارات الصحية للولايات والبلديات، فضلا عن منظمات المجتمع المدني. وفي أعقاب ذلك، جرى الاتفاق في اجتماع لممثلي إدارات النظام الصحي الموحد على هدف خفض معدل وفيات النساء والمواليد الجدد بنسبة 15 في المائة بحلول عام 2007.</w:t>
      </w:r>
    </w:p>
    <w:p w:rsidR="00A53DD4" w:rsidRDefault="00A53DD4" w:rsidP="009E0C7F">
      <w:pPr>
        <w:pStyle w:val="SingleTxt"/>
        <w:rPr>
          <w:rFonts w:hint="cs"/>
          <w:rtl/>
          <w:lang w:bidi="ar-EG"/>
        </w:rPr>
      </w:pPr>
      <w:r>
        <w:rPr>
          <w:rFonts w:hint="cs"/>
          <w:rtl/>
          <w:lang w:bidi="ar-EG"/>
        </w:rPr>
        <w:tab/>
        <w:t>ومنذ ذلك الحين، تستضيف الحكومة الاتحادية حلقات دراسية في مختلف الولايات، بمشاركة أمانات الصحة البلدية والمنظمات غير الحكومية من أجل الإسهام في إعداد خطط محلية لتخفيض الوفيات النفاسية ووفيات المواليد.</w:t>
      </w:r>
    </w:p>
    <w:p w:rsidR="00A53DD4" w:rsidRDefault="00A53DD4" w:rsidP="009E0C7F">
      <w:pPr>
        <w:pStyle w:val="SingleTxt"/>
        <w:rPr>
          <w:rFonts w:hint="cs"/>
          <w:rtl/>
          <w:lang w:bidi="ar-EG"/>
        </w:rPr>
      </w:pPr>
      <w:r>
        <w:rPr>
          <w:rFonts w:hint="cs"/>
          <w:rtl/>
          <w:lang w:bidi="ar-EG"/>
        </w:rPr>
        <w:tab/>
        <w:t>وبغية تنفيذ أحكام الميثاق، فإن مختلف إدارات وزارة الصحة ووكالات التنسيق المشتركة في بذل الجهود الرامية إلى تحسين نوعية رعاية التوليد وتنظيم الأسرة قامت بتخصيص موارد من ميزانية الحكومة الاتحادية.</w:t>
      </w:r>
    </w:p>
    <w:p w:rsidR="00A53DD4" w:rsidRDefault="00A53DD4" w:rsidP="009E0C7F">
      <w:pPr>
        <w:pStyle w:val="SingleTxt"/>
        <w:rPr>
          <w:rFonts w:hint="cs"/>
          <w:rtl/>
          <w:lang w:bidi="ar-EG"/>
        </w:rPr>
      </w:pPr>
      <w:r>
        <w:rPr>
          <w:rFonts w:hint="cs"/>
          <w:rtl/>
          <w:lang w:bidi="ar-EG"/>
        </w:rPr>
        <w:tab/>
        <w:t>وأعيد أيضا توجيه الموارد من أعمال الوزارة الأخرى م</w:t>
      </w:r>
      <w:r w:rsidR="005F5D48">
        <w:rPr>
          <w:rFonts w:hint="cs"/>
          <w:rtl/>
          <w:lang w:bidi="ar-EG"/>
        </w:rPr>
        <w:t>ن أجل تقديم المساعدة إلى 79 بلدية</w:t>
      </w:r>
      <w:r>
        <w:rPr>
          <w:rFonts w:hint="cs"/>
          <w:rtl/>
          <w:lang w:bidi="ar-EG"/>
        </w:rPr>
        <w:t xml:space="preserve"> يفوق عدد السكان فيها 100 ألف نسمة بغية تنفيذ الميثاق الوطني لتخفيض الوفيات النفاسية ووفيات المواليد. ورفعت الحكومة الاتحادية المبلغ المدفوع لولادات الأطفال بموجب النظام الصحي الموحد إلى 45 في المائة للولادات الطبيعية و إلى 19 في المائة للولادات بالعملية القيصرية.</w:t>
      </w:r>
    </w:p>
    <w:p w:rsidR="00A53DD4" w:rsidRDefault="00A53DD4" w:rsidP="009E0C7F">
      <w:pPr>
        <w:pStyle w:val="SingleTxt"/>
        <w:rPr>
          <w:rFonts w:hint="cs"/>
          <w:rtl/>
          <w:lang w:bidi="ar-EG"/>
        </w:rPr>
      </w:pPr>
      <w:r>
        <w:rPr>
          <w:rFonts w:hint="cs"/>
          <w:rtl/>
          <w:lang w:bidi="ar-EG"/>
        </w:rPr>
        <w:tab/>
        <w:t xml:space="preserve">وتدعم الحكومة الاتحادية إنشاء لجان معنية بوفيات الأمهات أثناء النفاس في جميع أنحاء البلد كوسيلة لتحسين سجلات الوفيات النفاسية. وجرى تنظيم أربع حلقات دراسية على صعيدي الولايات والمناطق بدعم تقني ومالي من الحكومة الاتحادية من أجل تدريب المهنيين الصحيين على دراسة الوفيات النفاسية و/أو تشكيل لجان </w:t>
      </w:r>
      <w:r w:rsidR="00925756">
        <w:rPr>
          <w:rFonts w:hint="cs"/>
          <w:rtl/>
          <w:lang w:bidi="ar-EG"/>
        </w:rPr>
        <w:t>إقليمية أو بلدية معنية بوفيات الأمهات أثناء النفاس.</w:t>
      </w:r>
    </w:p>
    <w:p w:rsidR="00925756" w:rsidRDefault="00925756" w:rsidP="005F5D48">
      <w:pPr>
        <w:pStyle w:val="SingleTxt"/>
        <w:rPr>
          <w:rFonts w:hint="cs"/>
          <w:rtl/>
          <w:lang w:bidi="ar-EG"/>
        </w:rPr>
      </w:pPr>
      <w:r>
        <w:rPr>
          <w:rFonts w:hint="cs"/>
          <w:rtl/>
          <w:lang w:bidi="ar-EG"/>
        </w:rPr>
        <w:tab/>
        <w:t>وفي عام 2003، وبمقتضى التزام قطعته الحكومة الاتحادية بشأن الوفيات النفاسية، أصدرت الحكومة قرارا إداريا يلزم بالإبلاغ عن</w:t>
      </w:r>
      <w:r w:rsidR="005F5D48">
        <w:rPr>
          <w:rFonts w:hint="cs"/>
          <w:rtl/>
          <w:lang w:bidi="ar-EG"/>
        </w:rPr>
        <w:t xml:space="preserve"> تلك الوفيات</w:t>
      </w:r>
      <w:r>
        <w:rPr>
          <w:rFonts w:hint="cs"/>
          <w:rtl/>
          <w:lang w:bidi="ar-EG"/>
        </w:rPr>
        <w:t>، كما أعادت الحكومة تنشيط اللجنة الوطنية المعنية بوفيات الأمهات أثناء النفاس.</w:t>
      </w:r>
    </w:p>
    <w:p w:rsidR="00925756" w:rsidRDefault="00925756" w:rsidP="009E0C7F">
      <w:pPr>
        <w:pStyle w:val="SingleTxt"/>
        <w:rPr>
          <w:rFonts w:hint="cs"/>
          <w:rtl/>
          <w:lang w:bidi="ar-EG"/>
        </w:rPr>
      </w:pPr>
      <w:r>
        <w:rPr>
          <w:rFonts w:hint="cs"/>
          <w:rtl/>
          <w:lang w:bidi="ar-EG"/>
        </w:rPr>
        <w:tab/>
        <w:t>وفي عام 2003 أيضا، عقد المنتدى الوطني الخامس المعني بوفيات الأمهات أثناء النفاس، وشاركت في هذا المنتدى جميع لجان عواصم الولايات والبلديات، والجمعيات العلمية، والرابطات المهنية، والحركة النسائية، ومنظمة الصحة للبلدان الأمريكية.</w:t>
      </w:r>
    </w:p>
    <w:p w:rsidR="00925756" w:rsidRDefault="00925756" w:rsidP="00D64F6A">
      <w:pPr>
        <w:pStyle w:val="SingleTxt"/>
        <w:rPr>
          <w:rFonts w:hint="cs"/>
          <w:rtl/>
          <w:lang w:bidi="ar-EG"/>
        </w:rPr>
      </w:pPr>
      <w:r>
        <w:rPr>
          <w:rFonts w:hint="cs"/>
          <w:rtl/>
          <w:lang w:bidi="ar-EG"/>
        </w:rPr>
        <w:tab/>
        <w:t>وتوجد الآن 26 لجنة عاملة من اللجان المعنية بوفيات الأمهات أثناء النفاس على صعيد الولايات، بينما لم تكن هناك سوى 14 لجنة نشطة عام 1998. وفي عام 1998، لم</w:t>
      </w:r>
      <w:r>
        <w:rPr>
          <w:rFonts w:hint="eastAsia"/>
          <w:rtl/>
          <w:lang w:bidi="ar-EG"/>
        </w:rPr>
        <w:t> </w:t>
      </w:r>
      <w:r>
        <w:rPr>
          <w:rFonts w:hint="cs"/>
          <w:rtl/>
          <w:lang w:bidi="ar-EG"/>
        </w:rPr>
        <w:t>تكن هناك إلا تسع عواصم للبلديات ممن لديها لجان تعمل في مجال وفيات الأمهات أثناء النفاس أ</w:t>
      </w:r>
      <w:r w:rsidR="00D64F6A">
        <w:rPr>
          <w:rFonts w:hint="cs"/>
          <w:rtl/>
          <w:lang w:bidi="ar-EG"/>
        </w:rPr>
        <w:t>و</w:t>
      </w:r>
      <w:r>
        <w:rPr>
          <w:rFonts w:hint="cs"/>
          <w:rtl/>
          <w:lang w:bidi="ar-EG"/>
        </w:rPr>
        <w:t xml:space="preserve"> تحقق فيها. وفي عام 2003 زاد عدد </w:t>
      </w:r>
      <w:r w:rsidR="005F5D48">
        <w:rPr>
          <w:rFonts w:hint="cs"/>
          <w:rtl/>
          <w:lang w:bidi="ar-EG"/>
        </w:rPr>
        <w:t xml:space="preserve">لجان </w:t>
      </w:r>
      <w:r>
        <w:rPr>
          <w:rFonts w:hint="cs"/>
          <w:rtl/>
          <w:lang w:bidi="ar-EG"/>
        </w:rPr>
        <w:t>عواصم البلديات إلى 26 لجنة.</w:t>
      </w:r>
    </w:p>
    <w:p w:rsidR="00925756" w:rsidRDefault="00925756" w:rsidP="00925756">
      <w:pPr>
        <w:pStyle w:val="SingleTxt"/>
        <w:rPr>
          <w:rFonts w:hint="cs"/>
          <w:rtl/>
          <w:lang w:bidi="ar-EG"/>
        </w:rPr>
      </w:pPr>
      <w:r>
        <w:rPr>
          <w:rFonts w:hint="cs"/>
          <w:rtl/>
          <w:lang w:bidi="ar-EG"/>
        </w:rPr>
        <w:tab/>
        <w:t>وأنشئ فريق فني معني بالعمليات القيصرية لكي يحد</w:t>
      </w:r>
      <w:r w:rsidR="005F5D48">
        <w:rPr>
          <w:rFonts w:hint="cs"/>
          <w:rtl/>
          <w:lang w:bidi="ar-EG"/>
        </w:rPr>
        <w:t>د</w:t>
      </w:r>
      <w:r>
        <w:rPr>
          <w:rFonts w:hint="cs"/>
          <w:rtl/>
          <w:lang w:bidi="ar-EG"/>
        </w:rPr>
        <w:t xml:space="preserve"> استراتيجيات تخفيض معدلات الولادة بالعملية القيصرية. وفي عام 2004، نظم هذا الفريق حلقة عمل بعنوان </w:t>
      </w:r>
      <w:r>
        <w:rPr>
          <w:rFonts w:hint="eastAsia"/>
          <w:rtl/>
          <w:lang w:bidi="ar-EG"/>
        </w:rPr>
        <w:t>”العمليات القيصرية في البرازيل: الحالة الراهنة ووجهات النظر</w:t>
      </w:r>
      <w:r>
        <w:rPr>
          <w:rFonts w:hint="cs"/>
          <w:rtl/>
          <w:lang w:bidi="ar-EG"/>
        </w:rPr>
        <w:t>“، وشاركت في هذه الحلقة قطاعات عديدة من وزارة الصحة تعمل بشأن هذه المسألة، فضلا عن المجتمع المدني.</w:t>
      </w:r>
    </w:p>
    <w:p w:rsidR="00925756" w:rsidRDefault="00925756" w:rsidP="00925756">
      <w:pPr>
        <w:pStyle w:val="SingleTxt"/>
        <w:rPr>
          <w:rFonts w:hint="cs"/>
          <w:rtl/>
          <w:lang w:bidi="ar-EG"/>
        </w:rPr>
      </w:pPr>
      <w:r>
        <w:rPr>
          <w:rFonts w:hint="cs"/>
          <w:rtl/>
          <w:lang w:bidi="ar-EG"/>
        </w:rPr>
        <w:tab/>
        <w:t>ومن الاستراتيجيات الأخرى التي استخدمت منح جائزة غالبا أراوجو للتجارب المبتكرة في مجال تقديم الرعاية إلى النساء في العنابر العامة للولادة. وتلقت أربعة عنابر للولادة من مناطق مختلف في البلد جائزة قدرها 000 30 ريال برازيلي لكل عنبر.</w:t>
      </w:r>
    </w:p>
    <w:p w:rsidR="00925756" w:rsidRDefault="00925756" w:rsidP="00925756">
      <w:pPr>
        <w:pStyle w:val="SingleTxt"/>
        <w:rPr>
          <w:rFonts w:hint="cs"/>
          <w:rtl/>
          <w:lang w:bidi="ar-EG"/>
        </w:rPr>
      </w:pPr>
      <w:r>
        <w:rPr>
          <w:rFonts w:hint="cs"/>
          <w:rtl/>
          <w:lang w:bidi="ar-EG"/>
        </w:rPr>
        <w:tab/>
        <w:t>وفي عام 2000 أنشئ برنامج إضفاء الصبغة الإنسانية على المخاض والولادة بغية تحسين نوعية الرعاية قبل الولادة ومعالجة مشكلة الفصل بين تقديم المساعدة أثناء الحمل وأثناء الولادة. ويتطلب هذا البرنامج ست استشارات طبية واختبارات معملية روتينية على الأقل أثناء فترة ما قبل الولادة، بالإضافة إلى الإجراءات المطلوبة للمساعدة اللازمة أثناء المخاض والولادة. ويوطد هذا البرنامج حق المرأة في وجود رفيق أو مرافق أثناء عملية الولادة، والحق في أن يزورها شريكها في أي وقت.</w:t>
      </w:r>
    </w:p>
    <w:p w:rsidR="00925756" w:rsidRDefault="00925756" w:rsidP="00925756">
      <w:pPr>
        <w:pStyle w:val="SingleTxt"/>
        <w:rPr>
          <w:rFonts w:hint="cs"/>
          <w:rtl/>
          <w:lang w:bidi="ar-EG"/>
        </w:rPr>
      </w:pPr>
      <w:r>
        <w:rPr>
          <w:rFonts w:hint="cs"/>
          <w:rtl/>
          <w:lang w:bidi="ar-EG"/>
        </w:rPr>
        <w:tab/>
        <w:t xml:space="preserve">وفضلا عن ذلك، ستتلقى البلديات وعنابر الولادة التي تتبع هذا البرنامج وتمتثل لجميع معاييره الثابتة مبلغا إضافية لكل حامل تلقى الرعاية. وأنشأ البرنامج رابطة بين المؤسسة التي تقدم الرعاية للمرأة قبل الولادة والمؤسسة التي تلد فيها المرأة، وذلك لضمان معرفة المرأة مستشفى الولادة التي ستلد فيها. ودعمت وزارة الصحة إنشاء مراكز </w:t>
      </w:r>
      <w:r w:rsidR="00170C1D">
        <w:rPr>
          <w:rFonts w:hint="cs"/>
          <w:rtl/>
          <w:lang w:bidi="ar-EG"/>
        </w:rPr>
        <w:t>للشواغر في جميع الولايات.</w:t>
      </w:r>
    </w:p>
    <w:p w:rsidR="00170C1D" w:rsidRDefault="00170C1D" w:rsidP="00B44C56">
      <w:pPr>
        <w:pStyle w:val="SingleTxt"/>
        <w:spacing w:line="390" w:lineRule="exact"/>
        <w:rPr>
          <w:rFonts w:hint="cs"/>
          <w:rtl/>
          <w:lang w:bidi="ar-EG"/>
        </w:rPr>
      </w:pPr>
      <w:r>
        <w:rPr>
          <w:rFonts w:hint="cs"/>
          <w:rtl/>
          <w:lang w:bidi="ar-EG"/>
        </w:rPr>
        <w:tab/>
        <w:t>ويجري على نحو مستمر وفعال تنفيذ البرنامج ووضع التدابير التي تيسر امتثال البلديات للبرنامج وتنفيذها له. وفي عامي 2003 و 2004 التزمت 718 بلدية بالبرنامج، مما جعل الإجمالي يبلغ 756 4 بلدية في أيلول/سبتمبر 2004. وفي عام 2003 سجلت 114 574 من الحوامل في البرنامج. كما سجلت 068 303 امرأة أثناء الفترة من كانون الثاني/يناير إلى حزيران/يونيه 2004. وانتفعت 176 150 من النساء المسجلات بالمساعدة المقدمة قبل الولادة، وذلك من مجموع النساء المسجلات، وهو 580 351 امرأة.</w:t>
      </w:r>
    </w:p>
    <w:p w:rsidR="00170C1D" w:rsidRDefault="00170C1D" w:rsidP="00B44C56">
      <w:pPr>
        <w:pStyle w:val="SingleTxt"/>
        <w:spacing w:line="390" w:lineRule="exact"/>
        <w:rPr>
          <w:rFonts w:hint="cs"/>
          <w:rtl/>
          <w:lang w:bidi="ar-EG"/>
        </w:rPr>
      </w:pPr>
      <w:r>
        <w:rPr>
          <w:rFonts w:hint="cs"/>
          <w:rtl/>
          <w:lang w:bidi="ar-EG"/>
        </w:rPr>
        <w:tab/>
        <w:t>ومن الجدير بالذكر أيضا المناقشات التي ثارت في المجتمع البرازيلي حول التصريح القضائي بإنهاء الحمل طوعا في حالة الأجنة العديمة الدماغ. ودعمت الأمانة الخاصة لسياسات المرأة ووزارة الصحة الترخيص بإنهاء الحمل إذا أرادت الحامل ذلك. وكان هذا أيضا موقف المجلس الوطني لحقوق المرأة والمجلس الوطني لحقوق الأفراد.</w:t>
      </w:r>
    </w:p>
    <w:p w:rsidR="00170C1D" w:rsidRDefault="00170C1D" w:rsidP="00B44C56">
      <w:pPr>
        <w:pStyle w:val="SingleTxt"/>
        <w:spacing w:line="390" w:lineRule="exact"/>
        <w:rPr>
          <w:rFonts w:hint="cs"/>
          <w:rtl/>
          <w:lang w:bidi="ar-EG"/>
        </w:rPr>
      </w:pPr>
      <w:r>
        <w:rPr>
          <w:rFonts w:hint="cs"/>
          <w:rtl/>
          <w:lang w:bidi="ar-EG"/>
        </w:rPr>
        <w:tab/>
        <w:t>والقانون رقم 8080 (قانون الصحة الأساسي) الصادر عام 1990 ينص على أن النظام الصحي الموحد يتشكل من مجموعة الإجراءات والخدمات الصحية للإدارات المباشرة وغير المباشرة وللمؤسسات التي ترعاها الحكومة والتي تقدمها الهيئات والمؤسسات الحكومية على الصعيد الاتحادي وعلى صعيدي الولايات والبلديات. والمبادئ الأساسية للنظام الصحي الموحد هي اللامركزية، مع وجود هيئة إدارية واحدة في كل مستوى من مستويات الحكومة؛ والإنصاف؛ وإمكانية الوصول العام؛ وتقديم المساعدة الكاملة؛ والمشاركة الاجتماعية، ضمن جملة أمور.</w:t>
      </w:r>
    </w:p>
    <w:p w:rsidR="00170C1D" w:rsidRDefault="00170C1D" w:rsidP="005F5D48">
      <w:pPr>
        <w:pStyle w:val="SingleTxt"/>
        <w:spacing w:line="390" w:lineRule="exact"/>
        <w:rPr>
          <w:rFonts w:hint="cs"/>
          <w:rtl/>
          <w:lang w:bidi="ar-EG"/>
        </w:rPr>
      </w:pPr>
      <w:r>
        <w:rPr>
          <w:rFonts w:hint="cs"/>
          <w:rtl/>
          <w:lang w:bidi="ar-EG"/>
        </w:rPr>
        <w:tab/>
        <w:t>وبالتالي، تحددت من جديد أدوار المستويات الإدارية الثلاثة (مستويات الاتحاد والولايات والبلديات) للنظام الصحي الموحد. والولاية الرئيسية للمستوى الاتحادي صياغة السياسات وتقييمها ودعمها؛ وتنظيم الأعمال؛ وتوفير التعاون التقني مع الولايات، ومنطقة العاصمة، والبلديات</w:t>
      </w:r>
      <w:r w:rsidR="005F5D48">
        <w:rPr>
          <w:rFonts w:hint="cs"/>
          <w:rtl/>
          <w:lang w:bidi="ar-EG"/>
        </w:rPr>
        <w:t>.</w:t>
      </w:r>
      <w:r>
        <w:rPr>
          <w:rFonts w:hint="cs"/>
          <w:rtl/>
          <w:lang w:bidi="ar-EG"/>
        </w:rPr>
        <w:t xml:space="preserve"> ويتولى المستوى الاتحادي </w:t>
      </w:r>
      <w:r w:rsidR="007A6227">
        <w:rPr>
          <w:rFonts w:hint="cs"/>
          <w:rtl/>
          <w:lang w:bidi="ar-EG"/>
        </w:rPr>
        <w:t>أيضا المراقبة على الأعمال والخدمات وتقييمها، مع احترام ولايات المستويات الأخرى. والولاية الرئيسية لإدارة النظام الصحي الموحد على مستوى الولايات تعزيز لامركزية الخدمات</w:t>
      </w:r>
      <w:r w:rsidR="005F5D48">
        <w:rPr>
          <w:rFonts w:hint="cs"/>
          <w:rtl/>
          <w:lang w:bidi="ar-EG"/>
        </w:rPr>
        <w:t>،</w:t>
      </w:r>
      <w:r w:rsidR="007A6227">
        <w:rPr>
          <w:rFonts w:hint="cs"/>
          <w:rtl/>
          <w:lang w:bidi="ar-EG"/>
        </w:rPr>
        <w:t xml:space="preserve"> وتنفيذ الأعمال والإجراءات بغية استكمال أنشطة البلد</w:t>
      </w:r>
      <w:r w:rsidR="005F5D48">
        <w:rPr>
          <w:rFonts w:hint="cs"/>
          <w:rtl/>
          <w:lang w:bidi="ar-EG"/>
        </w:rPr>
        <w:t>ي</w:t>
      </w:r>
      <w:r w:rsidR="007A6227">
        <w:rPr>
          <w:rFonts w:hint="cs"/>
          <w:rtl/>
          <w:lang w:bidi="ar-EG"/>
        </w:rPr>
        <w:t>ات وتزويدها بالدعم التقني والمالي. والمسؤوليات الرئيسية للنظام الصحي الموحد على مستوى البلديات تنفيذ الأعمال والخدمات الصحية ومراقبتها وتقييمها على هذا المستوى.</w:t>
      </w:r>
    </w:p>
    <w:p w:rsidR="007A6227" w:rsidRDefault="007A6227" w:rsidP="00B44C56">
      <w:pPr>
        <w:pStyle w:val="SingleTxt"/>
        <w:spacing w:line="390" w:lineRule="exact"/>
        <w:rPr>
          <w:rFonts w:hint="cs"/>
          <w:rtl/>
          <w:lang w:bidi="ar-EG"/>
        </w:rPr>
      </w:pPr>
      <w:r>
        <w:rPr>
          <w:rFonts w:hint="cs"/>
          <w:rtl/>
          <w:lang w:bidi="ar-EG"/>
        </w:rPr>
        <w:tab/>
        <w:t>وفور بدء وباء متلازمة نقص المناعة المكتسب (الإيدز) في البرازيل، اكتشفت أول حالات للنساء. ومنذ ذلك الوقت زاد عدد حالات الإيدز بين السكان الإناث زيادة كبيرة. وفي عام 1986 كانت هناك 16 حالة مسجلة للإيدز بين الرجال مقابل حالة واحدة بين النساء. وتغيرت تلك النسبة منذ عام 1998 إلى امرأة لكل رجلين. وكانت هناك 314</w:t>
      </w:r>
      <w:r>
        <w:rPr>
          <w:rFonts w:hint="eastAsia"/>
          <w:rtl/>
          <w:lang w:bidi="ar-EG"/>
        </w:rPr>
        <w:t> </w:t>
      </w:r>
      <w:r>
        <w:rPr>
          <w:rFonts w:hint="cs"/>
          <w:rtl/>
          <w:lang w:bidi="ar-EG"/>
        </w:rPr>
        <w:t>111 حالة مسجلة من حالات الإيدز للنساء حتى حزيران/يونيه 2004. ولوحظ أيضا أن الزيادة في عدد حالا</w:t>
      </w:r>
      <w:r w:rsidR="005F5D48">
        <w:rPr>
          <w:rFonts w:hint="cs"/>
          <w:rtl/>
          <w:lang w:bidi="ar-EG"/>
        </w:rPr>
        <w:t>ت</w:t>
      </w:r>
      <w:r>
        <w:rPr>
          <w:rFonts w:hint="cs"/>
          <w:rtl/>
          <w:lang w:bidi="ar-EG"/>
        </w:rPr>
        <w:t xml:space="preserve"> الإيدز ترتفع في أدنى المستويات الاقتصادية الاجتماعية، وبخاصة بين النساء.</w:t>
      </w:r>
    </w:p>
    <w:p w:rsidR="007A6227" w:rsidRDefault="009E19B4" w:rsidP="00B44C56">
      <w:pPr>
        <w:pStyle w:val="SingleTxt"/>
        <w:spacing w:line="390" w:lineRule="exact"/>
        <w:rPr>
          <w:rFonts w:hint="cs"/>
          <w:rtl/>
          <w:lang w:bidi="ar-EG"/>
        </w:rPr>
      </w:pPr>
      <w:r>
        <w:rPr>
          <w:rFonts w:hint="cs"/>
          <w:rtl/>
          <w:lang w:bidi="ar-EG"/>
        </w:rPr>
        <w:tab/>
        <w:t>وتنتقل العدوى بالإيدز إلى المرأة بشكل أساسي عن طريق الاتصال الجنسي بشركاء مصابين. وفي حوالي 40 في المائة من حالات الإيدز، كان للنساء المبلغ عنهن شركاء جنسيون متعددون. أما نسبة الـ 60 في المائة الأخرى من النساء المبلغ عنهن، فكان لهن شركاء متعددو الشركاء الجنسيين، أو شركاء يتعاطون المخدرات عن طريق الحقن، أو شركاء مصابون بفيروس نقص المناعة البشرية.</w:t>
      </w:r>
    </w:p>
    <w:p w:rsidR="009E19B4" w:rsidRDefault="009E19B4" w:rsidP="00B44C56">
      <w:pPr>
        <w:pStyle w:val="SingleTxt"/>
        <w:spacing w:line="390" w:lineRule="exact"/>
        <w:rPr>
          <w:rFonts w:hint="cs"/>
          <w:rtl/>
          <w:lang w:bidi="ar-EG"/>
        </w:rPr>
      </w:pPr>
      <w:r>
        <w:rPr>
          <w:rFonts w:hint="cs"/>
          <w:rtl/>
          <w:lang w:bidi="ar-EG"/>
        </w:rPr>
        <w:tab/>
        <w:t xml:space="preserve">وانتقال العدوى بالإيدز من أم مصابة إلى طفلها أثناء الحمل أو الولادة أو الإرضاع هو مشكلة أيضا في البرازيل. وما يقرب من 000 9 </w:t>
      </w:r>
      <w:r w:rsidR="000F20DC">
        <w:rPr>
          <w:rFonts w:hint="cs"/>
          <w:rtl/>
          <w:lang w:bidi="ar-EG"/>
        </w:rPr>
        <w:t>طفل يبلغون سن 12 سنة أو أقل من المصابين بالإيدز المسجلين انتقلت إليهم العدوى أثناء فترة الحمل أو الولادة. ومع ذلك، عندما يمكن تشخيص الإصابة بفيروس نقص المناعة البشرية أثناء فترة ما قبل الولادة واتخاذ التدابير اللازمة لمعالجة الأم (تقديم المساعدة أثناء الولادة، ومنع استخدام لبن الأم، ومعالجة الطفل لأربعة أسابيع)، فإنه يمكن تخفيض هذا النوع من العدوى إلى أقل من 3 في المائة من الأطفال. ويجب على جميع المهنيين الصحيين والمجتمع اتخاذ هذا النمط من الإجراءات.</w:t>
      </w:r>
    </w:p>
    <w:p w:rsidR="000F20DC" w:rsidRDefault="000F20DC" w:rsidP="005F5D48">
      <w:pPr>
        <w:pStyle w:val="SingleTxt"/>
        <w:spacing w:line="390" w:lineRule="exact"/>
        <w:rPr>
          <w:rFonts w:hint="cs"/>
          <w:rtl/>
          <w:lang w:bidi="ar-EG"/>
        </w:rPr>
      </w:pPr>
      <w:r>
        <w:rPr>
          <w:rFonts w:hint="cs"/>
          <w:rtl/>
          <w:lang w:bidi="ar-EG"/>
        </w:rPr>
        <w:tab/>
        <w:t>ويقدر أن حوالي 000 600 شخص مصابون الآن بفيروس نقص المناعة البشرية في البرازيل. ويقدر أن عدد الحوامل المصابات ب</w:t>
      </w:r>
      <w:r w:rsidR="005F5D48">
        <w:rPr>
          <w:rFonts w:hint="cs"/>
          <w:rtl/>
          <w:lang w:bidi="ar-EG"/>
        </w:rPr>
        <w:t>هذا ال</w:t>
      </w:r>
      <w:r>
        <w:rPr>
          <w:rFonts w:hint="cs"/>
          <w:rtl/>
          <w:lang w:bidi="ar-EG"/>
        </w:rPr>
        <w:t>فيروس حوالي 000 15 حامل وعدد الحوامل المصابات بالزهري حوالي 000 60 حامل.</w:t>
      </w:r>
    </w:p>
    <w:p w:rsidR="000F20DC" w:rsidRDefault="000F20DC" w:rsidP="00B44C56">
      <w:pPr>
        <w:pStyle w:val="SingleTxt"/>
        <w:spacing w:line="390" w:lineRule="exact"/>
        <w:rPr>
          <w:rFonts w:hint="cs"/>
          <w:rtl/>
          <w:lang w:bidi="ar-EG"/>
        </w:rPr>
      </w:pPr>
      <w:r>
        <w:rPr>
          <w:rFonts w:hint="cs"/>
          <w:rtl/>
          <w:lang w:bidi="ar-EG"/>
        </w:rPr>
        <w:tab/>
        <w:t>ورغبة من الحكومة الاتحادية في محاولة فهم نواحي الضعف المختلفة لدى الأنثى والذكر، فإن الإجراءات التي تتخذها لمنع الأمراض التي تنتقل عن طريق الاتصال الجنسي/الإيدز تراعي الأسلوب الذي يختلط بمقتضاه الرجال والنساء في المجتمع، ويتعاملون، ويعربون عن رغباتهم الجنسية. وهناك جوانب مثل الحصول على المعلومات، وإتاحة شبكة للخدمات، والقدرة على التفهم الشخصي للمخاطرة، والمقدرة على التصرف في حالات الخطر، والعلاقات بين الجنسين وبين الأجيال، والمواقف المتصلة بالنشاط الجنسي، والمعتقدات الدينية، والفقر، والخدمات الاجتماعية والصحية؛ كل ذلك يحدد صغر أو كبر درجة القابلية للإصابة بفيروس نقص المناعة البشرية/الإيدز والتعرض لأخطار ذلك المرض.</w:t>
      </w:r>
    </w:p>
    <w:p w:rsidR="000F20DC" w:rsidRDefault="000F20DC" w:rsidP="005F5D48">
      <w:pPr>
        <w:pStyle w:val="SingleTxt"/>
        <w:spacing w:line="390" w:lineRule="exact"/>
        <w:rPr>
          <w:rFonts w:hint="cs"/>
          <w:rtl/>
          <w:lang w:bidi="ar-EG"/>
        </w:rPr>
      </w:pPr>
      <w:r>
        <w:rPr>
          <w:rFonts w:hint="cs"/>
          <w:rtl/>
          <w:lang w:bidi="ar-EG"/>
        </w:rPr>
        <w:tab/>
        <w:t>وعدم المساواة بين الجنسين في العلاقات هي من أسباب تعرض المرأة للإصابة بفيروس نقص المناعة البشرية/الإيدز، حيث أن العلاقات التي تقوم على أساس القوة والتهديد المتكرر باستخدام العنف، غالبا ما تجعل من المستحيل للمرأة أن تصر على الممارسات الجنسية الأكثر أمانا.</w:t>
      </w:r>
      <w:r w:rsidR="00F864F5">
        <w:rPr>
          <w:rFonts w:hint="cs"/>
          <w:rtl/>
          <w:lang w:bidi="ar-EG"/>
        </w:rPr>
        <w:t xml:space="preserve"> وأنشأت المستويات الحكومية الثلاث</w:t>
      </w:r>
      <w:r w:rsidR="005F5D48">
        <w:rPr>
          <w:rFonts w:hint="cs"/>
          <w:rtl/>
          <w:lang w:bidi="ar-EG"/>
        </w:rPr>
        <w:t>ة</w:t>
      </w:r>
      <w:r w:rsidR="00F864F5">
        <w:rPr>
          <w:rFonts w:hint="cs"/>
          <w:rtl/>
          <w:lang w:bidi="ar-EG"/>
        </w:rPr>
        <w:t xml:space="preserve"> (مستويات الاتحاد والولايات والبلديات) ثلاث</w:t>
      </w:r>
      <w:r w:rsidR="005F5D48">
        <w:rPr>
          <w:rFonts w:hint="cs"/>
          <w:rtl/>
          <w:lang w:bidi="ar-EG"/>
        </w:rPr>
        <w:t>ة</w:t>
      </w:r>
      <w:r w:rsidR="00F864F5">
        <w:rPr>
          <w:rFonts w:hint="cs"/>
          <w:rtl/>
          <w:lang w:bidi="ar-EG"/>
        </w:rPr>
        <w:t xml:space="preserve"> مستويات وافقت عليها الحكومة للاستراتيجيات والاستثمارات في مجال </w:t>
      </w:r>
      <w:r w:rsidR="005F5D48">
        <w:rPr>
          <w:rFonts w:hint="cs"/>
          <w:rtl/>
          <w:lang w:bidi="ar-EG"/>
        </w:rPr>
        <w:t xml:space="preserve">الأدوات </w:t>
      </w:r>
      <w:r w:rsidR="00F864F5">
        <w:rPr>
          <w:rFonts w:hint="cs"/>
          <w:rtl/>
          <w:lang w:bidi="ar-EG"/>
        </w:rPr>
        <w:t>المتعلقة بالمنع، مثل العازل الذكري والأنث</w:t>
      </w:r>
      <w:r w:rsidR="005F5D48">
        <w:rPr>
          <w:rFonts w:hint="cs"/>
          <w:rtl/>
          <w:lang w:bidi="ar-EG"/>
        </w:rPr>
        <w:t>وي. وتكمن أهمية هذه الاستراتيجيات</w:t>
      </w:r>
      <w:r w:rsidR="00F864F5">
        <w:rPr>
          <w:rFonts w:hint="cs"/>
          <w:rtl/>
          <w:lang w:bidi="ar-EG"/>
        </w:rPr>
        <w:t xml:space="preserve"> في تدعيم قدرة المرأة المتزايدة على الإصرار على استخدام شركائهن الجنسيين للعازل الذكري، وتعزيز اعتداد المرأة بنفسها، وضمان الحماية المزدوجة للمرأة.</w:t>
      </w:r>
    </w:p>
    <w:p w:rsidR="00F864F5" w:rsidRDefault="00F864F5" w:rsidP="0069754E">
      <w:pPr>
        <w:pStyle w:val="SingleTxt"/>
        <w:spacing w:line="390" w:lineRule="exact"/>
        <w:rPr>
          <w:rFonts w:hint="cs"/>
          <w:rtl/>
          <w:lang w:bidi="ar-EG"/>
        </w:rPr>
      </w:pPr>
      <w:r>
        <w:rPr>
          <w:rFonts w:hint="cs"/>
          <w:rtl/>
          <w:lang w:bidi="ar-EG"/>
        </w:rPr>
        <w:tab/>
        <w:t>و</w:t>
      </w:r>
      <w:r w:rsidR="005F5D48">
        <w:rPr>
          <w:rFonts w:hint="cs"/>
          <w:rtl/>
          <w:lang w:bidi="ar-EG"/>
        </w:rPr>
        <w:t xml:space="preserve">فيما يتعلق بالإيدز </w:t>
      </w:r>
      <w:r>
        <w:rPr>
          <w:rFonts w:hint="cs"/>
          <w:rtl/>
          <w:lang w:bidi="ar-EG"/>
        </w:rPr>
        <w:t xml:space="preserve">تتخذ الحكومة الاتحادية سياسات للمرأة </w:t>
      </w:r>
      <w:r w:rsidR="0069754E">
        <w:rPr>
          <w:rFonts w:hint="cs"/>
          <w:rtl/>
          <w:lang w:bidi="ar-EG"/>
        </w:rPr>
        <w:t xml:space="preserve">تراعي </w:t>
      </w:r>
      <w:r>
        <w:rPr>
          <w:rFonts w:hint="cs"/>
          <w:rtl/>
          <w:lang w:bidi="ar-EG"/>
        </w:rPr>
        <w:t xml:space="preserve">الضعف الاجتماعي، ونوع الجنس، والعنصر، والعوامل الاجتماعية والسياسية والاقتصادية والثقافية. وتراعي هذه السياسات أيضا تنوع/تعدد السكان </w:t>
      </w:r>
      <w:r w:rsidR="0069754E">
        <w:rPr>
          <w:rFonts w:hint="cs"/>
          <w:rtl/>
          <w:lang w:bidi="ar-EG"/>
        </w:rPr>
        <w:t>من</w:t>
      </w:r>
      <w:r>
        <w:rPr>
          <w:rFonts w:hint="cs"/>
          <w:rtl/>
          <w:lang w:bidi="ar-EG"/>
        </w:rPr>
        <w:t xml:space="preserve"> الإناث، فتستهدف الوقاية وتقديم المساعدات مع منح الأولوية لأكثر قطاعات السكان الإناث ضعفا.</w:t>
      </w:r>
    </w:p>
    <w:p w:rsidR="00F864F5" w:rsidRDefault="00F864F5" w:rsidP="0069754E">
      <w:pPr>
        <w:pStyle w:val="SingleTxt"/>
        <w:spacing w:line="390" w:lineRule="exact"/>
        <w:rPr>
          <w:rFonts w:hint="cs"/>
          <w:rtl/>
          <w:lang w:bidi="ar-EG"/>
        </w:rPr>
      </w:pPr>
      <w:r>
        <w:rPr>
          <w:rFonts w:hint="cs"/>
          <w:rtl/>
          <w:lang w:bidi="ar-EG"/>
        </w:rPr>
        <w:tab/>
        <w:t>ويدعم البرنامج الوطني للحكومة الاتحادية لمكافحة الأمراض التي تنتقل عن طريق الاتصال الجنسي/الإي</w:t>
      </w:r>
      <w:r w:rsidR="0069754E">
        <w:rPr>
          <w:rFonts w:hint="cs"/>
          <w:rtl/>
          <w:lang w:bidi="ar-EG"/>
        </w:rPr>
        <w:t xml:space="preserve">دز مشاريع الوقاية للنساء. </w:t>
      </w:r>
      <w:r>
        <w:rPr>
          <w:rFonts w:hint="cs"/>
          <w:rtl/>
          <w:lang w:bidi="ar-EG"/>
        </w:rPr>
        <w:t>وبين عامي 1999 و</w:t>
      </w:r>
      <w:r>
        <w:rPr>
          <w:rFonts w:hint="eastAsia"/>
          <w:rtl/>
          <w:lang w:bidi="ar-EG"/>
        </w:rPr>
        <w:t> </w:t>
      </w:r>
      <w:r>
        <w:rPr>
          <w:rFonts w:hint="cs"/>
          <w:rtl/>
          <w:lang w:bidi="ar-EG"/>
        </w:rPr>
        <w:t>2004، أنشئ 317 مشروعا وأنفق ما يزيد على 12 مليون ريال برازيلي بغية وقاية ما يقرب من أربعة ملايين نسمة.</w:t>
      </w:r>
    </w:p>
    <w:p w:rsidR="00F864F5" w:rsidRDefault="00F864F5" w:rsidP="00B44C56">
      <w:pPr>
        <w:pStyle w:val="SingleTxt"/>
        <w:spacing w:line="390" w:lineRule="exact"/>
        <w:rPr>
          <w:rFonts w:hint="cs"/>
          <w:rtl/>
          <w:lang w:bidi="ar-EG"/>
        </w:rPr>
      </w:pPr>
      <w:r>
        <w:rPr>
          <w:rFonts w:hint="cs"/>
          <w:rtl/>
          <w:lang w:bidi="ar-EG"/>
        </w:rPr>
        <w:tab/>
        <w:t>وأثناء الإدارة الحالية، شنت حملة جديدة لمنع الانتقال الرأسي للزهري وفيروس نقص المناعة البشرية، مستهدفة الحوامل والمهنيين والمديرين الصحيين. وتهدف هذه الحملة إلى تعزيز تحسين نوعية الرعاية قبل الولادة عن طريق تشجيع المهنيين الصحيين على إجراء اختبارات تشخيصية، ومعالجة الأم وشريكها في حالة ظهور الإصابة بغية تحاشي انتقال ال</w:t>
      </w:r>
      <w:r w:rsidR="0069754E">
        <w:rPr>
          <w:rFonts w:hint="cs"/>
          <w:rtl/>
          <w:lang w:bidi="ar-EG"/>
        </w:rPr>
        <w:t>عدوى إلى الطفل. ويجري الاختباران</w:t>
      </w:r>
      <w:r>
        <w:rPr>
          <w:rFonts w:hint="cs"/>
          <w:rtl/>
          <w:lang w:bidi="ar-EG"/>
        </w:rPr>
        <w:t xml:space="preserve"> بالمجان في ظل النظام الصحي العام. وجرى شن الحملة بمناسبة اليوم الدولي لمكافحة الإيدز، الذي كان الموضوع المخصص له عام 2004 هو </w:t>
      </w:r>
      <w:r>
        <w:rPr>
          <w:rFonts w:hint="eastAsia"/>
          <w:rtl/>
          <w:lang w:bidi="ar-EG"/>
        </w:rPr>
        <w:t>”النساء والفتيات وفيروس نقص المناعة البشرية والإيدز</w:t>
      </w:r>
      <w:r>
        <w:rPr>
          <w:rFonts w:hint="cs"/>
          <w:rtl/>
          <w:lang w:bidi="ar-EG"/>
        </w:rPr>
        <w:t>“.</w:t>
      </w:r>
    </w:p>
    <w:p w:rsidR="00F864F5" w:rsidRDefault="00AA73CD" w:rsidP="00B44C56">
      <w:pPr>
        <w:pStyle w:val="SingleTxt"/>
        <w:spacing w:line="390" w:lineRule="exact"/>
        <w:rPr>
          <w:rFonts w:hint="cs"/>
          <w:rtl/>
          <w:lang w:bidi="ar-EG"/>
        </w:rPr>
      </w:pPr>
      <w:r>
        <w:rPr>
          <w:rFonts w:hint="cs"/>
          <w:rtl/>
          <w:lang w:bidi="ar-EG"/>
        </w:rPr>
        <w:tab/>
        <w:t>وجرت الدعاية لهذه الحملة في جميع أنحاء البد عن طريق الإذاعة والتلفزيون والمجلات المتخصصة، والنشرات، والملصقات. وتتوقع وزارة الصحة من هذه الحملة أن تخفض معدل الإصابة بفيروس نقص المناعة البشرية إلى ما يقرب من الصفر وأن تقضي على الزهري الخلقي بحلول عام 2007. وكلما أجري التشخيص وبدأ العلاج مبكرا، ازدادت الفرص لتلافي هذا النمط من انتقال العدوى.</w:t>
      </w:r>
    </w:p>
    <w:p w:rsidR="00AA73CD" w:rsidRDefault="00AA73CD" w:rsidP="00B44C56">
      <w:pPr>
        <w:pStyle w:val="SingleTxt"/>
        <w:spacing w:line="390" w:lineRule="exact"/>
        <w:rPr>
          <w:rFonts w:hint="cs"/>
          <w:rtl/>
          <w:lang w:bidi="ar-EG"/>
        </w:rPr>
      </w:pPr>
      <w:r>
        <w:rPr>
          <w:rFonts w:hint="cs"/>
          <w:rtl/>
          <w:lang w:bidi="ar-EG"/>
        </w:rPr>
        <w:tab/>
        <w:t>وإصابة الحوامل بالزهري أكثر أربع مرات تقريبا من إصابتهن بفيروس نقص المناعة البشرية. وإن لم يعالج أثناء الحمل أو إذا كان العلاج غير كاف، يمكن أن يؤدي الزهري إلى وفاة الجنين أو تكون العاقبة هي إصابته بالصمم أو المشاكل العصبية أو ضعف تكوين العظام، أو غير ذلك. أما في حالة فيروس نقص المناعة البشرية، فإن لم تحصل الأم على علاج، يمكن أن يولد الطفل وهو مصاب بالفيروس. والأم المصابة بفيروس نقص المناعة البشرية لا يمكن أن ترضع طفلها رضاعة طبيعية حيث أن ثلث حالات العدوى تحدث نتيجة للرضاعة الطبيعية. ويقدم هذا البرنامج لبن الرضع بالمجان كبديل للبن الأم، كما أنه يتيح الاختبارات والعلاج للإيدز والزهري.</w:t>
      </w:r>
    </w:p>
    <w:p w:rsidR="00AA73CD" w:rsidRDefault="00AA73CD" w:rsidP="0069754E">
      <w:pPr>
        <w:pStyle w:val="SingleTxt"/>
        <w:spacing w:line="390" w:lineRule="exact"/>
        <w:rPr>
          <w:rFonts w:hint="cs"/>
          <w:rtl/>
          <w:lang w:bidi="ar-EG"/>
        </w:rPr>
      </w:pPr>
      <w:r>
        <w:rPr>
          <w:rFonts w:hint="cs"/>
          <w:rtl/>
          <w:lang w:bidi="ar-EG"/>
        </w:rPr>
        <w:tab/>
        <w:t>ومن المفارقات أن أرقام وباء الإيدز تكشف حقيقة مُرّة، وهي جهل المرأة بنواحي ضعفها. وكان من المحتم بالنسبة للفتيات والنساء أن تستجيب الحكومة بوضع سياسات صلبة لتنظيم الأسرة، وأن تحيي من جديد المناقشة بشأن الإجهاض والنشاط الجنسي والحمل أثناء فترة المراهقة. وتضيف جميع العوامل التالية إلى الضعف البيولوجي وتعرض المرأة بحدة إلى هذا الوباء، وهذه العوامل هي أوجه عدم المساواة في العلاقات، والعنف الجنسي، واستحالة المطالبة باستخدام العازل الذكري، وفوق كل شيء التباينات الاقتصادية والثقافية. وجهود الحكومة الاتحادية لا تعد ولا تحصى في هذا المجال.</w:t>
      </w:r>
    </w:p>
    <w:p w:rsidR="00AA73CD" w:rsidRDefault="00AA73CD" w:rsidP="00B44C56">
      <w:pPr>
        <w:pStyle w:val="SingleTxt"/>
        <w:spacing w:line="390" w:lineRule="exact"/>
        <w:rPr>
          <w:rFonts w:hint="cs"/>
          <w:rtl/>
          <w:lang w:bidi="ar-EG"/>
        </w:rPr>
      </w:pPr>
      <w:r>
        <w:rPr>
          <w:rFonts w:hint="cs"/>
          <w:rtl/>
          <w:lang w:bidi="ar-EG"/>
        </w:rPr>
        <w:tab/>
      </w:r>
      <w:r w:rsidR="001C5EE5">
        <w:rPr>
          <w:rFonts w:hint="cs"/>
          <w:rtl/>
          <w:lang w:bidi="ar-EG"/>
        </w:rPr>
        <w:t>وفيما يتعلق بفيروس نقص المناعة البشرية/الإيدز، فإن الاستجابة إلى ما تتطلبه صحة المرأة ككل تعني تنفيذ سياسات عامة تدعم ممارسة المرأة جميع حقوقها بغض النظر عن الأمصال.</w:t>
      </w:r>
    </w:p>
    <w:p w:rsidR="001C5EE5" w:rsidRDefault="001C5EE5" w:rsidP="0069754E">
      <w:pPr>
        <w:pStyle w:val="SingleTxt"/>
        <w:spacing w:line="390" w:lineRule="exact"/>
        <w:rPr>
          <w:rFonts w:hint="cs"/>
          <w:rtl/>
          <w:lang w:bidi="ar-EG"/>
        </w:rPr>
      </w:pPr>
      <w:r>
        <w:rPr>
          <w:rFonts w:hint="cs"/>
          <w:rtl/>
          <w:lang w:bidi="ar-EG"/>
        </w:rPr>
        <w:tab/>
        <w:t xml:space="preserve">ومن أمثلة تدابير تحسين النوعية والمساعدات ما يلي: (1) البدء في مشاريع تحسين نوعية الخدمات الصحية وإضفاء الصبغة الإنسانية على النظام الصحي الموحد بغية تعزيز الرعاية المقدمة في ظل هذا النظام من خلال تحسين الحصول عليها وتحسين حل </w:t>
      </w:r>
      <w:r w:rsidR="0069754E">
        <w:rPr>
          <w:rFonts w:hint="cs"/>
          <w:rtl/>
          <w:lang w:bidi="ar-EG"/>
        </w:rPr>
        <w:t>المشاكل</w:t>
      </w:r>
      <w:r>
        <w:rPr>
          <w:rFonts w:hint="cs"/>
          <w:rtl/>
          <w:lang w:bidi="ar-EG"/>
        </w:rPr>
        <w:t xml:space="preserve"> وإضفاء الصبغة الإنسانية؛ و (2) توسيع نطاق </w:t>
      </w:r>
      <w:r w:rsidR="0069754E">
        <w:rPr>
          <w:rFonts w:hint="cs"/>
          <w:rtl/>
          <w:lang w:bidi="ar-EG"/>
        </w:rPr>
        <w:t xml:space="preserve">برامج </w:t>
      </w:r>
      <w:r>
        <w:rPr>
          <w:rFonts w:hint="cs"/>
          <w:rtl/>
          <w:lang w:bidi="ar-EG"/>
        </w:rPr>
        <w:t xml:space="preserve">الوكلاء الصحيين </w:t>
      </w:r>
      <w:r w:rsidR="0069754E">
        <w:rPr>
          <w:rFonts w:hint="cs"/>
          <w:rtl/>
          <w:lang w:bidi="ar-EG"/>
        </w:rPr>
        <w:t>ل</w:t>
      </w:r>
      <w:r>
        <w:rPr>
          <w:rFonts w:hint="cs"/>
          <w:rtl/>
          <w:lang w:bidi="ar-EG"/>
        </w:rPr>
        <w:t xml:space="preserve">لمجتمع المحلي وبرامج صحة الأسرة. وفي السنتين الماضيتين، جرى استئجار 208 20 من الوكلاء الصحيين </w:t>
      </w:r>
      <w:r w:rsidR="0069754E">
        <w:rPr>
          <w:rFonts w:hint="cs"/>
          <w:rtl/>
          <w:lang w:bidi="ar-EG"/>
        </w:rPr>
        <w:t>ل</w:t>
      </w:r>
      <w:r>
        <w:rPr>
          <w:rFonts w:hint="cs"/>
          <w:rtl/>
          <w:lang w:bidi="ar-EG"/>
        </w:rPr>
        <w:t>لمجتمع المحلي، وجرى تشكيل 477 فريق</w:t>
      </w:r>
      <w:r w:rsidR="0069754E">
        <w:rPr>
          <w:rFonts w:hint="cs"/>
          <w:rtl/>
          <w:lang w:bidi="ar-EG"/>
        </w:rPr>
        <w:t>ا</w:t>
      </w:r>
      <w:r>
        <w:rPr>
          <w:rFonts w:hint="cs"/>
          <w:rtl/>
          <w:lang w:bidi="ar-EG"/>
        </w:rPr>
        <w:t xml:space="preserve"> للصحة الأسرية و 551 4 فريقا للصحة الفموية؛ وبذلك بلغ مجموع الوكلاء الصحيين </w:t>
      </w:r>
      <w:r w:rsidR="0069754E">
        <w:rPr>
          <w:rFonts w:hint="cs"/>
          <w:rtl/>
          <w:lang w:bidi="ar-EG"/>
        </w:rPr>
        <w:t>للمجتمع المح</w:t>
      </w:r>
      <w:r>
        <w:rPr>
          <w:rFonts w:hint="cs"/>
          <w:rtl/>
          <w:lang w:bidi="ar-EG"/>
        </w:rPr>
        <w:t>لي 491 195 وكيلا و 475 21 فريقا للصحة الأسرية و 812 8 فريقا للصحة الفموية.</w:t>
      </w:r>
    </w:p>
    <w:p w:rsidR="001C5EE5" w:rsidRDefault="001C5EE5" w:rsidP="0069754E">
      <w:pPr>
        <w:pStyle w:val="SingleTxt"/>
        <w:spacing w:line="390" w:lineRule="exact"/>
        <w:rPr>
          <w:rFonts w:hint="cs"/>
          <w:rtl/>
          <w:lang w:bidi="ar-EG"/>
        </w:rPr>
      </w:pPr>
      <w:r>
        <w:rPr>
          <w:rFonts w:hint="cs"/>
          <w:rtl/>
          <w:lang w:bidi="ar-EG"/>
        </w:rPr>
        <w:tab/>
        <w:t xml:space="preserve">ومنذ عام 2003، وبعد المشاركة في المؤتمر الوطني الثاني عشر للصحة وتحديد شرط الالتزام بين الأمانة الخاصة لسياسات تعزيز المساواة العنصرية ووزارة الصحة </w:t>
      </w:r>
      <w:r w:rsidR="0069754E">
        <w:rPr>
          <w:rFonts w:hint="cs"/>
          <w:rtl/>
          <w:lang w:bidi="ar-EG"/>
        </w:rPr>
        <w:t>ب</w:t>
      </w:r>
      <w:r>
        <w:rPr>
          <w:rFonts w:hint="cs"/>
          <w:rtl/>
          <w:lang w:bidi="ar-EG"/>
        </w:rPr>
        <w:t>تنفيذ سياس</w:t>
      </w:r>
      <w:r w:rsidR="0069754E">
        <w:rPr>
          <w:rFonts w:hint="cs"/>
          <w:rtl/>
          <w:lang w:bidi="ar-EG"/>
        </w:rPr>
        <w:t>ة</w:t>
      </w:r>
      <w:r>
        <w:rPr>
          <w:rFonts w:hint="cs"/>
          <w:rtl/>
          <w:lang w:bidi="ar-EG"/>
        </w:rPr>
        <w:t xml:space="preserve"> الصحة الوطنية للسكان السود، تشكلت اللجنة التقنية (الأمر الحكومي رقم 10)</w:t>
      </w:r>
      <w:r w:rsidR="003631C0">
        <w:rPr>
          <w:rFonts w:hint="cs"/>
          <w:rtl/>
          <w:lang w:bidi="ar-EG"/>
        </w:rPr>
        <w:t xml:space="preserve"> المؤلفة من الحكومة الاتحادية والمجتمع المدني بغرض إعادة تصميم الخطة الوطنية للصحة.</w:t>
      </w:r>
    </w:p>
    <w:p w:rsidR="003631C0" w:rsidRDefault="003631C0" w:rsidP="0069754E">
      <w:pPr>
        <w:pStyle w:val="SingleTxt"/>
        <w:spacing w:line="390" w:lineRule="exact"/>
        <w:rPr>
          <w:rFonts w:hint="cs"/>
          <w:rtl/>
          <w:lang w:bidi="ar-EG"/>
        </w:rPr>
      </w:pPr>
      <w:r>
        <w:rPr>
          <w:rFonts w:hint="cs"/>
          <w:rtl/>
          <w:lang w:bidi="ar-EG"/>
        </w:rPr>
        <w:tab/>
        <w:t xml:space="preserve">وفي عام 2004، </w:t>
      </w:r>
      <w:r w:rsidR="0069754E">
        <w:rPr>
          <w:rFonts w:hint="cs"/>
          <w:rtl/>
          <w:lang w:bidi="ar-EG"/>
        </w:rPr>
        <w:t>بينما</w:t>
      </w:r>
      <w:r>
        <w:rPr>
          <w:rFonts w:hint="cs"/>
          <w:rtl/>
          <w:lang w:bidi="ar-EG"/>
        </w:rPr>
        <w:t xml:space="preserve"> كان العمل يجري في ظل هذه الشراكة، نظمت الحلقة الدراسية </w:t>
      </w:r>
      <w:r>
        <w:rPr>
          <w:rFonts w:hint="eastAsia"/>
          <w:rtl/>
          <w:lang w:bidi="ar-EG"/>
        </w:rPr>
        <w:t>”صحة السكان السود في ظل خطة الصحة الوطن</w:t>
      </w:r>
      <w:r w:rsidR="0069754E">
        <w:rPr>
          <w:rFonts w:hint="eastAsia"/>
          <w:rtl/>
          <w:lang w:bidi="ar-EG"/>
        </w:rPr>
        <w:t>ية: الأعمال الإيجابية لتعزيز ال</w:t>
      </w:r>
      <w:r>
        <w:rPr>
          <w:rFonts w:hint="eastAsia"/>
          <w:rtl/>
          <w:lang w:bidi="ar-EG"/>
        </w:rPr>
        <w:t>عدل</w:t>
      </w:r>
      <w:r>
        <w:rPr>
          <w:rFonts w:hint="cs"/>
          <w:rtl/>
          <w:lang w:bidi="ar-EG"/>
        </w:rPr>
        <w:t>“ بغرض تعميق المناقشات المتعلقة بإعادة تطوير الخطة وإشراك الباحثين في مجال صحة السكان السود. وتستخدم اللجنة التقنية نتائج هذه الحلقة لكي تعيد تصميم الخطة.</w:t>
      </w:r>
    </w:p>
    <w:p w:rsidR="003631C0" w:rsidRDefault="003631C0" w:rsidP="0069754E">
      <w:pPr>
        <w:pStyle w:val="SingleTxt"/>
        <w:spacing w:line="390" w:lineRule="exact"/>
        <w:rPr>
          <w:rFonts w:hint="cs"/>
          <w:rtl/>
          <w:lang w:bidi="ar-EG"/>
        </w:rPr>
      </w:pPr>
      <w:r>
        <w:rPr>
          <w:rFonts w:hint="cs"/>
          <w:rtl/>
          <w:lang w:bidi="ar-EG"/>
        </w:rPr>
        <w:tab/>
        <w:t xml:space="preserve">وفي عام 2004 استضافت البرازيل اجتماع الأخصائيين المدعو </w:t>
      </w:r>
      <w:r>
        <w:rPr>
          <w:rFonts w:hint="eastAsia"/>
          <w:rtl/>
          <w:lang w:bidi="ar-EG"/>
        </w:rPr>
        <w:t xml:space="preserve">”النظر إلى الأهداف الإنمائية للألفية من خلال </w:t>
      </w:r>
      <w:r w:rsidR="0069754E">
        <w:rPr>
          <w:rFonts w:hint="cs"/>
          <w:rtl/>
          <w:lang w:bidi="ar-EG"/>
        </w:rPr>
        <w:t>وجهات نظر</w:t>
      </w:r>
      <w:r>
        <w:rPr>
          <w:rFonts w:hint="eastAsia"/>
          <w:rtl/>
          <w:lang w:bidi="ar-EG"/>
        </w:rPr>
        <w:t xml:space="preserve"> إثنية: ضمان احتواء الأهداف الصحية للألفية على منظور إثني في أمريكا اللاتينية ومنطقة البحر الكاريبي</w:t>
      </w:r>
      <w:r>
        <w:rPr>
          <w:rFonts w:hint="cs"/>
          <w:rtl/>
          <w:lang w:bidi="ar-EG"/>
        </w:rPr>
        <w:t>“ الذي نظمته مفوضية الأمم المتحدة لحقوق الإنسان ومنظمة الصحة للبلدان الأمريكية. وكان الهدف من الاجتماع ضمان إسهام الأهداف الإنمائية للألفية في التغلب على العنصرية والتمييز العنصري وكراهية الأجانب والتعصب المتصل بذلك.</w:t>
      </w:r>
    </w:p>
    <w:p w:rsidR="003631C0" w:rsidRDefault="003631C0" w:rsidP="00B44C56">
      <w:pPr>
        <w:pStyle w:val="SingleTxt"/>
        <w:spacing w:line="390" w:lineRule="exact"/>
        <w:rPr>
          <w:rFonts w:hint="cs"/>
          <w:rtl/>
          <w:lang w:bidi="ar-EG"/>
        </w:rPr>
      </w:pPr>
      <w:r>
        <w:rPr>
          <w:rFonts w:hint="cs"/>
          <w:rtl/>
          <w:lang w:bidi="ar-EG"/>
        </w:rPr>
        <w:tab/>
        <w:t xml:space="preserve">ولما كانت الحكومة الاتحادية قد اتخذت قرارا حاسما لمعالجة عدم المساواة العنصرية في البلد، فإنها تتخذ بعض الإجراءات المحددة فيما يتعلق بصحة المرأة السوداء، وهي إجراء اختبار لاكتشاف فقر الدم المنجلي الشكل في اختبارات ما قبل الولادة، وإعداد ونشر كتاب بعنوان </w:t>
      </w:r>
      <w:r>
        <w:rPr>
          <w:rFonts w:hint="eastAsia"/>
          <w:rtl/>
          <w:lang w:bidi="ar-EG"/>
        </w:rPr>
        <w:t>”منظور العدل بالنسبة لأوجه الاختلاف في الميثاق الوطني لتخفيض الوفيات النفاسية ووفيات المواليد - رعاية المرأة السوداء</w:t>
      </w:r>
      <w:r>
        <w:rPr>
          <w:rFonts w:hint="cs"/>
          <w:rtl/>
          <w:lang w:bidi="ar-EG"/>
        </w:rPr>
        <w:t>“، وإدراج سؤال بشأن اللون في نماذج وزارة الصحة وفي نظم المعلومات.</w:t>
      </w:r>
    </w:p>
    <w:p w:rsidR="003631C0" w:rsidRDefault="003631C0" w:rsidP="00B44C56">
      <w:pPr>
        <w:pStyle w:val="SingleTxt"/>
        <w:spacing w:line="390" w:lineRule="exact"/>
        <w:rPr>
          <w:rFonts w:hint="cs"/>
          <w:rtl/>
          <w:lang w:bidi="ar-EG"/>
        </w:rPr>
      </w:pPr>
      <w:r>
        <w:rPr>
          <w:rFonts w:hint="cs"/>
          <w:rtl/>
          <w:lang w:bidi="ar-EG"/>
        </w:rPr>
        <w:tab/>
        <w:t xml:space="preserve">ورغبة من الحكومة البرازيلية في وضع استراتيجيات عمل محددة لمختلف المجموعات السكانية، قامت الحكومة عام 2004، من خلال وزارة الصحة، بإنشاء لجنة تقنية بشأن السكان السود، ولجنة تقنية أخرى تتناول صحة المثليين و المثليات ومن يغيرون </w:t>
      </w:r>
      <w:r w:rsidR="0069754E">
        <w:rPr>
          <w:rFonts w:hint="cs"/>
          <w:rtl/>
          <w:lang w:bidi="ar-EG"/>
        </w:rPr>
        <w:t xml:space="preserve">نوع </w:t>
      </w:r>
      <w:r>
        <w:rPr>
          <w:rFonts w:hint="cs"/>
          <w:rtl/>
          <w:lang w:bidi="ar-EG"/>
        </w:rPr>
        <w:t>جنسهم وثنائيّ الجنس.</w:t>
      </w:r>
    </w:p>
    <w:p w:rsidR="003631C0" w:rsidRDefault="003631C0" w:rsidP="00B44C56">
      <w:pPr>
        <w:pStyle w:val="SingleTxt"/>
        <w:spacing w:line="390" w:lineRule="exact"/>
        <w:rPr>
          <w:rFonts w:hint="cs"/>
          <w:rtl/>
          <w:lang w:bidi="ar-EG"/>
        </w:rPr>
      </w:pPr>
      <w:r>
        <w:rPr>
          <w:rFonts w:hint="cs"/>
          <w:rtl/>
          <w:lang w:bidi="ar-EG"/>
        </w:rPr>
        <w:tab/>
      </w:r>
      <w:r w:rsidR="00FF134F">
        <w:rPr>
          <w:rFonts w:hint="cs"/>
          <w:rtl/>
          <w:lang w:bidi="ar-EG"/>
        </w:rPr>
        <w:t>وشكلت الحكومة أيضا عام 2003 أفرقة عاملة معنية بصحة النساء السود والمثليات. وتناول فريق عامل أيضا مسألة السكان الريفيين، وهو فريق الأرض. وجرى تشجيع المجتمع المدني والجامعات والرابطات العلمية على المشاركة في جميع الأفرقة العاملة.</w:t>
      </w:r>
    </w:p>
    <w:p w:rsidR="00FF134F" w:rsidRDefault="00FF134F" w:rsidP="00DC149B">
      <w:pPr>
        <w:pStyle w:val="SingleTxt"/>
        <w:spacing w:line="390" w:lineRule="exact"/>
        <w:rPr>
          <w:rFonts w:hint="cs"/>
          <w:rtl/>
          <w:lang w:bidi="ar-EG"/>
        </w:rPr>
      </w:pPr>
      <w:r>
        <w:rPr>
          <w:rFonts w:hint="cs"/>
          <w:rtl/>
          <w:lang w:bidi="ar-EG"/>
        </w:rPr>
        <w:tab/>
        <w:t xml:space="preserve">ومن عام 2001 إلى عام 2004 تولت وزارة الصحة، من خلال المجال التقني لصحة المرأة، تيسير بذل الجهود اللازمة لبناء القدرات المتنوعة بغية تغيير نماذج رعاية التوليد وإضفاء الصبغة الإنسانية على المساعدات المقدمة. وتتضمن تلك الجهود (1) تقديم دورات تدريبية إلى </w:t>
      </w:r>
      <w:r>
        <w:rPr>
          <w:lang w:bidi="ar-EG"/>
        </w:rPr>
        <w:t>Doulas</w:t>
      </w:r>
      <w:r w:rsidRPr="00FF134F">
        <w:rPr>
          <w:vertAlign w:val="superscript"/>
          <w:rtl/>
          <w:lang w:bidi="ar-EG"/>
        </w:rPr>
        <w:t>(</w:t>
      </w:r>
      <w:r>
        <w:rPr>
          <w:rStyle w:val="FootnoteReference"/>
          <w:rtl/>
        </w:rPr>
        <w:footnoteReference w:id="6"/>
      </w:r>
      <w:r w:rsidRPr="00FF134F">
        <w:rPr>
          <w:vertAlign w:val="superscript"/>
          <w:rtl/>
          <w:lang w:bidi="ar-EG"/>
        </w:rPr>
        <w:t>)</w:t>
      </w:r>
      <w:r>
        <w:rPr>
          <w:rFonts w:hint="cs"/>
          <w:rtl/>
          <w:lang w:bidi="ar-EG"/>
        </w:rPr>
        <w:t xml:space="preserve"> المجتمع المحلي، وهن نساء من المجتمع المحلي يصاحبن النساء ويساعدهن في الولادة في 7 ولايات برازيلية؛ و (2) تقديم 34 دورة تخصص في رعاية التوليد؛ و</w:t>
      </w:r>
      <w:r>
        <w:rPr>
          <w:rFonts w:hint="eastAsia"/>
          <w:rtl/>
          <w:lang w:bidi="ar-EG"/>
        </w:rPr>
        <w:t> </w:t>
      </w:r>
      <w:r>
        <w:rPr>
          <w:rFonts w:hint="cs"/>
          <w:rtl/>
          <w:lang w:bidi="ar-EG"/>
        </w:rPr>
        <w:t>(3)</w:t>
      </w:r>
      <w:r>
        <w:rPr>
          <w:rFonts w:hint="eastAsia"/>
          <w:rtl/>
          <w:lang w:bidi="ar-EG"/>
        </w:rPr>
        <w:t> </w:t>
      </w:r>
      <w:r>
        <w:rPr>
          <w:rFonts w:hint="cs"/>
          <w:rtl/>
          <w:lang w:bidi="ar-EG"/>
        </w:rPr>
        <w:t xml:space="preserve">بناء القدرات لـ 85 من المهنيين الصحيين للعمل كمعلمين، ولـ 157 من القابلات التقليديات في عدة ولايات برازيلية؛ و (4) تقديم تدريب يتعلق بفترة ما قبل الولادة للمهنيين من </w:t>
      </w:r>
      <w:r w:rsidR="00B14111">
        <w:rPr>
          <w:rFonts w:hint="cs"/>
          <w:rtl/>
          <w:lang w:bidi="ar-EG"/>
        </w:rPr>
        <w:t xml:space="preserve">الإدارات الصحية للبلديات؛ و (5) تقديم التدريب على الدليل العلمي في مجالي رعاية التوليد والرعاية الإنسانية للمواليد، ويقدم هذا التدريب إلى ممثلين من أكبر 27 قسما من أقسام الولادة في البرازيل، </w:t>
      </w:r>
      <w:r w:rsidR="00DC149B">
        <w:rPr>
          <w:rFonts w:hint="cs"/>
          <w:rtl/>
          <w:lang w:bidi="ar-EG"/>
        </w:rPr>
        <w:t xml:space="preserve">أي إلى ممثل </w:t>
      </w:r>
      <w:r w:rsidR="00B14111">
        <w:rPr>
          <w:rFonts w:hint="cs"/>
          <w:rtl/>
          <w:lang w:bidi="ar-EG"/>
        </w:rPr>
        <w:t>من كل ولاية من ولايات البرازيل.</w:t>
      </w:r>
    </w:p>
    <w:p w:rsidR="00BA33AB" w:rsidRPr="00BA33AB" w:rsidRDefault="00BA33AB" w:rsidP="00BA33AB">
      <w:pPr>
        <w:pStyle w:val="SingleTxt"/>
        <w:spacing w:after="0" w:line="120" w:lineRule="exact"/>
        <w:rPr>
          <w:rFonts w:hint="cs"/>
          <w:sz w:val="10"/>
          <w:rtl/>
          <w:lang w:bidi="ar-EG"/>
        </w:rPr>
      </w:pPr>
    </w:p>
    <w:p w:rsidR="00814C66" w:rsidRDefault="00814C66" w:rsidP="00814C6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من اتفاقية القضاء على جميع أشكال التمييز ضد المرأة</w:t>
      </w:r>
    </w:p>
    <w:p w:rsidR="001725ED" w:rsidRDefault="001725ED" w:rsidP="00445830">
      <w:pPr>
        <w:pStyle w:val="SingleTxt"/>
        <w:ind w:left="1930" w:hanging="663"/>
        <w:rPr>
          <w:rtl/>
        </w:rPr>
      </w:pPr>
      <w:r>
        <w:rPr>
          <w:rFonts w:hint="cs"/>
          <w:rtl/>
          <w:lang w:bidi="ar-EG"/>
        </w:rPr>
        <w:tab/>
      </w:r>
      <w:r w:rsidR="00445830">
        <w:rPr>
          <w:rFonts w:hint="cs"/>
          <w:rtl/>
          <w:lang w:bidi="ar-EG"/>
        </w:rPr>
        <w:tab/>
      </w:r>
      <w:r w:rsidRPr="00732CC8">
        <w:rPr>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ولاسيما</w:t>
      </w:r>
      <w:r>
        <w:rPr>
          <w:rtl/>
        </w:rPr>
        <w:t>:</w:t>
      </w:r>
    </w:p>
    <w:p w:rsidR="001725ED" w:rsidRPr="00732CC8" w:rsidRDefault="00445830" w:rsidP="00445830">
      <w:pPr>
        <w:pStyle w:val="SingleTxt"/>
        <w:ind w:left="1930" w:hanging="663"/>
        <w:rPr>
          <w:rtl/>
        </w:rPr>
      </w:pPr>
      <w:r>
        <w:rPr>
          <w:rFonts w:hint="cs"/>
          <w:rtl/>
        </w:rPr>
        <w:tab/>
      </w:r>
      <w:r w:rsidR="001725ED">
        <w:rPr>
          <w:rtl/>
        </w:rPr>
        <w:tab/>
      </w:r>
      <w:r w:rsidR="001725ED" w:rsidRPr="00732CC8">
        <w:rPr>
          <w:rtl/>
        </w:rPr>
        <w:t>(أ)</w:t>
      </w:r>
      <w:r w:rsidR="001725ED" w:rsidRPr="00732CC8">
        <w:rPr>
          <w:rtl/>
        </w:rPr>
        <w:tab/>
        <w:t>الحق في الاستحقاقات العائلية؛</w:t>
      </w:r>
    </w:p>
    <w:p w:rsidR="001725ED" w:rsidRPr="00732CC8" w:rsidRDefault="00445830" w:rsidP="00445830">
      <w:pPr>
        <w:pStyle w:val="SingleTxt"/>
        <w:ind w:left="1930" w:hanging="663"/>
        <w:rPr>
          <w:rtl/>
        </w:rPr>
      </w:pPr>
      <w:r>
        <w:rPr>
          <w:rFonts w:hint="cs"/>
          <w:rtl/>
        </w:rPr>
        <w:tab/>
      </w:r>
      <w:r w:rsidR="001725ED" w:rsidRPr="00732CC8">
        <w:rPr>
          <w:rtl/>
        </w:rPr>
        <w:tab/>
        <w:t>(ب)</w:t>
      </w:r>
      <w:r w:rsidR="001725ED" w:rsidRPr="00732CC8">
        <w:rPr>
          <w:rtl/>
        </w:rPr>
        <w:tab/>
        <w:t>الحق في الحصول على القروض المصرفية، والرهون العقارية وغير ذلك من أشكال الائتمان المالي؛</w:t>
      </w:r>
    </w:p>
    <w:p w:rsidR="001725ED" w:rsidRDefault="00445830" w:rsidP="00445830">
      <w:pPr>
        <w:pStyle w:val="SingleTxt"/>
        <w:ind w:left="1930" w:hanging="663"/>
        <w:rPr>
          <w:rFonts w:hint="cs"/>
          <w:b/>
          <w:bCs/>
          <w:rtl/>
          <w:lang w:bidi="ar-EG"/>
        </w:rPr>
      </w:pPr>
      <w:r>
        <w:rPr>
          <w:rFonts w:hint="cs"/>
          <w:rtl/>
        </w:rPr>
        <w:tab/>
      </w:r>
      <w:r w:rsidR="001725ED" w:rsidRPr="00732CC8">
        <w:rPr>
          <w:rtl/>
        </w:rPr>
        <w:tab/>
        <w:t>(ج)</w:t>
      </w:r>
      <w:r w:rsidR="001725ED" w:rsidRPr="00732CC8">
        <w:rPr>
          <w:rtl/>
        </w:rPr>
        <w:tab/>
        <w:t>الحق في الاشتراك في الأنشطة الترويحية والألعاب الرياضية وفي جميع جوانب الحياة الثقافية</w:t>
      </w:r>
      <w:r w:rsidR="001725ED" w:rsidRPr="00732CC8">
        <w:rPr>
          <w:b/>
          <w:bCs/>
          <w:rtl/>
        </w:rPr>
        <w:t>.</w:t>
      </w:r>
    </w:p>
    <w:p w:rsidR="00814C66" w:rsidRDefault="00BA33AB" w:rsidP="00BA33AB">
      <w:pPr>
        <w:pStyle w:val="SingleTxt"/>
        <w:rPr>
          <w:rFonts w:hint="cs"/>
          <w:rtl/>
          <w:lang w:bidi="ar-EG"/>
        </w:rPr>
      </w:pPr>
      <w:r>
        <w:rPr>
          <w:rFonts w:hint="cs"/>
          <w:rtl/>
          <w:lang w:bidi="ar-EG"/>
        </w:rPr>
        <w:tab/>
        <w:t>أثناء الفترة المشمولة بهذا التقرير، جرى الاضطلاع بالأعمال اللازمة للامتثال للمادة</w:t>
      </w:r>
      <w:r>
        <w:rPr>
          <w:rFonts w:hint="eastAsia"/>
          <w:rtl/>
          <w:lang w:bidi="ar-EG"/>
        </w:rPr>
        <w:t> </w:t>
      </w:r>
      <w:r>
        <w:rPr>
          <w:rFonts w:hint="cs"/>
          <w:rtl/>
          <w:lang w:bidi="ar-EG"/>
        </w:rPr>
        <w:t>13 من الاتفاقية.</w:t>
      </w:r>
    </w:p>
    <w:p w:rsidR="00BA33AB" w:rsidRDefault="00BA33AB" w:rsidP="00DC149B">
      <w:pPr>
        <w:pStyle w:val="SingleTxt"/>
        <w:rPr>
          <w:rFonts w:hint="cs"/>
          <w:rtl/>
          <w:lang w:bidi="ar-EG"/>
        </w:rPr>
      </w:pPr>
      <w:r>
        <w:rPr>
          <w:rFonts w:hint="cs"/>
          <w:rtl/>
          <w:lang w:bidi="ar-EG"/>
        </w:rPr>
        <w:tab/>
        <w:t xml:space="preserve">في نطاق وزارة العمل والعمالة، أنشئت الأمانة الخاصة لاقتصاد التضامن. واقتصاد التضامن، بوصفه استراتيجية تتعدى هيكل السوق، فإنه يتطابق مع مجموعة الأنشطة الاقتصادية للإنتاج والتوزيع والاستهلاك والادخار والائتمان، وتنظم هذه الأنشطة بحيث تدير نفسها بغية الملكية الجماعية لوسائل إنتاج السلع أو لتقديم الخدمات ومن أجل </w:t>
      </w:r>
      <w:r w:rsidR="00DC149B">
        <w:rPr>
          <w:rFonts w:hint="cs"/>
          <w:rtl/>
          <w:lang w:bidi="ar-EG"/>
        </w:rPr>
        <w:t>ال</w:t>
      </w:r>
      <w:r>
        <w:rPr>
          <w:rFonts w:hint="cs"/>
          <w:rtl/>
          <w:lang w:bidi="ar-EG"/>
        </w:rPr>
        <w:t xml:space="preserve">مشاركة </w:t>
      </w:r>
      <w:r w:rsidR="00DC149B">
        <w:rPr>
          <w:rFonts w:hint="cs"/>
          <w:rtl/>
          <w:lang w:bidi="ar-EG"/>
        </w:rPr>
        <w:t>الديمقراطية ل</w:t>
      </w:r>
      <w:r>
        <w:rPr>
          <w:rFonts w:hint="cs"/>
          <w:rtl/>
          <w:lang w:bidi="ar-EG"/>
        </w:rPr>
        <w:t xml:space="preserve">أعضاء المنظمة أو المؤسسة في اتخاذ القرارات. ويشكل اقتصاد التضامن إحدى وسائل مكافحة الإقصاء والعمل </w:t>
      </w:r>
      <w:r w:rsidR="00DC149B">
        <w:rPr>
          <w:rFonts w:hint="cs"/>
          <w:rtl/>
          <w:lang w:bidi="ar-EG"/>
        </w:rPr>
        <w:t>غير الثابت</w:t>
      </w:r>
      <w:r>
        <w:rPr>
          <w:rFonts w:hint="cs"/>
          <w:rtl/>
          <w:lang w:bidi="ar-EG"/>
        </w:rPr>
        <w:t>.</w:t>
      </w:r>
    </w:p>
    <w:p w:rsidR="00BA33AB" w:rsidRDefault="00BA33AB" w:rsidP="00355B4D">
      <w:pPr>
        <w:pStyle w:val="SingleTxt"/>
        <w:rPr>
          <w:rFonts w:hint="cs"/>
          <w:rtl/>
          <w:lang w:bidi="ar-EG"/>
        </w:rPr>
      </w:pPr>
      <w:r>
        <w:rPr>
          <w:rFonts w:hint="cs"/>
          <w:rtl/>
          <w:lang w:bidi="ar-EG"/>
        </w:rPr>
        <w:tab/>
        <w:t xml:space="preserve">ووجود العاملات الريفيات في المكافحة من أجل الإصلاح الزراعي أمر ملحوظ إلى أقصى حد. وزادت مطالبات الحركات الاجتماعية النسائية بشهادات الملكية التي تثبت الملكية المشتركة. ونتيجة لذلك، أدرجت المادة 189 من الدستور الاتحادي التي تؤكد في فقرتها الوحيدة أن </w:t>
      </w:r>
      <w:r>
        <w:rPr>
          <w:rFonts w:hint="eastAsia"/>
          <w:rtl/>
          <w:lang w:bidi="ar-EG"/>
        </w:rPr>
        <w:t>”شهادات ملكية الأراضي وامتيازات استعمالها ستمنح للرجل أو للمرأة، أو لكليهما، بغض النظر عن الحالة المدنية</w:t>
      </w:r>
      <w:r w:rsidR="00DC149B">
        <w:rPr>
          <w:rFonts w:hint="cs"/>
          <w:rtl/>
          <w:lang w:bidi="ar-EG"/>
        </w:rPr>
        <w:t xml:space="preserve"> للشخص</w:t>
      </w:r>
      <w:r>
        <w:rPr>
          <w:rFonts w:hint="cs"/>
          <w:rtl/>
          <w:lang w:bidi="ar-EG"/>
        </w:rPr>
        <w:t xml:space="preserve">“. وسيمنح امتياز الاستعمال للرجل أو للمرأة، أو لكليهما، بغض النظر </w:t>
      </w:r>
      <w:r w:rsidR="00E34BA0">
        <w:rPr>
          <w:rFonts w:hint="cs"/>
          <w:rtl/>
          <w:lang w:bidi="ar-EG"/>
        </w:rPr>
        <w:t>عن الحالة المدنية. ورغم الضمان الدستوري، فما زال تنفيذ هذه المادة متقلقلا.</w:t>
      </w:r>
    </w:p>
    <w:p w:rsidR="00E34BA0" w:rsidRDefault="00E34BA0" w:rsidP="00DC149B">
      <w:pPr>
        <w:pStyle w:val="SingleTxt"/>
        <w:spacing w:line="390" w:lineRule="exact"/>
        <w:rPr>
          <w:rFonts w:hint="cs"/>
          <w:rtl/>
          <w:lang w:bidi="ar-EG"/>
        </w:rPr>
      </w:pPr>
      <w:r>
        <w:rPr>
          <w:rFonts w:hint="cs"/>
          <w:rtl/>
          <w:lang w:bidi="ar-EG"/>
        </w:rPr>
        <w:tab/>
        <w:t>وفي تعداد الإصلاح الزراعي الذي أجري عام 1996، بلغت نسبة النساء اللائي يمتلكن أرضا 12 في المائة. وتعتبر هذه النسبة منخفضة بالمقارنة مع البلدان الأخرى في أمريكا اللاتينية. وفي كولومبيا، على سبيل المثال، يبلغ هذا المؤشر 45 في المائة. ويتضح من البحث الذي أجرته جامعة كامبيناس/منظمة الأغذية والزراعة أن 87 في المائة من حاملي شهادات ملكية الأراضي التي أصدرها المعهد الوطني للاستيطان والإصلاح الزراعي من الرجال، مما أبقى على المعدلات المنخفضة للإناث من حاملي شهادات ملكية الأراضي. ولا</w:t>
      </w:r>
      <w:r>
        <w:rPr>
          <w:rFonts w:hint="eastAsia"/>
          <w:rtl/>
          <w:lang w:bidi="ar-EG"/>
        </w:rPr>
        <w:t> </w:t>
      </w:r>
      <w:r>
        <w:rPr>
          <w:rFonts w:hint="cs"/>
          <w:rtl/>
          <w:lang w:bidi="ar-EG"/>
        </w:rPr>
        <w:t>يزال معدل إمكانية حصول المرأة الريفية على الأراضي أكثر انخفاضا في برنامج الاقتراع المتعلق بالأراضي. وكانت نسبة الرجال الذين انتفعوا مباشرة من شهادات الملكية التي أصدرها هذا البرنامج 93 في المائة.</w:t>
      </w:r>
    </w:p>
    <w:p w:rsidR="00E34BA0" w:rsidRDefault="00E34BA0" w:rsidP="00DC149B">
      <w:pPr>
        <w:pStyle w:val="SingleTxt"/>
        <w:spacing w:line="390" w:lineRule="exact"/>
        <w:rPr>
          <w:rFonts w:hint="cs"/>
          <w:rtl/>
          <w:lang w:bidi="ar-EG"/>
        </w:rPr>
      </w:pPr>
      <w:r>
        <w:rPr>
          <w:rFonts w:hint="cs"/>
          <w:rtl/>
          <w:lang w:bidi="ar-EG"/>
        </w:rPr>
        <w:tab/>
        <w:t xml:space="preserve">وفي عام 2001، </w:t>
      </w:r>
      <w:r w:rsidR="00DC149B">
        <w:rPr>
          <w:rFonts w:hint="cs"/>
          <w:rtl/>
          <w:lang w:bidi="ar-EG"/>
        </w:rPr>
        <w:t xml:space="preserve">أدرك </w:t>
      </w:r>
      <w:r>
        <w:rPr>
          <w:rFonts w:hint="cs"/>
          <w:rtl/>
          <w:lang w:bidi="ar-EG"/>
        </w:rPr>
        <w:t>برنامج الإجراءات الإيجابية التابع لوزارة التنمية الزراعية أن هناك مشكلة، وهي أن الائتمانات المخصصة للمرأة لم تتعد 10 في المائة من مجموع الائتمانات الممنوحة. ونص القرار الإداري رقم 121 في 22 أيار/مايو 2001 على أنه ينبغي أن يخصص على نحو تفضيلي للعاملات الزراعيات 30 في المائة على الأقل من موارد البرنامج الوطني لتعزيز الزراعة الأسرية. ومع ذلك، لم يعدل ذلك من حقيقة افتقار العاملات الزراعيات إلى إمكانية الحصول على الائتمان الريفي الذي يتيحه هذا البرنامج.</w:t>
      </w:r>
    </w:p>
    <w:p w:rsidR="005F0384" w:rsidRDefault="00B44C56" w:rsidP="005A77EB">
      <w:pPr>
        <w:pStyle w:val="SingleTxt"/>
        <w:spacing w:line="390" w:lineRule="exact"/>
        <w:rPr>
          <w:rFonts w:hint="cs"/>
          <w:rtl/>
          <w:lang w:bidi="ar-EG"/>
        </w:rPr>
      </w:pPr>
      <w:r>
        <w:rPr>
          <w:rFonts w:hint="cs"/>
          <w:rtl/>
          <w:lang w:bidi="ar-EG"/>
        </w:rPr>
        <w:tab/>
        <w:t>ومن ا</w:t>
      </w:r>
      <w:r w:rsidR="005F0384">
        <w:rPr>
          <w:rFonts w:hint="cs"/>
          <w:rtl/>
          <w:lang w:bidi="ar-EG"/>
        </w:rPr>
        <w:t>لعوامل التي لها تأثير على هذه الحالة أنه لا يجري الاعتراف بالريفيات على أنهن عاملات زراعيات. وكثيرا ما يشرن إلى أنفسهن بوصفهن من ربات البيوت اللاتي يساعدن أزواجهن في المزرعة. ولا تتمتع هؤلاء النساء إلا بقدر ضئيل جدا من الاستقلال الذاتي الاقتصادي أو سلطة إدارة الموارد، حتى تلك الموارد النابعة من عملهن. وفضلا عن ذلك، فهن يعتبرن أن مطالب المصارف فيما يتعلق بالوثائق أمور مبالغ فيها، وأن الإجراءات المعتادة في المصارف لا تليق بالعاملات الزراعيات. وهذا يمثل صعوبة أخرى في وجه إمكانية الحصول على الائتمان.</w:t>
      </w:r>
    </w:p>
    <w:p w:rsidR="005F0384" w:rsidRDefault="005F0384" w:rsidP="005A77EB">
      <w:pPr>
        <w:pStyle w:val="SingleTxt"/>
        <w:spacing w:line="390" w:lineRule="exact"/>
        <w:rPr>
          <w:rFonts w:hint="cs"/>
          <w:rtl/>
          <w:lang w:bidi="ar-EG"/>
        </w:rPr>
      </w:pPr>
      <w:r>
        <w:rPr>
          <w:rFonts w:hint="cs"/>
          <w:rtl/>
          <w:lang w:bidi="ar-EG"/>
        </w:rPr>
        <w:tab/>
        <w:t xml:space="preserve">ويجري تنظيم البرنامج الوطني لتعزيز الزراعة الأسرية على أنه مصدر ائتمان للوحدة الأسرية ويتطلب التزام جميع أفراد الأسرة. ومع ذلك، فإن المتحدث العام باسم الأسرة شخص واحد فقط، وهو عموما الرجل والزوج والأب. ويتضح ذلك في إعلان التأهيل لهذا البرنامج، وهو أن حامله شخص واحد، هو الرجل في 88 في المائة من الحالات. وإعلان التأهيل هذا هو </w:t>
      </w:r>
      <w:r>
        <w:rPr>
          <w:rFonts w:hint="eastAsia"/>
          <w:rtl/>
          <w:lang w:bidi="ar-EG"/>
        </w:rPr>
        <w:t>”جواز المرور</w:t>
      </w:r>
      <w:r>
        <w:rPr>
          <w:rFonts w:hint="cs"/>
          <w:rtl/>
          <w:lang w:bidi="ar-EG"/>
        </w:rPr>
        <w:t>“ إلى الائتمان وإذا تقدمت عاملة زراعية للحصول على ائتمان، يجب على زوجها أن يتقدم بالطلب وأن يوقع على الوثائق. وبالعكس، عندما يتقدم الرجل بالطلب لا تلزم موافقة كتابية من زوجته. وقد فتحت إمكانية جديدة للمناقشة في حصاد 2004/2005 بفضل قيام إعلان تأهيل البرنامج بإدراج الملكية المشتركة لحاملي شهادات ملكية الأراضي، وإلزام كل من الرجل والمرأة بالمشاركة.</w:t>
      </w:r>
    </w:p>
    <w:p w:rsidR="005F0384" w:rsidRDefault="005F0384" w:rsidP="00DC149B">
      <w:pPr>
        <w:pStyle w:val="SingleTxt"/>
        <w:spacing w:line="390" w:lineRule="exact"/>
        <w:rPr>
          <w:rFonts w:hint="cs"/>
          <w:rtl/>
          <w:lang w:bidi="ar-EG"/>
        </w:rPr>
      </w:pPr>
      <w:r>
        <w:rPr>
          <w:rFonts w:hint="cs"/>
          <w:rtl/>
          <w:lang w:bidi="ar-EG"/>
        </w:rPr>
        <w:tab/>
        <w:t>ومن أهداف الخطة الوطنية لسياسات المرأة منح ائتمان لـ 000 400 عاملة ريفية على مدى عامي 2005 و 2006. ومن أولويات الخطة تعزيز الاستقلال الذاتي الاقتصادي والمالي للمرأة عن طريق دعم مساع</w:t>
      </w:r>
      <w:r w:rsidR="00DC149B">
        <w:rPr>
          <w:rFonts w:hint="cs"/>
          <w:rtl/>
          <w:lang w:bidi="ar-EG"/>
        </w:rPr>
        <w:t>ي</w:t>
      </w:r>
      <w:r>
        <w:rPr>
          <w:rFonts w:hint="cs"/>
          <w:rtl/>
          <w:lang w:bidi="ar-EG"/>
        </w:rPr>
        <w:t xml:space="preserve"> تنظيم المشاريع والتعاون والتجارة. وتشير الخطة أيضا </w:t>
      </w:r>
      <w:r w:rsidR="002502E8">
        <w:rPr>
          <w:rFonts w:hint="cs"/>
          <w:rtl/>
          <w:lang w:bidi="ar-EG"/>
        </w:rPr>
        <w:t xml:space="preserve">إلى اتخاذ الإجراءات اللازمة لتوسيع نطاق إمكانية وصول النساء إلى جميع نظم الائتمان المتاحة، </w:t>
      </w:r>
      <w:r w:rsidR="00DC149B">
        <w:rPr>
          <w:rFonts w:hint="cs"/>
          <w:rtl/>
          <w:lang w:bidi="ar-EG"/>
        </w:rPr>
        <w:t>ف</w:t>
      </w:r>
      <w:r w:rsidR="002502E8">
        <w:rPr>
          <w:rFonts w:hint="cs"/>
          <w:rtl/>
          <w:lang w:bidi="ar-EG"/>
        </w:rPr>
        <w:t>ضلا عن زيادة حجم الائتمان المخصص للمرأة في ظل برنامجي وزارة العمل والعمالة ووزارة التنمية الزراعية، بما في ذلك البرنامج الوطني لتعزيز الزراعة الأسرية للمرأة. وسيتطلب تنفيذ هذه الأولوية أيضا اتخاذ الإجراءات اللازمة لنشر هذا البرنامج الوطني والالتزام بأن يصدر إعلان التأهيل للحصول على الائتمان باسم كل من حامليّ شهادات ملكية الأراضي (الرجال والنساء من العاملين الزراعيين).</w:t>
      </w:r>
    </w:p>
    <w:p w:rsidR="002502E8" w:rsidRDefault="002502E8" w:rsidP="005A77EB">
      <w:pPr>
        <w:pStyle w:val="SingleTxt"/>
        <w:spacing w:line="390" w:lineRule="exact"/>
        <w:rPr>
          <w:rFonts w:hint="cs"/>
          <w:rtl/>
          <w:lang w:bidi="ar-EG"/>
        </w:rPr>
      </w:pPr>
      <w:r>
        <w:rPr>
          <w:rFonts w:hint="cs"/>
          <w:rtl/>
          <w:lang w:bidi="ar-EG"/>
        </w:rPr>
        <w:tab/>
        <w:t>وتزداد مشاركة المرأة في الرياضة. وعلى سبيل المثال، تضمن الوفد البرازيلي إلى الألعاب الأوليمبية أكبر فريق من الإناث في تاريخ مشاركة البرازيل في تلك الألعاب. وتتميز المرأة بأنها رياضية من الدرجة الأولى في مختلف أشكال الألعاب الرياضية (ألعاب الجمباز الأوليمبية، والكرة الطائرة، والسباحة المتزامنة، وغيرها).</w:t>
      </w:r>
    </w:p>
    <w:p w:rsidR="002502E8" w:rsidRPr="002502E8" w:rsidRDefault="002502E8" w:rsidP="002502E8">
      <w:pPr>
        <w:pStyle w:val="SingleTxt"/>
        <w:spacing w:after="0" w:line="120" w:lineRule="exact"/>
        <w:rPr>
          <w:rFonts w:hint="cs"/>
          <w:sz w:val="10"/>
          <w:rtl/>
          <w:lang w:bidi="ar-EG"/>
        </w:rPr>
      </w:pPr>
    </w:p>
    <w:p w:rsidR="001725ED" w:rsidRDefault="001725ED" w:rsidP="001725E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من اتفاقية القضاء على جميع أشكال التمييز ضد المرأة</w:t>
      </w:r>
    </w:p>
    <w:p w:rsidR="001725ED" w:rsidRPr="00B72FEF" w:rsidRDefault="00445830" w:rsidP="00445830">
      <w:pPr>
        <w:pStyle w:val="SingleTxt"/>
        <w:ind w:left="1930" w:hanging="663"/>
        <w:rPr>
          <w:rtl/>
        </w:rPr>
      </w:pPr>
      <w:r>
        <w:rPr>
          <w:rFonts w:hint="cs"/>
          <w:rtl/>
        </w:rPr>
        <w:tab/>
      </w:r>
      <w:r>
        <w:rPr>
          <w:rFonts w:hint="cs"/>
          <w:rtl/>
        </w:rPr>
        <w:tab/>
      </w:r>
      <w:r w:rsidR="001725ED" w:rsidRPr="00B72FEF">
        <w:rPr>
          <w:rtl/>
        </w:rPr>
        <w:t>1 -</w:t>
      </w:r>
      <w:r w:rsidR="001725ED" w:rsidRPr="00B72FEF">
        <w:rPr>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1725ED" w:rsidRPr="00B72FEF" w:rsidRDefault="00445830" w:rsidP="00445830">
      <w:pPr>
        <w:pStyle w:val="SingleTxt"/>
        <w:ind w:left="1930" w:hanging="663"/>
        <w:rPr>
          <w:rtl/>
        </w:rPr>
      </w:pPr>
      <w:r>
        <w:rPr>
          <w:rFonts w:hint="cs"/>
          <w:rtl/>
        </w:rPr>
        <w:tab/>
      </w:r>
      <w:r>
        <w:rPr>
          <w:rFonts w:hint="cs"/>
          <w:rtl/>
        </w:rPr>
        <w:tab/>
      </w:r>
      <w:r w:rsidR="001725ED" w:rsidRPr="00B72FEF">
        <w:rPr>
          <w:rtl/>
        </w:rPr>
        <w:t>2 -</w:t>
      </w:r>
      <w:r w:rsidR="001725ED" w:rsidRPr="00B72FEF">
        <w:rPr>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w:t>
      </w:r>
    </w:p>
    <w:p w:rsidR="001725ED" w:rsidRPr="00B72FEF" w:rsidRDefault="00445830" w:rsidP="00445830">
      <w:pPr>
        <w:pStyle w:val="SingleTxt"/>
        <w:ind w:left="1930" w:hanging="663"/>
        <w:rPr>
          <w:rtl/>
          <w:lang w:bidi="ar-EG"/>
        </w:rPr>
      </w:pPr>
      <w:r>
        <w:rPr>
          <w:rFonts w:hint="cs"/>
          <w:rtl/>
        </w:rPr>
        <w:tab/>
      </w:r>
      <w:r w:rsidR="001725ED" w:rsidRPr="00B72FEF">
        <w:rPr>
          <w:rtl/>
        </w:rPr>
        <w:tab/>
        <w:t>(</w:t>
      </w:r>
      <w:r w:rsidR="001725ED" w:rsidRPr="00B72FEF">
        <w:rPr>
          <w:rtl/>
          <w:lang w:bidi="ar-EG"/>
        </w:rPr>
        <w:t>أ)</w:t>
      </w:r>
      <w:r w:rsidR="001725ED" w:rsidRPr="00B72FEF">
        <w:rPr>
          <w:rtl/>
          <w:lang w:bidi="ar-EG"/>
        </w:rPr>
        <w:tab/>
        <w:t>المشاركة في وضع وتنفيذ التخطيط الإنمائي على جميع المستويات؛</w:t>
      </w:r>
    </w:p>
    <w:p w:rsidR="001725ED" w:rsidRPr="00B72FEF" w:rsidRDefault="00445830" w:rsidP="00445830">
      <w:pPr>
        <w:pStyle w:val="SingleTxt"/>
        <w:ind w:left="1930" w:hanging="663"/>
        <w:rPr>
          <w:rtl/>
          <w:lang w:bidi="ar-EG"/>
        </w:rPr>
      </w:pPr>
      <w:r>
        <w:rPr>
          <w:rFonts w:hint="cs"/>
          <w:rtl/>
          <w:lang w:bidi="ar-EG"/>
        </w:rPr>
        <w:tab/>
      </w:r>
      <w:r w:rsidR="001725ED" w:rsidRPr="00B72FEF">
        <w:rPr>
          <w:rtl/>
          <w:lang w:bidi="ar-EG"/>
        </w:rPr>
        <w:tab/>
        <w:t>(ب)</w:t>
      </w:r>
      <w:r w:rsidR="001725ED" w:rsidRPr="00B72FEF">
        <w:rPr>
          <w:rtl/>
          <w:lang w:bidi="ar-EG"/>
        </w:rPr>
        <w:tab/>
        <w:t>الوصول إلى تسهيلات العناية الصحية الملائمة، بما في ذلك المعلومات والنصائح والخدمات المتعلقة بتنظيم الأسرة؛</w:t>
      </w:r>
    </w:p>
    <w:p w:rsidR="001725ED" w:rsidRPr="00B72FEF" w:rsidRDefault="00445830" w:rsidP="002502E8">
      <w:pPr>
        <w:pStyle w:val="SingleTxt"/>
        <w:rPr>
          <w:rtl/>
          <w:lang w:bidi="ar-EG"/>
        </w:rPr>
      </w:pPr>
      <w:r>
        <w:rPr>
          <w:rFonts w:hint="cs"/>
          <w:rtl/>
          <w:lang w:bidi="ar-EG"/>
        </w:rPr>
        <w:tab/>
      </w:r>
      <w:r w:rsidR="001725ED" w:rsidRPr="00B72FEF">
        <w:rPr>
          <w:rtl/>
          <w:lang w:bidi="ar-EG"/>
        </w:rPr>
        <w:tab/>
        <w:t>(ج)</w:t>
      </w:r>
      <w:r w:rsidR="001725ED" w:rsidRPr="00B72FEF">
        <w:rPr>
          <w:rtl/>
          <w:lang w:bidi="ar-EG"/>
        </w:rPr>
        <w:tab/>
        <w:t>الاستفادة بصورة مباشرة من برامج الضمان الاجتماعي؛</w:t>
      </w:r>
    </w:p>
    <w:p w:rsidR="001725ED" w:rsidRPr="00B72FEF" w:rsidRDefault="00445830" w:rsidP="00445830">
      <w:pPr>
        <w:pStyle w:val="SingleTxt"/>
        <w:ind w:left="1930" w:hanging="663"/>
        <w:rPr>
          <w:rtl/>
          <w:lang w:bidi="ar-EG"/>
        </w:rPr>
      </w:pPr>
      <w:r>
        <w:rPr>
          <w:rFonts w:hint="cs"/>
          <w:rtl/>
          <w:lang w:bidi="ar-EG"/>
        </w:rPr>
        <w:tab/>
      </w:r>
      <w:r w:rsidR="001725ED" w:rsidRPr="00B72FEF">
        <w:rPr>
          <w:rtl/>
          <w:lang w:bidi="ar-EG"/>
        </w:rPr>
        <w:tab/>
        <w:t>(د)</w:t>
      </w:r>
      <w:r w:rsidR="001725ED" w:rsidRPr="00B72FEF">
        <w:rPr>
          <w:rtl/>
          <w:lang w:bidi="ar-EG"/>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w:t>
      </w:r>
      <w:r w:rsidR="001725ED">
        <w:rPr>
          <w:rFonts w:hint="cs"/>
          <w:rtl/>
          <w:lang w:bidi="ar-EG"/>
        </w:rPr>
        <w:t>ت</w:t>
      </w:r>
      <w:r w:rsidR="001725ED" w:rsidRPr="00B72FEF">
        <w:rPr>
          <w:rtl/>
          <w:lang w:bidi="ar-EG"/>
        </w:rPr>
        <w:t>حقق زيادة كفاءتها التقنية؛</w:t>
      </w:r>
    </w:p>
    <w:p w:rsidR="001725ED" w:rsidRPr="00B72FEF" w:rsidRDefault="00445830" w:rsidP="00445830">
      <w:pPr>
        <w:pStyle w:val="SingleTxt"/>
        <w:spacing w:after="100" w:line="380" w:lineRule="exact"/>
        <w:ind w:left="1930" w:hanging="663"/>
        <w:rPr>
          <w:rtl/>
          <w:lang w:bidi="ar-EG"/>
        </w:rPr>
      </w:pPr>
      <w:r>
        <w:rPr>
          <w:rFonts w:hint="cs"/>
          <w:rtl/>
          <w:lang w:bidi="ar-EG"/>
        </w:rPr>
        <w:tab/>
      </w:r>
      <w:r w:rsidR="001725ED" w:rsidRPr="00B72FEF">
        <w:rPr>
          <w:rtl/>
          <w:lang w:bidi="ar-EG"/>
        </w:rPr>
        <w:tab/>
        <w:t>(هـ)</w:t>
      </w:r>
      <w:r w:rsidR="001725ED" w:rsidRPr="00B72FEF">
        <w:rPr>
          <w:rtl/>
          <w:lang w:bidi="ar-EG"/>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1725ED" w:rsidRPr="00B72FEF" w:rsidRDefault="00445830" w:rsidP="00445830">
      <w:pPr>
        <w:pStyle w:val="SingleTxt"/>
        <w:spacing w:after="100" w:line="380" w:lineRule="exact"/>
        <w:ind w:left="1930" w:hanging="663"/>
        <w:rPr>
          <w:rtl/>
        </w:rPr>
      </w:pPr>
      <w:r>
        <w:rPr>
          <w:rFonts w:hint="cs"/>
          <w:rtl/>
          <w:lang w:bidi="ar-EG"/>
        </w:rPr>
        <w:tab/>
      </w:r>
      <w:r w:rsidR="001725ED" w:rsidRPr="00B72FEF">
        <w:rPr>
          <w:rtl/>
          <w:lang w:bidi="ar-EG"/>
        </w:rPr>
        <w:tab/>
        <w:t>(و)</w:t>
      </w:r>
      <w:r w:rsidR="001725ED" w:rsidRPr="00B72FEF">
        <w:rPr>
          <w:rtl/>
          <w:lang w:bidi="ar-EG"/>
        </w:rPr>
        <w:tab/>
      </w:r>
      <w:r w:rsidR="001725ED" w:rsidRPr="00B72FEF">
        <w:rPr>
          <w:rtl/>
        </w:rPr>
        <w:t>المشاركة في جميع الأنشطة المجتمعية؛</w:t>
      </w:r>
    </w:p>
    <w:p w:rsidR="001725ED" w:rsidRPr="00B72FEF" w:rsidRDefault="00445830" w:rsidP="00445830">
      <w:pPr>
        <w:pStyle w:val="SingleTxt"/>
        <w:spacing w:after="100" w:line="380" w:lineRule="exact"/>
        <w:ind w:left="1930" w:hanging="663"/>
        <w:rPr>
          <w:rtl/>
        </w:rPr>
      </w:pPr>
      <w:r>
        <w:rPr>
          <w:rFonts w:hint="cs"/>
          <w:rtl/>
        </w:rPr>
        <w:tab/>
      </w:r>
      <w:r w:rsidR="001725ED" w:rsidRPr="00B72FEF">
        <w:rPr>
          <w:rtl/>
        </w:rPr>
        <w:tab/>
        <w:t>(ز)</w:t>
      </w:r>
      <w:r w:rsidR="001725ED" w:rsidRPr="00B72FEF">
        <w:rPr>
          <w:rtl/>
        </w:rPr>
        <w:tab/>
        <w:t xml:space="preserve">فرصة الحصول على الائتمانات والقروض الزراعية، وتسهيلات التسويق، والتكنولوجيا المناسبة، والمساواة في المعاملة في مشاريع إصلاح </w:t>
      </w:r>
      <w:r w:rsidR="001725ED" w:rsidRPr="00B72FEF">
        <w:rPr>
          <w:rtl/>
          <w:lang w:bidi="ar-EG"/>
        </w:rPr>
        <w:t>الأراضي</w:t>
      </w:r>
      <w:r w:rsidR="001725ED" w:rsidRPr="00B72FEF">
        <w:rPr>
          <w:rtl/>
        </w:rPr>
        <w:t xml:space="preserve"> والإصلاح الزراعي وكذلك في مشاريع التوطين الريفي؛</w:t>
      </w:r>
    </w:p>
    <w:p w:rsidR="001725ED" w:rsidRDefault="00445830" w:rsidP="00445830">
      <w:pPr>
        <w:pStyle w:val="SingleTxt"/>
        <w:spacing w:after="100" w:line="380" w:lineRule="exact"/>
        <w:ind w:left="1930" w:hanging="663"/>
        <w:rPr>
          <w:rFonts w:hint="cs"/>
          <w:rtl/>
          <w:lang w:bidi="ar-EG"/>
        </w:rPr>
      </w:pPr>
      <w:r>
        <w:rPr>
          <w:rFonts w:hint="cs"/>
          <w:rtl/>
        </w:rPr>
        <w:tab/>
      </w:r>
      <w:r w:rsidR="001725ED" w:rsidRPr="00B72FEF">
        <w:rPr>
          <w:rtl/>
        </w:rPr>
        <w:tab/>
        <w:t>(ح)</w:t>
      </w:r>
      <w:r w:rsidR="001725ED" w:rsidRPr="00B72FEF">
        <w:rPr>
          <w:rtl/>
        </w:rPr>
        <w:tab/>
        <w:t xml:space="preserve">التمتع </w:t>
      </w:r>
      <w:r w:rsidR="001725ED" w:rsidRPr="00B72FEF">
        <w:rPr>
          <w:rtl/>
          <w:lang w:bidi="ar-EG"/>
        </w:rPr>
        <w:t>بظروف</w:t>
      </w:r>
      <w:r w:rsidR="001725ED" w:rsidRPr="00B72FEF">
        <w:rPr>
          <w:rtl/>
        </w:rPr>
        <w:t xml:space="preserve"> معيشية ملائمة، ولا سيما فيما يتعلق بالإسكان والمرافق الصحية والإمداد بالكهرباء والماء، والنقل، والمواصلات.</w:t>
      </w:r>
    </w:p>
    <w:p w:rsidR="001725ED" w:rsidRDefault="002502E8" w:rsidP="004B1E98">
      <w:pPr>
        <w:pStyle w:val="SingleTxt"/>
        <w:spacing w:after="100" w:line="380" w:lineRule="exact"/>
        <w:rPr>
          <w:rFonts w:hint="cs"/>
          <w:rtl/>
          <w:lang w:bidi="ar-EG"/>
        </w:rPr>
      </w:pPr>
      <w:r>
        <w:rPr>
          <w:rFonts w:hint="cs"/>
          <w:rtl/>
          <w:lang w:bidi="ar-EG"/>
        </w:rPr>
        <w:tab/>
        <w:t>وفقا لتيار ظهر في البرازيل وفي بقية أنحاء العالم منذ عدة عقود، يتناقص سكان الريف ككل بأعدادهم المطلقة، وبنسبتهم من سكان البرازيل أيضا</w:t>
      </w:r>
      <w:r w:rsidR="00FB34F1">
        <w:rPr>
          <w:rFonts w:hint="cs"/>
          <w:rtl/>
          <w:lang w:bidi="ar-EG"/>
        </w:rPr>
        <w:t>. ونتيجة للنـزوح من الريف وتحول المناطق الريفية إلى مدن صغيرة وقرى، تناقص سكان الريف من 24 في المائة عام 1991 إلى 18 في المائة عام 2000 (المعهد البرازيلي للجغرافيا والإحصاءات، الإحصاءات الديمغرافية).</w:t>
      </w:r>
    </w:p>
    <w:p w:rsidR="00FB34F1" w:rsidRDefault="00FB34F1" w:rsidP="004B1E98">
      <w:pPr>
        <w:pStyle w:val="SingleTxt"/>
        <w:spacing w:after="100" w:line="380" w:lineRule="exact"/>
        <w:rPr>
          <w:rFonts w:hint="cs"/>
          <w:rtl/>
          <w:lang w:bidi="ar-EG"/>
        </w:rPr>
      </w:pPr>
      <w:r>
        <w:rPr>
          <w:rFonts w:hint="cs"/>
          <w:rtl/>
          <w:lang w:bidi="ar-EG"/>
        </w:rPr>
        <w:tab/>
        <w:t>وإذا أخذنا السكان الإناث اللاتي يعشن في المناطق الريفية كمعيار، نجد أن عددهن تناقص مما مجموعه أكثر بقليل من 15.5 مليون امرأة عام 1992 إلى 13 مليون امرأة عام 2003. وهذا يمثل انخفاضا قدره 6 درجات، من 21 في المائة تقريبا من الريفيات إلى 15</w:t>
      </w:r>
      <w:r>
        <w:rPr>
          <w:rFonts w:hint="eastAsia"/>
          <w:rtl/>
          <w:lang w:bidi="ar-EG"/>
        </w:rPr>
        <w:t> </w:t>
      </w:r>
      <w:r>
        <w:rPr>
          <w:rFonts w:hint="cs"/>
          <w:rtl/>
          <w:lang w:bidi="ar-EG"/>
        </w:rPr>
        <w:t>في المائة على مدى العقد الذي جرى تحليله.</w:t>
      </w:r>
    </w:p>
    <w:p w:rsidR="00FB34F1" w:rsidRPr="00FB34F1" w:rsidRDefault="00FB34F1" w:rsidP="00FB34F1">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000" w:firstRow="0" w:lastRow="0" w:firstColumn="0" w:lastColumn="0" w:noHBand="0" w:noVBand="0"/>
      </w:tblPr>
      <w:tblGrid>
        <w:gridCol w:w="1855"/>
        <w:gridCol w:w="1421"/>
        <w:gridCol w:w="1154"/>
        <w:gridCol w:w="194"/>
        <w:gridCol w:w="1557"/>
        <w:gridCol w:w="1139"/>
      </w:tblGrid>
      <w:tr w:rsidR="00FB34F1" w:rsidRPr="00FB34F1">
        <w:trPr>
          <w:cantSplit/>
          <w:tblHeader/>
          <w:jc w:val="center"/>
        </w:trPr>
        <w:tc>
          <w:tcPr>
            <w:tcW w:w="7320" w:type="dxa"/>
            <w:gridSpan w:val="6"/>
            <w:tcBorders>
              <w:top w:val="single" w:sz="4" w:space="0" w:color="auto"/>
              <w:bottom w:val="single" w:sz="4" w:space="0" w:color="auto"/>
            </w:tcBorders>
            <w:shd w:val="clear" w:color="auto" w:fill="auto"/>
            <w:vAlign w:val="bottom"/>
          </w:tcPr>
          <w:p w:rsidR="00FB34F1" w:rsidRPr="00FB34F1" w:rsidRDefault="00FB34F1" w:rsidP="00FB34F1">
            <w:pPr>
              <w:spacing w:before="80" w:after="80" w:line="240" w:lineRule="exact"/>
              <w:ind w:right="144"/>
              <w:jc w:val="center"/>
              <w:rPr>
                <w:rFonts w:hint="cs"/>
                <w:b/>
                <w:bCs/>
                <w:sz w:val="18"/>
                <w:szCs w:val="26"/>
                <w:rtl/>
              </w:rPr>
            </w:pPr>
            <w:r>
              <w:rPr>
                <w:rFonts w:hint="cs"/>
                <w:b/>
                <w:bCs/>
                <w:sz w:val="18"/>
                <w:szCs w:val="26"/>
                <w:rtl/>
              </w:rPr>
              <w:t>النساء اللاتي يعشن في المناطق الريفية، حسب اللون/العنصر - البرازيل</w:t>
            </w:r>
            <w:r w:rsidR="002A1045">
              <w:rPr>
                <w:rFonts w:hint="cs"/>
                <w:b/>
                <w:bCs/>
                <w:sz w:val="18"/>
                <w:szCs w:val="26"/>
                <w:rtl/>
              </w:rPr>
              <w:t>، 1992 و 2003</w:t>
            </w:r>
          </w:p>
        </w:tc>
      </w:tr>
      <w:tr w:rsidR="002A1045" w:rsidRPr="00B81D56">
        <w:trPr>
          <w:cantSplit/>
          <w:tblHeader/>
          <w:jc w:val="center"/>
        </w:trPr>
        <w:tc>
          <w:tcPr>
            <w:tcW w:w="1855" w:type="dxa"/>
            <w:tcBorders>
              <w:top w:val="single" w:sz="4" w:space="0" w:color="auto"/>
            </w:tcBorders>
            <w:shd w:val="clear" w:color="auto" w:fill="auto"/>
            <w:vAlign w:val="bottom"/>
          </w:tcPr>
          <w:p w:rsidR="002A1045" w:rsidRPr="00B81D56" w:rsidRDefault="002A1045" w:rsidP="00FB34F1">
            <w:pPr>
              <w:spacing w:after="80" w:line="240" w:lineRule="exact"/>
              <w:rPr>
                <w:i/>
                <w:iCs/>
                <w:sz w:val="16"/>
                <w:szCs w:val="24"/>
              </w:rPr>
            </w:pPr>
          </w:p>
        </w:tc>
        <w:tc>
          <w:tcPr>
            <w:tcW w:w="2575" w:type="dxa"/>
            <w:gridSpan w:val="2"/>
            <w:tcBorders>
              <w:top w:val="single" w:sz="4" w:space="0" w:color="auto"/>
              <w:bottom w:val="single" w:sz="4" w:space="0" w:color="auto"/>
            </w:tcBorders>
            <w:shd w:val="clear" w:color="auto" w:fill="auto"/>
            <w:vAlign w:val="bottom"/>
          </w:tcPr>
          <w:p w:rsidR="002A1045" w:rsidRPr="00B81D56" w:rsidRDefault="002A1045" w:rsidP="002A1045">
            <w:pPr>
              <w:spacing w:after="80" w:line="240" w:lineRule="exact"/>
              <w:ind w:right="144"/>
              <w:jc w:val="center"/>
              <w:rPr>
                <w:rFonts w:hint="cs"/>
                <w:i/>
                <w:iCs/>
                <w:sz w:val="16"/>
                <w:szCs w:val="24"/>
                <w:rtl/>
              </w:rPr>
            </w:pPr>
            <w:r>
              <w:rPr>
                <w:rFonts w:hint="cs"/>
                <w:i/>
                <w:iCs/>
                <w:sz w:val="16"/>
                <w:szCs w:val="24"/>
                <w:rtl/>
              </w:rPr>
              <w:t>1992</w:t>
            </w:r>
          </w:p>
        </w:tc>
        <w:tc>
          <w:tcPr>
            <w:tcW w:w="194" w:type="dxa"/>
            <w:tcBorders>
              <w:top w:val="single" w:sz="4" w:space="0" w:color="auto"/>
            </w:tcBorders>
            <w:shd w:val="clear" w:color="auto" w:fill="auto"/>
            <w:vAlign w:val="bottom"/>
          </w:tcPr>
          <w:p w:rsidR="002A1045" w:rsidRPr="00B81D56" w:rsidRDefault="002A1045" w:rsidP="00FB34F1">
            <w:pPr>
              <w:spacing w:after="80" w:line="240" w:lineRule="exact"/>
              <w:ind w:right="144"/>
              <w:rPr>
                <w:rFonts w:hint="cs"/>
                <w:i/>
                <w:iCs/>
                <w:sz w:val="16"/>
                <w:szCs w:val="24"/>
                <w:rtl/>
              </w:rPr>
            </w:pPr>
          </w:p>
        </w:tc>
        <w:tc>
          <w:tcPr>
            <w:tcW w:w="2696" w:type="dxa"/>
            <w:gridSpan w:val="2"/>
            <w:tcBorders>
              <w:top w:val="single" w:sz="4" w:space="0" w:color="auto"/>
              <w:bottom w:val="single" w:sz="4" w:space="0" w:color="auto"/>
            </w:tcBorders>
            <w:shd w:val="clear" w:color="auto" w:fill="auto"/>
            <w:vAlign w:val="bottom"/>
          </w:tcPr>
          <w:p w:rsidR="002A1045" w:rsidRPr="00B81D56" w:rsidRDefault="002A1045" w:rsidP="002A1045">
            <w:pPr>
              <w:spacing w:after="80" w:line="240" w:lineRule="exact"/>
              <w:ind w:right="144"/>
              <w:jc w:val="center"/>
              <w:rPr>
                <w:rFonts w:hint="cs"/>
                <w:i/>
                <w:iCs/>
                <w:sz w:val="16"/>
                <w:szCs w:val="24"/>
                <w:rtl/>
              </w:rPr>
            </w:pPr>
            <w:r>
              <w:rPr>
                <w:rFonts w:hint="cs"/>
                <w:i/>
                <w:iCs/>
                <w:sz w:val="16"/>
                <w:szCs w:val="24"/>
                <w:rtl/>
              </w:rPr>
              <w:t>2003</w:t>
            </w:r>
          </w:p>
        </w:tc>
      </w:tr>
      <w:tr w:rsidR="00FB34F1" w:rsidRPr="00B81D56">
        <w:trPr>
          <w:cantSplit/>
          <w:tblHeader/>
          <w:jc w:val="center"/>
        </w:trPr>
        <w:tc>
          <w:tcPr>
            <w:tcW w:w="1855" w:type="dxa"/>
            <w:tcBorders>
              <w:bottom w:val="single" w:sz="12" w:space="0" w:color="auto"/>
            </w:tcBorders>
            <w:shd w:val="clear" w:color="auto" w:fill="auto"/>
            <w:vAlign w:val="bottom"/>
          </w:tcPr>
          <w:p w:rsidR="00FB34F1" w:rsidRPr="00B81D56" w:rsidRDefault="002A1045" w:rsidP="00FB34F1">
            <w:pPr>
              <w:spacing w:after="80" w:line="240" w:lineRule="exact"/>
              <w:rPr>
                <w:rFonts w:hint="cs"/>
                <w:i/>
                <w:iCs/>
                <w:sz w:val="16"/>
                <w:szCs w:val="24"/>
              </w:rPr>
            </w:pPr>
            <w:r>
              <w:rPr>
                <w:rFonts w:hint="cs"/>
                <w:i/>
                <w:iCs/>
                <w:sz w:val="16"/>
                <w:szCs w:val="24"/>
                <w:rtl/>
              </w:rPr>
              <w:t>اللون أو العنصر</w:t>
            </w:r>
          </w:p>
        </w:tc>
        <w:tc>
          <w:tcPr>
            <w:tcW w:w="1421" w:type="dxa"/>
            <w:tcBorders>
              <w:bottom w:val="single" w:sz="12" w:space="0" w:color="auto"/>
            </w:tcBorders>
            <w:shd w:val="clear" w:color="auto" w:fill="auto"/>
            <w:vAlign w:val="bottom"/>
          </w:tcPr>
          <w:p w:rsidR="00FB34F1" w:rsidRPr="00B81D56" w:rsidRDefault="002A1045" w:rsidP="00FB34F1">
            <w:pPr>
              <w:spacing w:after="80" w:line="240" w:lineRule="exact"/>
              <w:ind w:right="144"/>
              <w:rPr>
                <w:rFonts w:hint="cs"/>
                <w:i/>
                <w:iCs/>
                <w:sz w:val="16"/>
                <w:szCs w:val="24"/>
                <w:rtl/>
              </w:rPr>
            </w:pPr>
            <w:r>
              <w:rPr>
                <w:rFonts w:hint="cs"/>
                <w:i/>
                <w:iCs/>
                <w:sz w:val="16"/>
                <w:szCs w:val="24"/>
                <w:rtl/>
              </w:rPr>
              <w:t>العدد</w:t>
            </w:r>
          </w:p>
        </w:tc>
        <w:tc>
          <w:tcPr>
            <w:tcW w:w="1348" w:type="dxa"/>
            <w:gridSpan w:val="2"/>
            <w:tcBorders>
              <w:bottom w:val="single" w:sz="12" w:space="0" w:color="auto"/>
            </w:tcBorders>
            <w:shd w:val="clear" w:color="auto" w:fill="auto"/>
            <w:vAlign w:val="bottom"/>
          </w:tcPr>
          <w:p w:rsidR="00FB34F1" w:rsidRPr="00B81D56" w:rsidRDefault="002A1045" w:rsidP="00FB34F1">
            <w:pPr>
              <w:spacing w:after="80" w:line="240" w:lineRule="exact"/>
              <w:ind w:right="144"/>
              <w:rPr>
                <w:rFonts w:hint="cs"/>
                <w:i/>
                <w:iCs/>
                <w:sz w:val="16"/>
                <w:szCs w:val="24"/>
                <w:rtl/>
              </w:rPr>
            </w:pPr>
            <w:r>
              <w:rPr>
                <w:rFonts w:hint="cs"/>
                <w:i/>
                <w:iCs/>
                <w:sz w:val="16"/>
                <w:szCs w:val="24"/>
                <w:rtl/>
              </w:rPr>
              <w:t>النسبة المئوية</w:t>
            </w:r>
          </w:p>
        </w:tc>
        <w:tc>
          <w:tcPr>
            <w:tcW w:w="1557" w:type="dxa"/>
            <w:tcBorders>
              <w:bottom w:val="single" w:sz="12" w:space="0" w:color="auto"/>
            </w:tcBorders>
            <w:shd w:val="clear" w:color="auto" w:fill="auto"/>
            <w:vAlign w:val="bottom"/>
          </w:tcPr>
          <w:p w:rsidR="00FB34F1" w:rsidRPr="00B81D56" w:rsidRDefault="002A1045" w:rsidP="00FB34F1">
            <w:pPr>
              <w:spacing w:after="80" w:line="240" w:lineRule="exact"/>
              <w:ind w:right="144"/>
              <w:rPr>
                <w:rFonts w:hint="cs"/>
                <w:i/>
                <w:iCs/>
                <w:sz w:val="16"/>
                <w:szCs w:val="24"/>
                <w:rtl/>
              </w:rPr>
            </w:pPr>
            <w:r>
              <w:rPr>
                <w:rFonts w:hint="cs"/>
                <w:i/>
                <w:iCs/>
                <w:sz w:val="16"/>
                <w:szCs w:val="24"/>
                <w:rtl/>
              </w:rPr>
              <w:t>العدد</w:t>
            </w:r>
          </w:p>
        </w:tc>
        <w:tc>
          <w:tcPr>
            <w:tcW w:w="1139" w:type="dxa"/>
            <w:tcBorders>
              <w:bottom w:val="single" w:sz="12" w:space="0" w:color="auto"/>
            </w:tcBorders>
            <w:shd w:val="clear" w:color="auto" w:fill="auto"/>
            <w:vAlign w:val="bottom"/>
          </w:tcPr>
          <w:p w:rsidR="00FB34F1" w:rsidRPr="00B81D56" w:rsidRDefault="002A1045" w:rsidP="00FB34F1">
            <w:pPr>
              <w:spacing w:after="80" w:line="240" w:lineRule="exact"/>
              <w:ind w:right="144"/>
              <w:rPr>
                <w:rFonts w:hint="cs"/>
                <w:i/>
                <w:iCs/>
                <w:sz w:val="16"/>
                <w:szCs w:val="24"/>
                <w:rtl/>
              </w:rPr>
            </w:pPr>
            <w:r>
              <w:rPr>
                <w:rFonts w:hint="cs"/>
                <w:i/>
                <w:iCs/>
                <w:sz w:val="16"/>
                <w:szCs w:val="24"/>
                <w:rtl/>
              </w:rPr>
              <w:t>النسبة المئوية</w:t>
            </w:r>
          </w:p>
        </w:tc>
      </w:tr>
      <w:tr w:rsidR="00FB34F1" w:rsidRPr="00B81D56">
        <w:trPr>
          <w:cantSplit/>
          <w:jc w:val="center"/>
        </w:trPr>
        <w:tc>
          <w:tcPr>
            <w:tcW w:w="1855" w:type="dxa"/>
            <w:shd w:val="clear" w:color="auto" w:fill="auto"/>
            <w:vAlign w:val="bottom"/>
          </w:tcPr>
          <w:p w:rsidR="00FB34F1" w:rsidRPr="00B81D56" w:rsidRDefault="002A1045" w:rsidP="00E2419F">
            <w:pPr>
              <w:spacing w:before="20" w:after="20" w:line="240" w:lineRule="exact"/>
              <w:jc w:val="left"/>
              <w:rPr>
                <w:rFonts w:hint="cs"/>
                <w:sz w:val="16"/>
                <w:szCs w:val="24"/>
                <w:lang w:eastAsia="pt-BR"/>
              </w:rPr>
            </w:pPr>
            <w:r>
              <w:rPr>
                <w:rFonts w:hint="cs"/>
                <w:sz w:val="16"/>
                <w:szCs w:val="24"/>
                <w:rtl/>
                <w:lang w:eastAsia="pt-BR"/>
              </w:rPr>
              <w:t>البيض</w:t>
            </w:r>
          </w:p>
        </w:tc>
        <w:tc>
          <w:tcPr>
            <w:tcW w:w="1421" w:type="dxa"/>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6</w:t>
            </w:r>
            <w:r w:rsidRPr="00B81D56">
              <w:rPr>
                <w:rFonts w:hint="cs"/>
                <w:sz w:val="16"/>
                <w:szCs w:val="24"/>
              </w:rPr>
              <w:t xml:space="preserve"> </w:t>
            </w:r>
            <w:r w:rsidRPr="00B81D56">
              <w:rPr>
                <w:rFonts w:hint="cs"/>
                <w:sz w:val="16"/>
                <w:szCs w:val="24"/>
                <w:rtl/>
              </w:rPr>
              <w:t>825</w:t>
            </w:r>
            <w:r w:rsidRPr="00B81D56">
              <w:rPr>
                <w:rFonts w:hint="cs"/>
                <w:sz w:val="16"/>
                <w:szCs w:val="24"/>
              </w:rPr>
              <w:t xml:space="preserve"> </w:t>
            </w:r>
            <w:r w:rsidRPr="00B81D56">
              <w:rPr>
                <w:rFonts w:hint="cs"/>
                <w:sz w:val="16"/>
                <w:szCs w:val="24"/>
                <w:rtl/>
              </w:rPr>
              <w:t>793</w:t>
            </w:r>
          </w:p>
        </w:tc>
        <w:tc>
          <w:tcPr>
            <w:tcW w:w="1348" w:type="dxa"/>
            <w:gridSpan w:val="2"/>
            <w:shd w:val="clear" w:color="auto" w:fill="auto"/>
            <w:vAlign w:val="bottom"/>
          </w:tcPr>
          <w:p w:rsidR="00FB34F1" w:rsidRPr="00B81D56" w:rsidRDefault="00FB34F1" w:rsidP="00E2419F">
            <w:pPr>
              <w:bidi w:val="0"/>
              <w:spacing w:before="20" w:after="20" w:line="240" w:lineRule="exact"/>
              <w:ind w:right="54"/>
              <w:jc w:val="right"/>
              <w:rPr>
                <w:sz w:val="16"/>
                <w:szCs w:val="24"/>
                <w:lang w:eastAsia="pt-BR"/>
              </w:rPr>
            </w:pPr>
            <w:r w:rsidRPr="00B81D56">
              <w:rPr>
                <w:rFonts w:hint="cs"/>
                <w:sz w:val="16"/>
                <w:szCs w:val="24"/>
                <w:rtl/>
              </w:rPr>
              <w:t>43</w:t>
            </w:r>
            <w:r w:rsidRPr="00B81D56">
              <w:rPr>
                <w:sz w:val="16"/>
                <w:szCs w:val="24"/>
              </w:rPr>
              <w:t>,</w:t>
            </w:r>
            <w:r w:rsidRPr="00B81D56">
              <w:rPr>
                <w:rFonts w:hint="cs"/>
                <w:sz w:val="16"/>
                <w:szCs w:val="24"/>
                <w:rtl/>
              </w:rPr>
              <w:t>8</w:t>
            </w:r>
          </w:p>
        </w:tc>
        <w:tc>
          <w:tcPr>
            <w:tcW w:w="1557" w:type="dxa"/>
            <w:shd w:val="clear" w:color="auto" w:fill="auto"/>
            <w:vAlign w:val="bottom"/>
          </w:tcPr>
          <w:p w:rsidR="00FB34F1" w:rsidRPr="00B81D56" w:rsidRDefault="00FB34F1" w:rsidP="00E2419F">
            <w:pPr>
              <w:bidi w:val="0"/>
              <w:spacing w:before="20" w:after="20" w:line="240" w:lineRule="exact"/>
              <w:jc w:val="right"/>
              <w:rPr>
                <w:sz w:val="16"/>
                <w:szCs w:val="24"/>
                <w:lang w:eastAsia="pt-BR"/>
              </w:rPr>
            </w:pPr>
            <w:r w:rsidRPr="00B81D56">
              <w:rPr>
                <w:rFonts w:hint="cs"/>
                <w:sz w:val="16"/>
                <w:szCs w:val="24"/>
                <w:rtl/>
              </w:rPr>
              <w:t>5</w:t>
            </w:r>
            <w:r w:rsidRPr="00B81D56">
              <w:rPr>
                <w:rFonts w:hint="cs"/>
                <w:sz w:val="16"/>
                <w:szCs w:val="24"/>
              </w:rPr>
              <w:t xml:space="preserve"> </w:t>
            </w:r>
            <w:r w:rsidRPr="00B81D56">
              <w:rPr>
                <w:rFonts w:hint="cs"/>
                <w:sz w:val="16"/>
                <w:szCs w:val="24"/>
                <w:rtl/>
              </w:rPr>
              <w:t>513</w:t>
            </w:r>
            <w:r w:rsidRPr="00B81D56">
              <w:rPr>
                <w:rFonts w:hint="cs"/>
                <w:sz w:val="16"/>
                <w:szCs w:val="24"/>
              </w:rPr>
              <w:t xml:space="preserve"> </w:t>
            </w:r>
            <w:r w:rsidRPr="00B81D56">
              <w:rPr>
                <w:rFonts w:hint="cs"/>
                <w:sz w:val="16"/>
                <w:szCs w:val="24"/>
                <w:rtl/>
              </w:rPr>
              <w:t>885</w:t>
            </w:r>
          </w:p>
        </w:tc>
        <w:tc>
          <w:tcPr>
            <w:tcW w:w="1139" w:type="dxa"/>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42</w:t>
            </w:r>
            <w:r w:rsidRPr="00B81D56">
              <w:rPr>
                <w:sz w:val="16"/>
                <w:szCs w:val="24"/>
              </w:rPr>
              <w:t>,</w:t>
            </w:r>
            <w:r w:rsidRPr="00B81D56">
              <w:rPr>
                <w:rFonts w:hint="cs"/>
                <w:sz w:val="16"/>
                <w:szCs w:val="24"/>
                <w:rtl/>
              </w:rPr>
              <w:t>3</w:t>
            </w:r>
          </w:p>
        </w:tc>
      </w:tr>
      <w:tr w:rsidR="00FB34F1" w:rsidRPr="00B81D56">
        <w:trPr>
          <w:cantSplit/>
          <w:jc w:val="center"/>
        </w:trPr>
        <w:tc>
          <w:tcPr>
            <w:tcW w:w="1855" w:type="dxa"/>
            <w:shd w:val="clear" w:color="auto" w:fill="auto"/>
            <w:vAlign w:val="bottom"/>
          </w:tcPr>
          <w:p w:rsidR="00FB34F1" w:rsidRPr="00B81D56" w:rsidRDefault="002A1045" w:rsidP="00E2419F">
            <w:pPr>
              <w:spacing w:before="20" w:after="20" w:line="240" w:lineRule="exact"/>
              <w:jc w:val="left"/>
              <w:rPr>
                <w:rFonts w:hint="cs"/>
                <w:sz w:val="16"/>
                <w:szCs w:val="24"/>
                <w:lang w:eastAsia="pt-BR"/>
              </w:rPr>
            </w:pPr>
            <w:r>
              <w:rPr>
                <w:rFonts w:hint="cs"/>
                <w:sz w:val="16"/>
                <w:szCs w:val="24"/>
                <w:rtl/>
                <w:lang w:eastAsia="pt-BR"/>
              </w:rPr>
              <w:t>السود</w:t>
            </w:r>
          </w:p>
        </w:tc>
        <w:tc>
          <w:tcPr>
            <w:tcW w:w="1421" w:type="dxa"/>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8</w:t>
            </w:r>
            <w:r w:rsidRPr="00B81D56">
              <w:rPr>
                <w:rFonts w:hint="cs"/>
                <w:sz w:val="16"/>
                <w:szCs w:val="24"/>
              </w:rPr>
              <w:t xml:space="preserve"> </w:t>
            </w:r>
            <w:r w:rsidRPr="00B81D56">
              <w:rPr>
                <w:rFonts w:hint="cs"/>
                <w:sz w:val="16"/>
                <w:szCs w:val="24"/>
                <w:rtl/>
              </w:rPr>
              <w:t>752</w:t>
            </w:r>
            <w:r w:rsidRPr="00B81D56">
              <w:rPr>
                <w:rFonts w:hint="cs"/>
                <w:sz w:val="16"/>
                <w:szCs w:val="24"/>
              </w:rPr>
              <w:t xml:space="preserve"> </w:t>
            </w:r>
            <w:r w:rsidRPr="00B81D56">
              <w:rPr>
                <w:rFonts w:hint="cs"/>
                <w:sz w:val="16"/>
                <w:szCs w:val="24"/>
                <w:rtl/>
              </w:rPr>
              <w:t>583</w:t>
            </w:r>
          </w:p>
        </w:tc>
        <w:tc>
          <w:tcPr>
            <w:tcW w:w="1348" w:type="dxa"/>
            <w:gridSpan w:val="2"/>
            <w:shd w:val="clear" w:color="auto" w:fill="auto"/>
            <w:vAlign w:val="bottom"/>
          </w:tcPr>
          <w:p w:rsidR="00FB34F1" w:rsidRPr="00B81D56" w:rsidRDefault="00FB34F1" w:rsidP="00E2419F">
            <w:pPr>
              <w:bidi w:val="0"/>
              <w:spacing w:before="20" w:after="20" w:line="240" w:lineRule="exact"/>
              <w:ind w:right="54"/>
              <w:jc w:val="right"/>
              <w:rPr>
                <w:sz w:val="16"/>
                <w:szCs w:val="24"/>
                <w:lang w:eastAsia="pt-BR"/>
              </w:rPr>
            </w:pPr>
            <w:r w:rsidRPr="00B81D56">
              <w:rPr>
                <w:rFonts w:hint="cs"/>
                <w:sz w:val="16"/>
                <w:szCs w:val="24"/>
                <w:rtl/>
              </w:rPr>
              <w:t>56</w:t>
            </w:r>
            <w:r w:rsidRPr="00B81D56">
              <w:rPr>
                <w:sz w:val="16"/>
                <w:szCs w:val="24"/>
              </w:rPr>
              <w:t>,</w:t>
            </w:r>
            <w:r w:rsidRPr="00B81D56">
              <w:rPr>
                <w:rFonts w:hint="cs"/>
                <w:sz w:val="16"/>
                <w:szCs w:val="24"/>
                <w:rtl/>
              </w:rPr>
              <w:t>1</w:t>
            </w:r>
          </w:p>
        </w:tc>
        <w:tc>
          <w:tcPr>
            <w:tcW w:w="1557" w:type="dxa"/>
            <w:shd w:val="clear" w:color="auto" w:fill="auto"/>
            <w:vAlign w:val="bottom"/>
          </w:tcPr>
          <w:p w:rsidR="00FB34F1" w:rsidRPr="00B81D56" w:rsidRDefault="00FB34F1" w:rsidP="00E2419F">
            <w:pPr>
              <w:bidi w:val="0"/>
              <w:spacing w:before="20" w:after="20" w:line="240" w:lineRule="exact"/>
              <w:jc w:val="right"/>
              <w:rPr>
                <w:sz w:val="16"/>
                <w:szCs w:val="24"/>
                <w:lang w:eastAsia="pt-BR"/>
              </w:rPr>
            </w:pPr>
            <w:r w:rsidRPr="00B81D56">
              <w:rPr>
                <w:rFonts w:hint="cs"/>
                <w:sz w:val="16"/>
                <w:szCs w:val="24"/>
                <w:rtl/>
              </w:rPr>
              <w:t>7</w:t>
            </w:r>
            <w:r w:rsidRPr="00B81D56">
              <w:rPr>
                <w:rFonts w:hint="cs"/>
                <w:sz w:val="16"/>
                <w:szCs w:val="24"/>
              </w:rPr>
              <w:t xml:space="preserve"> </w:t>
            </w:r>
            <w:r w:rsidRPr="00B81D56">
              <w:rPr>
                <w:rFonts w:hint="cs"/>
                <w:sz w:val="16"/>
                <w:szCs w:val="24"/>
                <w:rtl/>
              </w:rPr>
              <w:t>466</w:t>
            </w:r>
            <w:r w:rsidRPr="00B81D56">
              <w:rPr>
                <w:rFonts w:hint="cs"/>
                <w:sz w:val="16"/>
                <w:szCs w:val="24"/>
              </w:rPr>
              <w:t xml:space="preserve"> </w:t>
            </w:r>
            <w:r w:rsidRPr="00B81D56">
              <w:rPr>
                <w:rFonts w:hint="cs"/>
                <w:sz w:val="16"/>
                <w:szCs w:val="24"/>
                <w:rtl/>
              </w:rPr>
              <w:t>660</w:t>
            </w:r>
          </w:p>
        </w:tc>
        <w:tc>
          <w:tcPr>
            <w:tcW w:w="1139" w:type="dxa"/>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57</w:t>
            </w:r>
            <w:r w:rsidRPr="00B81D56">
              <w:rPr>
                <w:sz w:val="16"/>
                <w:szCs w:val="24"/>
              </w:rPr>
              <w:t>,</w:t>
            </w:r>
            <w:r w:rsidRPr="00B81D56">
              <w:rPr>
                <w:rFonts w:hint="cs"/>
                <w:sz w:val="16"/>
                <w:szCs w:val="24"/>
                <w:rtl/>
              </w:rPr>
              <w:t>3</w:t>
            </w:r>
          </w:p>
        </w:tc>
      </w:tr>
      <w:tr w:rsidR="00FB34F1" w:rsidRPr="00B81D56">
        <w:trPr>
          <w:cantSplit/>
          <w:jc w:val="center"/>
        </w:trPr>
        <w:tc>
          <w:tcPr>
            <w:tcW w:w="1855" w:type="dxa"/>
            <w:tcBorders>
              <w:bottom w:val="single" w:sz="4" w:space="0" w:color="auto"/>
            </w:tcBorders>
            <w:shd w:val="clear" w:color="auto" w:fill="auto"/>
            <w:vAlign w:val="bottom"/>
          </w:tcPr>
          <w:p w:rsidR="00FB34F1" w:rsidRPr="00B81D56" w:rsidRDefault="002A1045" w:rsidP="00E2419F">
            <w:pPr>
              <w:spacing w:before="20" w:after="20" w:line="240" w:lineRule="exact"/>
              <w:jc w:val="left"/>
              <w:rPr>
                <w:rFonts w:hint="cs"/>
                <w:sz w:val="16"/>
                <w:szCs w:val="24"/>
                <w:lang w:eastAsia="pt-BR"/>
              </w:rPr>
            </w:pPr>
            <w:r>
              <w:rPr>
                <w:rFonts w:hint="cs"/>
                <w:sz w:val="16"/>
                <w:szCs w:val="24"/>
                <w:rtl/>
                <w:lang w:eastAsia="pt-BR"/>
              </w:rPr>
              <w:t>أخريات</w:t>
            </w:r>
          </w:p>
        </w:tc>
        <w:tc>
          <w:tcPr>
            <w:tcW w:w="1421" w:type="dxa"/>
            <w:tcBorders>
              <w:bottom w:val="single" w:sz="4" w:space="0" w:color="auto"/>
            </w:tcBorders>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20</w:t>
            </w:r>
            <w:r w:rsidRPr="00B81D56">
              <w:rPr>
                <w:rFonts w:hint="cs"/>
                <w:sz w:val="16"/>
                <w:szCs w:val="24"/>
              </w:rPr>
              <w:t xml:space="preserve"> </w:t>
            </w:r>
            <w:r w:rsidRPr="00B81D56">
              <w:rPr>
                <w:rFonts w:hint="cs"/>
                <w:sz w:val="16"/>
                <w:szCs w:val="24"/>
                <w:rtl/>
              </w:rPr>
              <w:t>411</w:t>
            </w:r>
          </w:p>
        </w:tc>
        <w:tc>
          <w:tcPr>
            <w:tcW w:w="1348" w:type="dxa"/>
            <w:gridSpan w:val="2"/>
            <w:tcBorders>
              <w:bottom w:val="single" w:sz="4" w:space="0" w:color="auto"/>
            </w:tcBorders>
            <w:shd w:val="clear" w:color="auto" w:fill="auto"/>
            <w:vAlign w:val="bottom"/>
          </w:tcPr>
          <w:p w:rsidR="00FB34F1" w:rsidRPr="00B81D56" w:rsidRDefault="00FB34F1" w:rsidP="00E2419F">
            <w:pPr>
              <w:bidi w:val="0"/>
              <w:spacing w:before="20" w:after="20" w:line="240" w:lineRule="exact"/>
              <w:ind w:right="54"/>
              <w:jc w:val="right"/>
              <w:rPr>
                <w:sz w:val="16"/>
                <w:szCs w:val="24"/>
                <w:lang w:eastAsia="pt-BR"/>
              </w:rPr>
            </w:pPr>
            <w:r w:rsidRPr="00B81D56">
              <w:rPr>
                <w:rFonts w:hint="cs"/>
                <w:sz w:val="16"/>
                <w:szCs w:val="24"/>
                <w:rtl/>
              </w:rPr>
              <w:t>0</w:t>
            </w:r>
            <w:r w:rsidRPr="00B81D56">
              <w:rPr>
                <w:sz w:val="16"/>
                <w:szCs w:val="24"/>
              </w:rPr>
              <w:t>,</w:t>
            </w:r>
            <w:r w:rsidRPr="00B81D56">
              <w:rPr>
                <w:rFonts w:hint="cs"/>
                <w:sz w:val="16"/>
                <w:szCs w:val="24"/>
                <w:rtl/>
              </w:rPr>
              <w:t>1</w:t>
            </w:r>
          </w:p>
        </w:tc>
        <w:tc>
          <w:tcPr>
            <w:tcW w:w="1557" w:type="dxa"/>
            <w:tcBorders>
              <w:bottom w:val="single" w:sz="4" w:space="0" w:color="auto"/>
            </w:tcBorders>
            <w:shd w:val="clear" w:color="auto" w:fill="auto"/>
            <w:vAlign w:val="bottom"/>
          </w:tcPr>
          <w:p w:rsidR="00FB34F1" w:rsidRPr="00B81D56" w:rsidRDefault="00FB34F1" w:rsidP="00E2419F">
            <w:pPr>
              <w:bidi w:val="0"/>
              <w:spacing w:before="20" w:after="20" w:line="240" w:lineRule="exact"/>
              <w:jc w:val="right"/>
              <w:rPr>
                <w:sz w:val="16"/>
                <w:szCs w:val="24"/>
                <w:lang w:eastAsia="pt-BR"/>
              </w:rPr>
            </w:pPr>
            <w:r w:rsidRPr="00B81D56">
              <w:rPr>
                <w:rFonts w:hint="cs"/>
                <w:sz w:val="16"/>
                <w:szCs w:val="24"/>
                <w:rtl/>
              </w:rPr>
              <w:t>47</w:t>
            </w:r>
            <w:r w:rsidRPr="00B81D56">
              <w:rPr>
                <w:rFonts w:hint="cs"/>
                <w:sz w:val="16"/>
                <w:szCs w:val="24"/>
              </w:rPr>
              <w:t xml:space="preserve"> </w:t>
            </w:r>
            <w:r w:rsidRPr="00B81D56">
              <w:rPr>
                <w:rFonts w:hint="cs"/>
                <w:sz w:val="16"/>
                <w:szCs w:val="24"/>
                <w:rtl/>
              </w:rPr>
              <w:t>158</w:t>
            </w:r>
          </w:p>
        </w:tc>
        <w:tc>
          <w:tcPr>
            <w:tcW w:w="1139" w:type="dxa"/>
            <w:tcBorders>
              <w:bottom w:val="single" w:sz="4" w:space="0" w:color="auto"/>
            </w:tcBorders>
            <w:shd w:val="clear" w:color="auto" w:fill="auto"/>
            <w:vAlign w:val="bottom"/>
          </w:tcPr>
          <w:p w:rsidR="00FB34F1" w:rsidRPr="00B81D56" w:rsidRDefault="00FB34F1" w:rsidP="00E2419F">
            <w:pPr>
              <w:bidi w:val="0"/>
              <w:spacing w:before="20" w:after="20" w:line="240" w:lineRule="exact"/>
              <w:ind w:right="33"/>
              <w:jc w:val="right"/>
              <w:rPr>
                <w:sz w:val="16"/>
                <w:szCs w:val="24"/>
                <w:lang w:eastAsia="pt-BR"/>
              </w:rPr>
            </w:pPr>
            <w:r w:rsidRPr="00B81D56">
              <w:rPr>
                <w:rFonts w:hint="cs"/>
                <w:sz w:val="16"/>
                <w:szCs w:val="24"/>
                <w:rtl/>
              </w:rPr>
              <w:t>0</w:t>
            </w:r>
            <w:r w:rsidRPr="00B81D56">
              <w:rPr>
                <w:sz w:val="16"/>
                <w:szCs w:val="24"/>
              </w:rPr>
              <w:t>,</w:t>
            </w:r>
            <w:r w:rsidRPr="00B81D56">
              <w:rPr>
                <w:rFonts w:hint="cs"/>
                <w:sz w:val="16"/>
                <w:szCs w:val="24"/>
                <w:rtl/>
              </w:rPr>
              <w:t>4</w:t>
            </w:r>
          </w:p>
        </w:tc>
      </w:tr>
      <w:tr w:rsidR="00FB34F1" w:rsidRPr="00B81D56">
        <w:trPr>
          <w:cantSplit/>
          <w:jc w:val="center"/>
        </w:trPr>
        <w:tc>
          <w:tcPr>
            <w:tcW w:w="1855" w:type="dxa"/>
            <w:tcBorders>
              <w:top w:val="single" w:sz="4" w:space="0" w:color="auto"/>
              <w:bottom w:val="single" w:sz="12" w:space="0" w:color="auto"/>
            </w:tcBorders>
            <w:shd w:val="clear" w:color="auto" w:fill="auto"/>
            <w:vAlign w:val="bottom"/>
          </w:tcPr>
          <w:p w:rsidR="00FB34F1" w:rsidRPr="002A1045" w:rsidRDefault="002A1045" w:rsidP="004B1E98">
            <w:pPr>
              <w:spacing w:before="20" w:after="40" w:line="240" w:lineRule="exact"/>
              <w:jc w:val="left"/>
              <w:rPr>
                <w:rFonts w:hint="cs"/>
                <w:b/>
                <w:bCs/>
                <w:sz w:val="16"/>
                <w:szCs w:val="24"/>
                <w:lang w:eastAsia="pt-BR"/>
              </w:rPr>
            </w:pPr>
            <w:r w:rsidRPr="002A1045">
              <w:rPr>
                <w:rFonts w:hint="cs"/>
                <w:b/>
                <w:bCs/>
                <w:sz w:val="16"/>
                <w:szCs w:val="24"/>
                <w:rtl/>
                <w:lang w:eastAsia="pt-BR"/>
              </w:rPr>
              <w:t>المجموع</w:t>
            </w:r>
          </w:p>
        </w:tc>
        <w:tc>
          <w:tcPr>
            <w:tcW w:w="1421" w:type="dxa"/>
            <w:tcBorders>
              <w:top w:val="single" w:sz="4" w:space="0" w:color="auto"/>
              <w:bottom w:val="single" w:sz="12" w:space="0" w:color="auto"/>
            </w:tcBorders>
            <w:shd w:val="clear" w:color="auto" w:fill="auto"/>
            <w:vAlign w:val="bottom"/>
          </w:tcPr>
          <w:p w:rsidR="00FB34F1" w:rsidRPr="002A1045" w:rsidRDefault="00FB34F1" w:rsidP="004B1E98">
            <w:pPr>
              <w:bidi w:val="0"/>
              <w:spacing w:before="20" w:after="40" w:line="240" w:lineRule="exact"/>
              <w:ind w:right="33"/>
              <w:jc w:val="right"/>
              <w:rPr>
                <w:b/>
                <w:bCs/>
                <w:sz w:val="16"/>
                <w:szCs w:val="24"/>
                <w:lang w:eastAsia="pt-BR"/>
              </w:rPr>
            </w:pPr>
            <w:r w:rsidRPr="002A1045">
              <w:rPr>
                <w:rFonts w:hint="cs"/>
                <w:b/>
                <w:bCs/>
                <w:sz w:val="16"/>
                <w:szCs w:val="24"/>
                <w:rtl/>
              </w:rPr>
              <w:t>15</w:t>
            </w:r>
            <w:r w:rsidRPr="002A1045">
              <w:rPr>
                <w:rFonts w:hint="cs"/>
                <w:b/>
                <w:bCs/>
                <w:sz w:val="16"/>
                <w:szCs w:val="24"/>
              </w:rPr>
              <w:t xml:space="preserve"> </w:t>
            </w:r>
            <w:r w:rsidRPr="002A1045">
              <w:rPr>
                <w:rFonts w:hint="cs"/>
                <w:b/>
                <w:bCs/>
                <w:sz w:val="16"/>
                <w:szCs w:val="24"/>
                <w:rtl/>
              </w:rPr>
              <w:t>598</w:t>
            </w:r>
            <w:r w:rsidRPr="002A1045">
              <w:rPr>
                <w:rFonts w:hint="cs"/>
                <w:b/>
                <w:bCs/>
                <w:sz w:val="16"/>
                <w:szCs w:val="24"/>
              </w:rPr>
              <w:t xml:space="preserve"> </w:t>
            </w:r>
            <w:r w:rsidRPr="002A1045">
              <w:rPr>
                <w:rFonts w:hint="cs"/>
                <w:b/>
                <w:bCs/>
                <w:sz w:val="16"/>
                <w:szCs w:val="24"/>
                <w:rtl/>
              </w:rPr>
              <w:t>787</w:t>
            </w:r>
          </w:p>
        </w:tc>
        <w:tc>
          <w:tcPr>
            <w:tcW w:w="1348" w:type="dxa"/>
            <w:gridSpan w:val="2"/>
            <w:tcBorders>
              <w:top w:val="single" w:sz="4" w:space="0" w:color="auto"/>
              <w:bottom w:val="single" w:sz="12" w:space="0" w:color="auto"/>
            </w:tcBorders>
            <w:shd w:val="clear" w:color="auto" w:fill="auto"/>
            <w:vAlign w:val="bottom"/>
          </w:tcPr>
          <w:p w:rsidR="00FB34F1" w:rsidRPr="002A1045" w:rsidRDefault="00FB34F1" w:rsidP="004B1E98">
            <w:pPr>
              <w:bidi w:val="0"/>
              <w:spacing w:before="20" w:after="40" w:line="240" w:lineRule="exact"/>
              <w:ind w:right="54"/>
              <w:jc w:val="right"/>
              <w:rPr>
                <w:b/>
                <w:bCs/>
                <w:sz w:val="16"/>
                <w:szCs w:val="24"/>
                <w:lang w:eastAsia="pt-BR"/>
              </w:rPr>
            </w:pPr>
            <w:r w:rsidRPr="002A1045">
              <w:rPr>
                <w:rFonts w:hint="cs"/>
                <w:b/>
                <w:bCs/>
                <w:sz w:val="16"/>
                <w:szCs w:val="24"/>
                <w:rtl/>
              </w:rPr>
              <w:t>100</w:t>
            </w:r>
            <w:r w:rsidRPr="002A1045">
              <w:rPr>
                <w:b/>
                <w:bCs/>
                <w:sz w:val="16"/>
                <w:szCs w:val="24"/>
              </w:rPr>
              <w:t>,</w:t>
            </w:r>
            <w:r w:rsidRPr="002A1045">
              <w:rPr>
                <w:rFonts w:hint="cs"/>
                <w:b/>
                <w:bCs/>
                <w:sz w:val="16"/>
                <w:szCs w:val="24"/>
                <w:rtl/>
              </w:rPr>
              <w:t>0</w:t>
            </w:r>
          </w:p>
        </w:tc>
        <w:tc>
          <w:tcPr>
            <w:tcW w:w="1557" w:type="dxa"/>
            <w:tcBorders>
              <w:top w:val="single" w:sz="4" w:space="0" w:color="auto"/>
              <w:bottom w:val="single" w:sz="12" w:space="0" w:color="auto"/>
            </w:tcBorders>
            <w:shd w:val="clear" w:color="auto" w:fill="auto"/>
            <w:vAlign w:val="bottom"/>
          </w:tcPr>
          <w:p w:rsidR="00FB34F1" w:rsidRPr="002A1045" w:rsidRDefault="00FB34F1" w:rsidP="004B1E98">
            <w:pPr>
              <w:bidi w:val="0"/>
              <w:spacing w:before="20" w:after="40" w:line="240" w:lineRule="exact"/>
              <w:jc w:val="right"/>
              <w:rPr>
                <w:b/>
                <w:bCs/>
                <w:sz w:val="16"/>
                <w:szCs w:val="24"/>
                <w:lang w:eastAsia="pt-BR"/>
              </w:rPr>
            </w:pPr>
            <w:r w:rsidRPr="002A1045">
              <w:rPr>
                <w:rFonts w:hint="cs"/>
                <w:b/>
                <w:bCs/>
                <w:sz w:val="16"/>
                <w:szCs w:val="24"/>
                <w:rtl/>
              </w:rPr>
              <w:t>13</w:t>
            </w:r>
            <w:r w:rsidRPr="002A1045">
              <w:rPr>
                <w:rFonts w:hint="cs"/>
                <w:b/>
                <w:bCs/>
                <w:sz w:val="16"/>
                <w:szCs w:val="24"/>
              </w:rPr>
              <w:t xml:space="preserve"> </w:t>
            </w:r>
            <w:r w:rsidRPr="002A1045">
              <w:rPr>
                <w:rFonts w:hint="cs"/>
                <w:b/>
                <w:bCs/>
                <w:sz w:val="16"/>
                <w:szCs w:val="24"/>
                <w:rtl/>
              </w:rPr>
              <w:t>027</w:t>
            </w:r>
            <w:r w:rsidRPr="002A1045">
              <w:rPr>
                <w:rFonts w:hint="cs"/>
                <w:b/>
                <w:bCs/>
                <w:sz w:val="16"/>
                <w:szCs w:val="24"/>
              </w:rPr>
              <w:t xml:space="preserve"> </w:t>
            </w:r>
            <w:r w:rsidRPr="002A1045">
              <w:rPr>
                <w:rFonts w:hint="cs"/>
                <w:b/>
                <w:bCs/>
                <w:sz w:val="16"/>
                <w:szCs w:val="24"/>
                <w:rtl/>
              </w:rPr>
              <w:t>703</w:t>
            </w:r>
          </w:p>
        </w:tc>
        <w:tc>
          <w:tcPr>
            <w:tcW w:w="1139" w:type="dxa"/>
            <w:tcBorders>
              <w:top w:val="single" w:sz="4" w:space="0" w:color="auto"/>
              <w:bottom w:val="single" w:sz="12" w:space="0" w:color="auto"/>
            </w:tcBorders>
            <w:shd w:val="clear" w:color="auto" w:fill="auto"/>
            <w:vAlign w:val="bottom"/>
          </w:tcPr>
          <w:p w:rsidR="00FB34F1" w:rsidRPr="002A1045" w:rsidRDefault="00FB34F1" w:rsidP="004B1E98">
            <w:pPr>
              <w:bidi w:val="0"/>
              <w:spacing w:before="20" w:after="40" w:line="240" w:lineRule="exact"/>
              <w:ind w:right="33"/>
              <w:jc w:val="right"/>
              <w:rPr>
                <w:b/>
                <w:bCs/>
                <w:sz w:val="16"/>
                <w:szCs w:val="24"/>
                <w:lang w:eastAsia="pt-BR"/>
              </w:rPr>
            </w:pPr>
            <w:r w:rsidRPr="002A1045">
              <w:rPr>
                <w:rFonts w:hint="cs"/>
                <w:b/>
                <w:bCs/>
                <w:sz w:val="16"/>
                <w:szCs w:val="24"/>
                <w:rtl/>
              </w:rPr>
              <w:t>100</w:t>
            </w:r>
            <w:r w:rsidRPr="002A1045">
              <w:rPr>
                <w:b/>
                <w:bCs/>
                <w:sz w:val="16"/>
                <w:szCs w:val="24"/>
              </w:rPr>
              <w:t>,</w:t>
            </w:r>
            <w:r w:rsidRPr="002A1045">
              <w:rPr>
                <w:rFonts w:hint="cs"/>
                <w:b/>
                <w:bCs/>
                <w:sz w:val="16"/>
                <w:szCs w:val="24"/>
                <w:rtl/>
              </w:rPr>
              <w:t>0</w:t>
            </w:r>
          </w:p>
        </w:tc>
      </w:tr>
    </w:tbl>
    <w:p w:rsidR="002A1045" w:rsidRPr="002A1045" w:rsidRDefault="002A1045" w:rsidP="002A1045">
      <w:pPr>
        <w:pStyle w:val="SingleTxt"/>
        <w:spacing w:after="0" w:line="120" w:lineRule="exact"/>
        <w:rPr>
          <w:rFonts w:hint="cs"/>
          <w:sz w:val="10"/>
          <w:rtl/>
          <w:lang w:bidi="ar-EG"/>
        </w:rPr>
      </w:pPr>
    </w:p>
    <w:p w:rsidR="00FB34F1" w:rsidRDefault="002A1045" w:rsidP="002A104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2A1045" w:rsidRDefault="002A1045" w:rsidP="002A104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2A1045" w:rsidRDefault="002A1045" w:rsidP="005A77EB">
      <w:pPr>
        <w:pStyle w:val="SingleTxt"/>
        <w:spacing w:line="390" w:lineRule="exact"/>
        <w:rPr>
          <w:rFonts w:hint="cs"/>
          <w:rtl/>
          <w:lang w:bidi="ar-EG"/>
        </w:rPr>
      </w:pPr>
      <w:r>
        <w:rPr>
          <w:rFonts w:hint="cs"/>
          <w:rtl/>
          <w:lang w:bidi="ar-EG"/>
        </w:rPr>
        <w:tab/>
        <w:t>ويتضح من تحليل تركيب هؤلاء السكان، حسب العنصر أو اللون، أن هناك نسبة كبيرة من النساء السود (57 في المائة</w:t>
      </w:r>
      <w:r w:rsidR="00DC149B">
        <w:rPr>
          <w:rFonts w:hint="cs"/>
          <w:rtl/>
          <w:lang w:bidi="ar-EG"/>
        </w:rPr>
        <w:t>)</w:t>
      </w:r>
      <w:r>
        <w:rPr>
          <w:rFonts w:hint="cs"/>
          <w:rtl/>
          <w:lang w:bidi="ar-EG"/>
        </w:rPr>
        <w:t xml:space="preserve"> ضمن السكان الإناث الريفيات - وهذا المقدار لم يتغير بشكل كبير بين عامي 1992 و 2003.</w:t>
      </w:r>
    </w:p>
    <w:p w:rsidR="00E16BF5" w:rsidRDefault="00E16BF5" w:rsidP="005A77EB">
      <w:pPr>
        <w:pStyle w:val="SingleTxt"/>
        <w:spacing w:line="390" w:lineRule="exact"/>
        <w:rPr>
          <w:rFonts w:hint="cs"/>
          <w:rtl/>
          <w:lang w:bidi="ar-EG"/>
        </w:rPr>
      </w:pPr>
      <w:r>
        <w:rPr>
          <w:rFonts w:hint="cs"/>
          <w:rtl/>
          <w:lang w:bidi="ar-EG"/>
        </w:rPr>
        <w:tab/>
        <w:t>وامتثالا للتوصية رقم 16 للجنة، يزيد مقدار البيانات المصنفة حسب نوع الجنس للمرأة الريفية في البرازيل.</w:t>
      </w:r>
    </w:p>
    <w:p w:rsidR="00E16BF5" w:rsidRDefault="00E16BF5" w:rsidP="00DC149B">
      <w:pPr>
        <w:pStyle w:val="SingleTxt"/>
        <w:spacing w:line="390" w:lineRule="exact"/>
        <w:rPr>
          <w:rFonts w:hint="cs"/>
          <w:rtl/>
          <w:lang w:bidi="ar-EG"/>
        </w:rPr>
      </w:pPr>
      <w:r>
        <w:rPr>
          <w:rFonts w:hint="cs"/>
          <w:rtl/>
          <w:lang w:bidi="ar-EG"/>
        </w:rPr>
        <w:tab/>
        <w:t xml:space="preserve">وفيما يتعلق بالتوزيع العمري للريفيات من السكان، فرغم أنه لا يزال هناك تركيز أكبر للنساء دون سن 19 سنة، فإن هذه النسبة تتناقص نتيجة لأحد الاتجاهات الديمغرافية، وهو اتجاه عمر سكان البرازيل إلى الزيادة. وتزيد حدة هذا الاتجاه بالنسبة للمرأة التي تتمتع بعمر متوقع أطول من الرجل. وبالتالي، كان عمر ما يقرب من 50 في المائة من الريفيات </w:t>
      </w:r>
      <w:r w:rsidR="00DC149B">
        <w:rPr>
          <w:rFonts w:hint="cs"/>
          <w:rtl/>
          <w:lang w:bidi="ar-EG"/>
        </w:rPr>
        <w:t>أقل من</w:t>
      </w:r>
      <w:r>
        <w:rPr>
          <w:rFonts w:hint="cs"/>
          <w:rtl/>
          <w:lang w:bidi="ar-EG"/>
        </w:rPr>
        <w:t xml:space="preserve"> 19 سنة عام 1992. أما في عام 2003 فقد انخفضت هذه النسبة إلى 42 في المائة، وما زالت هذه قيمة مرتفعة، إلا أنها تصور عملية اتجاه عمر السكان إلى الزيا</w:t>
      </w:r>
      <w:r w:rsidR="00322C04">
        <w:rPr>
          <w:rFonts w:hint="cs"/>
          <w:rtl/>
          <w:lang w:bidi="ar-EG"/>
        </w:rPr>
        <w:t>د</w:t>
      </w:r>
      <w:r>
        <w:rPr>
          <w:rFonts w:hint="cs"/>
          <w:rtl/>
          <w:lang w:bidi="ar-EG"/>
        </w:rPr>
        <w:t>ة.</w:t>
      </w:r>
    </w:p>
    <w:tbl>
      <w:tblPr>
        <w:bidiVisual/>
        <w:tblW w:w="0" w:type="auto"/>
        <w:jc w:val="center"/>
        <w:tblLayout w:type="fixed"/>
        <w:tblCellMar>
          <w:left w:w="70" w:type="dxa"/>
          <w:right w:w="70" w:type="dxa"/>
        </w:tblCellMar>
        <w:tblLook w:val="0000" w:firstRow="0" w:lastRow="0" w:firstColumn="0" w:lastColumn="0" w:noHBand="0" w:noVBand="0"/>
      </w:tblPr>
      <w:tblGrid>
        <w:gridCol w:w="1201"/>
        <w:gridCol w:w="1002"/>
        <w:gridCol w:w="1165"/>
        <w:gridCol w:w="722"/>
        <w:gridCol w:w="160"/>
        <w:gridCol w:w="1024"/>
        <w:gridCol w:w="1075"/>
        <w:gridCol w:w="972"/>
      </w:tblGrid>
      <w:tr w:rsidR="00322C04" w:rsidRPr="00B81D56">
        <w:trPr>
          <w:cantSplit/>
          <w:tblHeader/>
          <w:jc w:val="center"/>
        </w:trPr>
        <w:tc>
          <w:tcPr>
            <w:tcW w:w="7321" w:type="dxa"/>
            <w:gridSpan w:val="8"/>
            <w:tcBorders>
              <w:top w:val="single" w:sz="4" w:space="0" w:color="auto"/>
              <w:bottom w:val="single" w:sz="4" w:space="0" w:color="auto"/>
            </w:tcBorders>
            <w:shd w:val="clear" w:color="auto" w:fill="auto"/>
            <w:vAlign w:val="bottom"/>
          </w:tcPr>
          <w:p w:rsidR="00322C04" w:rsidRPr="00322C04" w:rsidRDefault="00322C04" w:rsidP="00322C04">
            <w:pPr>
              <w:spacing w:before="80" w:after="80" w:line="240" w:lineRule="exact"/>
              <w:ind w:right="144"/>
              <w:jc w:val="center"/>
              <w:rPr>
                <w:rFonts w:hint="cs"/>
                <w:b/>
                <w:bCs/>
                <w:sz w:val="18"/>
                <w:szCs w:val="26"/>
                <w:rtl/>
              </w:rPr>
            </w:pPr>
            <w:r>
              <w:rPr>
                <w:rFonts w:hint="cs"/>
                <w:b/>
                <w:bCs/>
                <w:sz w:val="18"/>
                <w:szCs w:val="26"/>
                <w:rtl/>
              </w:rPr>
              <w:t>التوزيع العمري للريفيات، حسب اللون/العنصر - البرازيل، 1992 و 2003</w:t>
            </w:r>
          </w:p>
        </w:tc>
      </w:tr>
      <w:tr w:rsidR="00322C04" w:rsidRPr="00B81D56">
        <w:trPr>
          <w:cantSplit/>
          <w:tblHeader/>
          <w:jc w:val="center"/>
        </w:trPr>
        <w:tc>
          <w:tcPr>
            <w:tcW w:w="1201" w:type="dxa"/>
            <w:tcBorders>
              <w:top w:val="single" w:sz="4" w:space="0" w:color="auto"/>
            </w:tcBorders>
            <w:shd w:val="clear" w:color="auto" w:fill="auto"/>
            <w:vAlign w:val="bottom"/>
          </w:tcPr>
          <w:p w:rsidR="00322C04" w:rsidRPr="00B81D56" w:rsidRDefault="00322C04" w:rsidP="005A77EB">
            <w:pPr>
              <w:spacing w:before="40" w:after="40" w:line="240" w:lineRule="exact"/>
              <w:rPr>
                <w:rFonts w:hint="cs"/>
                <w:i/>
                <w:iCs/>
                <w:sz w:val="16"/>
                <w:szCs w:val="24"/>
                <w:rtl/>
              </w:rPr>
            </w:pPr>
          </w:p>
        </w:tc>
        <w:tc>
          <w:tcPr>
            <w:tcW w:w="2889" w:type="dxa"/>
            <w:gridSpan w:val="3"/>
            <w:tcBorders>
              <w:top w:val="single" w:sz="4" w:space="0" w:color="auto"/>
              <w:bottom w:val="single" w:sz="4" w:space="0" w:color="auto"/>
            </w:tcBorders>
            <w:shd w:val="clear" w:color="auto" w:fill="auto"/>
            <w:vAlign w:val="bottom"/>
          </w:tcPr>
          <w:p w:rsidR="00322C04" w:rsidRPr="00B81D56" w:rsidRDefault="00322C04" w:rsidP="005A77EB">
            <w:pPr>
              <w:spacing w:before="40" w:after="40" w:line="240" w:lineRule="exact"/>
              <w:ind w:right="144"/>
              <w:jc w:val="center"/>
              <w:rPr>
                <w:rFonts w:hint="cs"/>
                <w:i/>
                <w:iCs/>
                <w:sz w:val="16"/>
                <w:szCs w:val="24"/>
                <w:rtl/>
              </w:rPr>
            </w:pPr>
            <w:r>
              <w:rPr>
                <w:rFonts w:hint="cs"/>
                <w:i/>
                <w:iCs/>
                <w:sz w:val="16"/>
                <w:szCs w:val="24"/>
                <w:rtl/>
              </w:rPr>
              <w:t>1992</w:t>
            </w:r>
          </w:p>
        </w:tc>
        <w:tc>
          <w:tcPr>
            <w:tcW w:w="160" w:type="dxa"/>
            <w:tcBorders>
              <w:top w:val="single" w:sz="4"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p>
        </w:tc>
        <w:tc>
          <w:tcPr>
            <w:tcW w:w="3071" w:type="dxa"/>
            <w:gridSpan w:val="3"/>
            <w:tcBorders>
              <w:top w:val="single" w:sz="4" w:space="0" w:color="auto"/>
              <w:bottom w:val="single" w:sz="4" w:space="0" w:color="auto"/>
            </w:tcBorders>
            <w:shd w:val="clear" w:color="auto" w:fill="auto"/>
            <w:vAlign w:val="bottom"/>
          </w:tcPr>
          <w:p w:rsidR="00322C04" w:rsidRPr="00B81D56" w:rsidRDefault="00322C04" w:rsidP="005A77EB">
            <w:pPr>
              <w:spacing w:before="40" w:after="40" w:line="240" w:lineRule="exact"/>
              <w:ind w:right="144"/>
              <w:jc w:val="center"/>
              <w:rPr>
                <w:rFonts w:hint="cs"/>
                <w:i/>
                <w:iCs/>
                <w:sz w:val="16"/>
                <w:szCs w:val="24"/>
                <w:rtl/>
              </w:rPr>
            </w:pPr>
            <w:r>
              <w:rPr>
                <w:rFonts w:hint="cs"/>
                <w:i/>
                <w:iCs/>
                <w:sz w:val="16"/>
                <w:szCs w:val="24"/>
                <w:rtl/>
              </w:rPr>
              <w:t>2003</w:t>
            </w:r>
          </w:p>
        </w:tc>
      </w:tr>
      <w:tr w:rsidR="00322C04" w:rsidRPr="00B81D56">
        <w:trPr>
          <w:cantSplit/>
          <w:tblHeader/>
          <w:jc w:val="center"/>
        </w:trPr>
        <w:tc>
          <w:tcPr>
            <w:tcW w:w="1201" w:type="dxa"/>
            <w:shd w:val="clear" w:color="auto" w:fill="auto"/>
            <w:vAlign w:val="bottom"/>
          </w:tcPr>
          <w:p w:rsidR="00322C04" w:rsidRPr="00B81D56" w:rsidRDefault="00322C04" w:rsidP="005A77EB">
            <w:pPr>
              <w:spacing w:before="40" w:after="40" w:line="240" w:lineRule="exact"/>
              <w:rPr>
                <w:rFonts w:hint="cs"/>
                <w:i/>
                <w:iCs/>
                <w:sz w:val="16"/>
                <w:szCs w:val="24"/>
                <w:rtl/>
              </w:rPr>
            </w:pPr>
          </w:p>
        </w:tc>
        <w:tc>
          <w:tcPr>
            <w:tcW w:w="2889" w:type="dxa"/>
            <w:gridSpan w:val="3"/>
            <w:tcBorders>
              <w:top w:val="single" w:sz="4" w:space="0" w:color="auto"/>
              <w:bottom w:val="single" w:sz="4" w:space="0" w:color="auto"/>
            </w:tcBorders>
            <w:shd w:val="clear" w:color="auto" w:fill="auto"/>
            <w:vAlign w:val="bottom"/>
          </w:tcPr>
          <w:p w:rsidR="00322C04" w:rsidRDefault="00322C04" w:rsidP="005A77EB">
            <w:pPr>
              <w:spacing w:before="40" w:after="40" w:line="240" w:lineRule="exact"/>
              <w:ind w:right="144"/>
              <w:jc w:val="center"/>
              <w:rPr>
                <w:rFonts w:hint="cs"/>
                <w:i/>
                <w:iCs/>
                <w:sz w:val="16"/>
                <w:szCs w:val="24"/>
                <w:rtl/>
                <w:lang w:bidi="ar-EG"/>
              </w:rPr>
            </w:pPr>
            <w:r>
              <w:rPr>
                <w:rFonts w:hint="cs"/>
                <w:i/>
                <w:iCs/>
                <w:sz w:val="16"/>
                <w:szCs w:val="24"/>
                <w:rtl/>
                <w:lang w:bidi="ar-EG"/>
              </w:rPr>
              <w:t>العنصر/اللون</w:t>
            </w:r>
          </w:p>
        </w:tc>
        <w:tc>
          <w:tcPr>
            <w:tcW w:w="160" w:type="dxa"/>
            <w:shd w:val="clear" w:color="auto" w:fill="auto"/>
            <w:vAlign w:val="bottom"/>
          </w:tcPr>
          <w:p w:rsidR="00322C04" w:rsidRPr="00B81D56" w:rsidRDefault="00322C04" w:rsidP="005A77EB">
            <w:pPr>
              <w:spacing w:before="40" w:after="40" w:line="240" w:lineRule="exact"/>
              <w:ind w:right="144"/>
              <w:rPr>
                <w:rFonts w:hint="cs"/>
                <w:i/>
                <w:iCs/>
                <w:sz w:val="16"/>
                <w:szCs w:val="24"/>
                <w:rtl/>
              </w:rPr>
            </w:pPr>
          </w:p>
        </w:tc>
        <w:tc>
          <w:tcPr>
            <w:tcW w:w="3071" w:type="dxa"/>
            <w:gridSpan w:val="3"/>
            <w:tcBorders>
              <w:top w:val="single" w:sz="4" w:space="0" w:color="auto"/>
              <w:bottom w:val="single" w:sz="4" w:space="0" w:color="auto"/>
            </w:tcBorders>
            <w:shd w:val="clear" w:color="auto" w:fill="auto"/>
            <w:vAlign w:val="bottom"/>
          </w:tcPr>
          <w:p w:rsidR="00322C04" w:rsidRDefault="00322C04" w:rsidP="005A77EB">
            <w:pPr>
              <w:spacing w:before="40" w:after="40" w:line="240" w:lineRule="exact"/>
              <w:ind w:right="144"/>
              <w:jc w:val="center"/>
              <w:rPr>
                <w:rFonts w:hint="cs"/>
                <w:i/>
                <w:iCs/>
                <w:sz w:val="16"/>
                <w:szCs w:val="24"/>
                <w:rtl/>
              </w:rPr>
            </w:pPr>
            <w:r>
              <w:rPr>
                <w:rFonts w:hint="cs"/>
                <w:i/>
                <w:iCs/>
                <w:sz w:val="16"/>
                <w:szCs w:val="24"/>
                <w:rtl/>
              </w:rPr>
              <w:t>العنصر/اللون</w:t>
            </w:r>
          </w:p>
        </w:tc>
      </w:tr>
      <w:tr w:rsidR="00322C04" w:rsidRPr="00B81D56">
        <w:trPr>
          <w:cantSplit/>
          <w:tblHeader/>
          <w:jc w:val="center"/>
        </w:trPr>
        <w:tc>
          <w:tcPr>
            <w:tcW w:w="1201" w:type="dxa"/>
            <w:tcBorders>
              <w:bottom w:val="single" w:sz="12" w:space="0" w:color="auto"/>
            </w:tcBorders>
            <w:shd w:val="clear" w:color="auto" w:fill="auto"/>
            <w:vAlign w:val="bottom"/>
          </w:tcPr>
          <w:p w:rsidR="00322C04" w:rsidRPr="00322C04" w:rsidRDefault="00322C04" w:rsidP="005A77EB">
            <w:pPr>
              <w:spacing w:before="40" w:after="40" w:line="240" w:lineRule="exact"/>
              <w:rPr>
                <w:rFonts w:hint="cs"/>
                <w:i/>
                <w:iCs/>
                <w:sz w:val="16"/>
                <w:szCs w:val="24"/>
                <w:rtl/>
              </w:rPr>
            </w:pPr>
            <w:r>
              <w:rPr>
                <w:rFonts w:hint="cs"/>
                <w:i/>
                <w:iCs/>
                <w:sz w:val="16"/>
                <w:szCs w:val="24"/>
                <w:rtl/>
              </w:rPr>
              <w:t>المجموعة العمرية</w:t>
            </w:r>
          </w:p>
        </w:tc>
        <w:tc>
          <w:tcPr>
            <w:tcW w:w="1002" w:type="dxa"/>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بيض</w:t>
            </w:r>
          </w:p>
        </w:tc>
        <w:tc>
          <w:tcPr>
            <w:tcW w:w="1165" w:type="dxa"/>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سود</w:t>
            </w:r>
          </w:p>
        </w:tc>
        <w:tc>
          <w:tcPr>
            <w:tcW w:w="882" w:type="dxa"/>
            <w:gridSpan w:val="2"/>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المجموع</w:t>
            </w:r>
          </w:p>
        </w:tc>
        <w:tc>
          <w:tcPr>
            <w:tcW w:w="1024" w:type="dxa"/>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بيض</w:t>
            </w:r>
          </w:p>
        </w:tc>
        <w:tc>
          <w:tcPr>
            <w:tcW w:w="1075" w:type="dxa"/>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سود</w:t>
            </w:r>
          </w:p>
        </w:tc>
        <w:tc>
          <w:tcPr>
            <w:tcW w:w="972" w:type="dxa"/>
            <w:tcBorders>
              <w:bottom w:val="single" w:sz="12" w:space="0" w:color="auto"/>
            </w:tcBorders>
            <w:shd w:val="clear" w:color="auto" w:fill="auto"/>
            <w:vAlign w:val="bottom"/>
          </w:tcPr>
          <w:p w:rsidR="00322C04" w:rsidRPr="00B81D56" w:rsidRDefault="00322C04" w:rsidP="005A77EB">
            <w:pPr>
              <w:spacing w:before="40" w:after="40" w:line="240" w:lineRule="exact"/>
              <w:ind w:right="144"/>
              <w:rPr>
                <w:rFonts w:hint="cs"/>
                <w:i/>
                <w:iCs/>
                <w:sz w:val="16"/>
                <w:szCs w:val="24"/>
                <w:rtl/>
              </w:rPr>
            </w:pPr>
            <w:r>
              <w:rPr>
                <w:rFonts w:hint="cs"/>
                <w:i/>
                <w:iCs/>
                <w:sz w:val="16"/>
                <w:szCs w:val="24"/>
                <w:rtl/>
              </w:rPr>
              <w:t>المجموع</w:t>
            </w:r>
          </w:p>
        </w:tc>
      </w:tr>
      <w:tr w:rsidR="00322C04" w:rsidRPr="00B81D56">
        <w:trPr>
          <w:cantSplit/>
          <w:trHeight w:hRule="exact" w:val="115"/>
          <w:tblHeader/>
          <w:jc w:val="center"/>
        </w:trPr>
        <w:tc>
          <w:tcPr>
            <w:tcW w:w="1201" w:type="dxa"/>
            <w:tcBorders>
              <w:top w:val="single" w:sz="12" w:space="0" w:color="auto"/>
            </w:tcBorders>
            <w:shd w:val="clear" w:color="auto" w:fill="auto"/>
            <w:vAlign w:val="bottom"/>
          </w:tcPr>
          <w:p w:rsidR="00322C04" w:rsidRPr="00B81D56" w:rsidRDefault="00322C04" w:rsidP="004B1E98">
            <w:pPr>
              <w:bidi w:val="0"/>
              <w:spacing w:before="40" w:after="80" w:line="240" w:lineRule="exact"/>
              <w:jc w:val="right"/>
              <w:rPr>
                <w:rFonts w:hint="cs"/>
                <w:sz w:val="16"/>
                <w:szCs w:val="24"/>
                <w:rtl/>
              </w:rPr>
            </w:pPr>
          </w:p>
        </w:tc>
        <w:tc>
          <w:tcPr>
            <w:tcW w:w="1002" w:type="dxa"/>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rFonts w:hint="cs"/>
                <w:sz w:val="16"/>
                <w:szCs w:val="24"/>
                <w:rtl/>
              </w:rPr>
            </w:pPr>
          </w:p>
        </w:tc>
        <w:tc>
          <w:tcPr>
            <w:tcW w:w="1165" w:type="dxa"/>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sz w:val="16"/>
                <w:szCs w:val="24"/>
                <w:rtl/>
              </w:rPr>
            </w:pPr>
          </w:p>
        </w:tc>
        <w:tc>
          <w:tcPr>
            <w:tcW w:w="882" w:type="dxa"/>
            <w:gridSpan w:val="2"/>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rFonts w:hint="cs"/>
                <w:sz w:val="16"/>
                <w:szCs w:val="24"/>
                <w:rtl/>
              </w:rPr>
            </w:pPr>
          </w:p>
        </w:tc>
        <w:tc>
          <w:tcPr>
            <w:tcW w:w="1024" w:type="dxa"/>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rFonts w:hint="cs"/>
                <w:sz w:val="16"/>
                <w:szCs w:val="24"/>
                <w:rtl/>
              </w:rPr>
            </w:pPr>
          </w:p>
        </w:tc>
        <w:tc>
          <w:tcPr>
            <w:tcW w:w="1075" w:type="dxa"/>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rFonts w:hint="cs"/>
                <w:sz w:val="16"/>
                <w:szCs w:val="24"/>
                <w:rtl/>
              </w:rPr>
            </w:pPr>
          </w:p>
        </w:tc>
        <w:tc>
          <w:tcPr>
            <w:tcW w:w="972" w:type="dxa"/>
            <w:tcBorders>
              <w:top w:val="single" w:sz="12" w:space="0" w:color="auto"/>
            </w:tcBorders>
            <w:shd w:val="clear" w:color="auto" w:fill="auto"/>
            <w:vAlign w:val="bottom"/>
          </w:tcPr>
          <w:p w:rsidR="00322C04" w:rsidRPr="00B81D56" w:rsidRDefault="00322C04" w:rsidP="004B1E98">
            <w:pPr>
              <w:bidi w:val="0"/>
              <w:spacing w:before="40" w:after="80" w:line="240" w:lineRule="exact"/>
              <w:ind w:right="144"/>
              <w:jc w:val="right"/>
              <w:rPr>
                <w:rFonts w:hint="cs"/>
                <w:sz w:val="16"/>
                <w:szCs w:val="24"/>
                <w:rtl/>
              </w:rPr>
            </w:pP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Pr>
                <w:rFonts w:hint="cs"/>
                <w:sz w:val="16"/>
                <w:szCs w:val="24"/>
                <w:rtl/>
              </w:rPr>
              <w:t>صفر</w:t>
            </w:r>
            <w:r>
              <w:rPr>
                <w:sz w:val="16"/>
                <w:szCs w:val="24"/>
                <w:rtl/>
              </w:rPr>
              <w:t xml:space="preserve"> إلى </w:t>
            </w:r>
            <w:r w:rsidRPr="00B81D56">
              <w:rPr>
                <w:rFonts w:hint="cs"/>
                <w:sz w:val="16"/>
                <w:szCs w:val="24"/>
                <w:rtl/>
              </w:rPr>
              <w:t>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5</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bidi="ar-EG"/>
              </w:rPr>
            </w:pPr>
            <w:r w:rsidRPr="00B81D56">
              <w:rPr>
                <w:rFonts w:hint="cs"/>
                <w:sz w:val="16"/>
                <w:szCs w:val="24"/>
                <w:rtl/>
              </w:rPr>
              <w:t>12</w:t>
            </w:r>
            <w:r w:rsidRPr="00B81D56">
              <w:rPr>
                <w:sz w:val="16"/>
                <w:szCs w:val="24"/>
              </w:rPr>
              <w:t>,</w:t>
            </w:r>
            <w:r w:rsidRPr="00B81D56">
              <w:rPr>
                <w:rFonts w:hint="cs"/>
                <w:sz w:val="16"/>
                <w:szCs w:val="24"/>
                <w:rtl/>
              </w:rPr>
              <w:t>8</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6</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9</w:t>
            </w:r>
            <w:r w:rsidRPr="00B81D56">
              <w:rPr>
                <w:sz w:val="16"/>
                <w:szCs w:val="24"/>
              </w:rPr>
              <w:t>,</w:t>
            </w:r>
            <w:r w:rsidRPr="00B81D56">
              <w:rPr>
                <w:rFonts w:hint="cs"/>
                <w:sz w:val="16"/>
                <w:szCs w:val="24"/>
                <w:rtl/>
              </w:rPr>
              <w:t>4</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9</w:t>
            </w:r>
            <w:r w:rsidRPr="00B81D56">
              <w:rPr>
                <w:sz w:val="16"/>
                <w:szCs w:val="24"/>
              </w:rPr>
              <w:t>,</w:t>
            </w:r>
            <w:r w:rsidRPr="00B81D56">
              <w:rPr>
                <w:rFonts w:hint="cs"/>
                <w:sz w:val="16"/>
                <w:szCs w:val="24"/>
                <w:rtl/>
              </w:rPr>
              <w:t>7</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9</w:t>
            </w:r>
            <w:r w:rsidRPr="00B81D56">
              <w:rPr>
                <w:sz w:val="16"/>
                <w:szCs w:val="24"/>
              </w:rPr>
              <w:t>,</w:t>
            </w:r>
            <w:r w:rsidRPr="00B81D56">
              <w:rPr>
                <w:rFonts w:hint="cs"/>
                <w:sz w:val="16"/>
                <w:szCs w:val="24"/>
                <w:rtl/>
              </w:rPr>
              <w:t>5</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5</w:t>
            </w:r>
            <w:r>
              <w:rPr>
                <w:sz w:val="16"/>
                <w:szCs w:val="24"/>
                <w:rtl/>
              </w:rPr>
              <w:t xml:space="preserve"> إلى </w:t>
            </w:r>
            <w:r w:rsidRPr="00B81D56">
              <w:rPr>
                <w:rFonts w:hint="cs"/>
                <w:sz w:val="16"/>
                <w:szCs w:val="24"/>
                <w:rtl/>
              </w:rPr>
              <w:t>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1</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14</w:t>
            </w:r>
            <w:r w:rsidRPr="00B81D56">
              <w:rPr>
                <w:sz w:val="16"/>
                <w:szCs w:val="24"/>
              </w:rPr>
              <w:t>,</w:t>
            </w:r>
            <w:r w:rsidRPr="00B81D56">
              <w:rPr>
                <w:rFonts w:hint="cs"/>
                <w:sz w:val="16"/>
                <w:szCs w:val="24"/>
                <w:rtl/>
              </w:rPr>
              <w:t>4</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13</w:t>
            </w:r>
            <w:r w:rsidRPr="00B81D56">
              <w:rPr>
                <w:sz w:val="16"/>
                <w:szCs w:val="24"/>
              </w:rPr>
              <w:t>,</w:t>
            </w:r>
            <w:r w:rsidRPr="00B81D56">
              <w:rPr>
                <w:rFonts w:hint="cs"/>
                <w:sz w:val="16"/>
                <w:szCs w:val="24"/>
                <w:rtl/>
              </w:rPr>
              <w:t>4</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4</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1</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11</w:t>
            </w:r>
            <w:r w:rsidRPr="00B81D56">
              <w:rPr>
                <w:sz w:val="16"/>
                <w:szCs w:val="24"/>
              </w:rPr>
              <w:t>,</w:t>
            </w:r>
            <w:r w:rsidRPr="00B81D56">
              <w:rPr>
                <w:rFonts w:hint="cs"/>
                <w:sz w:val="16"/>
                <w:szCs w:val="24"/>
                <w:rtl/>
              </w:rPr>
              <w:t>4</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10</w:t>
            </w:r>
            <w:r>
              <w:rPr>
                <w:sz w:val="16"/>
                <w:szCs w:val="24"/>
                <w:rtl/>
              </w:rPr>
              <w:t xml:space="preserve"> إلى </w:t>
            </w:r>
            <w:r w:rsidRPr="00B81D56">
              <w:rPr>
                <w:rFonts w:hint="cs"/>
                <w:sz w:val="16"/>
                <w:szCs w:val="24"/>
                <w:rtl/>
              </w:rPr>
              <w:t>14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11</w:t>
            </w:r>
            <w:r w:rsidRPr="00B81D56">
              <w:rPr>
                <w:sz w:val="16"/>
                <w:szCs w:val="24"/>
              </w:rPr>
              <w:t>,</w:t>
            </w:r>
            <w:r w:rsidRPr="00B81D56">
              <w:rPr>
                <w:rFonts w:hint="cs"/>
                <w:sz w:val="16"/>
                <w:szCs w:val="24"/>
                <w:rtl/>
              </w:rPr>
              <w:t>7</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13</w:t>
            </w:r>
            <w:r w:rsidRPr="00B81D56">
              <w:rPr>
                <w:sz w:val="16"/>
                <w:szCs w:val="24"/>
              </w:rPr>
              <w:t>,</w:t>
            </w:r>
            <w:r w:rsidRPr="00B81D56">
              <w:rPr>
                <w:rFonts w:hint="cs"/>
                <w:sz w:val="16"/>
                <w:szCs w:val="24"/>
                <w:rtl/>
              </w:rPr>
              <w:t>7</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8</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9</w:t>
            </w:r>
            <w:r w:rsidRPr="00B81D56">
              <w:rPr>
                <w:sz w:val="16"/>
                <w:szCs w:val="24"/>
              </w:rPr>
              <w:t>,</w:t>
            </w:r>
            <w:r w:rsidRPr="00B81D56">
              <w:rPr>
                <w:rFonts w:hint="cs"/>
                <w:sz w:val="16"/>
                <w:szCs w:val="24"/>
                <w:rtl/>
              </w:rPr>
              <w:t>2</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12</w:t>
            </w:r>
            <w:r w:rsidRPr="00B81D56">
              <w:rPr>
                <w:sz w:val="16"/>
                <w:szCs w:val="24"/>
              </w:rPr>
              <w:t>,</w:t>
            </w:r>
            <w:r w:rsidRPr="00B81D56">
              <w:rPr>
                <w:rFonts w:hint="cs"/>
                <w:sz w:val="16"/>
                <w:szCs w:val="24"/>
                <w:rtl/>
              </w:rPr>
              <w:t>1</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9</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15</w:t>
            </w:r>
            <w:r>
              <w:rPr>
                <w:sz w:val="16"/>
                <w:szCs w:val="24"/>
                <w:rtl/>
              </w:rPr>
              <w:t xml:space="preserve"> إلى </w:t>
            </w:r>
            <w:r w:rsidRPr="00B81D56">
              <w:rPr>
                <w:rFonts w:hint="cs"/>
                <w:sz w:val="16"/>
                <w:szCs w:val="24"/>
                <w:rtl/>
              </w:rPr>
              <w:t>19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1</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3</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2</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9</w:t>
            </w:r>
            <w:r w:rsidRPr="00B81D56">
              <w:rPr>
                <w:sz w:val="16"/>
                <w:szCs w:val="24"/>
              </w:rPr>
              <w:t>,</w:t>
            </w:r>
            <w:r w:rsidRPr="00B81D56">
              <w:rPr>
                <w:rFonts w:hint="cs"/>
                <w:sz w:val="16"/>
                <w:szCs w:val="24"/>
                <w:rtl/>
              </w:rPr>
              <w:t>4</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7</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10</w:t>
            </w:r>
            <w:r w:rsidRPr="00B81D56">
              <w:rPr>
                <w:sz w:val="16"/>
                <w:szCs w:val="24"/>
              </w:rPr>
              <w:t>,</w:t>
            </w:r>
            <w:r w:rsidRPr="00B81D56">
              <w:rPr>
                <w:rFonts w:hint="cs"/>
                <w:sz w:val="16"/>
                <w:szCs w:val="24"/>
                <w:rtl/>
              </w:rPr>
              <w:t>2</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20</w:t>
            </w:r>
            <w:r>
              <w:rPr>
                <w:sz w:val="16"/>
                <w:szCs w:val="24"/>
                <w:rtl/>
              </w:rPr>
              <w:t xml:space="preserve"> إلى </w:t>
            </w:r>
            <w:r w:rsidRPr="00B81D56">
              <w:rPr>
                <w:rFonts w:hint="cs"/>
                <w:sz w:val="16"/>
                <w:szCs w:val="24"/>
                <w:rtl/>
              </w:rPr>
              <w:t>24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8</w:t>
            </w:r>
            <w:r w:rsidRPr="00B81D56">
              <w:rPr>
                <w:sz w:val="16"/>
                <w:szCs w:val="24"/>
              </w:rPr>
              <w:t>,</w:t>
            </w:r>
            <w:r w:rsidRPr="00B81D56">
              <w:rPr>
                <w:rFonts w:hint="cs"/>
                <w:sz w:val="16"/>
                <w:szCs w:val="24"/>
                <w:rtl/>
              </w:rPr>
              <w:t>1</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7</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9</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8</w:t>
            </w:r>
            <w:r w:rsidRPr="00B81D56">
              <w:rPr>
                <w:sz w:val="16"/>
                <w:szCs w:val="24"/>
              </w:rPr>
              <w:t>,</w:t>
            </w:r>
            <w:r w:rsidRPr="00B81D56">
              <w:rPr>
                <w:rFonts w:hint="cs"/>
                <w:sz w:val="16"/>
                <w:szCs w:val="24"/>
                <w:rtl/>
              </w:rPr>
              <w:t>1</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8</w:t>
            </w:r>
            <w:r w:rsidRPr="00B81D56">
              <w:rPr>
                <w:sz w:val="16"/>
                <w:szCs w:val="24"/>
              </w:rPr>
              <w:t>,</w:t>
            </w:r>
            <w:r w:rsidRPr="00B81D56">
              <w:rPr>
                <w:rFonts w:hint="cs"/>
                <w:sz w:val="16"/>
                <w:szCs w:val="24"/>
                <w:rtl/>
              </w:rPr>
              <w:t>5</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8</w:t>
            </w:r>
            <w:r w:rsidRPr="00B81D56">
              <w:rPr>
                <w:sz w:val="16"/>
                <w:szCs w:val="24"/>
              </w:rPr>
              <w:t>,</w:t>
            </w:r>
            <w:r w:rsidRPr="00B81D56">
              <w:rPr>
                <w:rFonts w:hint="cs"/>
                <w:sz w:val="16"/>
                <w:szCs w:val="24"/>
                <w:rtl/>
              </w:rPr>
              <w:t>3</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25</w:t>
            </w:r>
            <w:r>
              <w:rPr>
                <w:sz w:val="16"/>
                <w:szCs w:val="24"/>
                <w:rtl/>
              </w:rPr>
              <w:t xml:space="preserve"> إلى </w:t>
            </w:r>
            <w:r w:rsidRPr="00B81D56">
              <w:rPr>
                <w:rFonts w:hint="cs"/>
                <w:sz w:val="16"/>
                <w:szCs w:val="24"/>
                <w:rtl/>
              </w:rPr>
              <w:t>29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5</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9</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2</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8</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6</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2</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30</w:t>
            </w:r>
            <w:r>
              <w:rPr>
                <w:sz w:val="16"/>
                <w:szCs w:val="24"/>
                <w:rtl/>
              </w:rPr>
              <w:t xml:space="preserve"> إلى </w:t>
            </w:r>
            <w:r w:rsidRPr="00B81D56">
              <w:rPr>
                <w:rFonts w:hint="cs"/>
                <w:sz w:val="16"/>
                <w:szCs w:val="24"/>
                <w:rtl/>
              </w:rPr>
              <w:t>34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7</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8</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2</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7</w:t>
            </w:r>
            <w:r w:rsidRPr="00B81D56">
              <w:rPr>
                <w:sz w:val="16"/>
                <w:szCs w:val="24"/>
              </w:rPr>
              <w:t>,</w:t>
            </w:r>
            <w:r w:rsidRPr="00B81D56">
              <w:rPr>
                <w:rFonts w:hint="cs"/>
                <w:sz w:val="16"/>
                <w:szCs w:val="24"/>
                <w:rtl/>
              </w:rPr>
              <w:t>2</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1</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5</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35</w:t>
            </w:r>
            <w:r>
              <w:rPr>
                <w:sz w:val="16"/>
                <w:szCs w:val="24"/>
                <w:rtl/>
              </w:rPr>
              <w:t xml:space="preserve"> إلى </w:t>
            </w:r>
            <w:r w:rsidRPr="00B81D56">
              <w:rPr>
                <w:rFonts w:hint="cs"/>
                <w:sz w:val="16"/>
                <w:szCs w:val="24"/>
                <w:rtl/>
              </w:rPr>
              <w:t>39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3</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2</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6</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9</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9</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3</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40</w:t>
            </w:r>
            <w:r>
              <w:rPr>
                <w:sz w:val="16"/>
                <w:szCs w:val="24"/>
                <w:rtl/>
              </w:rPr>
              <w:t xml:space="preserve"> إلى </w:t>
            </w:r>
            <w:r w:rsidRPr="00B81D56">
              <w:rPr>
                <w:rFonts w:hint="cs"/>
                <w:sz w:val="16"/>
                <w:szCs w:val="24"/>
                <w:rtl/>
              </w:rPr>
              <w:t>44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9</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6</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7</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6</w:t>
            </w:r>
            <w:r w:rsidRPr="00B81D56">
              <w:rPr>
                <w:sz w:val="16"/>
                <w:szCs w:val="24"/>
              </w:rPr>
              <w:t>,</w:t>
            </w:r>
            <w:r w:rsidRPr="00B81D56">
              <w:rPr>
                <w:rFonts w:hint="cs"/>
                <w:sz w:val="16"/>
                <w:szCs w:val="24"/>
                <w:rtl/>
              </w:rPr>
              <w:t>0</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3</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6</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45</w:t>
            </w:r>
            <w:r>
              <w:rPr>
                <w:sz w:val="16"/>
                <w:szCs w:val="24"/>
                <w:rtl/>
              </w:rPr>
              <w:t xml:space="preserve"> إلى </w:t>
            </w:r>
            <w:r w:rsidRPr="00B81D56">
              <w:rPr>
                <w:rFonts w:hint="cs"/>
                <w:sz w:val="16"/>
                <w:szCs w:val="24"/>
                <w:rtl/>
              </w:rPr>
              <w:t>49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2</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9</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0</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6</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9</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2</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50</w:t>
            </w:r>
            <w:r>
              <w:rPr>
                <w:sz w:val="16"/>
                <w:szCs w:val="24"/>
                <w:rtl/>
              </w:rPr>
              <w:t xml:space="preserve"> إلى </w:t>
            </w:r>
            <w:r w:rsidRPr="00B81D56">
              <w:rPr>
                <w:rFonts w:hint="cs"/>
                <w:sz w:val="16"/>
                <w:szCs w:val="24"/>
                <w:rtl/>
              </w:rPr>
              <w:t>54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7</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4</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6</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6</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2</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4</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55</w:t>
            </w:r>
            <w:r>
              <w:rPr>
                <w:sz w:val="16"/>
                <w:szCs w:val="24"/>
                <w:rtl/>
              </w:rPr>
              <w:t xml:space="preserve"> إلى </w:t>
            </w:r>
            <w:r w:rsidRPr="00B81D56">
              <w:rPr>
                <w:rFonts w:hint="cs"/>
                <w:sz w:val="16"/>
                <w:szCs w:val="24"/>
                <w:rtl/>
              </w:rPr>
              <w:t>59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3</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1</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2</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5</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7</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0</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60</w:t>
            </w:r>
            <w:r>
              <w:rPr>
                <w:sz w:val="16"/>
                <w:szCs w:val="24"/>
                <w:rtl/>
              </w:rPr>
              <w:t xml:space="preserve"> إلى </w:t>
            </w:r>
            <w:r w:rsidRPr="00B81D56">
              <w:rPr>
                <w:rFonts w:hint="cs"/>
                <w:sz w:val="16"/>
                <w:szCs w:val="24"/>
                <w:rtl/>
              </w:rPr>
              <w:t>64</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9</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6</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7</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6</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0</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2</w:t>
            </w:r>
          </w:p>
        </w:tc>
      </w:tr>
      <w:tr w:rsidR="00322C04" w:rsidRPr="00B81D56">
        <w:trPr>
          <w:cantSplit/>
          <w:jc w:val="center"/>
        </w:trPr>
        <w:tc>
          <w:tcPr>
            <w:tcW w:w="1201" w:type="dxa"/>
            <w:shd w:val="clear" w:color="auto" w:fill="auto"/>
            <w:vAlign w:val="bottom"/>
          </w:tcPr>
          <w:p w:rsidR="00322C04" w:rsidRPr="00B81D56" w:rsidRDefault="00322C04" w:rsidP="005A77EB">
            <w:pPr>
              <w:spacing w:before="20" w:after="40" w:line="240" w:lineRule="exact"/>
              <w:rPr>
                <w:sz w:val="16"/>
                <w:szCs w:val="24"/>
                <w:lang w:eastAsia="pt-BR"/>
              </w:rPr>
            </w:pPr>
            <w:r w:rsidRPr="00B81D56">
              <w:rPr>
                <w:rFonts w:hint="cs"/>
                <w:sz w:val="16"/>
                <w:szCs w:val="24"/>
                <w:rtl/>
              </w:rPr>
              <w:t>65</w:t>
            </w:r>
            <w:r>
              <w:rPr>
                <w:sz w:val="16"/>
                <w:szCs w:val="24"/>
                <w:rtl/>
              </w:rPr>
              <w:t xml:space="preserve"> إلى </w:t>
            </w:r>
            <w:r w:rsidRPr="00B81D56">
              <w:rPr>
                <w:rFonts w:hint="cs"/>
                <w:sz w:val="16"/>
                <w:szCs w:val="24"/>
                <w:rtl/>
              </w:rPr>
              <w:t>69</w:t>
            </w:r>
          </w:p>
        </w:tc>
        <w:tc>
          <w:tcPr>
            <w:tcW w:w="100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3</w:t>
            </w:r>
          </w:p>
        </w:tc>
        <w:tc>
          <w:tcPr>
            <w:tcW w:w="116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0</w:t>
            </w:r>
          </w:p>
        </w:tc>
        <w:tc>
          <w:tcPr>
            <w:tcW w:w="882" w:type="dxa"/>
            <w:gridSpan w:val="2"/>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1</w:t>
            </w:r>
          </w:p>
        </w:tc>
        <w:tc>
          <w:tcPr>
            <w:tcW w:w="1024"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1</w:t>
            </w:r>
          </w:p>
        </w:tc>
        <w:tc>
          <w:tcPr>
            <w:tcW w:w="1075"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2</w:t>
            </w:r>
          </w:p>
        </w:tc>
        <w:tc>
          <w:tcPr>
            <w:tcW w:w="972" w:type="dxa"/>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2</w:t>
            </w:r>
            <w:r w:rsidRPr="00B81D56">
              <w:rPr>
                <w:sz w:val="16"/>
                <w:szCs w:val="24"/>
              </w:rPr>
              <w:t>,</w:t>
            </w:r>
            <w:r w:rsidRPr="00B81D56">
              <w:rPr>
                <w:rFonts w:hint="cs"/>
                <w:sz w:val="16"/>
                <w:szCs w:val="24"/>
                <w:rtl/>
              </w:rPr>
              <w:t>6</w:t>
            </w:r>
          </w:p>
        </w:tc>
      </w:tr>
      <w:tr w:rsidR="00322C04" w:rsidRPr="00B81D56">
        <w:trPr>
          <w:cantSplit/>
          <w:jc w:val="center"/>
        </w:trPr>
        <w:tc>
          <w:tcPr>
            <w:tcW w:w="1201" w:type="dxa"/>
            <w:tcBorders>
              <w:bottom w:val="single" w:sz="4" w:space="0" w:color="auto"/>
            </w:tcBorders>
            <w:shd w:val="clear" w:color="auto" w:fill="auto"/>
            <w:vAlign w:val="bottom"/>
          </w:tcPr>
          <w:p w:rsidR="00322C04" w:rsidRPr="00B81D56" w:rsidRDefault="00322C04" w:rsidP="005A77EB">
            <w:pPr>
              <w:spacing w:before="20" w:after="40" w:line="240" w:lineRule="exact"/>
              <w:rPr>
                <w:rFonts w:hint="cs"/>
                <w:sz w:val="16"/>
                <w:szCs w:val="24"/>
                <w:rtl/>
                <w:lang w:eastAsia="pt-BR" w:bidi="ar-EG"/>
              </w:rPr>
            </w:pPr>
            <w:r w:rsidRPr="00B81D56">
              <w:rPr>
                <w:rFonts w:hint="cs"/>
                <w:sz w:val="16"/>
                <w:szCs w:val="24"/>
                <w:rtl/>
              </w:rPr>
              <w:t>70</w:t>
            </w:r>
            <w:r w:rsidR="004B1E98">
              <w:rPr>
                <w:rFonts w:hint="cs"/>
                <w:sz w:val="16"/>
                <w:szCs w:val="24"/>
                <w:rtl/>
                <w:lang w:bidi="ar-EG"/>
              </w:rPr>
              <w:t xml:space="preserve"> أو أكبر</w:t>
            </w:r>
          </w:p>
        </w:tc>
        <w:tc>
          <w:tcPr>
            <w:tcW w:w="1002" w:type="dxa"/>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9</w:t>
            </w:r>
          </w:p>
        </w:tc>
        <w:tc>
          <w:tcPr>
            <w:tcW w:w="1165" w:type="dxa"/>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7</w:t>
            </w:r>
          </w:p>
        </w:tc>
        <w:tc>
          <w:tcPr>
            <w:tcW w:w="882" w:type="dxa"/>
            <w:gridSpan w:val="2"/>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3</w:t>
            </w:r>
            <w:r w:rsidRPr="00B81D56">
              <w:rPr>
                <w:sz w:val="16"/>
                <w:szCs w:val="24"/>
              </w:rPr>
              <w:t>,</w:t>
            </w:r>
            <w:r w:rsidRPr="00B81D56">
              <w:rPr>
                <w:rFonts w:hint="cs"/>
                <w:sz w:val="16"/>
                <w:szCs w:val="24"/>
                <w:rtl/>
              </w:rPr>
              <w:t>7</w:t>
            </w:r>
          </w:p>
        </w:tc>
        <w:tc>
          <w:tcPr>
            <w:tcW w:w="1024" w:type="dxa"/>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5</w:t>
            </w:r>
            <w:r w:rsidRPr="00B81D56">
              <w:rPr>
                <w:sz w:val="16"/>
                <w:szCs w:val="24"/>
              </w:rPr>
              <w:t>,</w:t>
            </w:r>
            <w:r w:rsidRPr="00B81D56">
              <w:rPr>
                <w:rFonts w:hint="cs"/>
                <w:sz w:val="16"/>
                <w:szCs w:val="24"/>
                <w:rtl/>
              </w:rPr>
              <w:t>3</w:t>
            </w:r>
          </w:p>
        </w:tc>
        <w:tc>
          <w:tcPr>
            <w:tcW w:w="1075" w:type="dxa"/>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1</w:t>
            </w:r>
          </w:p>
        </w:tc>
        <w:tc>
          <w:tcPr>
            <w:tcW w:w="972" w:type="dxa"/>
            <w:tcBorders>
              <w:bottom w:val="single" w:sz="4" w:space="0" w:color="auto"/>
            </w:tcBorders>
            <w:shd w:val="clear" w:color="auto" w:fill="auto"/>
            <w:vAlign w:val="bottom"/>
          </w:tcPr>
          <w:p w:rsidR="00322C04" w:rsidRPr="00B81D56" w:rsidRDefault="00322C04" w:rsidP="005A77EB">
            <w:pPr>
              <w:bidi w:val="0"/>
              <w:spacing w:before="20" w:after="40" w:line="240" w:lineRule="exact"/>
              <w:jc w:val="right"/>
              <w:rPr>
                <w:sz w:val="16"/>
                <w:szCs w:val="24"/>
                <w:lang w:eastAsia="pt-BR"/>
              </w:rPr>
            </w:pPr>
            <w:r w:rsidRPr="00B81D56">
              <w:rPr>
                <w:rFonts w:hint="cs"/>
                <w:sz w:val="16"/>
                <w:szCs w:val="24"/>
                <w:rtl/>
              </w:rPr>
              <w:t>4</w:t>
            </w:r>
            <w:r w:rsidRPr="00B81D56">
              <w:rPr>
                <w:sz w:val="16"/>
                <w:szCs w:val="24"/>
              </w:rPr>
              <w:t>,</w:t>
            </w:r>
            <w:r w:rsidRPr="00B81D56">
              <w:rPr>
                <w:rFonts w:hint="cs"/>
                <w:sz w:val="16"/>
                <w:szCs w:val="24"/>
                <w:rtl/>
              </w:rPr>
              <w:t>6</w:t>
            </w:r>
          </w:p>
        </w:tc>
      </w:tr>
      <w:tr w:rsidR="00322C04" w:rsidRPr="004B1E98">
        <w:trPr>
          <w:cantSplit/>
          <w:jc w:val="center"/>
        </w:trPr>
        <w:tc>
          <w:tcPr>
            <w:tcW w:w="1201" w:type="dxa"/>
            <w:tcBorders>
              <w:top w:val="single" w:sz="4" w:space="0" w:color="auto"/>
              <w:bottom w:val="single" w:sz="12" w:space="0" w:color="auto"/>
            </w:tcBorders>
            <w:shd w:val="clear" w:color="auto" w:fill="auto"/>
            <w:vAlign w:val="bottom"/>
          </w:tcPr>
          <w:p w:rsidR="00322C04" w:rsidRPr="004B1E98" w:rsidRDefault="004B1E98" w:rsidP="00322C04">
            <w:pPr>
              <w:spacing w:before="40" w:after="80" w:line="240" w:lineRule="exact"/>
              <w:rPr>
                <w:rFonts w:hint="cs"/>
                <w:b/>
                <w:bCs/>
                <w:sz w:val="16"/>
                <w:szCs w:val="24"/>
                <w:rtl/>
                <w:lang w:eastAsia="pt-BR" w:bidi="ar-EG"/>
              </w:rPr>
            </w:pPr>
            <w:r>
              <w:rPr>
                <w:rFonts w:hint="cs"/>
                <w:b/>
                <w:bCs/>
                <w:sz w:val="16"/>
                <w:szCs w:val="24"/>
                <w:rtl/>
                <w:lang w:bidi="ar-EG"/>
              </w:rPr>
              <w:t>المجموع</w:t>
            </w:r>
          </w:p>
        </w:tc>
        <w:tc>
          <w:tcPr>
            <w:tcW w:w="1002" w:type="dxa"/>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c>
          <w:tcPr>
            <w:tcW w:w="1165" w:type="dxa"/>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c>
          <w:tcPr>
            <w:tcW w:w="882" w:type="dxa"/>
            <w:gridSpan w:val="2"/>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c>
          <w:tcPr>
            <w:tcW w:w="1024" w:type="dxa"/>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c>
          <w:tcPr>
            <w:tcW w:w="1075" w:type="dxa"/>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c>
          <w:tcPr>
            <w:tcW w:w="972" w:type="dxa"/>
            <w:tcBorders>
              <w:top w:val="single" w:sz="4" w:space="0" w:color="auto"/>
              <w:bottom w:val="single" w:sz="12" w:space="0" w:color="auto"/>
            </w:tcBorders>
            <w:shd w:val="clear" w:color="auto" w:fill="auto"/>
            <w:vAlign w:val="bottom"/>
          </w:tcPr>
          <w:p w:rsidR="00322C04" w:rsidRPr="004B1E98" w:rsidRDefault="00322C04" w:rsidP="004B1E98">
            <w:pPr>
              <w:bidi w:val="0"/>
              <w:spacing w:before="40" w:after="80" w:line="240" w:lineRule="exact"/>
              <w:jc w:val="right"/>
              <w:rPr>
                <w:b/>
                <w:bCs/>
                <w:sz w:val="16"/>
                <w:szCs w:val="24"/>
                <w:lang w:eastAsia="pt-BR"/>
              </w:rPr>
            </w:pPr>
            <w:r w:rsidRPr="004B1E98">
              <w:rPr>
                <w:rFonts w:hint="cs"/>
                <w:b/>
                <w:bCs/>
                <w:sz w:val="16"/>
                <w:szCs w:val="24"/>
                <w:rtl/>
              </w:rPr>
              <w:t>100</w:t>
            </w:r>
            <w:r w:rsidRPr="004B1E98">
              <w:rPr>
                <w:b/>
                <w:bCs/>
                <w:sz w:val="16"/>
                <w:szCs w:val="24"/>
              </w:rPr>
              <w:t>,</w:t>
            </w:r>
            <w:r w:rsidRPr="004B1E98">
              <w:rPr>
                <w:rFonts w:hint="cs"/>
                <w:b/>
                <w:bCs/>
                <w:sz w:val="16"/>
                <w:szCs w:val="24"/>
                <w:rtl/>
              </w:rPr>
              <w:t>0</w:t>
            </w:r>
          </w:p>
        </w:tc>
      </w:tr>
    </w:tbl>
    <w:p w:rsidR="004B1E98" w:rsidRPr="004B1E98" w:rsidRDefault="004B1E98" w:rsidP="004B1E98">
      <w:pPr>
        <w:pStyle w:val="SingleTxt"/>
        <w:spacing w:after="0" w:line="120" w:lineRule="exact"/>
        <w:rPr>
          <w:rFonts w:hint="cs"/>
          <w:sz w:val="10"/>
          <w:rtl/>
          <w:lang w:bidi="ar-EG"/>
        </w:rPr>
      </w:pPr>
    </w:p>
    <w:p w:rsidR="004B1E98" w:rsidRDefault="004B1E98" w:rsidP="004B1E9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4B1E98" w:rsidRDefault="004B1E98" w:rsidP="004B1E9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E16BF5" w:rsidRDefault="00EB6E43" w:rsidP="002A1045">
      <w:pPr>
        <w:pStyle w:val="SingleTxt"/>
        <w:rPr>
          <w:rFonts w:hint="cs"/>
          <w:rtl/>
          <w:lang w:bidi="ar-EG"/>
        </w:rPr>
      </w:pPr>
      <w:r>
        <w:rPr>
          <w:lang w:bidi="ar-EG"/>
        </w:rPr>
        <w:tab/>
      </w:r>
      <w:r>
        <w:rPr>
          <w:rFonts w:hint="cs"/>
          <w:rtl/>
          <w:lang w:bidi="ar-EG"/>
        </w:rPr>
        <w:t>وتوضح المؤشرات التعليمية تطورا كبيرا في حالة المرأة الريفية. ورغم أن معدل الإلمام بالقراءة والكتابة ما زال أقل عند مقارنته بسكان الحضر، فلا يمكن إنكار التقدم المحرز في العقد الماضي فيما يتعلق بمتوسط عدد سنوات الدراسة. وبالتالي، فإن تحليل نسبة النساء اللاتي يبلغن من العمر 15 سنة أو أكثر، و 25 سنة أو أكثر (حرصا على قياس السكان الكبار) من الملمات بالقراءة والكتابة، يشير إلى زيادة في معدل الإلمام بالقراءة والكتابة بمقدار 15 في المائة و 20 في المائة على التوالي أثناء الفترة ما بين 1992 و 2003. وعند تصنيف هذه المعلومات حسب العنصر أو اللون، يتضح وجود مستوى هائل من التفاوت بين المرأة البيضاء والسوداء.</w:t>
      </w:r>
    </w:p>
    <w:p w:rsidR="00EB6E43" w:rsidRDefault="00EB6E43" w:rsidP="002A1045">
      <w:pPr>
        <w:pStyle w:val="SingleTxt"/>
        <w:rPr>
          <w:rFonts w:hint="cs"/>
          <w:rtl/>
          <w:lang w:bidi="ar-EG"/>
        </w:rPr>
      </w:pPr>
      <w:r>
        <w:rPr>
          <w:rFonts w:hint="cs"/>
          <w:rtl/>
          <w:lang w:bidi="ar-EG"/>
        </w:rPr>
        <w:tab/>
        <w:t>وظهرت زيادة في معدل إلمام هاتين المجموعتين النسائيتين بالقراءة والكتابة، إلا أن ذلك لم يكن كافيا لتحسين حالة المساواة التعليمية فيما يتعلق بدرجة التعليم، فهناك 83 في المائة من الريفيات البيض البالغات من العمر 15 سنة أو أكثر، و 79 في المائة من الريفيات البيض البالغات من العمر 25 سنة أو أكثر يمكنهن القراءة والكتابة، ولا تبلغ هاتان القيمتان 70 في المائة للريفيات السود البالغات من العمر 15 سنة أو أكثر، ولا حتى 60 في ال</w:t>
      </w:r>
      <w:r w:rsidR="00AF2259">
        <w:rPr>
          <w:rFonts w:hint="cs"/>
          <w:rtl/>
          <w:lang w:bidi="ar-EG"/>
        </w:rPr>
        <w:t>مائة للبالغات من العمر 25 سنة أو</w:t>
      </w:r>
      <w:r>
        <w:rPr>
          <w:rFonts w:hint="cs"/>
          <w:rtl/>
          <w:lang w:bidi="ar-EG"/>
        </w:rPr>
        <w:t xml:space="preserve"> أكثر. ولما كانت النساء السود يشكلن أغلبية الريفيات من السكان، فيتضح أن المؤشرات التعليمية المقدمة هنا لا تتطور تطورا كبيرا نظرا لتباين وتخلف حالة السكان السود مقارنة بالسكان البيض.</w:t>
      </w:r>
    </w:p>
    <w:p w:rsidR="00AF2259" w:rsidRPr="00AF2259" w:rsidRDefault="00AF2259" w:rsidP="00AF2259">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000" w:firstRow="0" w:lastRow="0" w:firstColumn="0" w:lastColumn="0" w:noHBand="0" w:noVBand="0"/>
      </w:tblPr>
      <w:tblGrid>
        <w:gridCol w:w="1855"/>
        <w:gridCol w:w="927"/>
        <w:gridCol w:w="927"/>
        <w:gridCol w:w="721"/>
        <w:gridCol w:w="206"/>
        <w:gridCol w:w="927"/>
        <w:gridCol w:w="927"/>
        <w:gridCol w:w="831"/>
      </w:tblGrid>
      <w:tr w:rsidR="00AF2259" w:rsidRPr="00B81D56">
        <w:trPr>
          <w:cantSplit/>
          <w:tblHeader/>
          <w:jc w:val="center"/>
        </w:trPr>
        <w:tc>
          <w:tcPr>
            <w:tcW w:w="7321" w:type="dxa"/>
            <w:gridSpan w:val="8"/>
            <w:tcBorders>
              <w:top w:val="single" w:sz="4" w:space="0" w:color="auto"/>
              <w:bottom w:val="single" w:sz="4" w:space="0" w:color="auto"/>
            </w:tcBorders>
            <w:shd w:val="clear" w:color="auto" w:fill="auto"/>
            <w:vAlign w:val="bottom"/>
          </w:tcPr>
          <w:p w:rsidR="00AF2259" w:rsidRPr="00AF2259" w:rsidRDefault="00AF2259" w:rsidP="00AF2259">
            <w:pPr>
              <w:spacing w:before="80" w:after="80" w:line="300" w:lineRule="exact"/>
              <w:ind w:right="144"/>
              <w:jc w:val="center"/>
              <w:rPr>
                <w:rFonts w:hint="cs"/>
                <w:b/>
                <w:bCs/>
                <w:sz w:val="18"/>
                <w:szCs w:val="26"/>
                <w:rtl/>
              </w:rPr>
            </w:pPr>
            <w:r>
              <w:rPr>
                <w:rFonts w:hint="cs"/>
                <w:b/>
                <w:bCs/>
                <w:sz w:val="18"/>
                <w:szCs w:val="26"/>
                <w:rtl/>
              </w:rPr>
              <w:t>معدل الإلمام بالقراءة والكتابة للنساء اللائي يعشن في المناطق الريفية، ممن يبلغن من العمر 15 سنة أو أكثر، الإجمالي، وحسب العنصر/اللون - البرازيل، 1992 و 2003</w:t>
            </w:r>
          </w:p>
        </w:tc>
      </w:tr>
      <w:tr w:rsidR="00AF2259" w:rsidRPr="00B81D56">
        <w:trPr>
          <w:cantSplit/>
          <w:tblHeader/>
          <w:jc w:val="center"/>
        </w:trPr>
        <w:tc>
          <w:tcPr>
            <w:tcW w:w="1855" w:type="dxa"/>
            <w:tcBorders>
              <w:top w:val="single" w:sz="4" w:space="0" w:color="auto"/>
            </w:tcBorders>
            <w:shd w:val="clear" w:color="auto" w:fill="auto"/>
            <w:vAlign w:val="bottom"/>
          </w:tcPr>
          <w:p w:rsidR="00AF2259" w:rsidRPr="001E4EE6" w:rsidRDefault="00AF2259" w:rsidP="00AF2259">
            <w:pPr>
              <w:spacing w:before="40" w:after="80" w:line="240" w:lineRule="exact"/>
              <w:rPr>
                <w:sz w:val="16"/>
                <w:szCs w:val="24"/>
                <w:lang w:eastAsia="pt-BR" w:bidi="ar-EG"/>
              </w:rPr>
            </w:pPr>
          </w:p>
        </w:tc>
        <w:tc>
          <w:tcPr>
            <w:tcW w:w="2575" w:type="dxa"/>
            <w:gridSpan w:val="3"/>
            <w:tcBorders>
              <w:top w:val="single" w:sz="4" w:space="0" w:color="auto"/>
              <w:bottom w:val="single" w:sz="4" w:space="0" w:color="auto"/>
            </w:tcBorders>
            <w:shd w:val="clear" w:color="auto" w:fill="auto"/>
            <w:vAlign w:val="bottom"/>
          </w:tcPr>
          <w:p w:rsidR="00AF2259" w:rsidRPr="00B81D56" w:rsidRDefault="00AF2259" w:rsidP="00AF2259">
            <w:pPr>
              <w:spacing w:after="80" w:line="240" w:lineRule="exact"/>
              <w:ind w:right="144"/>
              <w:jc w:val="center"/>
              <w:rPr>
                <w:rFonts w:hint="cs"/>
                <w:i/>
                <w:iCs/>
                <w:sz w:val="16"/>
                <w:szCs w:val="24"/>
              </w:rPr>
            </w:pPr>
            <w:r>
              <w:rPr>
                <w:rFonts w:hint="cs"/>
                <w:i/>
                <w:iCs/>
                <w:sz w:val="16"/>
                <w:szCs w:val="24"/>
                <w:rtl/>
              </w:rPr>
              <w:t>1992</w:t>
            </w:r>
          </w:p>
        </w:tc>
        <w:tc>
          <w:tcPr>
            <w:tcW w:w="206" w:type="dxa"/>
            <w:tcBorders>
              <w:top w:val="single" w:sz="4"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p>
        </w:tc>
        <w:tc>
          <w:tcPr>
            <w:tcW w:w="2685" w:type="dxa"/>
            <w:gridSpan w:val="3"/>
            <w:tcBorders>
              <w:top w:val="single" w:sz="4" w:space="0" w:color="auto"/>
              <w:bottom w:val="single" w:sz="4" w:space="0" w:color="auto"/>
            </w:tcBorders>
            <w:shd w:val="clear" w:color="auto" w:fill="auto"/>
            <w:vAlign w:val="bottom"/>
          </w:tcPr>
          <w:p w:rsidR="00AF2259" w:rsidRPr="00B81D56" w:rsidRDefault="00AF2259" w:rsidP="00AF2259">
            <w:pPr>
              <w:spacing w:after="80" w:line="240" w:lineRule="exact"/>
              <w:ind w:right="144"/>
              <w:jc w:val="center"/>
              <w:rPr>
                <w:rFonts w:hint="cs"/>
                <w:i/>
                <w:iCs/>
                <w:sz w:val="16"/>
                <w:szCs w:val="24"/>
                <w:rtl/>
              </w:rPr>
            </w:pPr>
            <w:r>
              <w:rPr>
                <w:rFonts w:hint="cs"/>
                <w:i/>
                <w:iCs/>
                <w:sz w:val="16"/>
                <w:szCs w:val="24"/>
                <w:rtl/>
              </w:rPr>
              <w:t>2003</w:t>
            </w:r>
          </w:p>
        </w:tc>
      </w:tr>
      <w:tr w:rsidR="00D845A1" w:rsidRPr="00B81D56">
        <w:trPr>
          <w:cantSplit/>
          <w:tblHeader/>
          <w:jc w:val="center"/>
        </w:trPr>
        <w:tc>
          <w:tcPr>
            <w:tcW w:w="1855" w:type="dxa"/>
            <w:shd w:val="clear" w:color="auto" w:fill="auto"/>
            <w:vAlign w:val="bottom"/>
          </w:tcPr>
          <w:p w:rsidR="00D845A1" w:rsidRPr="001E4EE6" w:rsidRDefault="00D845A1" w:rsidP="00AF2259">
            <w:pPr>
              <w:spacing w:before="40" w:after="80" w:line="240" w:lineRule="exact"/>
              <w:rPr>
                <w:sz w:val="16"/>
                <w:szCs w:val="24"/>
                <w:lang w:eastAsia="pt-BR" w:bidi="ar-EG"/>
              </w:rPr>
            </w:pPr>
          </w:p>
        </w:tc>
        <w:tc>
          <w:tcPr>
            <w:tcW w:w="927" w:type="dxa"/>
            <w:shd w:val="clear" w:color="auto" w:fill="auto"/>
            <w:vAlign w:val="bottom"/>
          </w:tcPr>
          <w:p w:rsidR="00D845A1" w:rsidRPr="00B81D56" w:rsidRDefault="00D845A1" w:rsidP="00AF2259">
            <w:pPr>
              <w:spacing w:after="80" w:line="240" w:lineRule="exact"/>
              <w:ind w:right="144"/>
              <w:rPr>
                <w:rFonts w:hint="cs"/>
                <w:i/>
                <w:iCs/>
                <w:sz w:val="16"/>
                <w:szCs w:val="24"/>
                <w:rtl/>
              </w:rPr>
            </w:pPr>
          </w:p>
        </w:tc>
        <w:tc>
          <w:tcPr>
            <w:tcW w:w="1648" w:type="dxa"/>
            <w:gridSpan w:val="2"/>
            <w:tcBorders>
              <w:bottom w:val="single" w:sz="4" w:space="0" w:color="auto"/>
            </w:tcBorders>
            <w:shd w:val="clear" w:color="auto" w:fill="auto"/>
            <w:vAlign w:val="bottom"/>
          </w:tcPr>
          <w:p w:rsidR="00D845A1" w:rsidRPr="00B81D56" w:rsidRDefault="00D845A1" w:rsidP="00AF2259">
            <w:pPr>
              <w:spacing w:after="80" w:line="240" w:lineRule="exact"/>
              <w:ind w:right="144"/>
              <w:jc w:val="center"/>
              <w:rPr>
                <w:rFonts w:hint="cs"/>
                <w:i/>
                <w:iCs/>
                <w:sz w:val="16"/>
                <w:szCs w:val="24"/>
              </w:rPr>
            </w:pPr>
            <w:r>
              <w:rPr>
                <w:rFonts w:hint="cs"/>
                <w:i/>
                <w:iCs/>
                <w:sz w:val="16"/>
                <w:szCs w:val="24"/>
                <w:rtl/>
              </w:rPr>
              <w:t>العنصر/اللون</w:t>
            </w:r>
          </w:p>
        </w:tc>
        <w:tc>
          <w:tcPr>
            <w:tcW w:w="206" w:type="dxa"/>
            <w:shd w:val="clear" w:color="auto" w:fill="auto"/>
            <w:vAlign w:val="bottom"/>
          </w:tcPr>
          <w:p w:rsidR="00D845A1" w:rsidRPr="00B81D56" w:rsidRDefault="00D845A1" w:rsidP="00AF2259">
            <w:pPr>
              <w:spacing w:after="80" w:line="240" w:lineRule="exact"/>
              <w:ind w:right="144"/>
              <w:rPr>
                <w:rFonts w:hint="cs"/>
                <w:i/>
                <w:iCs/>
                <w:sz w:val="16"/>
                <w:szCs w:val="24"/>
                <w:rtl/>
              </w:rPr>
            </w:pPr>
          </w:p>
        </w:tc>
        <w:tc>
          <w:tcPr>
            <w:tcW w:w="927" w:type="dxa"/>
            <w:shd w:val="clear" w:color="auto" w:fill="auto"/>
            <w:vAlign w:val="bottom"/>
          </w:tcPr>
          <w:p w:rsidR="00D845A1" w:rsidRPr="00B81D56" w:rsidRDefault="00D845A1" w:rsidP="00AF2259">
            <w:pPr>
              <w:spacing w:after="80" w:line="240" w:lineRule="exact"/>
              <w:ind w:right="144"/>
              <w:rPr>
                <w:i/>
                <w:iCs/>
                <w:sz w:val="16"/>
                <w:szCs w:val="24"/>
                <w:rtl/>
              </w:rPr>
            </w:pPr>
          </w:p>
        </w:tc>
        <w:tc>
          <w:tcPr>
            <w:tcW w:w="1758" w:type="dxa"/>
            <w:gridSpan w:val="2"/>
            <w:tcBorders>
              <w:bottom w:val="single" w:sz="4" w:space="0" w:color="auto"/>
            </w:tcBorders>
            <w:shd w:val="clear" w:color="auto" w:fill="auto"/>
            <w:vAlign w:val="bottom"/>
          </w:tcPr>
          <w:p w:rsidR="00D845A1" w:rsidRPr="00B81D56" w:rsidRDefault="00D845A1" w:rsidP="00D845A1">
            <w:pPr>
              <w:spacing w:after="80" w:line="240" w:lineRule="exact"/>
              <w:ind w:right="144"/>
              <w:jc w:val="center"/>
              <w:rPr>
                <w:rFonts w:hint="cs"/>
                <w:i/>
                <w:iCs/>
                <w:sz w:val="16"/>
                <w:szCs w:val="24"/>
                <w:rtl/>
              </w:rPr>
            </w:pPr>
            <w:r>
              <w:rPr>
                <w:rFonts w:hint="cs"/>
                <w:i/>
                <w:iCs/>
                <w:sz w:val="16"/>
                <w:szCs w:val="24"/>
                <w:rtl/>
              </w:rPr>
              <w:t>العنصر/اللون</w:t>
            </w:r>
          </w:p>
        </w:tc>
      </w:tr>
      <w:tr w:rsidR="00D845A1" w:rsidRPr="00B81D56">
        <w:trPr>
          <w:cantSplit/>
          <w:tblHeader/>
          <w:jc w:val="center"/>
        </w:trPr>
        <w:tc>
          <w:tcPr>
            <w:tcW w:w="1855" w:type="dxa"/>
            <w:tcBorders>
              <w:bottom w:val="single" w:sz="12" w:space="0" w:color="auto"/>
            </w:tcBorders>
            <w:shd w:val="clear" w:color="auto" w:fill="auto"/>
            <w:vAlign w:val="bottom"/>
          </w:tcPr>
          <w:p w:rsidR="00AF2259" w:rsidRPr="001E4EE6" w:rsidRDefault="00AF2259" w:rsidP="00AF2259">
            <w:pPr>
              <w:spacing w:before="40" w:after="80" w:line="240" w:lineRule="exact"/>
              <w:rPr>
                <w:rFonts w:hint="cs"/>
                <w:sz w:val="16"/>
                <w:szCs w:val="24"/>
                <w:lang w:eastAsia="pt-BR" w:bidi="ar-EG"/>
              </w:rPr>
            </w:pPr>
            <w:r>
              <w:rPr>
                <w:rFonts w:hint="cs"/>
                <w:sz w:val="16"/>
                <w:szCs w:val="24"/>
                <w:rtl/>
                <w:lang w:eastAsia="pt-BR" w:bidi="ar-EG"/>
              </w:rPr>
              <w:t>يعرفن القراءة والكتابة</w:t>
            </w:r>
          </w:p>
        </w:tc>
        <w:tc>
          <w:tcPr>
            <w:tcW w:w="927" w:type="dxa"/>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Pr>
            </w:pPr>
            <w:r>
              <w:rPr>
                <w:rFonts w:hint="cs"/>
                <w:i/>
                <w:iCs/>
                <w:sz w:val="16"/>
                <w:szCs w:val="24"/>
                <w:rtl/>
              </w:rPr>
              <w:t>بيض</w:t>
            </w:r>
          </w:p>
        </w:tc>
        <w:tc>
          <w:tcPr>
            <w:tcW w:w="927" w:type="dxa"/>
            <w:gridSpan w:val="2"/>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r>
              <w:rPr>
                <w:rFonts w:hint="cs"/>
                <w:i/>
                <w:iCs/>
                <w:sz w:val="16"/>
                <w:szCs w:val="24"/>
                <w:rtl/>
              </w:rPr>
              <w:t>سود</w:t>
            </w:r>
          </w:p>
        </w:tc>
        <w:tc>
          <w:tcPr>
            <w:tcW w:w="927" w:type="dxa"/>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r>
              <w:rPr>
                <w:rFonts w:hint="cs"/>
                <w:i/>
                <w:iCs/>
                <w:sz w:val="16"/>
                <w:szCs w:val="24"/>
                <w:rtl/>
              </w:rPr>
              <w:t>بيض</w:t>
            </w:r>
          </w:p>
        </w:tc>
        <w:tc>
          <w:tcPr>
            <w:tcW w:w="831" w:type="dxa"/>
            <w:tcBorders>
              <w:bottom w:val="single" w:sz="12" w:space="0" w:color="auto"/>
            </w:tcBorders>
            <w:shd w:val="clear" w:color="auto" w:fill="auto"/>
            <w:vAlign w:val="bottom"/>
          </w:tcPr>
          <w:p w:rsidR="00AF2259" w:rsidRPr="00B81D56" w:rsidRDefault="00AF2259" w:rsidP="00AF2259">
            <w:pPr>
              <w:spacing w:after="80" w:line="240" w:lineRule="exact"/>
              <w:ind w:right="144"/>
              <w:rPr>
                <w:rFonts w:hint="cs"/>
                <w:i/>
                <w:iCs/>
                <w:sz w:val="16"/>
                <w:szCs w:val="24"/>
                <w:rtl/>
              </w:rPr>
            </w:pPr>
            <w:r>
              <w:rPr>
                <w:rFonts w:hint="cs"/>
                <w:i/>
                <w:iCs/>
                <w:sz w:val="16"/>
                <w:szCs w:val="24"/>
                <w:rtl/>
              </w:rPr>
              <w:t>سود</w:t>
            </w:r>
          </w:p>
        </w:tc>
      </w:tr>
      <w:tr w:rsidR="00D845A1" w:rsidRPr="00B81D56">
        <w:trPr>
          <w:cantSplit/>
          <w:trHeight w:hRule="exact" w:val="115"/>
          <w:tblHeader/>
          <w:jc w:val="center"/>
        </w:trPr>
        <w:tc>
          <w:tcPr>
            <w:tcW w:w="1855" w:type="dxa"/>
            <w:tcBorders>
              <w:top w:val="single" w:sz="12" w:space="0" w:color="auto"/>
            </w:tcBorders>
            <w:shd w:val="clear" w:color="auto" w:fill="auto"/>
            <w:vAlign w:val="bottom"/>
          </w:tcPr>
          <w:p w:rsidR="00AF2259" w:rsidRPr="00B81D56" w:rsidRDefault="00AF2259" w:rsidP="00896351">
            <w:pPr>
              <w:bidi w:val="0"/>
              <w:spacing w:before="40" w:after="80" w:line="240" w:lineRule="exact"/>
              <w:jc w:val="right"/>
              <w:rPr>
                <w:sz w:val="16"/>
                <w:szCs w:val="24"/>
              </w:rPr>
            </w:pPr>
          </w:p>
        </w:tc>
        <w:tc>
          <w:tcPr>
            <w:tcW w:w="927" w:type="dxa"/>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sz w:val="16"/>
                <w:szCs w:val="24"/>
              </w:rPr>
            </w:pPr>
          </w:p>
        </w:tc>
        <w:tc>
          <w:tcPr>
            <w:tcW w:w="927" w:type="dxa"/>
            <w:gridSpan w:val="2"/>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rFonts w:hint="cs"/>
                <w:sz w:val="16"/>
                <w:szCs w:val="24"/>
                <w:rtl/>
              </w:rPr>
            </w:pPr>
          </w:p>
        </w:tc>
        <w:tc>
          <w:tcPr>
            <w:tcW w:w="831" w:type="dxa"/>
            <w:tcBorders>
              <w:top w:val="single" w:sz="12" w:space="0" w:color="auto"/>
            </w:tcBorders>
            <w:shd w:val="clear" w:color="auto" w:fill="auto"/>
            <w:vAlign w:val="bottom"/>
          </w:tcPr>
          <w:p w:rsidR="00AF2259" w:rsidRPr="00B81D56" w:rsidRDefault="00AF2259" w:rsidP="00896351">
            <w:pPr>
              <w:bidi w:val="0"/>
              <w:spacing w:before="40" w:after="80" w:line="240" w:lineRule="exact"/>
              <w:ind w:right="144"/>
              <w:jc w:val="right"/>
              <w:rPr>
                <w:rFonts w:hint="cs"/>
                <w:sz w:val="16"/>
                <w:szCs w:val="24"/>
                <w:rtl/>
              </w:rPr>
            </w:pPr>
          </w:p>
        </w:tc>
      </w:tr>
      <w:tr w:rsidR="00D845A1" w:rsidRPr="00B81D56">
        <w:trPr>
          <w:cantSplit/>
          <w:jc w:val="center"/>
        </w:trPr>
        <w:tc>
          <w:tcPr>
            <w:tcW w:w="1855" w:type="dxa"/>
            <w:shd w:val="clear" w:color="auto" w:fill="auto"/>
            <w:vAlign w:val="bottom"/>
          </w:tcPr>
          <w:p w:rsidR="00AF2259" w:rsidRPr="00BB29D0" w:rsidRDefault="00AF2259" w:rsidP="00896351">
            <w:pPr>
              <w:spacing w:before="40" w:after="80" w:line="240" w:lineRule="exact"/>
              <w:jc w:val="left"/>
              <w:rPr>
                <w:rFonts w:hint="cs"/>
                <w:sz w:val="16"/>
                <w:szCs w:val="24"/>
                <w:rtl/>
                <w:lang w:eastAsia="pt-BR" w:bidi="ar-EG"/>
              </w:rPr>
            </w:pPr>
            <w:r>
              <w:rPr>
                <w:rFonts w:hint="cs"/>
                <w:sz w:val="16"/>
                <w:szCs w:val="24"/>
                <w:rtl/>
                <w:lang w:eastAsia="pt-BR" w:bidi="ar-EG"/>
              </w:rPr>
              <w:t>نعم</w:t>
            </w:r>
          </w:p>
        </w:tc>
        <w:tc>
          <w:tcPr>
            <w:tcW w:w="927" w:type="dxa"/>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64</w:t>
            </w:r>
            <w:r w:rsidRPr="00B81D56">
              <w:rPr>
                <w:sz w:val="16"/>
                <w:szCs w:val="24"/>
              </w:rPr>
              <w:t>,</w:t>
            </w:r>
            <w:r w:rsidRPr="00B81D56">
              <w:rPr>
                <w:rFonts w:hint="cs"/>
                <w:sz w:val="16"/>
                <w:szCs w:val="24"/>
                <w:rtl/>
              </w:rPr>
              <w:t>9</w:t>
            </w:r>
          </w:p>
        </w:tc>
        <w:tc>
          <w:tcPr>
            <w:tcW w:w="927" w:type="dxa"/>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76</w:t>
            </w:r>
            <w:r w:rsidRPr="00B81D56">
              <w:rPr>
                <w:sz w:val="16"/>
                <w:szCs w:val="24"/>
              </w:rPr>
              <w:t>,</w:t>
            </w:r>
            <w:r w:rsidRPr="00B81D56">
              <w:rPr>
                <w:rFonts w:hint="cs"/>
                <w:sz w:val="16"/>
                <w:szCs w:val="24"/>
                <w:rtl/>
              </w:rPr>
              <w:t>5</w:t>
            </w:r>
          </w:p>
        </w:tc>
        <w:tc>
          <w:tcPr>
            <w:tcW w:w="927" w:type="dxa"/>
            <w:gridSpan w:val="2"/>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55</w:t>
            </w:r>
            <w:r w:rsidRPr="00B81D56">
              <w:rPr>
                <w:sz w:val="16"/>
                <w:szCs w:val="24"/>
              </w:rPr>
              <w:t>,</w:t>
            </w:r>
            <w:r w:rsidRPr="00B81D56">
              <w:rPr>
                <w:rFonts w:hint="cs"/>
                <w:sz w:val="16"/>
                <w:szCs w:val="24"/>
                <w:rtl/>
              </w:rPr>
              <w:t>0</w:t>
            </w:r>
          </w:p>
        </w:tc>
        <w:tc>
          <w:tcPr>
            <w:tcW w:w="927" w:type="dxa"/>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74</w:t>
            </w:r>
            <w:r w:rsidRPr="00B81D56">
              <w:rPr>
                <w:sz w:val="16"/>
                <w:szCs w:val="24"/>
              </w:rPr>
              <w:t>,</w:t>
            </w:r>
            <w:r w:rsidRPr="00B81D56">
              <w:rPr>
                <w:rFonts w:hint="cs"/>
                <w:sz w:val="16"/>
                <w:szCs w:val="24"/>
                <w:rtl/>
              </w:rPr>
              <w:t>6</w:t>
            </w:r>
          </w:p>
        </w:tc>
        <w:tc>
          <w:tcPr>
            <w:tcW w:w="927" w:type="dxa"/>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83</w:t>
            </w:r>
            <w:r w:rsidRPr="00B81D56">
              <w:rPr>
                <w:sz w:val="16"/>
                <w:szCs w:val="24"/>
              </w:rPr>
              <w:t>,</w:t>
            </w:r>
            <w:r w:rsidRPr="00B81D56">
              <w:rPr>
                <w:rFonts w:hint="cs"/>
                <w:sz w:val="16"/>
                <w:szCs w:val="24"/>
                <w:rtl/>
              </w:rPr>
              <w:t>3</w:t>
            </w:r>
          </w:p>
        </w:tc>
        <w:tc>
          <w:tcPr>
            <w:tcW w:w="831" w:type="dxa"/>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67</w:t>
            </w:r>
            <w:r w:rsidRPr="00B81D56">
              <w:rPr>
                <w:sz w:val="16"/>
                <w:szCs w:val="24"/>
              </w:rPr>
              <w:t>,</w:t>
            </w:r>
            <w:r w:rsidRPr="00B81D56">
              <w:rPr>
                <w:rFonts w:hint="cs"/>
                <w:sz w:val="16"/>
                <w:szCs w:val="24"/>
                <w:rtl/>
              </w:rPr>
              <w:t>9</w:t>
            </w:r>
          </w:p>
        </w:tc>
      </w:tr>
      <w:tr w:rsidR="00D845A1" w:rsidRPr="00B81D56">
        <w:trPr>
          <w:cantSplit/>
          <w:jc w:val="center"/>
        </w:trPr>
        <w:tc>
          <w:tcPr>
            <w:tcW w:w="1855" w:type="dxa"/>
            <w:tcBorders>
              <w:bottom w:val="single" w:sz="4" w:space="0" w:color="auto"/>
            </w:tcBorders>
            <w:shd w:val="clear" w:color="auto" w:fill="auto"/>
            <w:vAlign w:val="bottom"/>
          </w:tcPr>
          <w:p w:rsidR="00AF2259" w:rsidRPr="00BB29D0" w:rsidRDefault="00AF2259" w:rsidP="00896351">
            <w:pPr>
              <w:spacing w:before="40" w:after="80" w:line="240" w:lineRule="exact"/>
              <w:jc w:val="left"/>
              <w:rPr>
                <w:rFonts w:hint="cs"/>
                <w:sz w:val="16"/>
                <w:szCs w:val="24"/>
                <w:lang w:eastAsia="pt-BR"/>
              </w:rPr>
            </w:pPr>
            <w:r>
              <w:rPr>
                <w:rFonts w:hint="cs"/>
                <w:sz w:val="16"/>
                <w:szCs w:val="24"/>
                <w:rtl/>
                <w:lang w:eastAsia="pt-BR"/>
              </w:rPr>
              <w:t>لا</w:t>
            </w:r>
          </w:p>
        </w:tc>
        <w:tc>
          <w:tcPr>
            <w:tcW w:w="927" w:type="dxa"/>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35</w:t>
            </w:r>
            <w:r w:rsidRPr="00B81D56">
              <w:rPr>
                <w:sz w:val="16"/>
                <w:szCs w:val="24"/>
              </w:rPr>
              <w:t>,</w:t>
            </w:r>
            <w:r w:rsidRPr="00B81D56">
              <w:rPr>
                <w:rFonts w:hint="cs"/>
                <w:sz w:val="16"/>
                <w:szCs w:val="24"/>
                <w:rtl/>
              </w:rPr>
              <w:t>1</w:t>
            </w:r>
          </w:p>
        </w:tc>
        <w:tc>
          <w:tcPr>
            <w:tcW w:w="927" w:type="dxa"/>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23</w:t>
            </w:r>
            <w:r w:rsidRPr="00B81D56">
              <w:rPr>
                <w:sz w:val="16"/>
                <w:szCs w:val="24"/>
              </w:rPr>
              <w:t>,</w:t>
            </w:r>
            <w:r w:rsidRPr="00B81D56">
              <w:rPr>
                <w:rFonts w:hint="cs"/>
                <w:sz w:val="16"/>
                <w:szCs w:val="24"/>
                <w:rtl/>
              </w:rPr>
              <w:t>5</w:t>
            </w:r>
          </w:p>
        </w:tc>
        <w:tc>
          <w:tcPr>
            <w:tcW w:w="927" w:type="dxa"/>
            <w:gridSpan w:val="2"/>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45</w:t>
            </w:r>
            <w:r w:rsidRPr="00B81D56">
              <w:rPr>
                <w:sz w:val="16"/>
                <w:szCs w:val="24"/>
              </w:rPr>
              <w:t>,</w:t>
            </w:r>
            <w:r w:rsidRPr="00B81D56">
              <w:rPr>
                <w:rFonts w:hint="cs"/>
                <w:sz w:val="16"/>
                <w:szCs w:val="24"/>
                <w:rtl/>
              </w:rPr>
              <w:t>0</w:t>
            </w:r>
          </w:p>
        </w:tc>
        <w:tc>
          <w:tcPr>
            <w:tcW w:w="927" w:type="dxa"/>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25</w:t>
            </w:r>
            <w:r w:rsidRPr="00B81D56">
              <w:rPr>
                <w:sz w:val="16"/>
                <w:szCs w:val="24"/>
              </w:rPr>
              <w:t>,</w:t>
            </w:r>
            <w:r w:rsidRPr="00B81D56">
              <w:rPr>
                <w:rFonts w:hint="cs"/>
                <w:sz w:val="16"/>
                <w:szCs w:val="24"/>
                <w:rtl/>
              </w:rPr>
              <w:t>4</w:t>
            </w:r>
          </w:p>
        </w:tc>
        <w:tc>
          <w:tcPr>
            <w:tcW w:w="927" w:type="dxa"/>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16</w:t>
            </w:r>
            <w:r w:rsidRPr="00B81D56">
              <w:rPr>
                <w:sz w:val="16"/>
                <w:szCs w:val="24"/>
              </w:rPr>
              <w:t>,</w:t>
            </w:r>
            <w:r w:rsidRPr="00B81D56">
              <w:rPr>
                <w:rFonts w:hint="cs"/>
                <w:sz w:val="16"/>
                <w:szCs w:val="24"/>
                <w:rtl/>
              </w:rPr>
              <w:t>7</w:t>
            </w:r>
          </w:p>
        </w:tc>
        <w:tc>
          <w:tcPr>
            <w:tcW w:w="831" w:type="dxa"/>
            <w:tcBorders>
              <w:bottom w:val="single" w:sz="4" w:space="0" w:color="auto"/>
            </w:tcBorders>
            <w:shd w:val="clear" w:color="auto" w:fill="auto"/>
            <w:vAlign w:val="bottom"/>
          </w:tcPr>
          <w:p w:rsidR="00AF2259" w:rsidRPr="00B81D56" w:rsidRDefault="00AF2259" w:rsidP="00D845A1">
            <w:pPr>
              <w:bidi w:val="0"/>
              <w:spacing w:before="40" w:after="80" w:line="240" w:lineRule="exact"/>
              <w:ind w:right="-70"/>
              <w:jc w:val="right"/>
              <w:rPr>
                <w:sz w:val="16"/>
                <w:szCs w:val="24"/>
                <w:lang w:eastAsia="pt-BR"/>
              </w:rPr>
            </w:pPr>
            <w:r w:rsidRPr="00B81D56">
              <w:rPr>
                <w:rFonts w:hint="cs"/>
                <w:sz w:val="16"/>
                <w:szCs w:val="24"/>
                <w:rtl/>
              </w:rPr>
              <w:t>32</w:t>
            </w:r>
            <w:r w:rsidRPr="00B81D56">
              <w:rPr>
                <w:sz w:val="16"/>
                <w:szCs w:val="24"/>
              </w:rPr>
              <w:t>,</w:t>
            </w:r>
            <w:r w:rsidRPr="00B81D56">
              <w:rPr>
                <w:rFonts w:hint="cs"/>
                <w:sz w:val="16"/>
                <w:szCs w:val="24"/>
                <w:rtl/>
              </w:rPr>
              <w:t>1</w:t>
            </w:r>
          </w:p>
        </w:tc>
      </w:tr>
      <w:tr w:rsidR="00D845A1" w:rsidRPr="00B81D56">
        <w:trPr>
          <w:cantSplit/>
          <w:jc w:val="center"/>
        </w:trPr>
        <w:tc>
          <w:tcPr>
            <w:tcW w:w="1855" w:type="dxa"/>
            <w:tcBorders>
              <w:top w:val="single" w:sz="4" w:space="0" w:color="auto"/>
              <w:bottom w:val="single" w:sz="12" w:space="0" w:color="auto"/>
            </w:tcBorders>
            <w:shd w:val="clear" w:color="auto" w:fill="auto"/>
            <w:vAlign w:val="bottom"/>
          </w:tcPr>
          <w:p w:rsidR="00AF2259" w:rsidRPr="00AF2259" w:rsidRDefault="00AF2259" w:rsidP="00896351">
            <w:pPr>
              <w:spacing w:before="40" w:after="80" w:line="240" w:lineRule="exact"/>
              <w:jc w:val="left"/>
              <w:rPr>
                <w:rFonts w:hint="cs"/>
                <w:b/>
                <w:bCs/>
                <w:sz w:val="16"/>
                <w:szCs w:val="24"/>
                <w:lang w:eastAsia="pt-BR"/>
              </w:rPr>
            </w:pPr>
            <w:r w:rsidRPr="00AF2259">
              <w:rPr>
                <w:rFonts w:hint="cs"/>
                <w:b/>
                <w:bCs/>
                <w:sz w:val="16"/>
                <w:szCs w:val="24"/>
                <w:rtl/>
                <w:lang w:eastAsia="pt-BR"/>
              </w:rPr>
              <w:t>المجموع</w:t>
            </w:r>
          </w:p>
        </w:tc>
        <w:tc>
          <w:tcPr>
            <w:tcW w:w="927" w:type="dxa"/>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c>
          <w:tcPr>
            <w:tcW w:w="927" w:type="dxa"/>
            <w:gridSpan w:val="2"/>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c>
          <w:tcPr>
            <w:tcW w:w="831" w:type="dxa"/>
            <w:tcBorders>
              <w:top w:val="single" w:sz="4" w:space="0" w:color="auto"/>
              <w:bottom w:val="single" w:sz="12" w:space="0" w:color="auto"/>
            </w:tcBorders>
            <w:shd w:val="clear" w:color="auto" w:fill="auto"/>
            <w:vAlign w:val="bottom"/>
          </w:tcPr>
          <w:p w:rsidR="00AF2259" w:rsidRPr="00AF2259" w:rsidRDefault="00AF2259" w:rsidP="00D845A1">
            <w:pPr>
              <w:bidi w:val="0"/>
              <w:spacing w:before="40" w:after="80" w:line="240" w:lineRule="exact"/>
              <w:ind w:right="-70"/>
              <w:jc w:val="right"/>
              <w:rPr>
                <w:b/>
                <w:bCs/>
                <w:sz w:val="16"/>
                <w:szCs w:val="24"/>
                <w:lang w:eastAsia="pt-BR"/>
              </w:rPr>
            </w:pPr>
            <w:r w:rsidRPr="00AF2259">
              <w:rPr>
                <w:rFonts w:hint="cs"/>
                <w:b/>
                <w:bCs/>
                <w:sz w:val="16"/>
                <w:szCs w:val="24"/>
                <w:rtl/>
              </w:rPr>
              <w:t>100</w:t>
            </w:r>
            <w:r w:rsidRPr="00AF2259">
              <w:rPr>
                <w:b/>
                <w:bCs/>
                <w:sz w:val="16"/>
                <w:szCs w:val="24"/>
              </w:rPr>
              <w:t>,</w:t>
            </w:r>
            <w:r w:rsidRPr="00AF2259">
              <w:rPr>
                <w:rFonts w:hint="cs"/>
                <w:b/>
                <w:bCs/>
                <w:sz w:val="16"/>
                <w:szCs w:val="24"/>
                <w:rtl/>
              </w:rPr>
              <w:t>0</w:t>
            </w:r>
          </w:p>
        </w:tc>
      </w:tr>
    </w:tbl>
    <w:p w:rsidR="00D845A1" w:rsidRPr="00D845A1" w:rsidRDefault="00D845A1" w:rsidP="00D845A1">
      <w:pPr>
        <w:pStyle w:val="SingleTxt"/>
        <w:spacing w:after="0" w:line="120" w:lineRule="exact"/>
        <w:rPr>
          <w:rFonts w:hint="cs"/>
          <w:sz w:val="10"/>
          <w:rtl/>
          <w:lang w:bidi="ar-EG"/>
        </w:rPr>
      </w:pPr>
    </w:p>
    <w:p w:rsidR="00D845A1" w:rsidRDefault="00D845A1" w:rsidP="00D845A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D845A1" w:rsidRDefault="00D845A1" w:rsidP="00D845A1">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D845A1" w:rsidRPr="00D845A1" w:rsidRDefault="00D845A1" w:rsidP="00D845A1">
      <w:pPr>
        <w:pStyle w:val="SingleTxt"/>
        <w:spacing w:after="0" w:line="120" w:lineRule="exact"/>
        <w:rPr>
          <w:rFonts w:hint="cs"/>
          <w:sz w:val="10"/>
          <w:rtl/>
          <w:lang w:bidi="ar-EG"/>
        </w:rPr>
      </w:pPr>
    </w:p>
    <w:p w:rsidR="00D845A1" w:rsidRPr="00D845A1" w:rsidRDefault="00D845A1" w:rsidP="00D845A1">
      <w:pPr>
        <w:pStyle w:val="SingleTxt"/>
        <w:spacing w:after="0" w:line="120" w:lineRule="exact"/>
        <w:rPr>
          <w:rFonts w:hint="cs"/>
          <w:sz w:val="10"/>
          <w:rtl/>
          <w:lang w:bidi="ar-EG"/>
        </w:rPr>
      </w:pPr>
    </w:p>
    <w:p w:rsidR="00AF2259" w:rsidRDefault="00AF2259" w:rsidP="002A1045">
      <w:pPr>
        <w:pStyle w:val="SingleTxt"/>
        <w:rPr>
          <w:rFonts w:hint="cs"/>
          <w:rtl/>
          <w:lang w:bidi="ar-EG"/>
        </w:rPr>
      </w:pPr>
    </w:p>
    <w:p w:rsidR="00D845A1" w:rsidRDefault="00D845A1" w:rsidP="002A1045">
      <w:pPr>
        <w:pStyle w:val="SingleTxt"/>
        <w:rPr>
          <w:rFonts w:hint="cs"/>
          <w:rtl/>
          <w:lang w:bidi="ar-EG"/>
        </w:rPr>
      </w:pPr>
    </w:p>
    <w:tbl>
      <w:tblPr>
        <w:bidiVisual/>
        <w:tblW w:w="0" w:type="auto"/>
        <w:jc w:val="center"/>
        <w:tblLayout w:type="fixed"/>
        <w:tblCellMar>
          <w:left w:w="70" w:type="dxa"/>
          <w:right w:w="70" w:type="dxa"/>
        </w:tblCellMar>
        <w:tblLook w:val="0000" w:firstRow="0" w:lastRow="0" w:firstColumn="0" w:lastColumn="0" w:noHBand="0" w:noVBand="0"/>
      </w:tblPr>
      <w:tblGrid>
        <w:gridCol w:w="1855"/>
        <w:gridCol w:w="927"/>
        <w:gridCol w:w="927"/>
        <w:gridCol w:w="721"/>
        <w:gridCol w:w="206"/>
        <w:gridCol w:w="927"/>
        <w:gridCol w:w="927"/>
        <w:gridCol w:w="831"/>
      </w:tblGrid>
      <w:tr w:rsidR="00896351" w:rsidRPr="00B81D56">
        <w:trPr>
          <w:cantSplit/>
          <w:tblHeader/>
          <w:jc w:val="center"/>
        </w:trPr>
        <w:tc>
          <w:tcPr>
            <w:tcW w:w="7321" w:type="dxa"/>
            <w:gridSpan w:val="8"/>
            <w:tcBorders>
              <w:top w:val="single" w:sz="4" w:space="0" w:color="auto"/>
              <w:bottom w:val="single" w:sz="4" w:space="0" w:color="auto"/>
            </w:tcBorders>
            <w:shd w:val="clear" w:color="auto" w:fill="auto"/>
            <w:vAlign w:val="bottom"/>
          </w:tcPr>
          <w:p w:rsidR="00896351" w:rsidRPr="00AF2259" w:rsidRDefault="00896351" w:rsidP="00896351">
            <w:pPr>
              <w:spacing w:before="80" w:after="80" w:line="300" w:lineRule="exact"/>
              <w:ind w:right="144"/>
              <w:jc w:val="center"/>
              <w:rPr>
                <w:rFonts w:hint="cs"/>
                <w:b/>
                <w:bCs/>
                <w:sz w:val="18"/>
                <w:szCs w:val="26"/>
                <w:rtl/>
              </w:rPr>
            </w:pPr>
            <w:r>
              <w:rPr>
                <w:rFonts w:hint="cs"/>
                <w:b/>
                <w:bCs/>
                <w:sz w:val="18"/>
                <w:szCs w:val="26"/>
                <w:rtl/>
              </w:rPr>
              <w:t>معدل الإلمام بالقراءة والكتابة للنساء اللائي يعشن في المناطق الريفية، ممن يبلغن من العمر 25 سنة أو أكثر، الإجمالي، وحسب العنصر/اللون - البرازيل، 1992 و 2003</w:t>
            </w:r>
          </w:p>
        </w:tc>
      </w:tr>
      <w:tr w:rsidR="00896351" w:rsidRPr="00B81D56">
        <w:trPr>
          <w:cantSplit/>
          <w:tblHeader/>
          <w:jc w:val="center"/>
        </w:trPr>
        <w:tc>
          <w:tcPr>
            <w:tcW w:w="1855" w:type="dxa"/>
            <w:tcBorders>
              <w:top w:val="single" w:sz="4" w:space="0" w:color="auto"/>
            </w:tcBorders>
            <w:shd w:val="clear" w:color="auto" w:fill="auto"/>
            <w:vAlign w:val="bottom"/>
          </w:tcPr>
          <w:p w:rsidR="00896351" w:rsidRPr="001E4EE6" w:rsidRDefault="00896351" w:rsidP="00896351">
            <w:pPr>
              <w:spacing w:before="40" w:after="80" w:line="240" w:lineRule="exact"/>
              <w:rPr>
                <w:sz w:val="16"/>
                <w:szCs w:val="24"/>
                <w:lang w:eastAsia="pt-BR" w:bidi="ar-EG"/>
              </w:rPr>
            </w:pPr>
          </w:p>
        </w:tc>
        <w:tc>
          <w:tcPr>
            <w:tcW w:w="2575" w:type="dxa"/>
            <w:gridSpan w:val="3"/>
            <w:tcBorders>
              <w:top w:val="single" w:sz="4" w:space="0" w:color="auto"/>
              <w:bottom w:val="single" w:sz="4" w:space="0" w:color="auto"/>
            </w:tcBorders>
            <w:shd w:val="clear" w:color="auto" w:fill="auto"/>
            <w:vAlign w:val="bottom"/>
          </w:tcPr>
          <w:p w:rsidR="00896351" w:rsidRPr="00B81D56" w:rsidRDefault="00896351" w:rsidP="00896351">
            <w:pPr>
              <w:spacing w:after="80" w:line="240" w:lineRule="exact"/>
              <w:ind w:right="144"/>
              <w:jc w:val="center"/>
              <w:rPr>
                <w:rFonts w:hint="cs"/>
                <w:i/>
                <w:iCs/>
                <w:sz w:val="16"/>
                <w:szCs w:val="24"/>
              </w:rPr>
            </w:pPr>
            <w:r>
              <w:rPr>
                <w:rFonts w:hint="cs"/>
                <w:i/>
                <w:iCs/>
                <w:sz w:val="16"/>
                <w:szCs w:val="24"/>
                <w:rtl/>
              </w:rPr>
              <w:t>1992</w:t>
            </w:r>
          </w:p>
        </w:tc>
        <w:tc>
          <w:tcPr>
            <w:tcW w:w="206" w:type="dxa"/>
            <w:tcBorders>
              <w:top w:val="single" w:sz="4"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p>
        </w:tc>
        <w:tc>
          <w:tcPr>
            <w:tcW w:w="2685" w:type="dxa"/>
            <w:gridSpan w:val="3"/>
            <w:tcBorders>
              <w:top w:val="single" w:sz="4" w:space="0" w:color="auto"/>
              <w:bottom w:val="single" w:sz="4" w:space="0" w:color="auto"/>
            </w:tcBorders>
            <w:shd w:val="clear" w:color="auto" w:fill="auto"/>
            <w:vAlign w:val="bottom"/>
          </w:tcPr>
          <w:p w:rsidR="00896351" w:rsidRPr="00B81D56" w:rsidRDefault="00896351" w:rsidP="00896351">
            <w:pPr>
              <w:spacing w:after="80" w:line="240" w:lineRule="exact"/>
              <w:ind w:right="144"/>
              <w:jc w:val="center"/>
              <w:rPr>
                <w:rFonts w:hint="cs"/>
                <w:i/>
                <w:iCs/>
                <w:sz w:val="16"/>
                <w:szCs w:val="24"/>
                <w:rtl/>
              </w:rPr>
            </w:pPr>
            <w:r>
              <w:rPr>
                <w:rFonts w:hint="cs"/>
                <w:i/>
                <w:iCs/>
                <w:sz w:val="16"/>
                <w:szCs w:val="24"/>
                <w:rtl/>
              </w:rPr>
              <w:t>2003</w:t>
            </w:r>
          </w:p>
        </w:tc>
      </w:tr>
      <w:tr w:rsidR="00896351" w:rsidRPr="00B81D56">
        <w:trPr>
          <w:cantSplit/>
          <w:tblHeader/>
          <w:jc w:val="center"/>
        </w:trPr>
        <w:tc>
          <w:tcPr>
            <w:tcW w:w="1855" w:type="dxa"/>
            <w:shd w:val="clear" w:color="auto" w:fill="auto"/>
            <w:vAlign w:val="bottom"/>
          </w:tcPr>
          <w:p w:rsidR="00896351" w:rsidRPr="001E4EE6" w:rsidRDefault="00896351" w:rsidP="00896351">
            <w:pPr>
              <w:spacing w:before="40" w:after="80" w:line="240" w:lineRule="exact"/>
              <w:rPr>
                <w:sz w:val="16"/>
                <w:szCs w:val="24"/>
                <w:lang w:eastAsia="pt-BR" w:bidi="ar-EG"/>
              </w:rPr>
            </w:pPr>
          </w:p>
        </w:tc>
        <w:tc>
          <w:tcPr>
            <w:tcW w:w="927" w:type="dxa"/>
            <w:shd w:val="clear" w:color="auto" w:fill="auto"/>
            <w:vAlign w:val="bottom"/>
          </w:tcPr>
          <w:p w:rsidR="00896351" w:rsidRPr="00B81D56" w:rsidRDefault="00896351" w:rsidP="00896351">
            <w:pPr>
              <w:spacing w:after="80" w:line="240" w:lineRule="exact"/>
              <w:ind w:right="144"/>
              <w:rPr>
                <w:rFonts w:hint="cs"/>
                <w:i/>
                <w:iCs/>
                <w:sz w:val="16"/>
                <w:szCs w:val="24"/>
                <w:rtl/>
              </w:rPr>
            </w:pPr>
          </w:p>
        </w:tc>
        <w:tc>
          <w:tcPr>
            <w:tcW w:w="1648" w:type="dxa"/>
            <w:gridSpan w:val="2"/>
            <w:tcBorders>
              <w:bottom w:val="single" w:sz="4" w:space="0" w:color="auto"/>
            </w:tcBorders>
            <w:shd w:val="clear" w:color="auto" w:fill="auto"/>
            <w:vAlign w:val="bottom"/>
          </w:tcPr>
          <w:p w:rsidR="00896351" w:rsidRPr="00B81D56" w:rsidRDefault="00896351" w:rsidP="00896351">
            <w:pPr>
              <w:spacing w:after="80" w:line="240" w:lineRule="exact"/>
              <w:ind w:right="144"/>
              <w:jc w:val="center"/>
              <w:rPr>
                <w:rFonts w:hint="cs"/>
                <w:i/>
                <w:iCs/>
                <w:sz w:val="16"/>
                <w:szCs w:val="24"/>
              </w:rPr>
            </w:pPr>
            <w:r>
              <w:rPr>
                <w:rFonts w:hint="cs"/>
                <w:i/>
                <w:iCs/>
                <w:sz w:val="16"/>
                <w:szCs w:val="24"/>
                <w:rtl/>
              </w:rPr>
              <w:t>العنصر/اللون</w:t>
            </w:r>
          </w:p>
        </w:tc>
        <w:tc>
          <w:tcPr>
            <w:tcW w:w="206" w:type="dxa"/>
            <w:shd w:val="clear" w:color="auto" w:fill="auto"/>
            <w:vAlign w:val="bottom"/>
          </w:tcPr>
          <w:p w:rsidR="00896351" w:rsidRPr="00B81D56" w:rsidRDefault="00896351" w:rsidP="00896351">
            <w:pPr>
              <w:spacing w:after="80" w:line="240" w:lineRule="exact"/>
              <w:ind w:right="144"/>
              <w:rPr>
                <w:rFonts w:hint="cs"/>
                <w:i/>
                <w:iCs/>
                <w:sz w:val="16"/>
                <w:szCs w:val="24"/>
                <w:rtl/>
              </w:rPr>
            </w:pPr>
          </w:p>
        </w:tc>
        <w:tc>
          <w:tcPr>
            <w:tcW w:w="927" w:type="dxa"/>
            <w:shd w:val="clear" w:color="auto" w:fill="auto"/>
            <w:vAlign w:val="bottom"/>
          </w:tcPr>
          <w:p w:rsidR="00896351" w:rsidRPr="00B81D56" w:rsidRDefault="00896351" w:rsidP="00896351">
            <w:pPr>
              <w:spacing w:after="80" w:line="240" w:lineRule="exact"/>
              <w:ind w:right="144"/>
              <w:rPr>
                <w:i/>
                <w:iCs/>
                <w:sz w:val="16"/>
                <w:szCs w:val="24"/>
                <w:rtl/>
              </w:rPr>
            </w:pPr>
          </w:p>
        </w:tc>
        <w:tc>
          <w:tcPr>
            <w:tcW w:w="1758" w:type="dxa"/>
            <w:gridSpan w:val="2"/>
            <w:tcBorders>
              <w:bottom w:val="single" w:sz="4" w:space="0" w:color="auto"/>
            </w:tcBorders>
            <w:shd w:val="clear" w:color="auto" w:fill="auto"/>
            <w:vAlign w:val="bottom"/>
          </w:tcPr>
          <w:p w:rsidR="00896351" w:rsidRPr="00B81D56" w:rsidRDefault="00896351" w:rsidP="00896351">
            <w:pPr>
              <w:spacing w:after="80" w:line="240" w:lineRule="exact"/>
              <w:ind w:right="144"/>
              <w:jc w:val="center"/>
              <w:rPr>
                <w:rFonts w:hint="cs"/>
                <w:i/>
                <w:iCs/>
                <w:sz w:val="16"/>
                <w:szCs w:val="24"/>
                <w:rtl/>
              </w:rPr>
            </w:pPr>
            <w:r>
              <w:rPr>
                <w:rFonts w:hint="cs"/>
                <w:i/>
                <w:iCs/>
                <w:sz w:val="16"/>
                <w:szCs w:val="24"/>
                <w:rtl/>
              </w:rPr>
              <w:t>العنصر/اللون</w:t>
            </w:r>
          </w:p>
        </w:tc>
      </w:tr>
      <w:tr w:rsidR="00896351" w:rsidRPr="00B81D56">
        <w:trPr>
          <w:cantSplit/>
          <w:tblHeader/>
          <w:jc w:val="center"/>
        </w:trPr>
        <w:tc>
          <w:tcPr>
            <w:tcW w:w="1855" w:type="dxa"/>
            <w:tcBorders>
              <w:bottom w:val="single" w:sz="12" w:space="0" w:color="auto"/>
            </w:tcBorders>
            <w:shd w:val="clear" w:color="auto" w:fill="auto"/>
            <w:vAlign w:val="bottom"/>
          </w:tcPr>
          <w:p w:rsidR="00896351" w:rsidRPr="001E4EE6" w:rsidRDefault="00896351" w:rsidP="00896351">
            <w:pPr>
              <w:spacing w:before="40" w:after="80" w:line="240" w:lineRule="exact"/>
              <w:rPr>
                <w:rFonts w:hint="cs"/>
                <w:sz w:val="16"/>
                <w:szCs w:val="24"/>
                <w:lang w:eastAsia="pt-BR" w:bidi="ar-EG"/>
              </w:rPr>
            </w:pPr>
            <w:r>
              <w:rPr>
                <w:rFonts w:hint="cs"/>
                <w:sz w:val="16"/>
                <w:szCs w:val="24"/>
                <w:rtl/>
                <w:lang w:eastAsia="pt-BR" w:bidi="ar-EG"/>
              </w:rPr>
              <w:t>يعرفن القراءة والكتابة</w:t>
            </w:r>
          </w:p>
        </w:tc>
        <w:tc>
          <w:tcPr>
            <w:tcW w:w="927" w:type="dxa"/>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Pr>
            </w:pPr>
            <w:r>
              <w:rPr>
                <w:rFonts w:hint="cs"/>
                <w:i/>
                <w:iCs/>
                <w:sz w:val="16"/>
                <w:szCs w:val="24"/>
                <w:rtl/>
              </w:rPr>
              <w:t>بيض</w:t>
            </w:r>
          </w:p>
        </w:tc>
        <w:tc>
          <w:tcPr>
            <w:tcW w:w="927" w:type="dxa"/>
            <w:gridSpan w:val="2"/>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r>
              <w:rPr>
                <w:rFonts w:hint="cs"/>
                <w:i/>
                <w:iCs/>
                <w:sz w:val="16"/>
                <w:szCs w:val="24"/>
                <w:rtl/>
              </w:rPr>
              <w:t>سود</w:t>
            </w:r>
          </w:p>
        </w:tc>
        <w:tc>
          <w:tcPr>
            <w:tcW w:w="927" w:type="dxa"/>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r>
              <w:rPr>
                <w:rFonts w:hint="cs"/>
                <w:i/>
                <w:iCs/>
                <w:sz w:val="16"/>
                <w:szCs w:val="24"/>
                <w:rtl/>
              </w:rPr>
              <w:t>بيض</w:t>
            </w:r>
          </w:p>
        </w:tc>
        <w:tc>
          <w:tcPr>
            <w:tcW w:w="831" w:type="dxa"/>
            <w:tcBorders>
              <w:bottom w:val="single" w:sz="12" w:space="0" w:color="auto"/>
            </w:tcBorders>
            <w:shd w:val="clear" w:color="auto" w:fill="auto"/>
            <w:vAlign w:val="bottom"/>
          </w:tcPr>
          <w:p w:rsidR="00896351" w:rsidRPr="00B81D56" w:rsidRDefault="00896351" w:rsidP="00896351">
            <w:pPr>
              <w:spacing w:after="80" w:line="240" w:lineRule="exact"/>
              <w:ind w:right="144"/>
              <w:rPr>
                <w:rFonts w:hint="cs"/>
                <w:i/>
                <w:iCs/>
                <w:sz w:val="16"/>
                <w:szCs w:val="24"/>
                <w:rtl/>
              </w:rPr>
            </w:pPr>
            <w:r>
              <w:rPr>
                <w:rFonts w:hint="cs"/>
                <w:i/>
                <w:iCs/>
                <w:sz w:val="16"/>
                <w:szCs w:val="24"/>
                <w:rtl/>
              </w:rPr>
              <w:t>سود</w:t>
            </w:r>
          </w:p>
        </w:tc>
      </w:tr>
      <w:tr w:rsidR="00896351" w:rsidRPr="00B81D56">
        <w:trPr>
          <w:cantSplit/>
          <w:trHeight w:hRule="exact" w:val="115"/>
          <w:tblHeader/>
          <w:jc w:val="center"/>
        </w:trPr>
        <w:tc>
          <w:tcPr>
            <w:tcW w:w="1855" w:type="dxa"/>
            <w:tcBorders>
              <w:top w:val="single" w:sz="12" w:space="0" w:color="auto"/>
            </w:tcBorders>
            <w:shd w:val="clear" w:color="auto" w:fill="auto"/>
            <w:vAlign w:val="bottom"/>
          </w:tcPr>
          <w:p w:rsidR="00896351" w:rsidRPr="00B81D56" w:rsidRDefault="00896351" w:rsidP="00896351">
            <w:pPr>
              <w:bidi w:val="0"/>
              <w:spacing w:before="40" w:after="80" w:line="240" w:lineRule="exact"/>
              <w:jc w:val="right"/>
              <w:rPr>
                <w:sz w:val="16"/>
                <w:szCs w:val="24"/>
              </w:rPr>
            </w:pPr>
          </w:p>
        </w:tc>
        <w:tc>
          <w:tcPr>
            <w:tcW w:w="927" w:type="dxa"/>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sz w:val="16"/>
                <w:szCs w:val="24"/>
              </w:rPr>
            </w:pPr>
          </w:p>
        </w:tc>
        <w:tc>
          <w:tcPr>
            <w:tcW w:w="927" w:type="dxa"/>
            <w:gridSpan w:val="2"/>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rFonts w:hint="cs"/>
                <w:sz w:val="16"/>
                <w:szCs w:val="24"/>
                <w:rtl/>
              </w:rPr>
            </w:pPr>
          </w:p>
        </w:tc>
        <w:tc>
          <w:tcPr>
            <w:tcW w:w="927" w:type="dxa"/>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rFonts w:hint="cs"/>
                <w:sz w:val="16"/>
                <w:szCs w:val="24"/>
                <w:rtl/>
              </w:rPr>
            </w:pPr>
          </w:p>
        </w:tc>
        <w:tc>
          <w:tcPr>
            <w:tcW w:w="831" w:type="dxa"/>
            <w:tcBorders>
              <w:top w:val="single" w:sz="12" w:space="0" w:color="auto"/>
            </w:tcBorders>
            <w:shd w:val="clear" w:color="auto" w:fill="auto"/>
            <w:vAlign w:val="bottom"/>
          </w:tcPr>
          <w:p w:rsidR="00896351" w:rsidRPr="00B81D56" w:rsidRDefault="00896351" w:rsidP="00896351">
            <w:pPr>
              <w:bidi w:val="0"/>
              <w:spacing w:before="40" w:after="80" w:line="240" w:lineRule="exact"/>
              <w:ind w:right="144"/>
              <w:jc w:val="right"/>
              <w:rPr>
                <w:rFonts w:hint="cs"/>
                <w:sz w:val="16"/>
                <w:szCs w:val="24"/>
                <w:rtl/>
              </w:rPr>
            </w:pPr>
          </w:p>
        </w:tc>
      </w:tr>
      <w:tr w:rsidR="00896351" w:rsidRPr="00B81D56">
        <w:trPr>
          <w:cantSplit/>
          <w:jc w:val="center"/>
        </w:trPr>
        <w:tc>
          <w:tcPr>
            <w:tcW w:w="1855" w:type="dxa"/>
            <w:shd w:val="clear" w:color="auto" w:fill="auto"/>
            <w:vAlign w:val="bottom"/>
          </w:tcPr>
          <w:p w:rsidR="00896351" w:rsidRPr="00BB29D0" w:rsidRDefault="00896351" w:rsidP="00896351">
            <w:pPr>
              <w:spacing w:before="40" w:after="80" w:line="240" w:lineRule="exact"/>
              <w:jc w:val="left"/>
              <w:rPr>
                <w:rFonts w:hint="cs"/>
                <w:sz w:val="16"/>
                <w:szCs w:val="24"/>
                <w:rtl/>
                <w:lang w:eastAsia="pt-BR" w:bidi="ar-EG"/>
              </w:rPr>
            </w:pPr>
            <w:r>
              <w:rPr>
                <w:rFonts w:hint="cs"/>
                <w:sz w:val="16"/>
                <w:szCs w:val="24"/>
                <w:rtl/>
                <w:lang w:eastAsia="pt-BR" w:bidi="ar-EG"/>
              </w:rPr>
              <w:t>نعم</w:t>
            </w:r>
          </w:p>
        </w:tc>
        <w:tc>
          <w:tcPr>
            <w:tcW w:w="927" w:type="dxa"/>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57</w:t>
            </w:r>
            <w:r w:rsidRPr="00BB29D0">
              <w:rPr>
                <w:sz w:val="16"/>
                <w:szCs w:val="24"/>
              </w:rPr>
              <w:t>,</w:t>
            </w:r>
            <w:r w:rsidRPr="00BB29D0">
              <w:rPr>
                <w:rFonts w:hint="cs"/>
                <w:sz w:val="16"/>
                <w:szCs w:val="24"/>
                <w:rtl/>
              </w:rPr>
              <w:t>0</w:t>
            </w:r>
          </w:p>
        </w:tc>
        <w:tc>
          <w:tcPr>
            <w:tcW w:w="927" w:type="dxa"/>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70</w:t>
            </w:r>
            <w:r w:rsidRPr="00BB29D0">
              <w:rPr>
                <w:sz w:val="16"/>
                <w:szCs w:val="24"/>
              </w:rPr>
              <w:t>,</w:t>
            </w:r>
            <w:r w:rsidRPr="00BB29D0">
              <w:rPr>
                <w:rFonts w:hint="cs"/>
                <w:sz w:val="16"/>
                <w:szCs w:val="24"/>
                <w:rtl/>
              </w:rPr>
              <w:t>8</w:t>
            </w:r>
          </w:p>
        </w:tc>
        <w:tc>
          <w:tcPr>
            <w:tcW w:w="927" w:type="dxa"/>
            <w:gridSpan w:val="2"/>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45</w:t>
            </w:r>
            <w:r w:rsidRPr="00BB29D0">
              <w:rPr>
                <w:sz w:val="16"/>
                <w:szCs w:val="24"/>
              </w:rPr>
              <w:t>,</w:t>
            </w:r>
            <w:r w:rsidRPr="00BB29D0">
              <w:rPr>
                <w:rFonts w:hint="cs"/>
                <w:sz w:val="16"/>
                <w:szCs w:val="24"/>
                <w:rtl/>
              </w:rPr>
              <w:t>0</w:t>
            </w:r>
          </w:p>
        </w:tc>
        <w:tc>
          <w:tcPr>
            <w:tcW w:w="927" w:type="dxa"/>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67</w:t>
            </w:r>
            <w:r w:rsidRPr="00BB29D0">
              <w:rPr>
                <w:sz w:val="16"/>
                <w:szCs w:val="24"/>
              </w:rPr>
              <w:t>,</w:t>
            </w:r>
            <w:r w:rsidRPr="00BB29D0">
              <w:rPr>
                <w:rFonts w:hint="cs"/>
                <w:sz w:val="16"/>
                <w:szCs w:val="24"/>
                <w:rtl/>
              </w:rPr>
              <w:t>7</w:t>
            </w:r>
          </w:p>
        </w:tc>
        <w:tc>
          <w:tcPr>
            <w:tcW w:w="927" w:type="dxa"/>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79</w:t>
            </w:r>
            <w:r w:rsidRPr="00BB29D0">
              <w:rPr>
                <w:sz w:val="16"/>
                <w:szCs w:val="24"/>
              </w:rPr>
              <w:t>,</w:t>
            </w:r>
            <w:r w:rsidRPr="00BB29D0">
              <w:rPr>
                <w:rFonts w:hint="cs"/>
                <w:sz w:val="16"/>
                <w:szCs w:val="24"/>
                <w:rtl/>
              </w:rPr>
              <w:t>0</w:t>
            </w:r>
          </w:p>
        </w:tc>
        <w:tc>
          <w:tcPr>
            <w:tcW w:w="831" w:type="dxa"/>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58</w:t>
            </w:r>
            <w:r w:rsidRPr="00BB29D0">
              <w:rPr>
                <w:sz w:val="16"/>
                <w:szCs w:val="24"/>
              </w:rPr>
              <w:t>,</w:t>
            </w:r>
            <w:r w:rsidRPr="00BB29D0">
              <w:rPr>
                <w:rFonts w:hint="cs"/>
                <w:sz w:val="16"/>
                <w:szCs w:val="24"/>
                <w:rtl/>
              </w:rPr>
              <w:t>2</w:t>
            </w:r>
          </w:p>
        </w:tc>
      </w:tr>
      <w:tr w:rsidR="00896351" w:rsidRPr="00B81D56">
        <w:trPr>
          <w:cantSplit/>
          <w:jc w:val="center"/>
        </w:trPr>
        <w:tc>
          <w:tcPr>
            <w:tcW w:w="1855" w:type="dxa"/>
            <w:tcBorders>
              <w:bottom w:val="single" w:sz="4" w:space="0" w:color="auto"/>
            </w:tcBorders>
            <w:shd w:val="clear" w:color="auto" w:fill="auto"/>
            <w:vAlign w:val="bottom"/>
          </w:tcPr>
          <w:p w:rsidR="00896351" w:rsidRPr="00BB29D0" w:rsidRDefault="00896351" w:rsidP="00896351">
            <w:pPr>
              <w:spacing w:before="40" w:after="80" w:line="240" w:lineRule="exact"/>
              <w:jc w:val="left"/>
              <w:rPr>
                <w:rFonts w:hint="cs"/>
                <w:sz w:val="16"/>
                <w:szCs w:val="24"/>
                <w:lang w:eastAsia="pt-BR"/>
              </w:rPr>
            </w:pPr>
            <w:r>
              <w:rPr>
                <w:rFonts w:hint="cs"/>
                <w:sz w:val="16"/>
                <w:szCs w:val="24"/>
                <w:rtl/>
                <w:lang w:eastAsia="pt-BR"/>
              </w:rPr>
              <w:t>لا</w:t>
            </w:r>
          </w:p>
        </w:tc>
        <w:tc>
          <w:tcPr>
            <w:tcW w:w="927" w:type="dxa"/>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43</w:t>
            </w:r>
            <w:r w:rsidRPr="00BB29D0">
              <w:rPr>
                <w:sz w:val="16"/>
                <w:szCs w:val="24"/>
              </w:rPr>
              <w:t>,</w:t>
            </w:r>
            <w:r w:rsidRPr="00BB29D0">
              <w:rPr>
                <w:rFonts w:hint="cs"/>
                <w:sz w:val="16"/>
                <w:szCs w:val="24"/>
                <w:rtl/>
              </w:rPr>
              <w:t>0</w:t>
            </w:r>
          </w:p>
        </w:tc>
        <w:tc>
          <w:tcPr>
            <w:tcW w:w="927" w:type="dxa"/>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29</w:t>
            </w:r>
            <w:r w:rsidRPr="00BB29D0">
              <w:rPr>
                <w:sz w:val="16"/>
                <w:szCs w:val="24"/>
              </w:rPr>
              <w:t>,</w:t>
            </w:r>
            <w:r w:rsidRPr="00BB29D0">
              <w:rPr>
                <w:rFonts w:hint="cs"/>
                <w:sz w:val="16"/>
                <w:szCs w:val="24"/>
                <w:rtl/>
              </w:rPr>
              <w:t>2</w:t>
            </w:r>
          </w:p>
        </w:tc>
        <w:tc>
          <w:tcPr>
            <w:tcW w:w="927" w:type="dxa"/>
            <w:gridSpan w:val="2"/>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55</w:t>
            </w:r>
            <w:r w:rsidRPr="00BB29D0">
              <w:rPr>
                <w:sz w:val="16"/>
                <w:szCs w:val="24"/>
              </w:rPr>
              <w:t>,</w:t>
            </w:r>
            <w:r w:rsidRPr="00BB29D0">
              <w:rPr>
                <w:rFonts w:hint="cs"/>
                <w:sz w:val="16"/>
                <w:szCs w:val="24"/>
                <w:rtl/>
              </w:rPr>
              <w:t>0</w:t>
            </w:r>
          </w:p>
        </w:tc>
        <w:tc>
          <w:tcPr>
            <w:tcW w:w="927" w:type="dxa"/>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32</w:t>
            </w:r>
            <w:r w:rsidRPr="00BB29D0">
              <w:rPr>
                <w:sz w:val="16"/>
                <w:szCs w:val="24"/>
              </w:rPr>
              <w:t>,</w:t>
            </w:r>
            <w:r w:rsidRPr="00BB29D0">
              <w:rPr>
                <w:rFonts w:hint="cs"/>
                <w:sz w:val="16"/>
                <w:szCs w:val="24"/>
                <w:rtl/>
              </w:rPr>
              <w:t>3</w:t>
            </w:r>
          </w:p>
        </w:tc>
        <w:tc>
          <w:tcPr>
            <w:tcW w:w="927" w:type="dxa"/>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21</w:t>
            </w:r>
            <w:r w:rsidRPr="00BB29D0">
              <w:rPr>
                <w:sz w:val="16"/>
                <w:szCs w:val="24"/>
              </w:rPr>
              <w:t>,</w:t>
            </w:r>
            <w:r w:rsidRPr="00BB29D0">
              <w:rPr>
                <w:rFonts w:hint="cs"/>
                <w:sz w:val="16"/>
                <w:szCs w:val="24"/>
                <w:rtl/>
              </w:rPr>
              <w:t>0</w:t>
            </w:r>
          </w:p>
        </w:tc>
        <w:tc>
          <w:tcPr>
            <w:tcW w:w="831" w:type="dxa"/>
            <w:tcBorders>
              <w:bottom w:val="single" w:sz="4" w:space="0" w:color="auto"/>
            </w:tcBorders>
            <w:shd w:val="clear" w:color="auto" w:fill="auto"/>
            <w:vAlign w:val="bottom"/>
          </w:tcPr>
          <w:p w:rsidR="00896351" w:rsidRPr="00BB29D0" w:rsidRDefault="00896351" w:rsidP="00896351">
            <w:pPr>
              <w:bidi w:val="0"/>
              <w:spacing w:before="40" w:after="80" w:line="240" w:lineRule="exact"/>
              <w:jc w:val="right"/>
              <w:rPr>
                <w:sz w:val="16"/>
                <w:szCs w:val="24"/>
                <w:lang w:eastAsia="pt-BR"/>
              </w:rPr>
            </w:pPr>
            <w:r w:rsidRPr="00BB29D0">
              <w:rPr>
                <w:rFonts w:hint="cs"/>
                <w:sz w:val="16"/>
                <w:szCs w:val="24"/>
                <w:rtl/>
              </w:rPr>
              <w:t>41</w:t>
            </w:r>
            <w:r w:rsidRPr="00BB29D0">
              <w:rPr>
                <w:sz w:val="16"/>
                <w:szCs w:val="24"/>
              </w:rPr>
              <w:t>,</w:t>
            </w:r>
            <w:r w:rsidRPr="00BB29D0">
              <w:rPr>
                <w:rFonts w:hint="cs"/>
                <w:sz w:val="16"/>
                <w:szCs w:val="24"/>
                <w:rtl/>
              </w:rPr>
              <w:t>8</w:t>
            </w:r>
          </w:p>
        </w:tc>
      </w:tr>
      <w:tr w:rsidR="00896351" w:rsidRPr="00B81D56">
        <w:trPr>
          <w:cantSplit/>
          <w:jc w:val="center"/>
        </w:trPr>
        <w:tc>
          <w:tcPr>
            <w:tcW w:w="1855" w:type="dxa"/>
            <w:tcBorders>
              <w:top w:val="single" w:sz="4" w:space="0" w:color="auto"/>
              <w:bottom w:val="single" w:sz="12" w:space="0" w:color="auto"/>
            </w:tcBorders>
            <w:shd w:val="clear" w:color="auto" w:fill="auto"/>
            <w:vAlign w:val="bottom"/>
          </w:tcPr>
          <w:p w:rsidR="00896351" w:rsidRPr="00896351" w:rsidRDefault="00896351" w:rsidP="00896351">
            <w:pPr>
              <w:spacing w:before="40" w:after="80" w:line="240" w:lineRule="exact"/>
              <w:jc w:val="left"/>
              <w:rPr>
                <w:rFonts w:hint="cs"/>
                <w:b/>
                <w:bCs/>
                <w:sz w:val="16"/>
                <w:szCs w:val="24"/>
                <w:lang w:eastAsia="pt-BR"/>
              </w:rPr>
            </w:pPr>
            <w:r w:rsidRPr="00896351">
              <w:rPr>
                <w:rFonts w:hint="cs"/>
                <w:b/>
                <w:bCs/>
                <w:sz w:val="16"/>
                <w:szCs w:val="24"/>
                <w:rtl/>
                <w:lang w:eastAsia="pt-BR"/>
              </w:rPr>
              <w:t>المجموع</w:t>
            </w:r>
          </w:p>
        </w:tc>
        <w:tc>
          <w:tcPr>
            <w:tcW w:w="927" w:type="dxa"/>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c>
          <w:tcPr>
            <w:tcW w:w="927" w:type="dxa"/>
            <w:gridSpan w:val="2"/>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c>
          <w:tcPr>
            <w:tcW w:w="831" w:type="dxa"/>
            <w:tcBorders>
              <w:top w:val="single" w:sz="4" w:space="0" w:color="auto"/>
              <w:bottom w:val="single" w:sz="12" w:space="0" w:color="auto"/>
            </w:tcBorders>
            <w:shd w:val="clear" w:color="auto" w:fill="auto"/>
            <w:vAlign w:val="bottom"/>
          </w:tcPr>
          <w:p w:rsidR="00896351" w:rsidRPr="00896351" w:rsidRDefault="00896351" w:rsidP="00896351">
            <w:pPr>
              <w:bidi w:val="0"/>
              <w:spacing w:before="40" w:after="80" w:line="240" w:lineRule="exact"/>
              <w:jc w:val="right"/>
              <w:rPr>
                <w:b/>
                <w:bCs/>
                <w:sz w:val="16"/>
                <w:szCs w:val="24"/>
                <w:lang w:eastAsia="pt-BR"/>
              </w:rPr>
            </w:pPr>
            <w:r w:rsidRPr="00896351">
              <w:rPr>
                <w:rFonts w:hint="cs"/>
                <w:b/>
                <w:bCs/>
                <w:sz w:val="16"/>
                <w:szCs w:val="24"/>
                <w:rtl/>
              </w:rPr>
              <w:t>100</w:t>
            </w:r>
            <w:r w:rsidRPr="00896351">
              <w:rPr>
                <w:b/>
                <w:bCs/>
                <w:sz w:val="16"/>
                <w:szCs w:val="24"/>
              </w:rPr>
              <w:t>,</w:t>
            </w:r>
            <w:r w:rsidRPr="00896351">
              <w:rPr>
                <w:rFonts w:hint="cs"/>
                <w:b/>
                <w:bCs/>
                <w:sz w:val="16"/>
                <w:szCs w:val="24"/>
                <w:rtl/>
              </w:rPr>
              <w:t>0</w:t>
            </w:r>
          </w:p>
        </w:tc>
      </w:tr>
    </w:tbl>
    <w:p w:rsidR="00B2397A" w:rsidRPr="00B2397A" w:rsidRDefault="00B2397A" w:rsidP="00B2397A">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B2397A" w:rsidRDefault="00B2397A" w:rsidP="00B2397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B2397A" w:rsidRDefault="00B2397A" w:rsidP="00B2397A">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B2397A" w:rsidRPr="00B2397A" w:rsidRDefault="00B2397A" w:rsidP="00B2397A">
      <w:pPr>
        <w:pStyle w:val="SingleTxt"/>
        <w:spacing w:after="0" w:line="120" w:lineRule="exact"/>
        <w:rPr>
          <w:rFonts w:hint="cs"/>
          <w:sz w:val="10"/>
          <w:rtl/>
          <w:lang w:bidi="ar-EG"/>
        </w:rPr>
      </w:pPr>
    </w:p>
    <w:p w:rsidR="00B2397A" w:rsidRPr="00B2397A" w:rsidRDefault="00B2397A" w:rsidP="00B2397A">
      <w:pPr>
        <w:pStyle w:val="SingleTxt"/>
        <w:spacing w:after="0" w:line="120" w:lineRule="exact"/>
        <w:rPr>
          <w:rFonts w:hint="cs"/>
          <w:sz w:val="10"/>
          <w:rtl/>
          <w:lang w:bidi="ar-EG"/>
        </w:rPr>
      </w:pPr>
    </w:p>
    <w:p w:rsidR="00896351" w:rsidRDefault="00B2397A" w:rsidP="002A1045">
      <w:pPr>
        <w:pStyle w:val="SingleTxt"/>
        <w:rPr>
          <w:rFonts w:hint="cs"/>
          <w:rtl/>
          <w:lang w:bidi="ar-EG"/>
        </w:rPr>
      </w:pPr>
      <w:r>
        <w:rPr>
          <w:rFonts w:hint="cs"/>
          <w:rtl/>
          <w:lang w:bidi="ar-EG"/>
        </w:rPr>
        <w:tab/>
        <w:t>ويمكن استخلاص بعض النتائج من تحليل متوسط سنوات الدراسة للريفيات البيض والسود. ورغم أن معدل الإلمام بالقراءة والكتابة قد تحسن بالنسبة لهاتين المجموعتين، فما زال هناك تباين بين البيض والسود. ومع ذلك، كان تطور تلك المؤشرات طيلة العقد في صالح النساء السود أكثر من البيض. ويعود ذلك إلى أنه بالنسبة للمرأة البيضاء البالغة من العمر 15 سنة أو أكثر، كانت هناك زيادة نسبتها حوالي 30 في المائة في متوسط سنوات الدراسة، بينما كانت نسبة الزيادة للمرأة السوداء 64 في المائة. ورغم ذلك، فهذه حقيقة نسبية لأن النساء السود بدأن من متوسط أقل بكثير عام 1992، ولذلك كان إحراز زيادات كبيرة أيسر للنساء السود عنه للنساء البيض، اللاتي سبق أن تمتعن بمعدلات أعلى في عام 1992.</w:t>
      </w:r>
    </w:p>
    <w:p w:rsidR="00B2397A" w:rsidRPr="00B2397A" w:rsidRDefault="00B2397A" w:rsidP="00B2397A">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000" w:firstRow="0" w:lastRow="0" w:firstColumn="0" w:lastColumn="0" w:noHBand="0" w:noVBand="0"/>
      </w:tblPr>
      <w:tblGrid>
        <w:gridCol w:w="1649"/>
        <w:gridCol w:w="1442"/>
        <w:gridCol w:w="1389"/>
        <w:gridCol w:w="160"/>
        <w:gridCol w:w="1438"/>
        <w:gridCol w:w="1244"/>
      </w:tblGrid>
      <w:tr w:rsidR="00401032" w:rsidRPr="00761886">
        <w:trPr>
          <w:cantSplit/>
          <w:tblHeader/>
          <w:jc w:val="center"/>
        </w:trPr>
        <w:tc>
          <w:tcPr>
            <w:tcW w:w="7322" w:type="dxa"/>
            <w:gridSpan w:val="6"/>
            <w:tcBorders>
              <w:top w:val="single" w:sz="4" w:space="0" w:color="auto"/>
              <w:bottom w:val="single" w:sz="4" w:space="0" w:color="auto"/>
            </w:tcBorders>
            <w:shd w:val="clear" w:color="auto" w:fill="auto"/>
            <w:vAlign w:val="bottom"/>
          </w:tcPr>
          <w:p w:rsidR="00401032" w:rsidRPr="00401032" w:rsidRDefault="00401032" w:rsidP="00401032">
            <w:pPr>
              <w:spacing w:before="80" w:after="80" w:line="300" w:lineRule="exact"/>
              <w:ind w:right="144"/>
              <w:jc w:val="center"/>
              <w:rPr>
                <w:rFonts w:hint="cs"/>
                <w:b/>
                <w:bCs/>
                <w:sz w:val="18"/>
                <w:szCs w:val="26"/>
                <w:rtl/>
              </w:rPr>
            </w:pPr>
            <w:r>
              <w:rPr>
                <w:rFonts w:hint="cs"/>
                <w:b/>
                <w:bCs/>
                <w:sz w:val="18"/>
                <w:szCs w:val="26"/>
                <w:rtl/>
              </w:rPr>
              <w:t>متوسط عدد سنوات الدراسة للنساء اللاتي يعشن في المناطق الريفية، حسب العنصر، البرازيل، 1992 و 2003</w:t>
            </w:r>
          </w:p>
        </w:tc>
      </w:tr>
      <w:tr w:rsidR="00401032" w:rsidRPr="00761886">
        <w:trPr>
          <w:cantSplit/>
          <w:tblHeader/>
          <w:jc w:val="center"/>
        </w:trPr>
        <w:tc>
          <w:tcPr>
            <w:tcW w:w="1649" w:type="dxa"/>
            <w:tcBorders>
              <w:top w:val="single" w:sz="4" w:space="0" w:color="auto"/>
            </w:tcBorders>
            <w:shd w:val="clear" w:color="auto" w:fill="auto"/>
            <w:vAlign w:val="bottom"/>
          </w:tcPr>
          <w:p w:rsidR="00401032" w:rsidRPr="00761886" w:rsidRDefault="00401032" w:rsidP="00401032">
            <w:pPr>
              <w:spacing w:after="80" w:line="240" w:lineRule="exact"/>
              <w:rPr>
                <w:i/>
                <w:iCs/>
                <w:sz w:val="16"/>
                <w:szCs w:val="24"/>
              </w:rPr>
            </w:pPr>
          </w:p>
        </w:tc>
        <w:tc>
          <w:tcPr>
            <w:tcW w:w="2831" w:type="dxa"/>
            <w:gridSpan w:val="2"/>
            <w:tcBorders>
              <w:top w:val="single" w:sz="4" w:space="0" w:color="auto"/>
              <w:bottom w:val="single" w:sz="4" w:space="0" w:color="auto"/>
            </w:tcBorders>
            <w:shd w:val="clear" w:color="auto" w:fill="auto"/>
            <w:vAlign w:val="bottom"/>
          </w:tcPr>
          <w:p w:rsidR="00401032" w:rsidRPr="00761886" w:rsidRDefault="00401032" w:rsidP="00401032">
            <w:pPr>
              <w:spacing w:after="80" w:line="240" w:lineRule="exact"/>
              <w:ind w:right="144"/>
              <w:jc w:val="center"/>
              <w:rPr>
                <w:rFonts w:hint="cs"/>
                <w:i/>
                <w:iCs/>
                <w:sz w:val="16"/>
                <w:szCs w:val="24"/>
                <w:rtl/>
              </w:rPr>
            </w:pPr>
            <w:r>
              <w:rPr>
                <w:rFonts w:hint="cs"/>
                <w:i/>
                <w:iCs/>
                <w:sz w:val="16"/>
                <w:szCs w:val="24"/>
                <w:rtl/>
              </w:rPr>
              <w:t>1992</w:t>
            </w:r>
          </w:p>
        </w:tc>
        <w:tc>
          <w:tcPr>
            <w:tcW w:w="160" w:type="dxa"/>
            <w:tcBorders>
              <w:top w:val="single" w:sz="4" w:space="0" w:color="auto"/>
            </w:tcBorders>
            <w:shd w:val="clear" w:color="auto" w:fill="auto"/>
            <w:vAlign w:val="bottom"/>
          </w:tcPr>
          <w:p w:rsidR="00401032" w:rsidRPr="00761886" w:rsidRDefault="00401032" w:rsidP="00401032">
            <w:pPr>
              <w:spacing w:after="80" w:line="240" w:lineRule="exact"/>
              <w:ind w:right="144"/>
              <w:rPr>
                <w:rFonts w:hint="cs"/>
                <w:i/>
                <w:iCs/>
                <w:sz w:val="16"/>
                <w:szCs w:val="24"/>
                <w:rtl/>
              </w:rPr>
            </w:pPr>
          </w:p>
        </w:tc>
        <w:tc>
          <w:tcPr>
            <w:tcW w:w="2682" w:type="dxa"/>
            <w:gridSpan w:val="2"/>
            <w:tcBorders>
              <w:top w:val="single" w:sz="4" w:space="0" w:color="auto"/>
              <w:bottom w:val="single" w:sz="4" w:space="0" w:color="auto"/>
            </w:tcBorders>
            <w:shd w:val="clear" w:color="auto" w:fill="auto"/>
            <w:vAlign w:val="bottom"/>
          </w:tcPr>
          <w:p w:rsidR="00401032" w:rsidRPr="00761886" w:rsidRDefault="00401032" w:rsidP="00401032">
            <w:pPr>
              <w:spacing w:after="80" w:line="240" w:lineRule="exact"/>
              <w:ind w:right="144"/>
              <w:jc w:val="center"/>
              <w:rPr>
                <w:rFonts w:hint="cs"/>
                <w:i/>
                <w:iCs/>
                <w:sz w:val="16"/>
                <w:szCs w:val="24"/>
                <w:rtl/>
              </w:rPr>
            </w:pPr>
            <w:r>
              <w:rPr>
                <w:rFonts w:hint="cs"/>
                <w:i/>
                <w:iCs/>
                <w:sz w:val="16"/>
                <w:szCs w:val="24"/>
                <w:rtl/>
              </w:rPr>
              <w:t>2003</w:t>
            </w:r>
          </w:p>
        </w:tc>
      </w:tr>
      <w:tr w:rsidR="00B2397A" w:rsidRPr="00761886">
        <w:trPr>
          <w:cantSplit/>
          <w:tblHeader/>
          <w:jc w:val="center"/>
        </w:trPr>
        <w:tc>
          <w:tcPr>
            <w:tcW w:w="1649" w:type="dxa"/>
            <w:tcBorders>
              <w:bottom w:val="single" w:sz="12" w:space="0" w:color="auto"/>
            </w:tcBorders>
            <w:shd w:val="clear" w:color="auto" w:fill="auto"/>
            <w:vAlign w:val="bottom"/>
          </w:tcPr>
          <w:p w:rsidR="00B2397A" w:rsidRPr="00761886" w:rsidRDefault="00401032" w:rsidP="00401032">
            <w:pPr>
              <w:spacing w:after="80" w:line="240" w:lineRule="exact"/>
              <w:rPr>
                <w:rFonts w:hint="cs"/>
                <w:i/>
                <w:iCs/>
                <w:sz w:val="16"/>
                <w:szCs w:val="24"/>
              </w:rPr>
            </w:pPr>
            <w:r>
              <w:rPr>
                <w:rFonts w:hint="cs"/>
                <w:i/>
                <w:iCs/>
                <w:sz w:val="16"/>
                <w:szCs w:val="24"/>
                <w:rtl/>
              </w:rPr>
              <w:t>اللون أو العنصر</w:t>
            </w:r>
          </w:p>
        </w:tc>
        <w:tc>
          <w:tcPr>
            <w:tcW w:w="1442" w:type="dxa"/>
            <w:tcBorders>
              <w:bottom w:val="single" w:sz="12" w:space="0" w:color="auto"/>
            </w:tcBorders>
            <w:shd w:val="clear" w:color="auto" w:fill="auto"/>
            <w:vAlign w:val="bottom"/>
          </w:tcPr>
          <w:p w:rsidR="00B2397A" w:rsidRPr="00761886" w:rsidRDefault="00401032" w:rsidP="00401032">
            <w:pPr>
              <w:spacing w:after="80" w:line="240" w:lineRule="exact"/>
              <w:ind w:right="144"/>
              <w:rPr>
                <w:rFonts w:hint="cs"/>
                <w:i/>
                <w:iCs/>
                <w:sz w:val="16"/>
                <w:szCs w:val="24"/>
                <w:rtl/>
              </w:rPr>
            </w:pPr>
            <w:r>
              <w:rPr>
                <w:rFonts w:hint="cs"/>
                <w:i/>
                <w:iCs/>
                <w:sz w:val="16"/>
                <w:szCs w:val="24"/>
                <w:rtl/>
              </w:rPr>
              <w:t>15 سنة أو أكبر</w:t>
            </w:r>
          </w:p>
        </w:tc>
        <w:tc>
          <w:tcPr>
            <w:tcW w:w="1549" w:type="dxa"/>
            <w:gridSpan w:val="2"/>
            <w:tcBorders>
              <w:bottom w:val="single" w:sz="12" w:space="0" w:color="auto"/>
            </w:tcBorders>
            <w:shd w:val="clear" w:color="auto" w:fill="auto"/>
            <w:vAlign w:val="bottom"/>
          </w:tcPr>
          <w:p w:rsidR="00B2397A" w:rsidRPr="00761886" w:rsidRDefault="00401032" w:rsidP="00401032">
            <w:pPr>
              <w:spacing w:after="80" w:line="240" w:lineRule="exact"/>
              <w:ind w:right="144"/>
              <w:rPr>
                <w:rFonts w:hint="cs"/>
                <w:i/>
                <w:iCs/>
                <w:sz w:val="16"/>
                <w:szCs w:val="24"/>
                <w:rtl/>
              </w:rPr>
            </w:pPr>
            <w:r>
              <w:rPr>
                <w:rFonts w:hint="cs"/>
                <w:i/>
                <w:iCs/>
                <w:sz w:val="16"/>
                <w:szCs w:val="24"/>
                <w:rtl/>
              </w:rPr>
              <w:t>25 سنة أو أكبر</w:t>
            </w:r>
          </w:p>
        </w:tc>
        <w:tc>
          <w:tcPr>
            <w:tcW w:w="1438" w:type="dxa"/>
            <w:tcBorders>
              <w:bottom w:val="single" w:sz="12" w:space="0" w:color="auto"/>
            </w:tcBorders>
            <w:shd w:val="clear" w:color="auto" w:fill="auto"/>
            <w:vAlign w:val="bottom"/>
          </w:tcPr>
          <w:p w:rsidR="00B2397A" w:rsidRPr="00761886" w:rsidRDefault="00401032" w:rsidP="00401032">
            <w:pPr>
              <w:spacing w:after="80" w:line="240" w:lineRule="exact"/>
              <w:ind w:right="144"/>
              <w:rPr>
                <w:rFonts w:hint="cs"/>
                <w:i/>
                <w:iCs/>
                <w:sz w:val="16"/>
                <w:szCs w:val="24"/>
                <w:rtl/>
              </w:rPr>
            </w:pPr>
            <w:r>
              <w:rPr>
                <w:rFonts w:hint="cs"/>
                <w:i/>
                <w:iCs/>
                <w:sz w:val="16"/>
                <w:szCs w:val="24"/>
                <w:rtl/>
              </w:rPr>
              <w:t>15 سنة أو أكبر</w:t>
            </w:r>
          </w:p>
        </w:tc>
        <w:tc>
          <w:tcPr>
            <w:tcW w:w="1244" w:type="dxa"/>
            <w:tcBorders>
              <w:bottom w:val="single" w:sz="12" w:space="0" w:color="auto"/>
            </w:tcBorders>
            <w:shd w:val="clear" w:color="auto" w:fill="auto"/>
            <w:vAlign w:val="bottom"/>
          </w:tcPr>
          <w:p w:rsidR="00B2397A" w:rsidRPr="00761886" w:rsidRDefault="00401032" w:rsidP="00401032">
            <w:pPr>
              <w:spacing w:after="80" w:line="240" w:lineRule="exact"/>
              <w:rPr>
                <w:rFonts w:hint="cs"/>
                <w:i/>
                <w:iCs/>
                <w:sz w:val="16"/>
                <w:szCs w:val="24"/>
                <w:rtl/>
              </w:rPr>
            </w:pPr>
            <w:r>
              <w:rPr>
                <w:rFonts w:hint="cs"/>
                <w:i/>
                <w:iCs/>
                <w:sz w:val="16"/>
                <w:szCs w:val="24"/>
                <w:rtl/>
              </w:rPr>
              <w:t>25 سنة أو أكبر</w:t>
            </w:r>
          </w:p>
        </w:tc>
      </w:tr>
      <w:tr w:rsidR="00B2397A" w:rsidRPr="00761886">
        <w:trPr>
          <w:cantSplit/>
          <w:trHeight w:hRule="exact" w:val="115"/>
          <w:tblHeader/>
          <w:jc w:val="center"/>
        </w:trPr>
        <w:tc>
          <w:tcPr>
            <w:tcW w:w="1649" w:type="dxa"/>
            <w:tcBorders>
              <w:top w:val="single" w:sz="12" w:space="0" w:color="auto"/>
            </w:tcBorders>
            <w:shd w:val="clear" w:color="auto" w:fill="auto"/>
            <w:vAlign w:val="bottom"/>
          </w:tcPr>
          <w:p w:rsidR="00B2397A" w:rsidRPr="00761886" w:rsidRDefault="00B2397A" w:rsidP="00FF3535">
            <w:pPr>
              <w:bidi w:val="0"/>
              <w:spacing w:before="40" w:after="80" w:line="240" w:lineRule="exact"/>
              <w:jc w:val="right"/>
              <w:rPr>
                <w:sz w:val="16"/>
                <w:szCs w:val="24"/>
              </w:rPr>
            </w:pPr>
          </w:p>
        </w:tc>
        <w:tc>
          <w:tcPr>
            <w:tcW w:w="1442" w:type="dxa"/>
            <w:tcBorders>
              <w:top w:val="single" w:sz="12" w:space="0" w:color="auto"/>
            </w:tcBorders>
            <w:shd w:val="clear" w:color="auto" w:fill="auto"/>
            <w:vAlign w:val="bottom"/>
          </w:tcPr>
          <w:p w:rsidR="00B2397A" w:rsidRPr="00761886" w:rsidRDefault="00B2397A" w:rsidP="00FF3535">
            <w:pPr>
              <w:bidi w:val="0"/>
              <w:spacing w:before="40" w:after="80" w:line="240" w:lineRule="exact"/>
              <w:ind w:right="144"/>
              <w:jc w:val="right"/>
              <w:rPr>
                <w:rFonts w:hint="cs"/>
                <w:sz w:val="16"/>
                <w:szCs w:val="24"/>
                <w:rtl/>
              </w:rPr>
            </w:pPr>
          </w:p>
        </w:tc>
        <w:tc>
          <w:tcPr>
            <w:tcW w:w="1549" w:type="dxa"/>
            <w:gridSpan w:val="2"/>
            <w:tcBorders>
              <w:top w:val="single" w:sz="12" w:space="0" w:color="auto"/>
            </w:tcBorders>
            <w:shd w:val="clear" w:color="auto" w:fill="auto"/>
            <w:vAlign w:val="bottom"/>
          </w:tcPr>
          <w:p w:rsidR="00B2397A" w:rsidRPr="00761886" w:rsidRDefault="00B2397A" w:rsidP="00FF3535">
            <w:pPr>
              <w:bidi w:val="0"/>
              <w:spacing w:before="40" w:after="80" w:line="240" w:lineRule="exact"/>
              <w:ind w:right="144"/>
              <w:jc w:val="right"/>
              <w:rPr>
                <w:rFonts w:hint="cs"/>
                <w:sz w:val="16"/>
                <w:szCs w:val="24"/>
                <w:rtl/>
              </w:rPr>
            </w:pPr>
          </w:p>
        </w:tc>
        <w:tc>
          <w:tcPr>
            <w:tcW w:w="1438" w:type="dxa"/>
            <w:tcBorders>
              <w:top w:val="single" w:sz="12" w:space="0" w:color="auto"/>
            </w:tcBorders>
            <w:shd w:val="clear" w:color="auto" w:fill="auto"/>
            <w:vAlign w:val="bottom"/>
          </w:tcPr>
          <w:p w:rsidR="00B2397A" w:rsidRPr="00761886" w:rsidRDefault="00B2397A" w:rsidP="00FF3535">
            <w:pPr>
              <w:bidi w:val="0"/>
              <w:spacing w:before="40" w:after="80" w:line="240" w:lineRule="exact"/>
              <w:ind w:right="144"/>
              <w:jc w:val="right"/>
              <w:rPr>
                <w:rFonts w:hint="cs"/>
                <w:sz w:val="16"/>
                <w:szCs w:val="24"/>
                <w:rtl/>
              </w:rPr>
            </w:pPr>
          </w:p>
        </w:tc>
        <w:tc>
          <w:tcPr>
            <w:tcW w:w="1244" w:type="dxa"/>
            <w:tcBorders>
              <w:top w:val="single" w:sz="12" w:space="0" w:color="auto"/>
            </w:tcBorders>
            <w:shd w:val="clear" w:color="auto" w:fill="auto"/>
            <w:vAlign w:val="bottom"/>
          </w:tcPr>
          <w:p w:rsidR="00B2397A" w:rsidRPr="00761886" w:rsidRDefault="00B2397A" w:rsidP="00FF3535">
            <w:pPr>
              <w:bidi w:val="0"/>
              <w:spacing w:before="40" w:after="80" w:line="240" w:lineRule="exact"/>
              <w:ind w:right="144"/>
              <w:jc w:val="right"/>
              <w:rPr>
                <w:rFonts w:hint="cs"/>
                <w:sz w:val="16"/>
                <w:szCs w:val="24"/>
                <w:rtl/>
              </w:rPr>
            </w:pPr>
          </w:p>
        </w:tc>
      </w:tr>
      <w:tr w:rsidR="00B2397A" w:rsidRPr="00761886">
        <w:trPr>
          <w:cantSplit/>
          <w:jc w:val="center"/>
        </w:trPr>
        <w:tc>
          <w:tcPr>
            <w:tcW w:w="1649" w:type="dxa"/>
            <w:shd w:val="clear" w:color="auto" w:fill="auto"/>
            <w:vAlign w:val="bottom"/>
          </w:tcPr>
          <w:p w:rsidR="00B2397A" w:rsidRPr="00751A4E" w:rsidRDefault="00B2397A" w:rsidP="00401032">
            <w:pPr>
              <w:spacing w:before="40" w:after="40" w:line="240" w:lineRule="exact"/>
              <w:rPr>
                <w:rFonts w:hint="cs"/>
                <w:sz w:val="16"/>
                <w:szCs w:val="24"/>
                <w:lang w:eastAsia="pt-BR"/>
              </w:rPr>
            </w:pPr>
            <w:r>
              <w:rPr>
                <w:rFonts w:hint="cs"/>
                <w:sz w:val="16"/>
                <w:szCs w:val="24"/>
                <w:rtl/>
                <w:lang w:eastAsia="pt-BR"/>
              </w:rPr>
              <w:t>بيض</w:t>
            </w:r>
          </w:p>
        </w:tc>
        <w:tc>
          <w:tcPr>
            <w:tcW w:w="1442" w:type="dxa"/>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3</w:t>
            </w:r>
            <w:r w:rsidRPr="00761886">
              <w:rPr>
                <w:sz w:val="16"/>
                <w:szCs w:val="24"/>
              </w:rPr>
              <w:t>,</w:t>
            </w:r>
            <w:r w:rsidRPr="00761886">
              <w:rPr>
                <w:rFonts w:hint="cs"/>
                <w:sz w:val="16"/>
                <w:szCs w:val="24"/>
                <w:rtl/>
              </w:rPr>
              <w:t>6</w:t>
            </w:r>
          </w:p>
        </w:tc>
        <w:tc>
          <w:tcPr>
            <w:tcW w:w="1549" w:type="dxa"/>
            <w:gridSpan w:val="2"/>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bidi="ar-EG"/>
              </w:rPr>
            </w:pPr>
            <w:r w:rsidRPr="00761886">
              <w:rPr>
                <w:rFonts w:hint="cs"/>
                <w:sz w:val="16"/>
                <w:szCs w:val="24"/>
                <w:rtl/>
              </w:rPr>
              <w:t>3</w:t>
            </w:r>
            <w:r w:rsidRPr="00761886">
              <w:rPr>
                <w:sz w:val="16"/>
                <w:szCs w:val="24"/>
              </w:rPr>
              <w:t>,</w:t>
            </w:r>
            <w:r w:rsidRPr="00761886">
              <w:rPr>
                <w:rFonts w:hint="cs"/>
                <w:sz w:val="16"/>
                <w:szCs w:val="24"/>
                <w:rtl/>
              </w:rPr>
              <w:t>1</w:t>
            </w:r>
          </w:p>
        </w:tc>
        <w:tc>
          <w:tcPr>
            <w:tcW w:w="1438" w:type="dxa"/>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4</w:t>
            </w:r>
            <w:r w:rsidRPr="00761886">
              <w:rPr>
                <w:sz w:val="16"/>
                <w:szCs w:val="24"/>
              </w:rPr>
              <w:t>,</w:t>
            </w:r>
            <w:r w:rsidRPr="00761886">
              <w:rPr>
                <w:rFonts w:hint="cs"/>
                <w:sz w:val="16"/>
                <w:szCs w:val="24"/>
                <w:rtl/>
              </w:rPr>
              <w:t>7</w:t>
            </w:r>
          </w:p>
        </w:tc>
        <w:tc>
          <w:tcPr>
            <w:tcW w:w="1244" w:type="dxa"/>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3</w:t>
            </w:r>
            <w:r w:rsidRPr="00761886">
              <w:rPr>
                <w:sz w:val="16"/>
                <w:szCs w:val="24"/>
              </w:rPr>
              <w:t>,</w:t>
            </w:r>
            <w:r w:rsidRPr="00761886">
              <w:rPr>
                <w:rFonts w:hint="cs"/>
                <w:sz w:val="16"/>
                <w:szCs w:val="24"/>
                <w:rtl/>
              </w:rPr>
              <w:t>9</w:t>
            </w:r>
          </w:p>
        </w:tc>
      </w:tr>
      <w:tr w:rsidR="00B2397A" w:rsidRPr="00761886">
        <w:trPr>
          <w:cantSplit/>
          <w:jc w:val="center"/>
        </w:trPr>
        <w:tc>
          <w:tcPr>
            <w:tcW w:w="1649" w:type="dxa"/>
            <w:tcBorders>
              <w:bottom w:val="single" w:sz="4" w:space="0" w:color="auto"/>
            </w:tcBorders>
            <w:shd w:val="clear" w:color="auto" w:fill="auto"/>
            <w:vAlign w:val="bottom"/>
          </w:tcPr>
          <w:p w:rsidR="00B2397A" w:rsidRPr="00751A4E" w:rsidRDefault="00B2397A" w:rsidP="00401032">
            <w:pPr>
              <w:spacing w:before="40" w:after="40" w:line="240" w:lineRule="exact"/>
              <w:rPr>
                <w:rFonts w:hint="cs"/>
                <w:sz w:val="16"/>
                <w:szCs w:val="24"/>
                <w:lang w:eastAsia="pt-BR"/>
              </w:rPr>
            </w:pPr>
            <w:r>
              <w:rPr>
                <w:rFonts w:hint="cs"/>
                <w:sz w:val="16"/>
                <w:szCs w:val="24"/>
                <w:rtl/>
                <w:lang w:eastAsia="pt-BR"/>
              </w:rPr>
              <w:t>سود</w:t>
            </w:r>
          </w:p>
        </w:tc>
        <w:tc>
          <w:tcPr>
            <w:tcW w:w="1442" w:type="dxa"/>
            <w:tcBorders>
              <w:bottom w:val="single" w:sz="4" w:space="0" w:color="auto"/>
            </w:tcBorders>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2</w:t>
            </w:r>
            <w:r w:rsidRPr="00761886">
              <w:rPr>
                <w:sz w:val="16"/>
                <w:szCs w:val="24"/>
              </w:rPr>
              <w:t>,</w:t>
            </w:r>
            <w:r w:rsidRPr="00761886">
              <w:rPr>
                <w:rFonts w:hint="cs"/>
                <w:sz w:val="16"/>
                <w:szCs w:val="24"/>
                <w:rtl/>
              </w:rPr>
              <w:t>1</w:t>
            </w:r>
          </w:p>
        </w:tc>
        <w:tc>
          <w:tcPr>
            <w:tcW w:w="1549" w:type="dxa"/>
            <w:gridSpan w:val="2"/>
            <w:tcBorders>
              <w:bottom w:val="single" w:sz="4" w:space="0" w:color="auto"/>
            </w:tcBorders>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1</w:t>
            </w:r>
            <w:r w:rsidRPr="00761886">
              <w:rPr>
                <w:sz w:val="16"/>
                <w:szCs w:val="24"/>
              </w:rPr>
              <w:t>,</w:t>
            </w:r>
            <w:r w:rsidRPr="00761886">
              <w:rPr>
                <w:rFonts w:hint="cs"/>
                <w:sz w:val="16"/>
                <w:szCs w:val="24"/>
                <w:rtl/>
              </w:rPr>
              <w:t>6</w:t>
            </w:r>
          </w:p>
        </w:tc>
        <w:tc>
          <w:tcPr>
            <w:tcW w:w="1438" w:type="dxa"/>
            <w:tcBorders>
              <w:bottom w:val="single" w:sz="4" w:space="0" w:color="auto"/>
            </w:tcBorders>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3</w:t>
            </w:r>
            <w:r w:rsidRPr="00761886">
              <w:rPr>
                <w:sz w:val="16"/>
                <w:szCs w:val="24"/>
              </w:rPr>
              <w:t>,</w:t>
            </w:r>
            <w:r w:rsidRPr="00761886">
              <w:rPr>
                <w:rFonts w:hint="cs"/>
                <w:sz w:val="16"/>
                <w:szCs w:val="24"/>
                <w:rtl/>
              </w:rPr>
              <w:t>5</w:t>
            </w:r>
          </w:p>
        </w:tc>
        <w:tc>
          <w:tcPr>
            <w:tcW w:w="1244" w:type="dxa"/>
            <w:tcBorders>
              <w:bottom w:val="single" w:sz="4" w:space="0" w:color="auto"/>
            </w:tcBorders>
            <w:shd w:val="clear" w:color="auto" w:fill="auto"/>
            <w:vAlign w:val="bottom"/>
          </w:tcPr>
          <w:p w:rsidR="00B2397A" w:rsidRPr="00761886" w:rsidRDefault="00B2397A" w:rsidP="00401032">
            <w:pPr>
              <w:bidi w:val="0"/>
              <w:spacing w:before="40" w:after="40" w:line="240" w:lineRule="exact"/>
              <w:ind w:right="342"/>
              <w:jc w:val="right"/>
              <w:rPr>
                <w:sz w:val="16"/>
                <w:szCs w:val="24"/>
                <w:lang w:eastAsia="pt-BR"/>
              </w:rPr>
            </w:pPr>
            <w:r w:rsidRPr="00761886">
              <w:rPr>
                <w:rFonts w:hint="cs"/>
                <w:sz w:val="16"/>
                <w:szCs w:val="24"/>
                <w:rtl/>
              </w:rPr>
              <w:t>2</w:t>
            </w:r>
            <w:r w:rsidRPr="00761886">
              <w:rPr>
                <w:sz w:val="16"/>
                <w:szCs w:val="24"/>
              </w:rPr>
              <w:t>,</w:t>
            </w:r>
            <w:r w:rsidRPr="00761886">
              <w:rPr>
                <w:rFonts w:hint="cs"/>
                <w:sz w:val="16"/>
                <w:szCs w:val="24"/>
                <w:rtl/>
              </w:rPr>
              <w:t>6</w:t>
            </w:r>
          </w:p>
        </w:tc>
      </w:tr>
      <w:tr w:rsidR="00B2397A" w:rsidRPr="00401032">
        <w:trPr>
          <w:cantSplit/>
          <w:jc w:val="center"/>
        </w:trPr>
        <w:tc>
          <w:tcPr>
            <w:tcW w:w="1649" w:type="dxa"/>
            <w:tcBorders>
              <w:top w:val="single" w:sz="4" w:space="0" w:color="auto"/>
              <w:bottom w:val="single" w:sz="12" w:space="0" w:color="auto"/>
            </w:tcBorders>
            <w:shd w:val="clear" w:color="auto" w:fill="auto"/>
            <w:vAlign w:val="bottom"/>
          </w:tcPr>
          <w:p w:rsidR="00B2397A" w:rsidRPr="00401032" w:rsidRDefault="00B2397A" w:rsidP="00FF3535">
            <w:pPr>
              <w:spacing w:before="40" w:after="80" w:line="240" w:lineRule="exact"/>
              <w:rPr>
                <w:rFonts w:hint="cs"/>
                <w:b/>
                <w:bCs/>
                <w:sz w:val="16"/>
                <w:szCs w:val="24"/>
                <w:lang w:eastAsia="pt-BR"/>
              </w:rPr>
            </w:pPr>
            <w:r w:rsidRPr="00401032">
              <w:rPr>
                <w:rFonts w:hint="cs"/>
                <w:b/>
                <w:bCs/>
                <w:sz w:val="16"/>
                <w:szCs w:val="24"/>
                <w:rtl/>
                <w:lang w:eastAsia="pt-BR"/>
              </w:rPr>
              <w:t>المجموع</w:t>
            </w:r>
          </w:p>
        </w:tc>
        <w:tc>
          <w:tcPr>
            <w:tcW w:w="1442" w:type="dxa"/>
            <w:tcBorders>
              <w:top w:val="single" w:sz="4" w:space="0" w:color="auto"/>
              <w:bottom w:val="single" w:sz="12" w:space="0" w:color="auto"/>
            </w:tcBorders>
            <w:shd w:val="clear" w:color="auto" w:fill="auto"/>
            <w:vAlign w:val="bottom"/>
          </w:tcPr>
          <w:p w:rsidR="00B2397A" w:rsidRPr="00401032" w:rsidRDefault="00B2397A" w:rsidP="00401032">
            <w:pPr>
              <w:bidi w:val="0"/>
              <w:spacing w:before="40" w:after="80" w:line="240" w:lineRule="exact"/>
              <w:ind w:right="342"/>
              <w:jc w:val="right"/>
              <w:rPr>
                <w:b/>
                <w:bCs/>
                <w:sz w:val="16"/>
                <w:szCs w:val="24"/>
                <w:lang w:eastAsia="pt-BR"/>
              </w:rPr>
            </w:pPr>
            <w:r w:rsidRPr="00401032">
              <w:rPr>
                <w:rFonts w:hint="cs"/>
                <w:b/>
                <w:bCs/>
                <w:sz w:val="16"/>
                <w:szCs w:val="24"/>
                <w:rtl/>
              </w:rPr>
              <w:t>2</w:t>
            </w:r>
            <w:r w:rsidRPr="00401032">
              <w:rPr>
                <w:b/>
                <w:bCs/>
                <w:sz w:val="16"/>
                <w:szCs w:val="24"/>
              </w:rPr>
              <w:t>,</w:t>
            </w:r>
            <w:r w:rsidRPr="00401032">
              <w:rPr>
                <w:rFonts w:hint="cs"/>
                <w:b/>
                <w:bCs/>
                <w:sz w:val="16"/>
                <w:szCs w:val="24"/>
                <w:rtl/>
              </w:rPr>
              <w:t>8</w:t>
            </w:r>
          </w:p>
        </w:tc>
        <w:tc>
          <w:tcPr>
            <w:tcW w:w="1549" w:type="dxa"/>
            <w:gridSpan w:val="2"/>
            <w:tcBorders>
              <w:top w:val="single" w:sz="4" w:space="0" w:color="auto"/>
              <w:bottom w:val="single" w:sz="12" w:space="0" w:color="auto"/>
            </w:tcBorders>
            <w:shd w:val="clear" w:color="auto" w:fill="auto"/>
            <w:vAlign w:val="bottom"/>
          </w:tcPr>
          <w:p w:rsidR="00B2397A" w:rsidRPr="00401032" w:rsidRDefault="00B2397A" w:rsidP="00401032">
            <w:pPr>
              <w:bidi w:val="0"/>
              <w:spacing w:before="40" w:after="80" w:line="240" w:lineRule="exact"/>
              <w:ind w:right="342"/>
              <w:jc w:val="right"/>
              <w:rPr>
                <w:b/>
                <w:bCs/>
                <w:sz w:val="16"/>
                <w:szCs w:val="24"/>
                <w:lang w:eastAsia="pt-BR"/>
              </w:rPr>
            </w:pPr>
            <w:r w:rsidRPr="00401032">
              <w:rPr>
                <w:rFonts w:hint="cs"/>
                <w:b/>
                <w:bCs/>
                <w:sz w:val="16"/>
                <w:szCs w:val="24"/>
                <w:rtl/>
              </w:rPr>
              <w:t>2</w:t>
            </w:r>
            <w:r w:rsidRPr="00401032">
              <w:rPr>
                <w:b/>
                <w:bCs/>
                <w:sz w:val="16"/>
                <w:szCs w:val="24"/>
              </w:rPr>
              <w:t>,</w:t>
            </w:r>
            <w:r w:rsidRPr="00401032">
              <w:rPr>
                <w:rFonts w:hint="cs"/>
                <w:b/>
                <w:bCs/>
                <w:sz w:val="16"/>
                <w:szCs w:val="24"/>
                <w:rtl/>
              </w:rPr>
              <w:t>3</w:t>
            </w:r>
          </w:p>
        </w:tc>
        <w:tc>
          <w:tcPr>
            <w:tcW w:w="1438" w:type="dxa"/>
            <w:tcBorders>
              <w:top w:val="single" w:sz="4" w:space="0" w:color="auto"/>
              <w:bottom w:val="single" w:sz="12" w:space="0" w:color="auto"/>
            </w:tcBorders>
            <w:shd w:val="clear" w:color="auto" w:fill="auto"/>
            <w:vAlign w:val="bottom"/>
          </w:tcPr>
          <w:p w:rsidR="00B2397A" w:rsidRPr="00401032" w:rsidRDefault="00B2397A" w:rsidP="00401032">
            <w:pPr>
              <w:bidi w:val="0"/>
              <w:spacing w:before="40" w:after="80" w:line="240" w:lineRule="exact"/>
              <w:ind w:right="342"/>
              <w:jc w:val="right"/>
              <w:rPr>
                <w:b/>
                <w:bCs/>
                <w:sz w:val="16"/>
                <w:szCs w:val="24"/>
                <w:lang w:eastAsia="pt-BR"/>
              </w:rPr>
            </w:pPr>
            <w:r w:rsidRPr="00401032">
              <w:rPr>
                <w:rFonts w:hint="cs"/>
                <w:b/>
                <w:bCs/>
                <w:sz w:val="16"/>
                <w:szCs w:val="24"/>
                <w:rtl/>
              </w:rPr>
              <w:t>4</w:t>
            </w:r>
            <w:r w:rsidRPr="00401032">
              <w:rPr>
                <w:b/>
                <w:bCs/>
                <w:sz w:val="16"/>
                <w:szCs w:val="24"/>
              </w:rPr>
              <w:t>,</w:t>
            </w:r>
            <w:r w:rsidRPr="00401032">
              <w:rPr>
                <w:rFonts w:hint="cs"/>
                <w:b/>
                <w:bCs/>
                <w:sz w:val="16"/>
                <w:szCs w:val="24"/>
                <w:rtl/>
              </w:rPr>
              <w:t>0</w:t>
            </w:r>
          </w:p>
        </w:tc>
        <w:tc>
          <w:tcPr>
            <w:tcW w:w="1244" w:type="dxa"/>
            <w:tcBorders>
              <w:top w:val="single" w:sz="4" w:space="0" w:color="auto"/>
              <w:bottom w:val="single" w:sz="12" w:space="0" w:color="auto"/>
            </w:tcBorders>
            <w:shd w:val="clear" w:color="auto" w:fill="auto"/>
            <w:vAlign w:val="bottom"/>
          </w:tcPr>
          <w:p w:rsidR="00B2397A" w:rsidRPr="00401032" w:rsidRDefault="00B2397A" w:rsidP="00401032">
            <w:pPr>
              <w:bidi w:val="0"/>
              <w:spacing w:before="40" w:after="80" w:line="240" w:lineRule="exact"/>
              <w:ind w:right="342"/>
              <w:jc w:val="right"/>
              <w:rPr>
                <w:b/>
                <w:bCs/>
                <w:sz w:val="16"/>
                <w:szCs w:val="24"/>
                <w:lang w:eastAsia="pt-BR"/>
              </w:rPr>
            </w:pPr>
            <w:r w:rsidRPr="00401032">
              <w:rPr>
                <w:rFonts w:hint="cs"/>
                <w:b/>
                <w:bCs/>
                <w:sz w:val="16"/>
                <w:szCs w:val="24"/>
                <w:rtl/>
              </w:rPr>
              <w:t>3</w:t>
            </w:r>
            <w:r w:rsidRPr="00401032">
              <w:rPr>
                <w:b/>
                <w:bCs/>
                <w:sz w:val="16"/>
                <w:szCs w:val="24"/>
              </w:rPr>
              <w:t>,</w:t>
            </w:r>
            <w:r w:rsidRPr="00401032">
              <w:rPr>
                <w:rFonts w:hint="cs"/>
                <w:b/>
                <w:bCs/>
                <w:sz w:val="16"/>
                <w:szCs w:val="24"/>
                <w:rtl/>
              </w:rPr>
              <w:t>2</w:t>
            </w:r>
          </w:p>
        </w:tc>
      </w:tr>
    </w:tbl>
    <w:p w:rsidR="00401032" w:rsidRPr="00401032" w:rsidRDefault="00401032" w:rsidP="00401032">
      <w:pPr>
        <w:pStyle w:val="SingleTxt"/>
        <w:spacing w:after="0" w:line="120" w:lineRule="exact"/>
        <w:rPr>
          <w:rFonts w:hint="cs"/>
          <w:sz w:val="10"/>
          <w:rtl/>
          <w:lang w:bidi="ar-EG"/>
        </w:rPr>
      </w:pPr>
    </w:p>
    <w:p w:rsidR="00401032" w:rsidRDefault="00401032" w:rsidP="0040103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401032" w:rsidRDefault="00401032" w:rsidP="0040103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B2397A" w:rsidRDefault="005245FB" w:rsidP="002A1045">
      <w:pPr>
        <w:pStyle w:val="SingleTxt"/>
        <w:rPr>
          <w:rFonts w:hint="cs"/>
          <w:rtl/>
          <w:lang w:bidi="ar-EG"/>
        </w:rPr>
      </w:pPr>
      <w:r>
        <w:rPr>
          <w:rFonts w:hint="cs"/>
          <w:rtl/>
          <w:lang w:bidi="ar-EG"/>
        </w:rPr>
        <w:tab/>
        <w:t>وفيما يتعلق بالوفاء بالاحتياجات التعليمية للسكان الريفيين، فإن إنشاء وكالة التنسيق العامة للتعليم الريفي داخل إدارة التعليم المتصل ومحو الأمية والتنوع بوزارة التعليم (القرار 5159/2004 المؤرخ 28 تموز/يوليه 2004) كان تدبيرا مؤسسيا هاما.</w:t>
      </w:r>
    </w:p>
    <w:p w:rsidR="005245FB" w:rsidRDefault="005245FB" w:rsidP="002A1045">
      <w:pPr>
        <w:pStyle w:val="SingleTxt"/>
        <w:rPr>
          <w:rFonts w:hint="cs"/>
          <w:rtl/>
          <w:lang w:bidi="ar-EG"/>
        </w:rPr>
      </w:pPr>
      <w:r>
        <w:rPr>
          <w:rFonts w:hint="cs"/>
          <w:rtl/>
          <w:lang w:bidi="ar-EG"/>
        </w:rPr>
        <w:tab/>
        <w:t>ويتناول إنشاء وكالة التنسيق حركة اجتماعية تمثل مطالب العمال الريفيين. واتخذ إنشاء الوكالة صبغته الرسمية أثناء المؤتمر الوطني الأول للتعليم الريفي، الذي نظمه الاتحاد الوطني للعمال الزراعيين، وحركة العمال الريفيين من غير أصحاب الأراضي، واللجنة الرعوية للأراضي، والمراكز الأسرية للتدريب البديل، وغيرها من الكيانات التي كان لها تجارب تعليمية ريفية ناجحة على مدى السنين.</w:t>
      </w:r>
    </w:p>
    <w:p w:rsidR="005245FB" w:rsidRDefault="005245FB" w:rsidP="002A1045">
      <w:pPr>
        <w:pStyle w:val="SingleTxt"/>
        <w:rPr>
          <w:rFonts w:hint="cs"/>
          <w:rtl/>
          <w:lang w:bidi="ar-EG"/>
        </w:rPr>
      </w:pPr>
      <w:r>
        <w:rPr>
          <w:rFonts w:hint="cs"/>
          <w:rtl/>
          <w:lang w:bidi="ar-EG"/>
        </w:rPr>
        <w:tab/>
        <w:t xml:space="preserve">والهدف الرئيسي للجنة التنسيق رسم سياسة وطنية بشأن التعليم الريفي تتناول السمات المحددة لمختلف المجتمعات المحلية التي تشكل البيئة الريفية في البلد. وحرصا على تحقيق هذا الهدف وافق المجلس الوطني للتعليم على المبادئ التوجيهية العملية للتعليم الأساسي في المدارس الريفية (القرار </w:t>
      </w:r>
      <w:r>
        <w:rPr>
          <w:lang w:bidi="ar-EG"/>
        </w:rPr>
        <w:t>CNE/CEB</w:t>
      </w:r>
      <w:r>
        <w:rPr>
          <w:rFonts w:hint="cs"/>
          <w:rtl/>
          <w:lang w:bidi="ar-EG"/>
        </w:rPr>
        <w:t xml:space="preserve"> رقم 1 المؤرخ 3 نيسان/أبريل 2002). والخطوة الأولى في صياغة هذه السياسة (التي لا تزال قيد الصياغة) نشر المبادئ التوجيهية من خلال حلقات دراسية تنظم في ولايات مختلفة في الاتحاد، بمشاركة ممثلين عن الولاية وعن الحركات الاجتماعية للعمال الريفيين المحليين على صعيد البلديات والصعيد الحكومي.</w:t>
      </w:r>
    </w:p>
    <w:p w:rsidR="005245FB" w:rsidRDefault="005245FB" w:rsidP="002A1045">
      <w:pPr>
        <w:pStyle w:val="SingleTxt"/>
        <w:rPr>
          <w:rFonts w:hint="cs"/>
          <w:rtl/>
          <w:lang w:bidi="ar-EG"/>
        </w:rPr>
      </w:pPr>
      <w:r>
        <w:rPr>
          <w:rFonts w:hint="cs"/>
          <w:rtl/>
          <w:lang w:bidi="ar-EG"/>
        </w:rPr>
        <w:tab/>
        <w:t>ومن الواضح أن إدماج المرأة الريفية في سوق العمل يقل عن إدماج المرأة الحضرية، كما أنه يحدث في ظل ظروف أكثر تقلقلا وبساطة. وفي هذا الصدد، من المهم أن نؤكد أن المرأة العاملة الريفية لا تظهر في الصورة. فالمرأة، بوصفها من العمال الزراعيين الأسريين وعمال الإنتاج الصغير، يجري النظر إليها عادة على أنها تقوم بالمساعدة، وتعتبر مهامها مجرد امتداد للعمل المنـزلي الذي يدخل ضمن نطاق مسؤوليتها.</w:t>
      </w:r>
    </w:p>
    <w:p w:rsidR="005245FB" w:rsidRDefault="005245FB" w:rsidP="00DC149B">
      <w:pPr>
        <w:pStyle w:val="SingleTxt"/>
        <w:rPr>
          <w:rFonts w:hint="cs"/>
          <w:rtl/>
          <w:lang w:bidi="ar-EG"/>
        </w:rPr>
      </w:pPr>
      <w:r>
        <w:rPr>
          <w:rFonts w:hint="cs"/>
          <w:rtl/>
          <w:lang w:bidi="ar-EG"/>
        </w:rPr>
        <w:tab/>
        <w:t xml:space="preserve">وتنحو العاملة الزراعية إلى تعريف نفسها كربة بيت، بدلا من عاملة مشتغلة بالأنشطة الزراعية. وكثيرا ما لا تنظر إلى عملها على أنه عمل منتج (بمعنى إدرار الدخل). بل على أنه عمل ميداني يستهدف ضمان بقاء الأسرة. وهذا </w:t>
      </w:r>
      <w:r w:rsidR="00DC149B">
        <w:rPr>
          <w:rFonts w:hint="cs"/>
          <w:rtl/>
          <w:lang w:bidi="ar-EG"/>
        </w:rPr>
        <w:t>يتسبب</w:t>
      </w:r>
      <w:r>
        <w:rPr>
          <w:rFonts w:hint="cs"/>
          <w:rtl/>
          <w:lang w:bidi="ar-EG"/>
        </w:rPr>
        <w:t xml:space="preserve"> </w:t>
      </w:r>
      <w:r w:rsidR="00FF3535">
        <w:rPr>
          <w:rFonts w:hint="cs"/>
          <w:rtl/>
          <w:lang w:bidi="ar-EG"/>
        </w:rPr>
        <w:t>في إخفاء الإسهام الحقيقي لهؤلاء النساء في إنتاج الأسرة ودخلها. ومما يوضح هذه الظاهرة</w:t>
      </w:r>
      <w:r w:rsidR="00FF3535" w:rsidRPr="00FF3535">
        <w:rPr>
          <w:vertAlign w:val="superscript"/>
          <w:rtl/>
          <w:lang w:bidi="ar-EG"/>
        </w:rPr>
        <w:t>(</w:t>
      </w:r>
      <w:r w:rsidR="00FF3535">
        <w:rPr>
          <w:rStyle w:val="FootnoteReference"/>
          <w:rtl/>
        </w:rPr>
        <w:footnoteReference w:id="7"/>
      </w:r>
      <w:r w:rsidR="00FF3535" w:rsidRPr="00FF3535">
        <w:rPr>
          <w:vertAlign w:val="superscript"/>
          <w:rtl/>
          <w:lang w:bidi="ar-EG"/>
        </w:rPr>
        <w:t>)</w:t>
      </w:r>
      <w:r w:rsidR="00FF3535">
        <w:rPr>
          <w:rFonts w:hint="cs"/>
          <w:rtl/>
          <w:lang w:bidi="ar-EG"/>
        </w:rPr>
        <w:t xml:space="preserve"> أن النساء لا</w:t>
      </w:r>
      <w:r w:rsidR="00FF3535">
        <w:rPr>
          <w:rFonts w:hint="eastAsia"/>
          <w:rtl/>
          <w:lang w:bidi="ar-EG"/>
        </w:rPr>
        <w:t> </w:t>
      </w:r>
      <w:r w:rsidR="00FF3535">
        <w:rPr>
          <w:rFonts w:hint="cs"/>
          <w:rtl/>
          <w:lang w:bidi="ar-EG"/>
        </w:rPr>
        <w:t>يشكلن إلا 16 في المائة من الأفراد الذين يعلنون أنهم يعملون في القطاع الزراعي (المعهد البرازيلي للجغرافيا والإحصاءات - الدراسات الاستقصائية الوطنية لعينات من الأسر المعيشية 2003).</w:t>
      </w:r>
    </w:p>
    <w:p w:rsidR="00FF3535" w:rsidRDefault="00FF3535" w:rsidP="002A1045">
      <w:pPr>
        <w:pStyle w:val="SingleTxt"/>
        <w:rPr>
          <w:rFonts w:hint="cs"/>
          <w:rtl/>
          <w:lang w:bidi="ar-EG"/>
        </w:rPr>
      </w:pPr>
      <w:r>
        <w:rPr>
          <w:rFonts w:hint="cs"/>
          <w:rtl/>
          <w:lang w:bidi="ar-EG"/>
        </w:rPr>
        <w:tab/>
        <w:t xml:space="preserve">وهناك وسيلة أخرى لتصور هذه الحقيقة، وهي تحليل المواقف التي اتخذتها العاملات الريفيات. وكما يرى في الجدول أدناه، فإن حوالي 60 في المائة من النساء </w:t>
      </w:r>
      <w:r w:rsidR="007A72DE">
        <w:rPr>
          <w:rFonts w:hint="cs"/>
          <w:rtl/>
          <w:lang w:bidi="ar-EG"/>
        </w:rPr>
        <w:t>اللاتي يقلن إنهن يعملن في القطاع الريفي يتركزن في فئات العمال الذين ينتجون لاستهلاكهم والعمال بدون أجر. ووفقا لمعهد ريو دي جانيرو للاقتصاد، شك</w:t>
      </w:r>
      <w:r w:rsidR="00DC149B">
        <w:rPr>
          <w:rFonts w:hint="cs"/>
          <w:rtl/>
          <w:lang w:bidi="ar-EG"/>
        </w:rPr>
        <w:t>ل</w:t>
      </w:r>
      <w:r w:rsidR="007A72DE">
        <w:rPr>
          <w:rFonts w:hint="cs"/>
          <w:rtl/>
          <w:lang w:bidi="ar-EG"/>
        </w:rPr>
        <w:t>ت العاملات الريفيات في عام 2002 نسبة 80 في المائة من إجمالي عدد الأفراد الذين لا يحصلون على دخل نقدي. ومن الجدير بالملاحظة أن هذا التوزيع لم يتغير تغيرا كبيرا بين عامي 1992 و 2003. وهذا يشير إلى نمط ثابت جدا للسلوك ولفهم الأدوار التي يقوم بها كل من الرجل والمرأة في العمل الزراعي.</w:t>
      </w:r>
    </w:p>
    <w:p w:rsidR="007A72DE" w:rsidRPr="007A72DE" w:rsidRDefault="007A72DE" w:rsidP="007A72DE">
      <w:pPr>
        <w:pStyle w:val="SingleTxt"/>
        <w:spacing w:after="0" w:line="120" w:lineRule="exact"/>
        <w:rPr>
          <w:rFonts w:hint="cs"/>
          <w:sz w:val="10"/>
          <w:rtl/>
          <w:lang w:bidi="ar-EG"/>
        </w:rPr>
      </w:pPr>
    </w:p>
    <w:tbl>
      <w:tblPr>
        <w:bidiVisual/>
        <w:tblW w:w="0" w:type="auto"/>
        <w:tblInd w:w="55" w:type="dxa"/>
        <w:tblLayout w:type="fixed"/>
        <w:tblCellMar>
          <w:left w:w="70" w:type="dxa"/>
          <w:right w:w="70" w:type="dxa"/>
        </w:tblCellMar>
        <w:tblLook w:val="0000" w:firstRow="0" w:lastRow="0" w:firstColumn="0" w:lastColumn="0" w:noHBand="0" w:noVBand="0"/>
      </w:tblPr>
      <w:tblGrid>
        <w:gridCol w:w="3273"/>
        <w:gridCol w:w="1030"/>
        <w:gridCol w:w="1030"/>
        <w:gridCol w:w="927"/>
        <w:gridCol w:w="206"/>
        <w:gridCol w:w="1133"/>
        <w:gridCol w:w="1133"/>
        <w:gridCol w:w="1133"/>
      </w:tblGrid>
      <w:tr w:rsidR="007A72DE" w:rsidRPr="00761886">
        <w:trPr>
          <w:cantSplit/>
          <w:tblHeader/>
        </w:trPr>
        <w:tc>
          <w:tcPr>
            <w:tcW w:w="9865" w:type="dxa"/>
            <w:gridSpan w:val="8"/>
            <w:tcBorders>
              <w:top w:val="single" w:sz="4" w:space="0" w:color="auto"/>
              <w:bottom w:val="single" w:sz="4" w:space="0" w:color="auto"/>
            </w:tcBorders>
            <w:shd w:val="clear" w:color="auto" w:fill="auto"/>
            <w:vAlign w:val="bottom"/>
          </w:tcPr>
          <w:p w:rsidR="007A72DE" w:rsidRPr="007A72DE" w:rsidRDefault="007A72DE" w:rsidP="007A72DE">
            <w:pPr>
              <w:spacing w:before="80" w:after="80" w:line="300" w:lineRule="exact"/>
              <w:ind w:right="144"/>
              <w:jc w:val="center"/>
              <w:rPr>
                <w:rFonts w:hint="cs"/>
                <w:b/>
                <w:bCs/>
                <w:sz w:val="18"/>
                <w:szCs w:val="26"/>
                <w:rtl/>
              </w:rPr>
            </w:pPr>
            <w:r>
              <w:rPr>
                <w:rFonts w:hint="cs"/>
                <w:b/>
                <w:bCs/>
                <w:sz w:val="18"/>
                <w:szCs w:val="26"/>
                <w:rtl/>
              </w:rPr>
              <w:t>العاملات الريفيات، البالغات من العمر 16 سنة أو أكثر، وفقا للمنصب الذي يشغلنه والعنصر/اللون. البرازيل، 1992 و 2003</w:t>
            </w:r>
          </w:p>
        </w:tc>
      </w:tr>
      <w:tr w:rsidR="00F027F7" w:rsidRPr="00761886">
        <w:trPr>
          <w:cantSplit/>
          <w:tblHeader/>
        </w:trPr>
        <w:tc>
          <w:tcPr>
            <w:tcW w:w="3273" w:type="dxa"/>
            <w:tcBorders>
              <w:top w:val="single" w:sz="4" w:space="0" w:color="auto"/>
            </w:tcBorders>
            <w:shd w:val="clear" w:color="auto" w:fill="auto"/>
            <w:vAlign w:val="bottom"/>
          </w:tcPr>
          <w:p w:rsidR="00F027F7" w:rsidRPr="00761886" w:rsidRDefault="00F027F7" w:rsidP="007A72DE">
            <w:pPr>
              <w:spacing w:after="80" w:line="240" w:lineRule="exact"/>
              <w:rPr>
                <w:i/>
                <w:iCs/>
                <w:sz w:val="16"/>
                <w:szCs w:val="24"/>
              </w:rPr>
            </w:pPr>
          </w:p>
        </w:tc>
        <w:tc>
          <w:tcPr>
            <w:tcW w:w="2987" w:type="dxa"/>
            <w:gridSpan w:val="3"/>
            <w:tcBorders>
              <w:top w:val="single" w:sz="4" w:space="0" w:color="auto"/>
              <w:bottom w:val="single" w:sz="4" w:space="0" w:color="auto"/>
            </w:tcBorders>
            <w:shd w:val="clear" w:color="auto" w:fill="auto"/>
            <w:vAlign w:val="bottom"/>
          </w:tcPr>
          <w:p w:rsidR="00F027F7" w:rsidRPr="00761886" w:rsidRDefault="00F027F7" w:rsidP="00F027F7">
            <w:pPr>
              <w:spacing w:after="80" w:line="240" w:lineRule="exact"/>
              <w:ind w:right="144"/>
              <w:jc w:val="center"/>
              <w:rPr>
                <w:rFonts w:hint="cs"/>
                <w:i/>
                <w:iCs/>
                <w:sz w:val="16"/>
                <w:szCs w:val="24"/>
                <w:rtl/>
              </w:rPr>
            </w:pPr>
            <w:r>
              <w:rPr>
                <w:rFonts w:hint="cs"/>
                <w:i/>
                <w:iCs/>
                <w:sz w:val="16"/>
                <w:szCs w:val="24"/>
                <w:rtl/>
              </w:rPr>
              <w:t>1992</w:t>
            </w:r>
          </w:p>
        </w:tc>
        <w:tc>
          <w:tcPr>
            <w:tcW w:w="206" w:type="dxa"/>
            <w:tcBorders>
              <w:top w:val="single" w:sz="4" w:space="0" w:color="auto"/>
            </w:tcBorders>
            <w:shd w:val="clear" w:color="auto" w:fill="auto"/>
            <w:vAlign w:val="bottom"/>
          </w:tcPr>
          <w:p w:rsidR="00F027F7" w:rsidRPr="00761886" w:rsidRDefault="00F027F7" w:rsidP="007A72DE">
            <w:pPr>
              <w:spacing w:after="80" w:line="240" w:lineRule="exact"/>
              <w:ind w:right="144"/>
              <w:rPr>
                <w:rFonts w:hint="cs"/>
                <w:i/>
                <w:iCs/>
                <w:sz w:val="16"/>
                <w:szCs w:val="24"/>
                <w:rtl/>
              </w:rPr>
            </w:pPr>
          </w:p>
        </w:tc>
        <w:tc>
          <w:tcPr>
            <w:tcW w:w="3399" w:type="dxa"/>
            <w:gridSpan w:val="3"/>
            <w:tcBorders>
              <w:top w:val="single" w:sz="4" w:space="0" w:color="auto"/>
              <w:bottom w:val="single" w:sz="4" w:space="0" w:color="auto"/>
            </w:tcBorders>
            <w:shd w:val="clear" w:color="auto" w:fill="auto"/>
            <w:vAlign w:val="bottom"/>
          </w:tcPr>
          <w:p w:rsidR="00F027F7" w:rsidRPr="00761886" w:rsidRDefault="00F027F7" w:rsidP="007A72DE">
            <w:pPr>
              <w:spacing w:after="80" w:line="240" w:lineRule="exact"/>
              <w:ind w:right="144"/>
              <w:jc w:val="center"/>
              <w:rPr>
                <w:rFonts w:hint="cs"/>
                <w:i/>
                <w:iCs/>
                <w:sz w:val="16"/>
                <w:szCs w:val="24"/>
                <w:rtl/>
              </w:rPr>
            </w:pPr>
            <w:r>
              <w:rPr>
                <w:rFonts w:hint="cs"/>
                <w:i/>
                <w:iCs/>
                <w:sz w:val="16"/>
                <w:szCs w:val="24"/>
                <w:rtl/>
              </w:rPr>
              <w:t>2003</w:t>
            </w:r>
          </w:p>
        </w:tc>
      </w:tr>
      <w:tr w:rsidR="00CE3FD0" w:rsidRPr="00761886">
        <w:trPr>
          <w:cantSplit/>
          <w:tblHeader/>
        </w:trPr>
        <w:tc>
          <w:tcPr>
            <w:tcW w:w="3273" w:type="dxa"/>
            <w:tcBorders>
              <w:bottom w:val="single" w:sz="12" w:space="0" w:color="auto"/>
            </w:tcBorders>
            <w:shd w:val="clear" w:color="auto" w:fill="auto"/>
            <w:vAlign w:val="bottom"/>
          </w:tcPr>
          <w:p w:rsidR="007A72DE" w:rsidRPr="00761886" w:rsidRDefault="00F027F7" w:rsidP="007A72DE">
            <w:pPr>
              <w:spacing w:after="80" w:line="240" w:lineRule="exact"/>
              <w:rPr>
                <w:rFonts w:hint="cs"/>
                <w:i/>
                <w:iCs/>
                <w:sz w:val="16"/>
                <w:szCs w:val="24"/>
              </w:rPr>
            </w:pPr>
            <w:r>
              <w:rPr>
                <w:rFonts w:hint="cs"/>
                <w:i/>
                <w:iCs/>
                <w:sz w:val="16"/>
                <w:szCs w:val="24"/>
                <w:rtl/>
              </w:rPr>
              <w:t>المنصب في المهنة</w:t>
            </w:r>
          </w:p>
        </w:tc>
        <w:tc>
          <w:tcPr>
            <w:tcW w:w="1030" w:type="dxa"/>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بيض</w:t>
            </w:r>
          </w:p>
        </w:tc>
        <w:tc>
          <w:tcPr>
            <w:tcW w:w="1030" w:type="dxa"/>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سود</w:t>
            </w:r>
          </w:p>
        </w:tc>
        <w:tc>
          <w:tcPr>
            <w:tcW w:w="1133" w:type="dxa"/>
            <w:gridSpan w:val="2"/>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المجموع</w:t>
            </w:r>
            <w:r>
              <w:rPr>
                <w:i/>
                <w:iCs/>
                <w:sz w:val="16"/>
                <w:szCs w:val="24"/>
                <w:rtl/>
              </w:rPr>
              <w:br/>
            </w:r>
            <w:r>
              <w:rPr>
                <w:rFonts w:hint="cs"/>
                <w:i/>
                <w:iCs/>
                <w:sz w:val="16"/>
                <w:szCs w:val="24"/>
                <w:rtl/>
              </w:rPr>
              <w:t>(نسبة مئوية)</w:t>
            </w:r>
          </w:p>
        </w:tc>
        <w:tc>
          <w:tcPr>
            <w:tcW w:w="1133" w:type="dxa"/>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بيض</w:t>
            </w:r>
          </w:p>
        </w:tc>
        <w:tc>
          <w:tcPr>
            <w:tcW w:w="1133" w:type="dxa"/>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سود</w:t>
            </w:r>
          </w:p>
        </w:tc>
        <w:tc>
          <w:tcPr>
            <w:tcW w:w="1133" w:type="dxa"/>
            <w:tcBorders>
              <w:bottom w:val="single" w:sz="12" w:space="0" w:color="auto"/>
            </w:tcBorders>
            <w:shd w:val="clear" w:color="auto" w:fill="auto"/>
            <w:vAlign w:val="bottom"/>
          </w:tcPr>
          <w:p w:rsidR="007A72DE" w:rsidRPr="00761886" w:rsidRDefault="00F027F7" w:rsidP="007A72DE">
            <w:pPr>
              <w:spacing w:after="80" w:line="240" w:lineRule="exact"/>
              <w:ind w:right="144"/>
              <w:rPr>
                <w:rFonts w:hint="cs"/>
                <w:i/>
                <w:iCs/>
                <w:sz w:val="16"/>
                <w:szCs w:val="24"/>
                <w:rtl/>
              </w:rPr>
            </w:pPr>
            <w:r>
              <w:rPr>
                <w:rFonts w:hint="cs"/>
                <w:i/>
                <w:iCs/>
                <w:sz w:val="16"/>
                <w:szCs w:val="24"/>
                <w:rtl/>
              </w:rPr>
              <w:t>المجموع</w:t>
            </w:r>
            <w:r>
              <w:rPr>
                <w:i/>
                <w:iCs/>
                <w:sz w:val="16"/>
                <w:szCs w:val="24"/>
                <w:rtl/>
              </w:rPr>
              <w:br/>
            </w:r>
            <w:r>
              <w:rPr>
                <w:rFonts w:hint="cs"/>
                <w:i/>
                <w:iCs/>
                <w:sz w:val="16"/>
                <w:szCs w:val="24"/>
                <w:rtl/>
              </w:rPr>
              <w:t>(نسبة مئوية)</w:t>
            </w:r>
          </w:p>
        </w:tc>
      </w:tr>
      <w:tr w:rsidR="00CE3FD0" w:rsidRPr="00761886">
        <w:trPr>
          <w:cantSplit/>
          <w:trHeight w:hRule="exact" w:val="115"/>
          <w:tblHeader/>
        </w:trPr>
        <w:tc>
          <w:tcPr>
            <w:tcW w:w="3273" w:type="dxa"/>
            <w:tcBorders>
              <w:top w:val="single" w:sz="12" w:space="0" w:color="auto"/>
            </w:tcBorders>
            <w:shd w:val="clear" w:color="auto" w:fill="auto"/>
            <w:vAlign w:val="bottom"/>
          </w:tcPr>
          <w:p w:rsidR="007A72DE" w:rsidRPr="00761886" w:rsidRDefault="007A72DE" w:rsidP="002B2328">
            <w:pPr>
              <w:bidi w:val="0"/>
              <w:spacing w:before="40" w:after="80" w:line="240" w:lineRule="exact"/>
              <w:jc w:val="right"/>
              <w:rPr>
                <w:sz w:val="16"/>
                <w:szCs w:val="24"/>
              </w:rPr>
            </w:pPr>
          </w:p>
        </w:tc>
        <w:tc>
          <w:tcPr>
            <w:tcW w:w="1030" w:type="dxa"/>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c>
          <w:tcPr>
            <w:tcW w:w="1030" w:type="dxa"/>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c>
          <w:tcPr>
            <w:tcW w:w="1133" w:type="dxa"/>
            <w:gridSpan w:val="2"/>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c>
          <w:tcPr>
            <w:tcW w:w="1133" w:type="dxa"/>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c>
          <w:tcPr>
            <w:tcW w:w="1133" w:type="dxa"/>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c>
          <w:tcPr>
            <w:tcW w:w="1133" w:type="dxa"/>
            <w:tcBorders>
              <w:top w:val="single" w:sz="12" w:space="0" w:color="auto"/>
            </w:tcBorders>
            <w:shd w:val="clear" w:color="auto" w:fill="auto"/>
            <w:vAlign w:val="bottom"/>
          </w:tcPr>
          <w:p w:rsidR="007A72DE" w:rsidRPr="00761886" w:rsidRDefault="007A72DE" w:rsidP="002B2328">
            <w:pPr>
              <w:bidi w:val="0"/>
              <w:spacing w:before="40" w:after="80" w:line="240" w:lineRule="exact"/>
              <w:ind w:right="144"/>
              <w:jc w:val="right"/>
              <w:rPr>
                <w:rFonts w:hint="cs"/>
                <w:sz w:val="16"/>
                <w:szCs w:val="24"/>
                <w:rtl/>
              </w:rPr>
            </w:pP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موظفة بسجل وظيفي أو موظفة حكومية دائمة</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11</w:t>
            </w:r>
            <w:r w:rsidRPr="00761886">
              <w:rPr>
                <w:sz w:val="16"/>
                <w:szCs w:val="24"/>
              </w:rPr>
              <w:t>,</w:t>
            </w:r>
            <w:r w:rsidRPr="00761886">
              <w:rPr>
                <w:rFonts w:hint="cs"/>
                <w:sz w:val="16"/>
                <w:szCs w:val="24"/>
                <w:rtl/>
              </w:rPr>
              <w:t>5</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7</w:t>
            </w:r>
            <w:r w:rsidRPr="00761886">
              <w:rPr>
                <w:sz w:val="16"/>
                <w:szCs w:val="24"/>
              </w:rPr>
              <w:t>,</w:t>
            </w:r>
            <w:r w:rsidRPr="00761886">
              <w:rPr>
                <w:rFonts w:hint="cs"/>
                <w:sz w:val="16"/>
                <w:szCs w:val="24"/>
                <w:rtl/>
              </w:rPr>
              <w:t>1</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9</w:t>
            </w:r>
            <w:r w:rsidRPr="00761886">
              <w:rPr>
                <w:sz w:val="16"/>
                <w:szCs w:val="24"/>
              </w:rPr>
              <w:t>,</w:t>
            </w:r>
            <w:r w:rsidRPr="00761886">
              <w:rPr>
                <w:rFonts w:hint="cs"/>
                <w:sz w:val="16"/>
                <w:szCs w:val="24"/>
                <w:rtl/>
              </w:rPr>
              <w:t>2</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13</w:t>
            </w:r>
            <w:r w:rsidRPr="00761886">
              <w:rPr>
                <w:sz w:val="16"/>
                <w:szCs w:val="24"/>
              </w:rPr>
              <w:t>,</w:t>
            </w:r>
            <w:r w:rsidRPr="00761886">
              <w:rPr>
                <w:rFonts w:hint="cs"/>
                <w:sz w:val="16"/>
                <w:szCs w:val="24"/>
                <w:rtl/>
              </w:rPr>
              <w:t>0</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8</w:t>
            </w:r>
            <w:r w:rsidRPr="00761886">
              <w:rPr>
                <w:sz w:val="16"/>
                <w:szCs w:val="24"/>
              </w:rPr>
              <w:t>,</w:t>
            </w:r>
            <w:r w:rsidRPr="00761886">
              <w:rPr>
                <w:rFonts w:hint="cs"/>
                <w:sz w:val="16"/>
                <w:szCs w:val="24"/>
                <w:rtl/>
              </w:rPr>
              <w:t>0</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10</w:t>
            </w:r>
            <w:r w:rsidRPr="00761886">
              <w:rPr>
                <w:sz w:val="16"/>
                <w:szCs w:val="24"/>
              </w:rPr>
              <w:t>,</w:t>
            </w:r>
            <w:r w:rsidRPr="00761886">
              <w:rPr>
                <w:rFonts w:hint="cs"/>
                <w:sz w:val="16"/>
                <w:szCs w:val="24"/>
                <w:rtl/>
              </w:rPr>
              <w:t>3</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موظفة بدون سجل وظيفي</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7</w:t>
            </w:r>
            <w:r w:rsidRPr="00761886">
              <w:rPr>
                <w:sz w:val="16"/>
                <w:szCs w:val="24"/>
              </w:rPr>
              <w:t>,</w:t>
            </w:r>
            <w:r w:rsidRPr="00761886">
              <w:rPr>
                <w:rFonts w:hint="cs"/>
                <w:sz w:val="16"/>
                <w:szCs w:val="24"/>
                <w:rtl/>
              </w:rPr>
              <w:t>0</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10</w:t>
            </w:r>
            <w:r w:rsidRPr="00761886">
              <w:rPr>
                <w:sz w:val="16"/>
                <w:szCs w:val="24"/>
              </w:rPr>
              <w:t>,</w:t>
            </w:r>
            <w:r w:rsidRPr="00761886">
              <w:rPr>
                <w:rFonts w:hint="cs"/>
                <w:sz w:val="16"/>
                <w:szCs w:val="24"/>
                <w:rtl/>
              </w:rPr>
              <w:t>1</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8</w:t>
            </w:r>
            <w:r w:rsidRPr="00761886">
              <w:rPr>
                <w:sz w:val="16"/>
                <w:szCs w:val="24"/>
              </w:rPr>
              <w:t>,</w:t>
            </w:r>
            <w:r w:rsidRPr="00761886">
              <w:rPr>
                <w:rFonts w:hint="cs"/>
                <w:sz w:val="16"/>
                <w:szCs w:val="24"/>
                <w:rtl/>
              </w:rPr>
              <w:t>6</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7</w:t>
            </w:r>
            <w:r w:rsidRPr="00761886">
              <w:rPr>
                <w:sz w:val="16"/>
                <w:szCs w:val="24"/>
              </w:rPr>
              <w:t>,</w:t>
            </w:r>
            <w:r w:rsidRPr="00761886">
              <w:rPr>
                <w:rFonts w:hint="cs"/>
                <w:sz w:val="16"/>
                <w:szCs w:val="24"/>
                <w:rtl/>
              </w:rPr>
              <w:t>0</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9</w:t>
            </w:r>
            <w:r w:rsidRPr="00761886">
              <w:rPr>
                <w:sz w:val="16"/>
                <w:szCs w:val="24"/>
              </w:rPr>
              <w:t>,</w:t>
            </w:r>
            <w:r w:rsidRPr="00761886">
              <w:rPr>
                <w:rFonts w:hint="cs"/>
                <w:sz w:val="16"/>
                <w:szCs w:val="24"/>
                <w:rtl/>
              </w:rPr>
              <w:t>4</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8</w:t>
            </w:r>
            <w:r w:rsidRPr="00761886">
              <w:rPr>
                <w:sz w:val="16"/>
                <w:szCs w:val="24"/>
              </w:rPr>
              <w:t>,</w:t>
            </w:r>
            <w:r w:rsidRPr="00761886">
              <w:rPr>
                <w:rFonts w:hint="cs"/>
                <w:sz w:val="16"/>
                <w:szCs w:val="24"/>
                <w:rtl/>
              </w:rPr>
              <w:t>3</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عاملة منـزلية</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6</w:t>
            </w:r>
            <w:r w:rsidRPr="00761886">
              <w:rPr>
                <w:sz w:val="16"/>
                <w:szCs w:val="24"/>
              </w:rPr>
              <w:t>,</w:t>
            </w:r>
            <w:r w:rsidRPr="00761886">
              <w:rPr>
                <w:rFonts w:hint="cs"/>
                <w:sz w:val="16"/>
                <w:szCs w:val="24"/>
                <w:rtl/>
              </w:rPr>
              <w:t>2</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7</w:t>
            </w:r>
            <w:r w:rsidRPr="00761886">
              <w:rPr>
                <w:sz w:val="16"/>
                <w:szCs w:val="24"/>
              </w:rPr>
              <w:t>,</w:t>
            </w:r>
            <w:r w:rsidRPr="00761886">
              <w:rPr>
                <w:rFonts w:hint="cs"/>
                <w:sz w:val="16"/>
                <w:szCs w:val="24"/>
                <w:rtl/>
              </w:rPr>
              <w:t>1</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6</w:t>
            </w:r>
            <w:r w:rsidRPr="00761886">
              <w:rPr>
                <w:sz w:val="16"/>
                <w:szCs w:val="24"/>
              </w:rPr>
              <w:t>,</w:t>
            </w:r>
            <w:r w:rsidRPr="00761886">
              <w:rPr>
                <w:rFonts w:hint="cs"/>
                <w:sz w:val="16"/>
                <w:szCs w:val="24"/>
                <w:rtl/>
              </w:rPr>
              <w:t>7</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8</w:t>
            </w:r>
            <w:r w:rsidRPr="00761886">
              <w:rPr>
                <w:sz w:val="16"/>
                <w:szCs w:val="24"/>
              </w:rPr>
              <w:t>,</w:t>
            </w:r>
            <w:r w:rsidRPr="00761886">
              <w:rPr>
                <w:rFonts w:hint="cs"/>
                <w:sz w:val="16"/>
                <w:szCs w:val="24"/>
                <w:rtl/>
              </w:rPr>
              <w:t>1</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9</w:t>
            </w:r>
            <w:r w:rsidRPr="00761886">
              <w:rPr>
                <w:sz w:val="16"/>
                <w:szCs w:val="24"/>
              </w:rPr>
              <w:t>,</w:t>
            </w:r>
            <w:r w:rsidRPr="00761886">
              <w:rPr>
                <w:rFonts w:hint="cs"/>
                <w:sz w:val="16"/>
                <w:szCs w:val="24"/>
                <w:rtl/>
              </w:rPr>
              <w:t>1</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8</w:t>
            </w:r>
            <w:r w:rsidRPr="00761886">
              <w:rPr>
                <w:sz w:val="16"/>
                <w:szCs w:val="24"/>
              </w:rPr>
              <w:t>,</w:t>
            </w:r>
            <w:r w:rsidRPr="00761886">
              <w:rPr>
                <w:rFonts w:hint="cs"/>
                <w:sz w:val="16"/>
                <w:szCs w:val="24"/>
                <w:rtl/>
              </w:rPr>
              <w:t>6</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عاملة لحسابها</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10</w:t>
            </w:r>
            <w:r w:rsidRPr="00761886">
              <w:rPr>
                <w:sz w:val="16"/>
                <w:szCs w:val="24"/>
              </w:rPr>
              <w:t>,</w:t>
            </w:r>
            <w:r w:rsidRPr="00761886">
              <w:rPr>
                <w:rFonts w:hint="cs"/>
                <w:sz w:val="16"/>
                <w:szCs w:val="24"/>
                <w:rtl/>
              </w:rPr>
              <w:t>6</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19</w:t>
            </w:r>
            <w:r w:rsidRPr="00761886">
              <w:rPr>
                <w:sz w:val="16"/>
                <w:szCs w:val="24"/>
              </w:rPr>
              <w:t>,</w:t>
            </w:r>
            <w:r w:rsidRPr="00761886">
              <w:rPr>
                <w:rFonts w:hint="cs"/>
                <w:sz w:val="16"/>
                <w:szCs w:val="24"/>
                <w:rtl/>
              </w:rPr>
              <w:t>1</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15</w:t>
            </w:r>
            <w:r w:rsidRPr="00761886">
              <w:rPr>
                <w:sz w:val="16"/>
                <w:szCs w:val="24"/>
              </w:rPr>
              <w:t>,</w:t>
            </w:r>
            <w:r w:rsidRPr="00761886">
              <w:rPr>
                <w:rFonts w:hint="cs"/>
                <w:sz w:val="16"/>
                <w:szCs w:val="24"/>
                <w:rtl/>
              </w:rPr>
              <w:t>1</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11</w:t>
            </w:r>
            <w:r w:rsidRPr="00761886">
              <w:rPr>
                <w:sz w:val="16"/>
                <w:szCs w:val="24"/>
              </w:rPr>
              <w:t>,</w:t>
            </w:r>
            <w:r w:rsidRPr="00761886">
              <w:rPr>
                <w:rFonts w:hint="cs"/>
                <w:sz w:val="16"/>
                <w:szCs w:val="24"/>
                <w:rtl/>
              </w:rPr>
              <w:t>2</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14</w:t>
            </w:r>
            <w:r w:rsidRPr="00761886">
              <w:rPr>
                <w:sz w:val="16"/>
                <w:szCs w:val="24"/>
              </w:rPr>
              <w:t>,</w:t>
            </w:r>
            <w:r w:rsidRPr="00761886">
              <w:rPr>
                <w:rFonts w:hint="cs"/>
                <w:sz w:val="16"/>
                <w:szCs w:val="24"/>
                <w:rtl/>
              </w:rPr>
              <w:t>7</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13</w:t>
            </w:r>
            <w:r w:rsidRPr="00761886">
              <w:rPr>
                <w:sz w:val="16"/>
                <w:szCs w:val="24"/>
              </w:rPr>
              <w:t>,</w:t>
            </w:r>
            <w:r w:rsidRPr="00761886">
              <w:rPr>
                <w:rFonts w:hint="cs"/>
                <w:sz w:val="16"/>
                <w:szCs w:val="24"/>
                <w:rtl/>
              </w:rPr>
              <w:t>0</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عاملة منتجة للاستهلاك الشخصي</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25</w:t>
            </w:r>
            <w:r w:rsidRPr="00761886">
              <w:rPr>
                <w:sz w:val="16"/>
                <w:szCs w:val="24"/>
              </w:rPr>
              <w:t>,</w:t>
            </w:r>
            <w:r w:rsidRPr="00761886">
              <w:rPr>
                <w:rFonts w:hint="cs"/>
                <w:sz w:val="16"/>
                <w:szCs w:val="24"/>
                <w:rtl/>
              </w:rPr>
              <w:t>4</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28</w:t>
            </w:r>
            <w:r w:rsidRPr="00761886">
              <w:rPr>
                <w:sz w:val="16"/>
                <w:szCs w:val="24"/>
              </w:rPr>
              <w:t>,</w:t>
            </w:r>
            <w:r w:rsidRPr="00761886">
              <w:rPr>
                <w:rFonts w:hint="cs"/>
                <w:sz w:val="16"/>
                <w:szCs w:val="24"/>
                <w:rtl/>
              </w:rPr>
              <w:t>7</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27</w:t>
            </w:r>
            <w:r w:rsidRPr="00761886">
              <w:rPr>
                <w:sz w:val="16"/>
                <w:szCs w:val="24"/>
              </w:rPr>
              <w:t>,</w:t>
            </w:r>
            <w:r w:rsidRPr="00761886">
              <w:rPr>
                <w:rFonts w:hint="cs"/>
                <w:sz w:val="16"/>
                <w:szCs w:val="24"/>
                <w:rtl/>
              </w:rPr>
              <w:t>1</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24</w:t>
            </w:r>
            <w:r w:rsidRPr="00761886">
              <w:rPr>
                <w:sz w:val="16"/>
                <w:szCs w:val="24"/>
              </w:rPr>
              <w:t>,</w:t>
            </w:r>
            <w:r w:rsidRPr="00761886">
              <w:rPr>
                <w:rFonts w:hint="cs"/>
                <w:sz w:val="16"/>
                <w:szCs w:val="24"/>
                <w:rtl/>
              </w:rPr>
              <w:t>9</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30</w:t>
            </w:r>
            <w:r w:rsidRPr="00761886">
              <w:rPr>
                <w:sz w:val="16"/>
                <w:szCs w:val="24"/>
              </w:rPr>
              <w:t>,</w:t>
            </w:r>
            <w:r w:rsidRPr="00761886">
              <w:rPr>
                <w:rFonts w:hint="cs"/>
                <w:sz w:val="16"/>
                <w:szCs w:val="24"/>
                <w:rtl/>
              </w:rPr>
              <w:t>4</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28</w:t>
            </w:r>
            <w:r w:rsidRPr="00761886">
              <w:rPr>
                <w:sz w:val="16"/>
                <w:szCs w:val="24"/>
              </w:rPr>
              <w:t>,</w:t>
            </w:r>
            <w:r w:rsidRPr="00761886">
              <w:rPr>
                <w:rFonts w:hint="cs"/>
                <w:sz w:val="16"/>
                <w:szCs w:val="24"/>
                <w:rtl/>
              </w:rPr>
              <w:t>0</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بدون أجر</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38</w:t>
            </w:r>
            <w:r w:rsidRPr="00761886">
              <w:rPr>
                <w:sz w:val="16"/>
                <w:szCs w:val="24"/>
              </w:rPr>
              <w:t>,</w:t>
            </w:r>
            <w:r w:rsidRPr="00761886">
              <w:rPr>
                <w:rFonts w:hint="cs"/>
                <w:sz w:val="16"/>
                <w:szCs w:val="24"/>
                <w:rtl/>
              </w:rPr>
              <w:t>5</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27</w:t>
            </w:r>
            <w:r w:rsidRPr="00761886">
              <w:rPr>
                <w:sz w:val="16"/>
                <w:szCs w:val="24"/>
              </w:rPr>
              <w:t>,</w:t>
            </w:r>
            <w:r w:rsidRPr="00761886">
              <w:rPr>
                <w:rFonts w:hint="cs"/>
                <w:sz w:val="16"/>
                <w:szCs w:val="24"/>
                <w:rtl/>
              </w:rPr>
              <w:t>6</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32</w:t>
            </w:r>
            <w:r w:rsidRPr="00761886">
              <w:rPr>
                <w:sz w:val="16"/>
                <w:szCs w:val="24"/>
              </w:rPr>
              <w:t>,</w:t>
            </w:r>
            <w:r w:rsidRPr="00761886">
              <w:rPr>
                <w:rFonts w:hint="cs"/>
                <w:sz w:val="16"/>
                <w:szCs w:val="24"/>
                <w:rtl/>
              </w:rPr>
              <w:t>8</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34</w:t>
            </w:r>
            <w:r w:rsidRPr="00761886">
              <w:rPr>
                <w:sz w:val="16"/>
                <w:szCs w:val="24"/>
              </w:rPr>
              <w:t>,</w:t>
            </w:r>
            <w:r w:rsidRPr="00761886">
              <w:rPr>
                <w:rFonts w:hint="cs"/>
                <w:sz w:val="16"/>
                <w:szCs w:val="24"/>
                <w:rtl/>
              </w:rPr>
              <w:t>7</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27</w:t>
            </w:r>
            <w:r w:rsidRPr="00761886">
              <w:rPr>
                <w:sz w:val="16"/>
                <w:szCs w:val="24"/>
              </w:rPr>
              <w:t>,</w:t>
            </w:r>
            <w:r w:rsidRPr="00761886">
              <w:rPr>
                <w:rFonts w:hint="cs"/>
                <w:sz w:val="16"/>
                <w:szCs w:val="24"/>
                <w:rtl/>
              </w:rPr>
              <w:t>9</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31</w:t>
            </w:r>
            <w:r w:rsidRPr="00761886">
              <w:rPr>
                <w:sz w:val="16"/>
                <w:szCs w:val="24"/>
              </w:rPr>
              <w:t>,</w:t>
            </w:r>
            <w:r w:rsidRPr="00761886">
              <w:rPr>
                <w:rFonts w:hint="cs"/>
                <w:sz w:val="16"/>
                <w:szCs w:val="24"/>
                <w:rtl/>
              </w:rPr>
              <w:t>0</w:t>
            </w:r>
          </w:p>
        </w:tc>
      </w:tr>
      <w:tr w:rsidR="00CE3FD0" w:rsidRPr="00761886">
        <w:trPr>
          <w:cantSplit/>
        </w:trPr>
        <w:tc>
          <w:tcPr>
            <w:tcW w:w="3273" w:type="dxa"/>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صاحبة عمل</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7</w:t>
            </w:r>
          </w:p>
        </w:tc>
        <w:tc>
          <w:tcPr>
            <w:tcW w:w="1030"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3</w:t>
            </w:r>
          </w:p>
        </w:tc>
        <w:tc>
          <w:tcPr>
            <w:tcW w:w="1133" w:type="dxa"/>
            <w:gridSpan w:val="2"/>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5</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1</w:t>
            </w:r>
            <w:r w:rsidRPr="00761886">
              <w:rPr>
                <w:sz w:val="16"/>
                <w:szCs w:val="24"/>
              </w:rPr>
              <w:t>,</w:t>
            </w:r>
            <w:r w:rsidRPr="00761886">
              <w:rPr>
                <w:rFonts w:hint="cs"/>
                <w:sz w:val="16"/>
                <w:szCs w:val="24"/>
                <w:rtl/>
              </w:rPr>
              <w:t>1</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5</w:t>
            </w:r>
          </w:p>
        </w:tc>
        <w:tc>
          <w:tcPr>
            <w:tcW w:w="1133" w:type="dxa"/>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8</w:t>
            </w:r>
          </w:p>
        </w:tc>
      </w:tr>
      <w:tr w:rsidR="00CE3FD0" w:rsidRPr="00761886">
        <w:trPr>
          <w:cantSplit/>
        </w:trPr>
        <w:tc>
          <w:tcPr>
            <w:tcW w:w="3273" w:type="dxa"/>
            <w:tcBorders>
              <w:bottom w:val="single" w:sz="4" w:space="0" w:color="auto"/>
            </w:tcBorders>
            <w:shd w:val="clear" w:color="auto" w:fill="auto"/>
            <w:vAlign w:val="bottom"/>
          </w:tcPr>
          <w:p w:rsidR="007A72DE" w:rsidRPr="00761886" w:rsidRDefault="00F027F7" w:rsidP="00F027F7">
            <w:pPr>
              <w:spacing w:before="40" w:after="80" w:line="240" w:lineRule="exact"/>
              <w:rPr>
                <w:rFonts w:hint="cs"/>
                <w:sz w:val="16"/>
                <w:szCs w:val="24"/>
                <w:lang w:eastAsia="pt-BR"/>
              </w:rPr>
            </w:pPr>
            <w:r>
              <w:rPr>
                <w:rFonts w:hint="cs"/>
                <w:sz w:val="16"/>
                <w:szCs w:val="24"/>
                <w:rtl/>
                <w:lang w:eastAsia="pt-BR"/>
              </w:rPr>
              <w:t>أخريات</w:t>
            </w:r>
          </w:p>
        </w:tc>
        <w:tc>
          <w:tcPr>
            <w:tcW w:w="1030" w:type="dxa"/>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0</w:t>
            </w:r>
          </w:p>
        </w:tc>
        <w:tc>
          <w:tcPr>
            <w:tcW w:w="1030" w:type="dxa"/>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0</w:t>
            </w:r>
          </w:p>
        </w:tc>
        <w:tc>
          <w:tcPr>
            <w:tcW w:w="1133" w:type="dxa"/>
            <w:gridSpan w:val="2"/>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0</w:t>
            </w:r>
          </w:p>
        </w:tc>
        <w:tc>
          <w:tcPr>
            <w:tcW w:w="1133" w:type="dxa"/>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0</w:t>
            </w:r>
          </w:p>
        </w:tc>
        <w:tc>
          <w:tcPr>
            <w:tcW w:w="1133" w:type="dxa"/>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1</w:t>
            </w:r>
          </w:p>
        </w:tc>
        <w:tc>
          <w:tcPr>
            <w:tcW w:w="1133" w:type="dxa"/>
            <w:tcBorders>
              <w:bottom w:val="single" w:sz="4" w:space="0" w:color="auto"/>
            </w:tcBorders>
            <w:shd w:val="clear" w:color="auto" w:fill="auto"/>
            <w:vAlign w:val="bottom"/>
          </w:tcPr>
          <w:p w:rsidR="007A72DE" w:rsidRPr="00761886" w:rsidRDefault="007A72DE" w:rsidP="00F027F7">
            <w:pPr>
              <w:bidi w:val="0"/>
              <w:spacing w:before="40" w:after="80" w:line="240" w:lineRule="exact"/>
              <w:jc w:val="right"/>
              <w:rPr>
                <w:sz w:val="16"/>
                <w:szCs w:val="24"/>
                <w:lang w:eastAsia="pt-BR"/>
              </w:rPr>
            </w:pPr>
            <w:r w:rsidRPr="00761886">
              <w:rPr>
                <w:rFonts w:hint="cs"/>
                <w:sz w:val="16"/>
                <w:szCs w:val="24"/>
                <w:rtl/>
              </w:rPr>
              <w:t>0</w:t>
            </w:r>
            <w:r w:rsidRPr="00761886">
              <w:rPr>
                <w:sz w:val="16"/>
                <w:szCs w:val="24"/>
              </w:rPr>
              <w:t>,</w:t>
            </w:r>
            <w:r w:rsidRPr="00761886">
              <w:rPr>
                <w:rFonts w:hint="cs"/>
                <w:sz w:val="16"/>
                <w:szCs w:val="24"/>
                <w:rtl/>
              </w:rPr>
              <w:t>1</w:t>
            </w:r>
          </w:p>
        </w:tc>
      </w:tr>
      <w:tr w:rsidR="00CE3FD0" w:rsidRPr="00761886">
        <w:trPr>
          <w:cantSplit/>
        </w:trPr>
        <w:tc>
          <w:tcPr>
            <w:tcW w:w="3273" w:type="dxa"/>
            <w:tcBorders>
              <w:top w:val="single" w:sz="4" w:space="0" w:color="auto"/>
              <w:bottom w:val="single" w:sz="12" w:space="0" w:color="auto"/>
            </w:tcBorders>
            <w:shd w:val="clear" w:color="auto" w:fill="auto"/>
            <w:vAlign w:val="bottom"/>
          </w:tcPr>
          <w:p w:rsidR="007A72DE" w:rsidRPr="00F027F7" w:rsidRDefault="00F027F7" w:rsidP="00F027F7">
            <w:pPr>
              <w:spacing w:before="40" w:after="80" w:line="240" w:lineRule="exact"/>
              <w:rPr>
                <w:rFonts w:hint="cs"/>
                <w:b/>
                <w:bCs/>
                <w:sz w:val="16"/>
                <w:szCs w:val="24"/>
                <w:lang w:eastAsia="pt-BR"/>
              </w:rPr>
            </w:pPr>
            <w:r w:rsidRPr="00F027F7">
              <w:rPr>
                <w:rFonts w:hint="cs"/>
                <w:b/>
                <w:bCs/>
                <w:sz w:val="16"/>
                <w:szCs w:val="24"/>
                <w:rtl/>
                <w:lang w:eastAsia="pt-BR"/>
              </w:rPr>
              <w:t>المجموع</w:t>
            </w:r>
          </w:p>
        </w:tc>
        <w:tc>
          <w:tcPr>
            <w:tcW w:w="1030" w:type="dxa"/>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lang w:eastAsia="pt-BR"/>
              </w:rPr>
            </w:pPr>
            <w:r w:rsidRPr="00F027F7">
              <w:rPr>
                <w:rFonts w:hint="cs"/>
                <w:b/>
                <w:bCs/>
                <w:sz w:val="16"/>
                <w:szCs w:val="24"/>
                <w:rtl/>
              </w:rPr>
              <w:t>100</w:t>
            </w:r>
            <w:r w:rsidRPr="00F027F7">
              <w:rPr>
                <w:b/>
                <w:bCs/>
                <w:sz w:val="16"/>
                <w:szCs w:val="24"/>
              </w:rPr>
              <w:t>,</w:t>
            </w:r>
            <w:r w:rsidRPr="00F027F7">
              <w:rPr>
                <w:rFonts w:hint="cs"/>
                <w:b/>
                <w:bCs/>
                <w:sz w:val="16"/>
                <w:szCs w:val="24"/>
                <w:rtl/>
              </w:rPr>
              <w:t>0</w:t>
            </w:r>
          </w:p>
        </w:tc>
        <w:tc>
          <w:tcPr>
            <w:tcW w:w="1030" w:type="dxa"/>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lang w:eastAsia="pt-BR"/>
              </w:rPr>
            </w:pPr>
            <w:r w:rsidRPr="00F027F7">
              <w:rPr>
                <w:rFonts w:hint="cs"/>
                <w:b/>
                <w:bCs/>
                <w:sz w:val="16"/>
                <w:szCs w:val="24"/>
                <w:rtl/>
              </w:rPr>
              <w:t>100</w:t>
            </w:r>
            <w:r w:rsidRPr="00F027F7">
              <w:rPr>
                <w:b/>
                <w:bCs/>
                <w:sz w:val="16"/>
                <w:szCs w:val="24"/>
              </w:rPr>
              <w:t>,</w:t>
            </w:r>
            <w:r w:rsidRPr="00F027F7">
              <w:rPr>
                <w:rFonts w:hint="cs"/>
                <w:b/>
                <w:bCs/>
                <w:sz w:val="16"/>
                <w:szCs w:val="24"/>
                <w:rtl/>
              </w:rPr>
              <w:t>0</w:t>
            </w:r>
          </w:p>
        </w:tc>
        <w:tc>
          <w:tcPr>
            <w:tcW w:w="1133" w:type="dxa"/>
            <w:gridSpan w:val="2"/>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lang w:eastAsia="pt-BR"/>
              </w:rPr>
            </w:pPr>
            <w:r w:rsidRPr="00F027F7">
              <w:rPr>
                <w:rFonts w:hint="cs"/>
                <w:b/>
                <w:bCs/>
                <w:sz w:val="16"/>
                <w:szCs w:val="24"/>
                <w:rtl/>
              </w:rPr>
              <w:t>100</w:t>
            </w:r>
            <w:r w:rsidRPr="00F027F7">
              <w:rPr>
                <w:b/>
                <w:bCs/>
                <w:sz w:val="16"/>
                <w:szCs w:val="24"/>
              </w:rPr>
              <w:t>,</w:t>
            </w:r>
            <w:r w:rsidRPr="00F027F7">
              <w:rPr>
                <w:rFonts w:hint="cs"/>
                <w:b/>
                <w:bCs/>
                <w:sz w:val="16"/>
                <w:szCs w:val="24"/>
                <w:rtl/>
              </w:rPr>
              <w:t>0</w:t>
            </w:r>
          </w:p>
        </w:tc>
        <w:tc>
          <w:tcPr>
            <w:tcW w:w="1133" w:type="dxa"/>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lang w:eastAsia="pt-BR"/>
              </w:rPr>
            </w:pPr>
            <w:r w:rsidRPr="00F027F7">
              <w:rPr>
                <w:rFonts w:hint="cs"/>
                <w:b/>
                <w:bCs/>
                <w:sz w:val="16"/>
                <w:szCs w:val="24"/>
                <w:rtl/>
              </w:rPr>
              <w:t>100</w:t>
            </w:r>
            <w:r w:rsidRPr="00F027F7">
              <w:rPr>
                <w:b/>
                <w:bCs/>
                <w:sz w:val="16"/>
                <w:szCs w:val="24"/>
              </w:rPr>
              <w:t>,</w:t>
            </w:r>
            <w:r w:rsidRPr="00F027F7">
              <w:rPr>
                <w:rFonts w:hint="cs"/>
                <w:b/>
                <w:bCs/>
                <w:sz w:val="16"/>
                <w:szCs w:val="24"/>
                <w:rtl/>
              </w:rPr>
              <w:t>0</w:t>
            </w:r>
          </w:p>
        </w:tc>
        <w:tc>
          <w:tcPr>
            <w:tcW w:w="1133" w:type="dxa"/>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rPr>
            </w:pPr>
            <w:r w:rsidRPr="00F027F7">
              <w:rPr>
                <w:rFonts w:hint="cs"/>
                <w:b/>
                <w:bCs/>
                <w:sz w:val="16"/>
                <w:szCs w:val="24"/>
                <w:rtl/>
              </w:rPr>
              <w:t>100</w:t>
            </w:r>
            <w:r w:rsidRPr="00F027F7">
              <w:rPr>
                <w:b/>
                <w:bCs/>
                <w:sz w:val="16"/>
                <w:szCs w:val="24"/>
              </w:rPr>
              <w:t>,</w:t>
            </w:r>
            <w:r w:rsidRPr="00F027F7">
              <w:rPr>
                <w:rFonts w:hint="cs"/>
                <w:b/>
                <w:bCs/>
                <w:sz w:val="16"/>
                <w:szCs w:val="24"/>
                <w:rtl/>
              </w:rPr>
              <w:t>0</w:t>
            </w:r>
          </w:p>
        </w:tc>
        <w:tc>
          <w:tcPr>
            <w:tcW w:w="1133" w:type="dxa"/>
            <w:tcBorders>
              <w:top w:val="single" w:sz="4" w:space="0" w:color="auto"/>
              <w:bottom w:val="single" w:sz="12" w:space="0" w:color="auto"/>
            </w:tcBorders>
            <w:shd w:val="clear" w:color="auto" w:fill="auto"/>
            <w:vAlign w:val="bottom"/>
          </w:tcPr>
          <w:p w:rsidR="007A72DE" w:rsidRPr="00F027F7" w:rsidRDefault="007A72DE" w:rsidP="00F027F7">
            <w:pPr>
              <w:bidi w:val="0"/>
              <w:spacing w:before="40" w:after="80" w:line="240" w:lineRule="exact"/>
              <w:jc w:val="right"/>
              <w:rPr>
                <w:b/>
                <w:bCs/>
                <w:sz w:val="16"/>
                <w:szCs w:val="24"/>
                <w:lang w:eastAsia="pt-BR"/>
              </w:rPr>
            </w:pPr>
            <w:r w:rsidRPr="00F027F7">
              <w:rPr>
                <w:rFonts w:hint="cs"/>
                <w:b/>
                <w:bCs/>
                <w:sz w:val="16"/>
                <w:szCs w:val="24"/>
                <w:rtl/>
              </w:rPr>
              <w:t>100</w:t>
            </w:r>
            <w:r w:rsidRPr="00F027F7">
              <w:rPr>
                <w:b/>
                <w:bCs/>
                <w:sz w:val="16"/>
                <w:szCs w:val="24"/>
              </w:rPr>
              <w:t>,</w:t>
            </w:r>
            <w:r w:rsidRPr="00F027F7">
              <w:rPr>
                <w:rFonts w:hint="cs"/>
                <w:b/>
                <w:bCs/>
                <w:sz w:val="16"/>
                <w:szCs w:val="24"/>
                <w:rtl/>
              </w:rPr>
              <w:t>0</w:t>
            </w:r>
          </w:p>
        </w:tc>
      </w:tr>
    </w:tbl>
    <w:p w:rsidR="00CE3FD0" w:rsidRPr="00CE3FD0" w:rsidRDefault="00CE3FD0" w:rsidP="00CE3FD0">
      <w:pPr>
        <w:pStyle w:val="SingleTxt"/>
        <w:spacing w:after="0" w:line="120" w:lineRule="exact"/>
        <w:rPr>
          <w:rFonts w:hint="cs"/>
          <w:sz w:val="10"/>
          <w:rtl/>
          <w:lang w:bidi="ar-EG"/>
        </w:rPr>
      </w:pPr>
    </w:p>
    <w:p w:rsidR="00CE3FD0" w:rsidRDefault="00CE3FD0" w:rsidP="00CE3FD0">
      <w:pPr>
        <w:pStyle w:val="FootnoteText"/>
        <w:tabs>
          <w:tab w:val="clear" w:pos="418"/>
          <w:tab w:val="right" w:pos="662"/>
          <w:tab w:val="left" w:pos="763"/>
          <w:tab w:val="left" w:pos="1210"/>
          <w:tab w:val="left" w:pos="1685"/>
          <w:tab w:val="left" w:pos="2174"/>
          <w:tab w:val="left" w:pos="2650"/>
        </w:tabs>
        <w:ind w:left="763" w:right="0"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CE3FD0" w:rsidRDefault="00CE3FD0" w:rsidP="00CE3FD0">
      <w:pPr>
        <w:pStyle w:val="FootnoteText"/>
        <w:tabs>
          <w:tab w:val="clear" w:pos="418"/>
          <w:tab w:val="right" w:pos="662"/>
          <w:tab w:val="left" w:pos="763"/>
          <w:tab w:val="left" w:pos="1210"/>
          <w:tab w:val="left" w:pos="1685"/>
          <w:tab w:val="left" w:pos="2174"/>
          <w:tab w:val="left" w:pos="2650"/>
        </w:tabs>
        <w:ind w:left="763" w:right="0"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CE3FD0" w:rsidRDefault="00CE3FD0" w:rsidP="00CE3FD0">
      <w:pPr>
        <w:pStyle w:val="FootnoteText"/>
        <w:tabs>
          <w:tab w:val="clear" w:pos="418"/>
          <w:tab w:val="right" w:pos="662"/>
          <w:tab w:val="left" w:pos="763"/>
          <w:tab w:val="left" w:pos="1210"/>
          <w:tab w:val="left" w:pos="1685"/>
          <w:tab w:val="left" w:pos="2174"/>
          <w:tab w:val="left" w:pos="2650"/>
        </w:tabs>
        <w:ind w:left="763" w:right="0" w:hanging="763"/>
        <w:rPr>
          <w:rFonts w:hint="cs"/>
          <w:rtl/>
          <w:lang w:bidi="ar-EG"/>
        </w:rPr>
      </w:pPr>
      <w:r>
        <w:rPr>
          <w:rFonts w:hint="cs"/>
          <w:rtl/>
          <w:lang w:bidi="ar-EG"/>
        </w:rPr>
        <w:tab/>
      </w:r>
      <w:r w:rsidRPr="00CE3FD0">
        <w:rPr>
          <w:rFonts w:hint="cs"/>
          <w:i/>
          <w:iCs/>
          <w:rtl/>
          <w:lang w:bidi="ar-EG"/>
        </w:rPr>
        <w:t>ملحوظة</w:t>
      </w:r>
      <w:r>
        <w:rPr>
          <w:rFonts w:hint="cs"/>
          <w:rtl/>
          <w:lang w:bidi="ar-EG"/>
        </w:rPr>
        <w:t>:</w:t>
      </w:r>
      <w:r>
        <w:rPr>
          <w:rFonts w:hint="cs"/>
          <w:rtl/>
          <w:lang w:bidi="ar-EG"/>
        </w:rPr>
        <w:tab/>
        <w:t xml:space="preserve">الفئة </w:t>
      </w:r>
      <w:r>
        <w:rPr>
          <w:rFonts w:hint="eastAsia"/>
          <w:rtl/>
          <w:lang w:bidi="ar-EG"/>
        </w:rPr>
        <w:t>”أخريات</w:t>
      </w:r>
      <w:r>
        <w:rPr>
          <w:rFonts w:hint="cs"/>
          <w:rtl/>
          <w:lang w:bidi="ar-EG"/>
        </w:rPr>
        <w:t>“ تتعلق بجميع العاملات اللاتي ينتجن للاستخدام الشخصي، وبالموظفات غير النظاميات (بدون سجل وظيفي)</w:t>
      </w:r>
    </w:p>
    <w:p w:rsidR="00CE3FD0" w:rsidRPr="00CE3FD0" w:rsidRDefault="00CE3FD0" w:rsidP="00CE3FD0">
      <w:pPr>
        <w:pStyle w:val="SingleTxt"/>
        <w:spacing w:after="0" w:line="120" w:lineRule="exact"/>
        <w:rPr>
          <w:rFonts w:hint="cs"/>
          <w:sz w:val="10"/>
          <w:rtl/>
          <w:lang w:bidi="ar-EG"/>
        </w:rPr>
      </w:pPr>
    </w:p>
    <w:p w:rsidR="00DC149B" w:rsidRPr="00DC149B" w:rsidRDefault="00DC149B" w:rsidP="00DC149B">
      <w:pPr>
        <w:pStyle w:val="SingleTxt"/>
        <w:spacing w:after="0" w:line="120" w:lineRule="exact"/>
        <w:rPr>
          <w:rFonts w:hint="cs"/>
          <w:sz w:val="10"/>
          <w:rtl/>
          <w:lang w:bidi="ar-EG"/>
        </w:rPr>
      </w:pPr>
    </w:p>
    <w:p w:rsidR="00CE3FD0" w:rsidRPr="00CE3FD0" w:rsidRDefault="00CE3FD0" w:rsidP="00CE3FD0">
      <w:pPr>
        <w:pStyle w:val="SingleTxt"/>
        <w:spacing w:after="0" w:line="120" w:lineRule="exact"/>
        <w:rPr>
          <w:rFonts w:hint="cs"/>
          <w:sz w:val="10"/>
          <w:rtl/>
          <w:lang w:bidi="ar-EG"/>
        </w:rPr>
      </w:pPr>
    </w:p>
    <w:p w:rsidR="007A72DE" w:rsidRDefault="00CE3FD0" w:rsidP="002A1045">
      <w:pPr>
        <w:pStyle w:val="SingleTxt"/>
        <w:rPr>
          <w:rFonts w:hint="cs"/>
          <w:rtl/>
          <w:lang w:bidi="ar-EG"/>
        </w:rPr>
      </w:pPr>
      <w:r>
        <w:rPr>
          <w:rFonts w:hint="cs"/>
          <w:rtl/>
          <w:lang w:bidi="ar-EG"/>
        </w:rPr>
        <w:tab/>
        <w:t>وهناك تحليل لمتوسط دخل العمال الريفيين يشير بوضوح إلى التباين الكبير الموجود بين النساء البيض والسود، وبخاصة استمرار ذلك التباين. وبالتالي، إذا كانت المرأة السوداء لا تحصل إلا على 58 في المائة من الدخل الذي تحصل عليه المرأة البيضاء في عام 1992، فلا تزال الحالة كما هي من الناحية العملية بعد عشر سنوات، حيث تحصل المرأة العاملة السوداء على 56 في المائة مما تحصل عليه المرأة العاملة البيضاء.</w:t>
      </w:r>
    </w:p>
    <w:p w:rsidR="00CE3FD0" w:rsidRPr="00CE3FD0" w:rsidRDefault="00CE3FD0" w:rsidP="00CE3FD0">
      <w:pPr>
        <w:pStyle w:val="SingleTxt"/>
        <w:spacing w:after="0" w:line="120" w:lineRule="exact"/>
        <w:rPr>
          <w:rFonts w:hint="cs"/>
          <w:sz w:val="10"/>
          <w:rtl/>
          <w:lang w:bidi="ar-EG"/>
        </w:rPr>
      </w:pPr>
    </w:p>
    <w:p w:rsidR="007C5D30" w:rsidRPr="007C5D30" w:rsidRDefault="007C5D30" w:rsidP="007C5D30">
      <w:pPr>
        <w:pStyle w:val="SingleTxt"/>
        <w:spacing w:after="0" w:line="120" w:lineRule="exact"/>
        <w:rPr>
          <w:sz w:val="10"/>
          <w:rtl/>
          <w:lang w:bidi="ar-EG"/>
        </w:rPr>
      </w:pPr>
    </w:p>
    <w:p w:rsidR="007C5D30" w:rsidRPr="007C5D30" w:rsidRDefault="007C5D30" w:rsidP="007C5D30">
      <w:pPr>
        <w:pStyle w:val="SingleTxt"/>
        <w:spacing w:after="0" w:line="120" w:lineRule="exact"/>
        <w:rPr>
          <w:sz w:val="10"/>
          <w:rtl/>
          <w:lang w:bidi="ar-EG"/>
        </w:rPr>
      </w:pPr>
    </w:p>
    <w:p w:rsidR="007C5D30" w:rsidRPr="007C5D30" w:rsidRDefault="007C5D30" w:rsidP="007C5D30">
      <w:pPr>
        <w:pStyle w:val="SingleTxt"/>
        <w:spacing w:after="0" w:line="120" w:lineRule="exact"/>
        <w:rPr>
          <w:sz w:val="10"/>
          <w:rtl/>
          <w:lang w:bidi="ar-EG"/>
        </w:rPr>
      </w:pPr>
      <w:r>
        <w:rPr>
          <w:rtl/>
          <w:lang w:bidi="ar-EG"/>
        </w:rPr>
        <w:br w:type="page"/>
      </w:r>
    </w:p>
    <w:tbl>
      <w:tblPr>
        <w:bidiVisual/>
        <w:tblW w:w="0" w:type="auto"/>
        <w:jc w:val="center"/>
        <w:tblInd w:w="-70" w:type="dxa"/>
        <w:tblLayout w:type="fixed"/>
        <w:tblCellMar>
          <w:left w:w="70" w:type="dxa"/>
          <w:right w:w="70" w:type="dxa"/>
        </w:tblCellMar>
        <w:tblLook w:val="0000" w:firstRow="0" w:lastRow="0" w:firstColumn="0" w:lastColumn="0" w:noHBand="0" w:noVBand="0"/>
      </w:tblPr>
      <w:tblGrid>
        <w:gridCol w:w="1304"/>
        <w:gridCol w:w="1442"/>
        <w:gridCol w:w="618"/>
        <w:gridCol w:w="206"/>
        <w:gridCol w:w="1442"/>
        <w:gridCol w:w="618"/>
        <w:gridCol w:w="206"/>
        <w:gridCol w:w="1236"/>
        <w:gridCol w:w="618"/>
        <w:gridCol w:w="206"/>
        <w:gridCol w:w="1236"/>
        <w:gridCol w:w="723"/>
      </w:tblGrid>
      <w:tr w:rsidR="007C5D30" w:rsidRPr="00751A4E">
        <w:trPr>
          <w:cantSplit/>
          <w:tblHeader/>
          <w:jc w:val="center"/>
        </w:trPr>
        <w:tc>
          <w:tcPr>
            <w:tcW w:w="9855" w:type="dxa"/>
            <w:gridSpan w:val="12"/>
            <w:tcBorders>
              <w:top w:val="single" w:sz="4" w:space="0" w:color="auto"/>
              <w:bottom w:val="single" w:sz="4" w:space="0" w:color="auto"/>
            </w:tcBorders>
            <w:shd w:val="clear" w:color="auto" w:fill="auto"/>
            <w:vAlign w:val="bottom"/>
          </w:tcPr>
          <w:p w:rsidR="007C5D30" w:rsidRPr="007C5D30" w:rsidRDefault="007C5D30" w:rsidP="007C5D30">
            <w:pPr>
              <w:spacing w:before="80" w:after="80" w:line="300" w:lineRule="exact"/>
              <w:ind w:right="144"/>
              <w:jc w:val="center"/>
              <w:rPr>
                <w:rFonts w:hint="cs"/>
                <w:b/>
                <w:bCs/>
                <w:sz w:val="18"/>
                <w:szCs w:val="26"/>
                <w:lang w:eastAsia="pt-BR"/>
              </w:rPr>
            </w:pPr>
            <w:r>
              <w:rPr>
                <w:rFonts w:hint="cs"/>
                <w:b/>
                <w:bCs/>
                <w:sz w:val="18"/>
                <w:szCs w:val="26"/>
                <w:rtl/>
                <w:lang w:eastAsia="pt-BR"/>
              </w:rPr>
              <w:t>متوسط الدخل للمرأة الريفية البالغة من العمر 16 سنة أو أكثر، حسب العنصر/اللون. البرازيل، 1992 و 2003</w:t>
            </w:r>
          </w:p>
        </w:tc>
      </w:tr>
      <w:tr w:rsidR="007C5D30" w:rsidRPr="00751A4E">
        <w:trPr>
          <w:cantSplit/>
          <w:tblHeader/>
          <w:jc w:val="center"/>
        </w:trPr>
        <w:tc>
          <w:tcPr>
            <w:tcW w:w="1304" w:type="dxa"/>
            <w:tcBorders>
              <w:top w:val="single" w:sz="4" w:space="0" w:color="auto"/>
            </w:tcBorders>
            <w:shd w:val="clear" w:color="auto" w:fill="auto"/>
            <w:vAlign w:val="bottom"/>
          </w:tcPr>
          <w:p w:rsidR="007C5D30" w:rsidRPr="00751A4E" w:rsidRDefault="007C5D30" w:rsidP="007C5D30">
            <w:pPr>
              <w:spacing w:after="80" w:line="240" w:lineRule="exact"/>
              <w:rPr>
                <w:i/>
                <w:iCs/>
                <w:sz w:val="16"/>
                <w:szCs w:val="24"/>
              </w:rPr>
            </w:pPr>
          </w:p>
        </w:tc>
        <w:tc>
          <w:tcPr>
            <w:tcW w:w="4326" w:type="dxa"/>
            <w:gridSpan w:val="5"/>
            <w:tcBorders>
              <w:top w:val="single" w:sz="4" w:space="0" w:color="auto"/>
              <w:bottom w:val="single" w:sz="4" w:space="0" w:color="auto"/>
            </w:tcBorders>
            <w:shd w:val="clear" w:color="auto" w:fill="auto"/>
            <w:vAlign w:val="bottom"/>
          </w:tcPr>
          <w:p w:rsidR="007C5D30" w:rsidRPr="00751A4E" w:rsidRDefault="007C5D30" w:rsidP="007C5D30">
            <w:pPr>
              <w:spacing w:after="80" w:line="240" w:lineRule="exact"/>
              <w:ind w:right="144"/>
              <w:jc w:val="center"/>
              <w:rPr>
                <w:rFonts w:hint="cs"/>
                <w:i/>
                <w:iCs/>
                <w:sz w:val="16"/>
                <w:szCs w:val="24"/>
                <w:rtl/>
              </w:rPr>
            </w:pPr>
            <w:r>
              <w:rPr>
                <w:rFonts w:hint="cs"/>
                <w:i/>
                <w:iCs/>
                <w:sz w:val="16"/>
                <w:szCs w:val="24"/>
                <w:rtl/>
              </w:rPr>
              <w:t>1992</w:t>
            </w:r>
          </w:p>
        </w:tc>
        <w:tc>
          <w:tcPr>
            <w:tcW w:w="206" w:type="dxa"/>
            <w:tcBorders>
              <w:top w:val="single" w:sz="4" w:space="0" w:color="auto"/>
            </w:tcBorders>
            <w:shd w:val="clear" w:color="auto" w:fill="auto"/>
            <w:vAlign w:val="bottom"/>
          </w:tcPr>
          <w:p w:rsidR="007C5D30" w:rsidRPr="00751A4E" w:rsidRDefault="007C5D30" w:rsidP="007C5D30">
            <w:pPr>
              <w:spacing w:after="80" w:line="240" w:lineRule="exact"/>
              <w:ind w:right="144"/>
              <w:rPr>
                <w:i/>
                <w:iCs/>
                <w:sz w:val="16"/>
                <w:szCs w:val="24"/>
              </w:rPr>
            </w:pPr>
          </w:p>
        </w:tc>
        <w:tc>
          <w:tcPr>
            <w:tcW w:w="4019" w:type="dxa"/>
            <w:gridSpan w:val="5"/>
            <w:tcBorders>
              <w:top w:val="single" w:sz="4" w:space="0" w:color="auto"/>
              <w:bottom w:val="single" w:sz="4" w:space="0" w:color="auto"/>
            </w:tcBorders>
            <w:shd w:val="clear" w:color="auto" w:fill="auto"/>
            <w:vAlign w:val="bottom"/>
          </w:tcPr>
          <w:p w:rsidR="007C5D30" w:rsidRPr="00751A4E" w:rsidRDefault="007C5D30" w:rsidP="007C5D30">
            <w:pPr>
              <w:spacing w:after="80" w:line="240" w:lineRule="exact"/>
              <w:ind w:right="144"/>
              <w:jc w:val="center"/>
              <w:rPr>
                <w:rFonts w:hint="cs"/>
                <w:i/>
                <w:iCs/>
                <w:sz w:val="16"/>
                <w:szCs w:val="24"/>
                <w:lang w:eastAsia="pt-BR"/>
              </w:rPr>
            </w:pPr>
            <w:r>
              <w:rPr>
                <w:rFonts w:hint="cs"/>
                <w:i/>
                <w:iCs/>
                <w:sz w:val="16"/>
                <w:szCs w:val="24"/>
                <w:rtl/>
                <w:lang w:eastAsia="pt-BR"/>
              </w:rPr>
              <w:t>2003</w:t>
            </w:r>
          </w:p>
        </w:tc>
      </w:tr>
      <w:tr w:rsidR="007C5D30" w:rsidRPr="00751A4E">
        <w:trPr>
          <w:cantSplit/>
          <w:tblHeader/>
          <w:jc w:val="center"/>
        </w:trPr>
        <w:tc>
          <w:tcPr>
            <w:tcW w:w="1304" w:type="dxa"/>
            <w:shd w:val="clear" w:color="auto" w:fill="auto"/>
            <w:vAlign w:val="bottom"/>
          </w:tcPr>
          <w:p w:rsidR="007C5D30" w:rsidRPr="00751A4E" w:rsidRDefault="007C5D30" w:rsidP="007C5D30">
            <w:pPr>
              <w:spacing w:after="80" w:line="240" w:lineRule="exact"/>
              <w:rPr>
                <w:i/>
                <w:iCs/>
                <w:sz w:val="16"/>
                <w:szCs w:val="24"/>
              </w:rPr>
            </w:pPr>
          </w:p>
        </w:tc>
        <w:tc>
          <w:tcPr>
            <w:tcW w:w="2060" w:type="dxa"/>
            <w:gridSpan w:val="2"/>
            <w:tcBorders>
              <w:bottom w:val="single" w:sz="4" w:space="0" w:color="auto"/>
            </w:tcBorders>
            <w:shd w:val="clear" w:color="auto" w:fill="auto"/>
            <w:vAlign w:val="bottom"/>
          </w:tcPr>
          <w:p w:rsidR="007C5D30" w:rsidRPr="00751A4E" w:rsidRDefault="007C5D30" w:rsidP="004F4EF1">
            <w:pPr>
              <w:spacing w:after="80" w:line="240" w:lineRule="exact"/>
              <w:jc w:val="center"/>
              <w:rPr>
                <w:rFonts w:hint="cs"/>
                <w:i/>
                <w:iCs/>
                <w:sz w:val="16"/>
                <w:szCs w:val="24"/>
                <w:rtl/>
              </w:rPr>
            </w:pPr>
            <w:r>
              <w:rPr>
                <w:rFonts w:hint="cs"/>
                <w:i/>
                <w:iCs/>
                <w:sz w:val="16"/>
                <w:szCs w:val="24"/>
                <w:rtl/>
              </w:rPr>
              <w:t>العمل الأساسي</w:t>
            </w:r>
          </w:p>
        </w:tc>
        <w:tc>
          <w:tcPr>
            <w:tcW w:w="206" w:type="dxa"/>
            <w:shd w:val="clear" w:color="auto" w:fill="auto"/>
            <w:vAlign w:val="bottom"/>
          </w:tcPr>
          <w:p w:rsidR="007C5D30" w:rsidRPr="00751A4E" w:rsidRDefault="007C5D30" w:rsidP="007C5D30">
            <w:pPr>
              <w:spacing w:after="80" w:line="240" w:lineRule="exact"/>
              <w:ind w:right="144"/>
              <w:rPr>
                <w:i/>
                <w:iCs/>
                <w:sz w:val="16"/>
                <w:szCs w:val="24"/>
                <w:lang w:eastAsia="pt-BR" w:bidi="ar-EG"/>
              </w:rPr>
            </w:pPr>
          </w:p>
        </w:tc>
        <w:tc>
          <w:tcPr>
            <w:tcW w:w="2060" w:type="dxa"/>
            <w:gridSpan w:val="2"/>
            <w:tcBorders>
              <w:bottom w:val="single" w:sz="4" w:space="0" w:color="auto"/>
            </w:tcBorders>
            <w:shd w:val="clear" w:color="auto" w:fill="auto"/>
            <w:vAlign w:val="bottom"/>
          </w:tcPr>
          <w:p w:rsidR="007C5D30" w:rsidRPr="00751A4E" w:rsidRDefault="007C5D30" w:rsidP="007C5D30">
            <w:pPr>
              <w:spacing w:after="80" w:line="240" w:lineRule="exact"/>
              <w:ind w:right="144"/>
              <w:jc w:val="center"/>
              <w:rPr>
                <w:rFonts w:hint="cs"/>
                <w:i/>
                <w:iCs/>
                <w:sz w:val="16"/>
                <w:szCs w:val="24"/>
                <w:rtl/>
              </w:rPr>
            </w:pPr>
            <w:r>
              <w:rPr>
                <w:rFonts w:hint="cs"/>
                <w:i/>
                <w:iCs/>
                <w:sz w:val="16"/>
                <w:szCs w:val="24"/>
                <w:rtl/>
              </w:rPr>
              <w:t>جميع الأعمال</w:t>
            </w:r>
          </w:p>
        </w:tc>
        <w:tc>
          <w:tcPr>
            <w:tcW w:w="206" w:type="dxa"/>
            <w:shd w:val="clear" w:color="auto" w:fill="auto"/>
            <w:vAlign w:val="bottom"/>
          </w:tcPr>
          <w:p w:rsidR="007C5D30" w:rsidRPr="00751A4E" w:rsidRDefault="007C5D30" w:rsidP="007C5D30">
            <w:pPr>
              <w:spacing w:after="80" w:line="240" w:lineRule="exact"/>
              <w:ind w:right="144"/>
              <w:rPr>
                <w:i/>
                <w:iCs/>
                <w:sz w:val="16"/>
                <w:szCs w:val="24"/>
              </w:rPr>
            </w:pPr>
          </w:p>
        </w:tc>
        <w:tc>
          <w:tcPr>
            <w:tcW w:w="1854" w:type="dxa"/>
            <w:gridSpan w:val="2"/>
            <w:tcBorders>
              <w:bottom w:val="single" w:sz="4" w:space="0" w:color="auto"/>
            </w:tcBorders>
            <w:shd w:val="clear" w:color="auto" w:fill="auto"/>
            <w:vAlign w:val="bottom"/>
          </w:tcPr>
          <w:p w:rsidR="007C5D30" w:rsidRPr="00751A4E" w:rsidRDefault="007C5D30" w:rsidP="007C5D30">
            <w:pPr>
              <w:spacing w:after="80" w:line="240" w:lineRule="exact"/>
              <w:ind w:right="144"/>
              <w:jc w:val="center"/>
              <w:rPr>
                <w:rFonts w:hint="cs"/>
                <w:i/>
                <w:iCs/>
                <w:sz w:val="16"/>
                <w:szCs w:val="24"/>
                <w:rtl/>
              </w:rPr>
            </w:pPr>
            <w:r>
              <w:rPr>
                <w:rFonts w:hint="cs"/>
                <w:i/>
                <w:iCs/>
                <w:sz w:val="16"/>
                <w:szCs w:val="24"/>
                <w:rtl/>
              </w:rPr>
              <w:t>العمل الأساسي</w:t>
            </w:r>
          </w:p>
        </w:tc>
        <w:tc>
          <w:tcPr>
            <w:tcW w:w="206" w:type="dxa"/>
            <w:shd w:val="clear" w:color="auto" w:fill="auto"/>
            <w:vAlign w:val="bottom"/>
          </w:tcPr>
          <w:p w:rsidR="007C5D30" w:rsidRPr="00751A4E" w:rsidRDefault="007C5D30" w:rsidP="007C5D30">
            <w:pPr>
              <w:spacing w:after="80" w:line="240" w:lineRule="exact"/>
              <w:ind w:right="144"/>
              <w:rPr>
                <w:i/>
                <w:iCs/>
                <w:sz w:val="16"/>
                <w:szCs w:val="24"/>
                <w:lang w:eastAsia="pt-BR"/>
              </w:rPr>
            </w:pPr>
          </w:p>
        </w:tc>
        <w:tc>
          <w:tcPr>
            <w:tcW w:w="1959" w:type="dxa"/>
            <w:gridSpan w:val="2"/>
            <w:tcBorders>
              <w:bottom w:val="single" w:sz="4" w:space="0" w:color="auto"/>
            </w:tcBorders>
            <w:shd w:val="clear" w:color="auto" w:fill="auto"/>
            <w:vAlign w:val="bottom"/>
          </w:tcPr>
          <w:p w:rsidR="007C5D30" w:rsidRPr="00751A4E" w:rsidRDefault="007C5D30" w:rsidP="007C5D30">
            <w:pPr>
              <w:spacing w:after="80" w:line="240" w:lineRule="exact"/>
              <w:ind w:right="144"/>
              <w:jc w:val="center"/>
              <w:rPr>
                <w:rFonts w:hint="cs"/>
                <w:i/>
                <w:iCs/>
                <w:sz w:val="16"/>
                <w:szCs w:val="24"/>
                <w:lang w:eastAsia="pt-BR"/>
              </w:rPr>
            </w:pPr>
            <w:r>
              <w:rPr>
                <w:rFonts w:hint="cs"/>
                <w:i/>
                <w:iCs/>
                <w:sz w:val="16"/>
                <w:szCs w:val="24"/>
                <w:rtl/>
                <w:lang w:eastAsia="pt-BR"/>
              </w:rPr>
              <w:t>جميع الأعمال</w:t>
            </w:r>
          </w:p>
        </w:tc>
      </w:tr>
      <w:tr w:rsidR="004F4EF1" w:rsidRPr="00751A4E">
        <w:trPr>
          <w:cantSplit/>
          <w:tblHeader/>
          <w:jc w:val="center"/>
        </w:trPr>
        <w:tc>
          <w:tcPr>
            <w:tcW w:w="1304" w:type="dxa"/>
            <w:tcBorders>
              <w:bottom w:val="single" w:sz="12" w:space="0" w:color="auto"/>
            </w:tcBorders>
            <w:shd w:val="clear" w:color="auto" w:fill="auto"/>
            <w:vAlign w:val="bottom"/>
          </w:tcPr>
          <w:p w:rsidR="004F4EF1" w:rsidRPr="00751A4E" w:rsidRDefault="004F4EF1" w:rsidP="00F96BC0">
            <w:pPr>
              <w:spacing w:after="40" w:line="240" w:lineRule="exact"/>
              <w:rPr>
                <w:rFonts w:hint="cs"/>
                <w:i/>
                <w:iCs/>
                <w:sz w:val="16"/>
                <w:szCs w:val="24"/>
              </w:rPr>
            </w:pPr>
            <w:r>
              <w:rPr>
                <w:rFonts w:hint="cs"/>
                <w:i/>
                <w:iCs/>
                <w:sz w:val="16"/>
                <w:szCs w:val="24"/>
                <w:rtl/>
              </w:rPr>
              <w:t>اللون أو العنصر</w:t>
            </w:r>
          </w:p>
        </w:tc>
        <w:tc>
          <w:tcPr>
            <w:tcW w:w="1442" w:type="dxa"/>
            <w:tcBorders>
              <w:bottom w:val="single" w:sz="12" w:space="0" w:color="auto"/>
            </w:tcBorders>
            <w:shd w:val="clear" w:color="auto" w:fill="auto"/>
            <w:vAlign w:val="bottom"/>
          </w:tcPr>
          <w:p w:rsidR="004F4EF1" w:rsidRPr="00751A4E" w:rsidRDefault="004F4EF1" w:rsidP="00F96BC0">
            <w:pPr>
              <w:spacing w:after="40" w:line="240" w:lineRule="exact"/>
              <w:ind w:right="144"/>
              <w:rPr>
                <w:rFonts w:hint="cs"/>
                <w:i/>
                <w:iCs/>
                <w:sz w:val="16"/>
                <w:szCs w:val="24"/>
                <w:rtl/>
              </w:rPr>
            </w:pPr>
            <w:r>
              <w:rPr>
                <w:rFonts w:hint="cs"/>
                <w:i/>
                <w:iCs/>
                <w:sz w:val="16"/>
                <w:szCs w:val="24"/>
                <w:rtl/>
              </w:rPr>
              <w:t>القيمة الإسمية بالكروزارو</w:t>
            </w:r>
          </w:p>
        </w:tc>
        <w:tc>
          <w:tcPr>
            <w:tcW w:w="824" w:type="dxa"/>
            <w:gridSpan w:val="2"/>
            <w:tcBorders>
              <w:bottom w:val="single" w:sz="12" w:space="0" w:color="auto"/>
            </w:tcBorders>
            <w:shd w:val="clear" w:color="auto" w:fill="auto"/>
            <w:vAlign w:val="bottom"/>
          </w:tcPr>
          <w:p w:rsidR="004F4EF1" w:rsidRPr="00751A4E" w:rsidRDefault="004F4EF1" w:rsidP="00F96BC0">
            <w:pPr>
              <w:spacing w:after="40" w:line="240" w:lineRule="exact"/>
              <w:ind w:right="33"/>
              <w:jc w:val="left"/>
              <w:rPr>
                <w:rFonts w:hint="cs"/>
                <w:i/>
                <w:iCs/>
                <w:sz w:val="16"/>
                <w:szCs w:val="24"/>
                <w:lang w:eastAsia="pt-BR" w:bidi="ar-EG"/>
              </w:rPr>
            </w:pPr>
            <w:r>
              <w:rPr>
                <w:rFonts w:hint="cs"/>
                <w:i/>
                <w:iCs/>
                <w:sz w:val="16"/>
                <w:szCs w:val="24"/>
                <w:rtl/>
                <w:lang w:eastAsia="pt-BR" w:bidi="ar-EG"/>
              </w:rPr>
              <w:t>سود/ بيض</w:t>
            </w:r>
          </w:p>
        </w:tc>
        <w:tc>
          <w:tcPr>
            <w:tcW w:w="1442" w:type="dxa"/>
            <w:tcBorders>
              <w:bottom w:val="single" w:sz="12" w:space="0" w:color="auto"/>
            </w:tcBorders>
            <w:shd w:val="clear" w:color="auto" w:fill="auto"/>
            <w:vAlign w:val="bottom"/>
          </w:tcPr>
          <w:p w:rsidR="004F4EF1" w:rsidRPr="00751A4E" w:rsidRDefault="004F4EF1" w:rsidP="00F96BC0">
            <w:pPr>
              <w:spacing w:after="40" w:line="240" w:lineRule="exact"/>
              <w:ind w:right="144"/>
              <w:rPr>
                <w:rFonts w:hint="cs"/>
                <w:i/>
                <w:iCs/>
                <w:sz w:val="16"/>
                <w:szCs w:val="24"/>
                <w:rtl/>
              </w:rPr>
            </w:pPr>
            <w:r>
              <w:rPr>
                <w:rFonts w:hint="cs"/>
                <w:i/>
                <w:iCs/>
                <w:sz w:val="16"/>
                <w:szCs w:val="24"/>
                <w:rtl/>
              </w:rPr>
              <w:t>القيمة الإسمية بالكروزارو</w:t>
            </w:r>
          </w:p>
        </w:tc>
        <w:tc>
          <w:tcPr>
            <w:tcW w:w="824" w:type="dxa"/>
            <w:gridSpan w:val="2"/>
            <w:tcBorders>
              <w:bottom w:val="single" w:sz="12" w:space="0" w:color="auto"/>
            </w:tcBorders>
            <w:shd w:val="clear" w:color="auto" w:fill="auto"/>
            <w:vAlign w:val="bottom"/>
          </w:tcPr>
          <w:p w:rsidR="004F4EF1" w:rsidRPr="00751A4E" w:rsidRDefault="004F4EF1" w:rsidP="00F96BC0">
            <w:pPr>
              <w:spacing w:after="40" w:line="240" w:lineRule="exact"/>
              <w:jc w:val="left"/>
              <w:rPr>
                <w:rFonts w:hint="cs"/>
                <w:i/>
                <w:iCs/>
                <w:sz w:val="16"/>
                <w:szCs w:val="24"/>
                <w:lang w:eastAsia="pt-BR" w:bidi="ar-EG"/>
              </w:rPr>
            </w:pPr>
            <w:r>
              <w:rPr>
                <w:rFonts w:hint="cs"/>
                <w:i/>
                <w:iCs/>
                <w:sz w:val="16"/>
                <w:szCs w:val="24"/>
                <w:rtl/>
                <w:lang w:eastAsia="pt-BR" w:bidi="ar-EG"/>
              </w:rPr>
              <w:t>سود/ بيض</w:t>
            </w:r>
          </w:p>
        </w:tc>
        <w:tc>
          <w:tcPr>
            <w:tcW w:w="1236" w:type="dxa"/>
            <w:tcBorders>
              <w:bottom w:val="single" w:sz="12" w:space="0" w:color="auto"/>
            </w:tcBorders>
            <w:shd w:val="clear" w:color="auto" w:fill="auto"/>
            <w:vAlign w:val="bottom"/>
          </w:tcPr>
          <w:p w:rsidR="004F4EF1" w:rsidRPr="00751A4E" w:rsidRDefault="004F4EF1" w:rsidP="00F96BC0">
            <w:pPr>
              <w:spacing w:after="40" w:line="240" w:lineRule="exact"/>
              <w:ind w:right="144"/>
              <w:rPr>
                <w:rFonts w:hint="cs"/>
                <w:i/>
                <w:iCs/>
                <w:sz w:val="16"/>
                <w:szCs w:val="24"/>
                <w:rtl/>
              </w:rPr>
            </w:pPr>
            <w:r>
              <w:rPr>
                <w:rFonts w:hint="cs"/>
                <w:i/>
                <w:iCs/>
                <w:sz w:val="16"/>
                <w:szCs w:val="24"/>
                <w:rtl/>
              </w:rPr>
              <w:t>القيمة الإسمية بالكروزارو</w:t>
            </w:r>
          </w:p>
        </w:tc>
        <w:tc>
          <w:tcPr>
            <w:tcW w:w="824" w:type="dxa"/>
            <w:gridSpan w:val="2"/>
            <w:tcBorders>
              <w:bottom w:val="single" w:sz="12" w:space="0" w:color="auto"/>
            </w:tcBorders>
            <w:shd w:val="clear" w:color="auto" w:fill="auto"/>
            <w:vAlign w:val="bottom"/>
          </w:tcPr>
          <w:p w:rsidR="004F4EF1" w:rsidRPr="00751A4E" w:rsidRDefault="004F4EF1" w:rsidP="00F96BC0">
            <w:pPr>
              <w:spacing w:after="40" w:line="240" w:lineRule="exact"/>
              <w:ind w:right="144"/>
              <w:jc w:val="left"/>
              <w:rPr>
                <w:rFonts w:hint="cs"/>
                <w:i/>
                <w:iCs/>
                <w:sz w:val="16"/>
                <w:szCs w:val="24"/>
                <w:lang w:eastAsia="pt-BR" w:bidi="ar-EG"/>
              </w:rPr>
            </w:pPr>
            <w:r>
              <w:rPr>
                <w:rFonts w:hint="cs"/>
                <w:i/>
                <w:iCs/>
                <w:sz w:val="16"/>
                <w:szCs w:val="24"/>
                <w:rtl/>
                <w:lang w:eastAsia="pt-BR" w:bidi="ar-EG"/>
              </w:rPr>
              <w:t>سود/ بيض</w:t>
            </w:r>
          </w:p>
        </w:tc>
        <w:tc>
          <w:tcPr>
            <w:tcW w:w="1236" w:type="dxa"/>
            <w:tcBorders>
              <w:bottom w:val="single" w:sz="12" w:space="0" w:color="auto"/>
            </w:tcBorders>
            <w:shd w:val="clear" w:color="auto" w:fill="auto"/>
            <w:vAlign w:val="bottom"/>
          </w:tcPr>
          <w:p w:rsidR="004F4EF1" w:rsidRPr="00751A4E" w:rsidRDefault="004F4EF1" w:rsidP="00F96BC0">
            <w:pPr>
              <w:spacing w:after="40" w:line="240" w:lineRule="exact"/>
              <w:ind w:right="144"/>
              <w:rPr>
                <w:rFonts w:hint="cs"/>
                <w:i/>
                <w:iCs/>
                <w:sz w:val="16"/>
                <w:szCs w:val="24"/>
                <w:rtl/>
              </w:rPr>
            </w:pPr>
            <w:r>
              <w:rPr>
                <w:rFonts w:hint="cs"/>
                <w:i/>
                <w:iCs/>
                <w:sz w:val="16"/>
                <w:szCs w:val="24"/>
                <w:rtl/>
              </w:rPr>
              <w:t>القيمة الإسمية بالكروزارو</w:t>
            </w:r>
          </w:p>
        </w:tc>
        <w:tc>
          <w:tcPr>
            <w:tcW w:w="723" w:type="dxa"/>
            <w:tcBorders>
              <w:bottom w:val="single" w:sz="12" w:space="0" w:color="auto"/>
            </w:tcBorders>
            <w:shd w:val="clear" w:color="auto" w:fill="auto"/>
            <w:vAlign w:val="bottom"/>
          </w:tcPr>
          <w:p w:rsidR="004F4EF1" w:rsidRPr="00751A4E" w:rsidRDefault="004F4EF1" w:rsidP="00F96BC0">
            <w:pPr>
              <w:spacing w:after="40" w:line="240" w:lineRule="exact"/>
              <w:ind w:right="144"/>
              <w:jc w:val="left"/>
              <w:rPr>
                <w:rFonts w:hint="cs"/>
                <w:i/>
                <w:iCs/>
                <w:sz w:val="16"/>
                <w:szCs w:val="24"/>
                <w:lang w:eastAsia="pt-BR" w:bidi="ar-EG"/>
              </w:rPr>
            </w:pPr>
            <w:r>
              <w:rPr>
                <w:rFonts w:hint="cs"/>
                <w:i/>
                <w:iCs/>
                <w:sz w:val="16"/>
                <w:szCs w:val="24"/>
                <w:rtl/>
                <w:lang w:eastAsia="pt-BR" w:bidi="ar-EG"/>
              </w:rPr>
              <w:t>سود/ بيض</w:t>
            </w:r>
          </w:p>
        </w:tc>
      </w:tr>
      <w:tr w:rsidR="004F4EF1" w:rsidRPr="00751A4E">
        <w:trPr>
          <w:cantSplit/>
          <w:jc w:val="center"/>
        </w:trPr>
        <w:tc>
          <w:tcPr>
            <w:tcW w:w="1304" w:type="dxa"/>
            <w:shd w:val="clear" w:color="auto" w:fill="auto"/>
            <w:vAlign w:val="bottom"/>
          </w:tcPr>
          <w:p w:rsidR="004F4EF1" w:rsidRPr="00751A4E" w:rsidRDefault="004F4EF1" w:rsidP="00F96BC0">
            <w:pPr>
              <w:spacing w:after="40" w:line="240" w:lineRule="exact"/>
              <w:rPr>
                <w:rFonts w:hint="cs"/>
                <w:sz w:val="16"/>
                <w:szCs w:val="24"/>
                <w:lang w:eastAsia="pt-BR"/>
              </w:rPr>
            </w:pPr>
            <w:r>
              <w:rPr>
                <w:rFonts w:hint="cs"/>
                <w:sz w:val="16"/>
                <w:szCs w:val="24"/>
                <w:rtl/>
                <w:lang w:eastAsia="pt-BR"/>
              </w:rPr>
              <w:t>بيض</w:t>
            </w:r>
          </w:p>
        </w:tc>
        <w:tc>
          <w:tcPr>
            <w:tcW w:w="1442"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133</w:t>
            </w:r>
            <w:r w:rsidRPr="00751A4E">
              <w:rPr>
                <w:rFonts w:hint="cs"/>
                <w:sz w:val="16"/>
                <w:szCs w:val="24"/>
              </w:rPr>
              <w:t xml:space="preserve"> </w:t>
            </w:r>
            <w:r w:rsidRPr="00751A4E">
              <w:rPr>
                <w:rFonts w:hint="cs"/>
                <w:sz w:val="16"/>
                <w:szCs w:val="24"/>
                <w:rtl/>
              </w:rPr>
              <w:t>274</w:t>
            </w:r>
            <w:r w:rsidRPr="00751A4E">
              <w:rPr>
                <w:sz w:val="16"/>
                <w:szCs w:val="24"/>
              </w:rPr>
              <w:t>,</w:t>
            </w:r>
            <w:r w:rsidRPr="00751A4E">
              <w:rPr>
                <w:rFonts w:hint="cs"/>
                <w:sz w:val="16"/>
                <w:szCs w:val="24"/>
                <w:rtl/>
              </w:rPr>
              <w:t>32</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sz w:val="16"/>
                <w:szCs w:val="24"/>
                <w:lang w:eastAsia="pt-BR" w:bidi="ar-EG"/>
              </w:rPr>
            </w:pPr>
          </w:p>
        </w:tc>
        <w:tc>
          <w:tcPr>
            <w:tcW w:w="1442"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136</w:t>
            </w:r>
            <w:r w:rsidRPr="00751A4E">
              <w:rPr>
                <w:rFonts w:hint="cs"/>
                <w:sz w:val="16"/>
                <w:szCs w:val="24"/>
              </w:rPr>
              <w:t xml:space="preserve"> </w:t>
            </w:r>
            <w:r w:rsidRPr="00751A4E">
              <w:rPr>
                <w:rFonts w:hint="cs"/>
                <w:sz w:val="16"/>
                <w:szCs w:val="24"/>
                <w:rtl/>
              </w:rPr>
              <w:t>766</w:t>
            </w:r>
            <w:r w:rsidRPr="00751A4E">
              <w:rPr>
                <w:sz w:val="16"/>
                <w:szCs w:val="24"/>
              </w:rPr>
              <w:t>,</w:t>
            </w:r>
            <w:r w:rsidRPr="00751A4E">
              <w:rPr>
                <w:rFonts w:hint="cs"/>
                <w:sz w:val="16"/>
                <w:szCs w:val="24"/>
                <w:rtl/>
              </w:rPr>
              <w:t>46</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p>
        </w:tc>
        <w:tc>
          <w:tcPr>
            <w:tcW w:w="1236"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127</w:t>
            </w:r>
            <w:r w:rsidRPr="00751A4E">
              <w:rPr>
                <w:sz w:val="16"/>
                <w:szCs w:val="24"/>
              </w:rPr>
              <w:t>,</w:t>
            </w:r>
            <w:r w:rsidRPr="00751A4E">
              <w:rPr>
                <w:rFonts w:hint="cs"/>
                <w:sz w:val="16"/>
                <w:szCs w:val="24"/>
                <w:rtl/>
              </w:rPr>
              <w:t>27</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p>
        </w:tc>
        <w:tc>
          <w:tcPr>
            <w:tcW w:w="1236"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134</w:t>
            </w:r>
            <w:r w:rsidRPr="00751A4E">
              <w:rPr>
                <w:sz w:val="16"/>
                <w:szCs w:val="24"/>
              </w:rPr>
              <w:t>,</w:t>
            </w:r>
            <w:r w:rsidRPr="00751A4E">
              <w:rPr>
                <w:rFonts w:hint="cs"/>
                <w:sz w:val="16"/>
                <w:szCs w:val="24"/>
                <w:rtl/>
              </w:rPr>
              <w:t>03</w:t>
            </w:r>
          </w:p>
        </w:tc>
        <w:tc>
          <w:tcPr>
            <w:tcW w:w="723"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p>
        </w:tc>
      </w:tr>
      <w:tr w:rsidR="004F4EF1" w:rsidRPr="00751A4E">
        <w:trPr>
          <w:cantSplit/>
          <w:jc w:val="center"/>
        </w:trPr>
        <w:tc>
          <w:tcPr>
            <w:tcW w:w="1304" w:type="dxa"/>
            <w:shd w:val="clear" w:color="auto" w:fill="auto"/>
            <w:vAlign w:val="bottom"/>
          </w:tcPr>
          <w:p w:rsidR="004F4EF1" w:rsidRPr="00751A4E" w:rsidRDefault="004F4EF1" w:rsidP="00F96BC0">
            <w:pPr>
              <w:spacing w:after="40" w:line="240" w:lineRule="exact"/>
              <w:rPr>
                <w:rFonts w:hint="cs"/>
                <w:sz w:val="16"/>
                <w:szCs w:val="24"/>
                <w:lang w:eastAsia="pt-BR"/>
              </w:rPr>
            </w:pPr>
            <w:r>
              <w:rPr>
                <w:rFonts w:hint="cs"/>
                <w:sz w:val="16"/>
                <w:szCs w:val="24"/>
                <w:rtl/>
                <w:lang w:eastAsia="pt-BR"/>
              </w:rPr>
              <w:t>سود</w:t>
            </w:r>
          </w:p>
        </w:tc>
        <w:tc>
          <w:tcPr>
            <w:tcW w:w="1442"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77</w:t>
            </w:r>
            <w:r w:rsidRPr="00751A4E">
              <w:rPr>
                <w:rFonts w:hint="cs"/>
                <w:sz w:val="16"/>
                <w:szCs w:val="24"/>
              </w:rPr>
              <w:t xml:space="preserve"> </w:t>
            </w:r>
            <w:r w:rsidRPr="00751A4E">
              <w:rPr>
                <w:rFonts w:hint="cs"/>
                <w:sz w:val="16"/>
                <w:szCs w:val="24"/>
                <w:rtl/>
              </w:rPr>
              <w:t>543</w:t>
            </w:r>
            <w:r w:rsidRPr="00751A4E">
              <w:rPr>
                <w:sz w:val="16"/>
                <w:szCs w:val="24"/>
              </w:rPr>
              <w:t>,</w:t>
            </w:r>
            <w:r w:rsidRPr="00751A4E">
              <w:rPr>
                <w:rFonts w:hint="cs"/>
                <w:sz w:val="16"/>
                <w:szCs w:val="24"/>
                <w:rtl/>
              </w:rPr>
              <w:t>13</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sz w:val="16"/>
                <w:szCs w:val="24"/>
                <w:lang w:eastAsia="pt-BR" w:bidi="ar-EG"/>
              </w:rPr>
            </w:pPr>
            <w:r w:rsidRPr="00751A4E">
              <w:rPr>
                <w:rFonts w:hint="cs"/>
                <w:sz w:val="16"/>
                <w:szCs w:val="24"/>
                <w:rtl/>
              </w:rPr>
              <w:t>58</w:t>
            </w:r>
            <w:r w:rsidRPr="00751A4E">
              <w:rPr>
                <w:rFonts w:cs="Akhbar MT" w:hint="cs"/>
                <w:sz w:val="16"/>
                <w:szCs w:val="24"/>
                <w:rtl/>
              </w:rPr>
              <w:t>%</w:t>
            </w:r>
          </w:p>
        </w:tc>
        <w:tc>
          <w:tcPr>
            <w:tcW w:w="1442"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80</w:t>
            </w:r>
            <w:r w:rsidRPr="00751A4E">
              <w:rPr>
                <w:rFonts w:hint="cs"/>
                <w:sz w:val="16"/>
                <w:szCs w:val="24"/>
              </w:rPr>
              <w:t xml:space="preserve"> </w:t>
            </w:r>
            <w:r w:rsidRPr="00751A4E">
              <w:rPr>
                <w:rFonts w:hint="cs"/>
                <w:sz w:val="16"/>
                <w:szCs w:val="24"/>
                <w:rtl/>
              </w:rPr>
              <w:t>638</w:t>
            </w:r>
            <w:r w:rsidRPr="00751A4E">
              <w:rPr>
                <w:sz w:val="16"/>
                <w:szCs w:val="24"/>
              </w:rPr>
              <w:t>,</w:t>
            </w:r>
            <w:r w:rsidRPr="00751A4E">
              <w:rPr>
                <w:rFonts w:hint="cs"/>
                <w:sz w:val="16"/>
                <w:szCs w:val="24"/>
                <w:rtl/>
              </w:rPr>
              <w:t>42</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rFonts w:hint="cs"/>
                <w:sz w:val="16"/>
                <w:szCs w:val="24"/>
                <w:lang w:eastAsia="pt-BR" w:bidi="ar-EG"/>
              </w:rPr>
            </w:pPr>
            <w:r w:rsidRPr="00751A4E">
              <w:rPr>
                <w:rFonts w:hint="cs"/>
                <w:sz w:val="16"/>
                <w:szCs w:val="24"/>
                <w:rtl/>
              </w:rPr>
              <w:t>59</w:t>
            </w:r>
            <w:r w:rsidRPr="00751A4E">
              <w:rPr>
                <w:rFonts w:cs="Akhbar MT" w:hint="cs"/>
                <w:sz w:val="16"/>
                <w:szCs w:val="24"/>
                <w:rtl/>
              </w:rPr>
              <w:t>%</w:t>
            </w:r>
          </w:p>
        </w:tc>
        <w:tc>
          <w:tcPr>
            <w:tcW w:w="1236"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71</w:t>
            </w:r>
            <w:r w:rsidRPr="00751A4E">
              <w:rPr>
                <w:sz w:val="16"/>
                <w:szCs w:val="24"/>
              </w:rPr>
              <w:t>,</w:t>
            </w:r>
            <w:r w:rsidRPr="00751A4E">
              <w:rPr>
                <w:rFonts w:hint="cs"/>
                <w:sz w:val="16"/>
                <w:szCs w:val="24"/>
                <w:rtl/>
              </w:rPr>
              <w:t>6</w:t>
            </w:r>
          </w:p>
        </w:tc>
        <w:tc>
          <w:tcPr>
            <w:tcW w:w="824" w:type="dxa"/>
            <w:gridSpan w:val="2"/>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56</w:t>
            </w:r>
            <w:r w:rsidRPr="00751A4E">
              <w:rPr>
                <w:rFonts w:cs="Akhbar MT" w:hint="cs"/>
                <w:sz w:val="16"/>
                <w:szCs w:val="24"/>
                <w:rtl/>
              </w:rPr>
              <w:t>%</w:t>
            </w:r>
          </w:p>
        </w:tc>
        <w:tc>
          <w:tcPr>
            <w:tcW w:w="1236"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73</w:t>
            </w:r>
            <w:r w:rsidRPr="00751A4E">
              <w:rPr>
                <w:sz w:val="16"/>
                <w:szCs w:val="24"/>
              </w:rPr>
              <w:t>,</w:t>
            </w:r>
            <w:r w:rsidRPr="00751A4E">
              <w:rPr>
                <w:rFonts w:hint="cs"/>
                <w:sz w:val="16"/>
                <w:szCs w:val="24"/>
                <w:rtl/>
              </w:rPr>
              <w:t>23</w:t>
            </w:r>
          </w:p>
        </w:tc>
        <w:tc>
          <w:tcPr>
            <w:tcW w:w="723" w:type="dxa"/>
            <w:shd w:val="clear" w:color="auto" w:fill="auto"/>
            <w:vAlign w:val="bottom"/>
          </w:tcPr>
          <w:p w:rsidR="004F4EF1" w:rsidRPr="00751A4E" w:rsidRDefault="004F4EF1" w:rsidP="00F96BC0">
            <w:pPr>
              <w:bidi w:val="0"/>
              <w:spacing w:after="40" w:line="240" w:lineRule="exact"/>
              <w:ind w:right="33"/>
              <w:jc w:val="right"/>
              <w:rPr>
                <w:sz w:val="16"/>
                <w:szCs w:val="24"/>
                <w:lang w:eastAsia="pt-BR"/>
              </w:rPr>
            </w:pPr>
            <w:r w:rsidRPr="00751A4E">
              <w:rPr>
                <w:rFonts w:hint="cs"/>
                <w:sz w:val="16"/>
                <w:szCs w:val="24"/>
                <w:rtl/>
              </w:rPr>
              <w:t>55</w:t>
            </w:r>
            <w:r w:rsidRPr="00751A4E">
              <w:rPr>
                <w:rFonts w:cs="Akhbar MT" w:hint="cs"/>
                <w:sz w:val="16"/>
                <w:szCs w:val="24"/>
                <w:rtl/>
              </w:rPr>
              <w:t>%</w:t>
            </w:r>
          </w:p>
        </w:tc>
      </w:tr>
      <w:tr w:rsidR="004F4EF1" w:rsidRPr="007C5D30">
        <w:trPr>
          <w:cantSplit/>
          <w:jc w:val="center"/>
        </w:trPr>
        <w:tc>
          <w:tcPr>
            <w:tcW w:w="1304" w:type="dxa"/>
            <w:tcBorders>
              <w:bottom w:val="single" w:sz="12" w:space="0" w:color="auto"/>
            </w:tcBorders>
            <w:shd w:val="clear" w:color="auto" w:fill="auto"/>
            <w:vAlign w:val="bottom"/>
          </w:tcPr>
          <w:p w:rsidR="004F4EF1" w:rsidRPr="007C5D30" w:rsidRDefault="004F4EF1" w:rsidP="00F96BC0">
            <w:pPr>
              <w:spacing w:after="40" w:line="240" w:lineRule="exact"/>
              <w:rPr>
                <w:rFonts w:hint="cs"/>
                <w:b/>
                <w:bCs/>
                <w:sz w:val="16"/>
                <w:szCs w:val="24"/>
                <w:lang w:eastAsia="pt-BR"/>
              </w:rPr>
            </w:pPr>
            <w:r w:rsidRPr="007C5D30">
              <w:rPr>
                <w:rFonts w:hint="cs"/>
                <w:b/>
                <w:bCs/>
                <w:sz w:val="16"/>
                <w:szCs w:val="24"/>
                <w:rtl/>
                <w:lang w:eastAsia="pt-BR"/>
              </w:rPr>
              <w:t>المجموع</w:t>
            </w:r>
          </w:p>
        </w:tc>
        <w:tc>
          <w:tcPr>
            <w:tcW w:w="1442" w:type="dxa"/>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r w:rsidRPr="007C5D30">
              <w:rPr>
                <w:rFonts w:hint="cs"/>
                <w:b/>
                <w:bCs/>
                <w:sz w:val="16"/>
                <w:szCs w:val="24"/>
                <w:rtl/>
              </w:rPr>
              <w:t>103</w:t>
            </w:r>
            <w:r w:rsidRPr="007C5D30">
              <w:rPr>
                <w:rFonts w:hint="cs"/>
                <w:b/>
                <w:bCs/>
                <w:sz w:val="16"/>
                <w:szCs w:val="24"/>
              </w:rPr>
              <w:t xml:space="preserve"> </w:t>
            </w:r>
            <w:r w:rsidRPr="007C5D30">
              <w:rPr>
                <w:rFonts w:hint="cs"/>
                <w:b/>
                <w:bCs/>
                <w:sz w:val="16"/>
                <w:szCs w:val="24"/>
                <w:rtl/>
              </w:rPr>
              <w:t>559</w:t>
            </w:r>
            <w:r w:rsidRPr="007C5D30">
              <w:rPr>
                <w:b/>
                <w:bCs/>
                <w:sz w:val="16"/>
                <w:szCs w:val="24"/>
              </w:rPr>
              <w:t>,</w:t>
            </w:r>
            <w:r w:rsidRPr="007C5D30">
              <w:rPr>
                <w:rFonts w:hint="cs"/>
                <w:b/>
                <w:bCs/>
                <w:sz w:val="16"/>
                <w:szCs w:val="24"/>
                <w:rtl/>
              </w:rPr>
              <w:t>91</w:t>
            </w:r>
          </w:p>
        </w:tc>
        <w:tc>
          <w:tcPr>
            <w:tcW w:w="824" w:type="dxa"/>
            <w:gridSpan w:val="2"/>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p>
        </w:tc>
        <w:tc>
          <w:tcPr>
            <w:tcW w:w="1442" w:type="dxa"/>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r w:rsidRPr="007C5D30">
              <w:rPr>
                <w:rFonts w:hint="cs"/>
                <w:b/>
                <w:bCs/>
                <w:sz w:val="16"/>
                <w:szCs w:val="24"/>
                <w:rtl/>
              </w:rPr>
              <w:t>106</w:t>
            </w:r>
            <w:r w:rsidRPr="007C5D30">
              <w:rPr>
                <w:rFonts w:hint="cs"/>
                <w:b/>
                <w:bCs/>
                <w:sz w:val="16"/>
                <w:szCs w:val="24"/>
              </w:rPr>
              <w:t xml:space="preserve"> </w:t>
            </w:r>
            <w:r w:rsidRPr="007C5D30">
              <w:rPr>
                <w:rFonts w:hint="cs"/>
                <w:b/>
                <w:bCs/>
                <w:sz w:val="16"/>
                <w:szCs w:val="24"/>
                <w:rtl/>
              </w:rPr>
              <w:t>840</w:t>
            </w:r>
            <w:r w:rsidRPr="007C5D30">
              <w:rPr>
                <w:b/>
                <w:bCs/>
                <w:sz w:val="16"/>
                <w:szCs w:val="24"/>
              </w:rPr>
              <w:t>,</w:t>
            </w:r>
            <w:r w:rsidRPr="007C5D30">
              <w:rPr>
                <w:rFonts w:hint="cs"/>
                <w:b/>
                <w:bCs/>
                <w:sz w:val="16"/>
                <w:szCs w:val="24"/>
                <w:rtl/>
              </w:rPr>
              <w:t>69</w:t>
            </w:r>
          </w:p>
        </w:tc>
        <w:tc>
          <w:tcPr>
            <w:tcW w:w="824" w:type="dxa"/>
            <w:gridSpan w:val="2"/>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p>
        </w:tc>
        <w:tc>
          <w:tcPr>
            <w:tcW w:w="1236" w:type="dxa"/>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r w:rsidRPr="007C5D30">
              <w:rPr>
                <w:rFonts w:hint="cs"/>
                <w:b/>
                <w:bCs/>
                <w:sz w:val="16"/>
                <w:szCs w:val="24"/>
                <w:rtl/>
              </w:rPr>
              <w:t>96</w:t>
            </w:r>
            <w:r w:rsidRPr="007C5D30">
              <w:rPr>
                <w:b/>
                <w:bCs/>
                <w:sz w:val="16"/>
                <w:szCs w:val="24"/>
              </w:rPr>
              <w:t>,</w:t>
            </w:r>
            <w:r w:rsidRPr="007C5D30">
              <w:rPr>
                <w:rFonts w:hint="cs"/>
                <w:b/>
                <w:bCs/>
                <w:sz w:val="16"/>
                <w:szCs w:val="24"/>
                <w:rtl/>
              </w:rPr>
              <w:t>93</w:t>
            </w:r>
          </w:p>
        </w:tc>
        <w:tc>
          <w:tcPr>
            <w:tcW w:w="824" w:type="dxa"/>
            <w:gridSpan w:val="2"/>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p>
        </w:tc>
        <w:tc>
          <w:tcPr>
            <w:tcW w:w="1236" w:type="dxa"/>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r w:rsidRPr="007C5D30">
              <w:rPr>
                <w:rFonts w:hint="cs"/>
                <w:b/>
                <w:bCs/>
                <w:sz w:val="16"/>
                <w:szCs w:val="24"/>
                <w:rtl/>
              </w:rPr>
              <w:t>100</w:t>
            </w:r>
            <w:r w:rsidRPr="007C5D30">
              <w:rPr>
                <w:b/>
                <w:bCs/>
                <w:sz w:val="16"/>
                <w:szCs w:val="24"/>
              </w:rPr>
              <w:t>,</w:t>
            </w:r>
            <w:r w:rsidRPr="007C5D30">
              <w:rPr>
                <w:rFonts w:hint="cs"/>
                <w:b/>
                <w:bCs/>
                <w:sz w:val="16"/>
                <w:szCs w:val="24"/>
                <w:rtl/>
              </w:rPr>
              <w:t>91</w:t>
            </w:r>
          </w:p>
        </w:tc>
        <w:tc>
          <w:tcPr>
            <w:tcW w:w="723" w:type="dxa"/>
            <w:tcBorders>
              <w:bottom w:val="single" w:sz="12" w:space="0" w:color="auto"/>
            </w:tcBorders>
            <w:shd w:val="clear" w:color="auto" w:fill="auto"/>
            <w:vAlign w:val="bottom"/>
          </w:tcPr>
          <w:p w:rsidR="004F4EF1" w:rsidRPr="007C5D30" w:rsidRDefault="004F4EF1" w:rsidP="00F96BC0">
            <w:pPr>
              <w:bidi w:val="0"/>
              <w:spacing w:after="40" w:line="240" w:lineRule="exact"/>
              <w:ind w:right="33"/>
              <w:jc w:val="right"/>
              <w:rPr>
                <w:b/>
                <w:bCs/>
                <w:sz w:val="16"/>
                <w:szCs w:val="24"/>
                <w:lang w:eastAsia="pt-BR"/>
              </w:rPr>
            </w:pPr>
          </w:p>
        </w:tc>
      </w:tr>
    </w:tbl>
    <w:p w:rsidR="002B2328" w:rsidRPr="002B2328" w:rsidRDefault="002B2328" w:rsidP="005A77EB">
      <w:pPr>
        <w:pStyle w:val="SingleTxt"/>
        <w:spacing w:after="0" w:line="60" w:lineRule="exact"/>
        <w:rPr>
          <w:rFonts w:hint="cs"/>
          <w:sz w:val="10"/>
          <w:rtl/>
          <w:lang w:bidi="ar-EG"/>
        </w:rPr>
      </w:pPr>
    </w:p>
    <w:p w:rsidR="002B2328" w:rsidRPr="00F96BC0" w:rsidRDefault="002B2328" w:rsidP="00F96BC0">
      <w:pPr>
        <w:pStyle w:val="FootnoteText"/>
        <w:tabs>
          <w:tab w:val="clear" w:pos="418"/>
          <w:tab w:val="right" w:pos="662"/>
          <w:tab w:val="left" w:pos="763"/>
          <w:tab w:val="left" w:pos="1210"/>
          <w:tab w:val="left" w:pos="1685"/>
          <w:tab w:val="left" w:pos="2174"/>
          <w:tab w:val="left" w:pos="2650"/>
        </w:tabs>
        <w:spacing w:line="260" w:lineRule="exact"/>
        <w:ind w:left="763" w:right="0" w:hanging="763"/>
        <w:rPr>
          <w:rFonts w:hint="cs"/>
          <w:sz w:val="15"/>
          <w:szCs w:val="24"/>
          <w:rtl/>
          <w:lang w:bidi="ar-EG"/>
        </w:rPr>
      </w:pPr>
      <w:r w:rsidRPr="00F96BC0">
        <w:rPr>
          <w:rFonts w:hint="cs"/>
          <w:sz w:val="15"/>
          <w:szCs w:val="24"/>
          <w:rtl/>
          <w:lang w:bidi="ar-EG"/>
        </w:rPr>
        <w:tab/>
      </w:r>
      <w:r w:rsidRPr="00F96BC0">
        <w:rPr>
          <w:rFonts w:hint="cs"/>
          <w:i/>
          <w:iCs/>
          <w:sz w:val="15"/>
          <w:szCs w:val="24"/>
          <w:rtl/>
          <w:lang w:bidi="ar-EG"/>
        </w:rPr>
        <w:t>المصدر</w:t>
      </w:r>
      <w:r w:rsidRPr="00F96BC0">
        <w:rPr>
          <w:rFonts w:hint="cs"/>
          <w:sz w:val="15"/>
          <w:szCs w:val="24"/>
          <w:rtl/>
          <w:lang w:bidi="ar-EG"/>
        </w:rPr>
        <w:t>:</w:t>
      </w:r>
      <w:r w:rsidRPr="00F96BC0">
        <w:rPr>
          <w:rFonts w:hint="cs"/>
          <w:sz w:val="15"/>
          <w:szCs w:val="24"/>
          <w:rtl/>
          <w:lang w:bidi="ar-EG"/>
        </w:rPr>
        <w:tab/>
        <w:t>المعهد البرازيلي للجغرافيا والإحصاءات - بيانات جزئية - الدراسات الاستقصائية الوطنية لعينات من الأسر المعيشية 1992 و 2003.</w:t>
      </w:r>
    </w:p>
    <w:p w:rsidR="002B2328" w:rsidRPr="00F96BC0" w:rsidRDefault="002B2328" w:rsidP="00F96BC0">
      <w:pPr>
        <w:pStyle w:val="FootnoteText"/>
        <w:tabs>
          <w:tab w:val="clear" w:pos="418"/>
          <w:tab w:val="right" w:pos="662"/>
          <w:tab w:val="left" w:pos="763"/>
          <w:tab w:val="left" w:pos="1210"/>
          <w:tab w:val="left" w:pos="1685"/>
          <w:tab w:val="left" w:pos="2174"/>
          <w:tab w:val="left" w:pos="2650"/>
        </w:tabs>
        <w:spacing w:line="260" w:lineRule="exact"/>
        <w:ind w:left="763" w:right="0" w:hanging="763"/>
        <w:rPr>
          <w:rFonts w:hint="cs"/>
          <w:sz w:val="15"/>
          <w:szCs w:val="24"/>
          <w:rtl/>
          <w:lang w:bidi="ar-EG"/>
        </w:rPr>
      </w:pPr>
      <w:r w:rsidRPr="00F96BC0">
        <w:rPr>
          <w:rFonts w:hint="cs"/>
          <w:sz w:val="15"/>
          <w:szCs w:val="24"/>
          <w:rtl/>
          <w:lang w:bidi="ar-EG"/>
        </w:rPr>
        <w:tab/>
      </w:r>
      <w:r w:rsidRPr="00F96BC0">
        <w:rPr>
          <w:rFonts w:hint="cs"/>
          <w:i/>
          <w:iCs/>
          <w:sz w:val="15"/>
          <w:szCs w:val="24"/>
          <w:rtl/>
          <w:lang w:bidi="ar-EG"/>
        </w:rPr>
        <w:t>الإعداد</w:t>
      </w:r>
      <w:r w:rsidRPr="00F96BC0">
        <w:rPr>
          <w:rFonts w:hint="cs"/>
          <w:sz w:val="15"/>
          <w:szCs w:val="24"/>
          <w:rtl/>
          <w:lang w:bidi="ar-EG"/>
        </w:rPr>
        <w:t>:</w:t>
      </w:r>
      <w:r w:rsidRPr="00F96BC0">
        <w:rPr>
          <w:rFonts w:hint="cs"/>
          <w:sz w:val="15"/>
          <w:szCs w:val="24"/>
          <w:rtl/>
          <w:lang w:bidi="ar-EG"/>
        </w:rPr>
        <w:tab/>
        <w:t>معهد البحوث الاقتصادية التطبيقية/إدارة الدراسات الاجتماعية.</w:t>
      </w:r>
    </w:p>
    <w:p w:rsidR="002B2328" w:rsidRPr="002B2328" w:rsidRDefault="002B2328" w:rsidP="002B2328">
      <w:pPr>
        <w:pStyle w:val="SingleTxt"/>
        <w:spacing w:after="0" w:line="120" w:lineRule="exact"/>
        <w:rPr>
          <w:rFonts w:hint="cs"/>
          <w:sz w:val="10"/>
          <w:rtl/>
          <w:lang w:bidi="ar-EG"/>
        </w:rPr>
      </w:pPr>
    </w:p>
    <w:p w:rsidR="00CE3FD0" w:rsidRDefault="003314C9" w:rsidP="00F96BC0">
      <w:pPr>
        <w:pStyle w:val="SingleTxt"/>
        <w:spacing w:after="60" w:line="360" w:lineRule="exact"/>
        <w:rPr>
          <w:rFonts w:hint="cs"/>
          <w:rtl/>
          <w:lang w:bidi="ar-EG"/>
        </w:rPr>
      </w:pPr>
      <w:r>
        <w:rPr>
          <w:rFonts w:hint="cs"/>
          <w:rtl/>
          <w:lang w:bidi="ar-EG"/>
        </w:rPr>
        <w:tab/>
        <w:t>وتحليل توزيع العاملات الريفيات حسب مستوى الدخل يتصل اتصالا وثيقا بمسألة الأجور. ويوضح الجدول أدناه هذا التوزيع بالنسبة لجميع العاملات، مصنفات حسب العنصر. ومن المثير للدهشة أن أكثر من ثلثي العاملات الريفيات حصلن في عام 2003 على دخل أقصاه ربع الحد الأدنى للأجور. وتشكل العاملات السود نسبة أكبر بقليل في مستوى الدخل هذا، فتبلغ نسبة النساء البيض 65 في المائة ونسبة النساء السود 70 في المائة.</w:t>
      </w:r>
    </w:p>
    <w:p w:rsidR="003314C9" w:rsidRDefault="003314C9" w:rsidP="00F96BC0">
      <w:pPr>
        <w:pStyle w:val="SingleTxt"/>
        <w:spacing w:after="60" w:line="360" w:lineRule="exact"/>
        <w:rPr>
          <w:rFonts w:hint="cs"/>
          <w:rtl/>
          <w:lang w:bidi="ar-EG"/>
        </w:rPr>
      </w:pPr>
      <w:r>
        <w:rPr>
          <w:rFonts w:hint="cs"/>
          <w:rtl/>
          <w:lang w:bidi="ar-EG"/>
        </w:rPr>
        <w:tab/>
        <w:t>وينبغي أن نؤكد أن هذه النتائج لا تعني أن 70 في المائة من النساء الريفيات فقيرات أو معوزات. والأسرة المعيشية (أو الأسرة) هي أساس قياس مستوى الفقر بينما يرتكز هذا التحليل على مستوى الفرد. ومع ذلك، فهذه البيانات تشكل قيمة تقريبية جيدة لدرجة استقلال المرأة عن والديها أو تبعيتها لهما اقتصاديا، وبالتالي نفسيا.</w:t>
      </w:r>
    </w:p>
    <w:p w:rsidR="003314C9" w:rsidRDefault="003314C9" w:rsidP="00F96BC0">
      <w:pPr>
        <w:pStyle w:val="SingleTxt"/>
        <w:spacing w:after="60" w:line="360" w:lineRule="exact"/>
        <w:rPr>
          <w:rFonts w:hint="cs"/>
          <w:rtl/>
          <w:lang w:bidi="ar-EG"/>
        </w:rPr>
      </w:pPr>
      <w:r>
        <w:rPr>
          <w:rFonts w:hint="cs"/>
          <w:rtl/>
          <w:lang w:bidi="ar-EG"/>
        </w:rPr>
        <w:tab/>
        <w:t>ولذلك، تشكل هذه الظاهرة تنبيها هاما يرشد السياسات إلى توليد العمالة والدخل لدى سكان الريف. ومن الملح أن تتضمن تلك السياسات منظورا لنوع الجنس بغية تزويد العاملات الريفيات بدرجة أكبر من الاستقلال الذاتي والاقتصادي.</w:t>
      </w:r>
    </w:p>
    <w:p w:rsidR="003314C9" w:rsidRPr="003314C9" w:rsidRDefault="003314C9" w:rsidP="003314C9">
      <w:pPr>
        <w:pStyle w:val="SingleTxt"/>
        <w:spacing w:after="0" w:line="120" w:lineRule="exact"/>
        <w:rPr>
          <w:rFonts w:hint="cs"/>
          <w:sz w:val="10"/>
          <w:rtl/>
          <w:lang w:bidi="ar-EG"/>
        </w:rPr>
      </w:pPr>
    </w:p>
    <w:tbl>
      <w:tblPr>
        <w:bidiVisual/>
        <w:tblW w:w="0" w:type="auto"/>
        <w:jc w:val="center"/>
        <w:tblLayout w:type="fixed"/>
        <w:tblCellMar>
          <w:left w:w="70" w:type="dxa"/>
          <w:right w:w="70" w:type="dxa"/>
        </w:tblCellMar>
        <w:tblLook w:val="0000" w:firstRow="0" w:lastRow="0" w:firstColumn="0" w:lastColumn="0" w:noHBand="0" w:noVBand="0"/>
      </w:tblPr>
      <w:tblGrid>
        <w:gridCol w:w="2885"/>
        <w:gridCol w:w="1545"/>
        <w:gridCol w:w="1442"/>
        <w:gridCol w:w="1447"/>
      </w:tblGrid>
      <w:tr w:rsidR="004A4D33" w:rsidRPr="001B18C5">
        <w:trPr>
          <w:cantSplit/>
          <w:tblHeader/>
          <w:jc w:val="center"/>
        </w:trPr>
        <w:tc>
          <w:tcPr>
            <w:tcW w:w="7319" w:type="dxa"/>
            <w:gridSpan w:val="4"/>
            <w:tcBorders>
              <w:top w:val="single" w:sz="4" w:space="0" w:color="auto"/>
              <w:bottom w:val="single" w:sz="4" w:space="0" w:color="auto"/>
            </w:tcBorders>
            <w:shd w:val="clear" w:color="auto" w:fill="auto"/>
            <w:vAlign w:val="bottom"/>
          </w:tcPr>
          <w:p w:rsidR="004A4D33" w:rsidRPr="004A4D33" w:rsidRDefault="004A4D33" w:rsidP="00F96BC0">
            <w:pPr>
              <w:spacing w:after="40" w:line="300" w:lineRule="exact"/>
              <w:ind w:right="144"/>
              <w:jc w:val="center"/>
              <w:rPr>
                <w:rFonts w:hint="cs"/>
                <w:b/>
                <w:bCs/>
                <w:sz w:val="18"/>
                <w:szCs w:val="26"/>
                <w:rtl/>
              </w:rPr>
            </w:pPr>
            <w:r>
              <w:rPr>
                <w:rFonts w:hint="cs"/>
                <w:b/>
                <w:bCs/>
                <w:sz w:val="18"/>
                <w:szCs w:val="26"/>
                <w:rtl/>
              </w:rPr>
              <w:t>توزيع العاملات الريفيات البالغات من العمر 16 سنة أو أكثر، حسب الدخل الشهري</w:t>
            </w:r>
            <w:r>
              <w:rPr>
                <w:b/>
                <w:bCs/>
                <w:sz w:val="18"/>
                <w:szCs w:val="26"/>
                <w:rtl/>
              </w:rPr>
              <w:br/>
            </w:r>
            <w:r>
              <w:rPr>
                <w:rFonts w:hint="cs"/>
                <w:b/>
                <w:bCs/>
                <w:sz w:val="18"/>
                <w:szCs w:val="26"/>
                <w:rtl/>
              </w:rPr>
              <w:t>(كنسبة من الحد الأدنى للأجور) والعنصر/اللون، 2003</w:t>
            </w:r>
          </w:p>
        </w:tc>
      </w:tr>
      <w:tr w:rsidR="004A4D33" w:rsidRPr="001B18C5">
        <w:trPr>
          <w:cantSplit/>
          <w:tblHeader/>
          <w:jc w:val="center"/>
        </w:trPr>
        <w:tc>
          <w:tcPr>
            <w:tcW w:w="2885" w:type="dxa"/>
            <w:tcBorders>
              <w:top w:val="single" w:sz="4" w:space="0" w:color="auto"/>
            </w:tcBorders>
            <w:shd w:val="clear" w:color="auto" w:fill="auto"/>
            <w:vAlign w:val="bottom"/>
          </w:tcPr>
          <w:p w:rsidR="004A4D33" w:rsidRPr="001B18C5" w:rsidRDefault="004A4D33" w:rsidP="00F96BC0">
            <w:pPr>
              <w:spacing w:after="40" w:line="240" w:lineRule="exact"/>
              <w:rPr>
                <w:i/>
                <w:iCs/>
                <w:sz w:val="16"/>
                <w:szCs w:val="24"/>
              </w:rPr>
            </w:pPr>
          </w:p>
        </w:tc>
        <w:tc>
          <w:tcPr>
            <w:tcW w:w="4434" w:type="dxa"/>
            <w:gridSpan w:val="3"/>
            <w:tcBorders>
              <w:top w:val="single" w:sz="4" w:space="0" w:color="auto"/>
              <w:bottom w:val="single" w:sz="4" w:space="0" w:color="auto"/>
            </w:tcBorders>
            <w:shd w:val="clear" w:color="auto" w:fill="auto"/>
            <w:vAlign w:val="bottom"/>
          </w:tcPr>
          <w:p w:rsidR="004A4D33" w:rsidRPr="001B18C5" w:rsidRDefault="004A4D33" w:rsidP="00F96BC0">
            <w:pPr>
              <w:spacing w:after="40" w:line="240" w:lineRule="exact"/>
              <w:ind w:right="144"/>
              <w:jc w:val="center"/>
              <w:rPr>
                <w:rFonts w:hint="cs"/>
                <w:i/>
                <w:iCs/>
                <w:sz w:val="16"/>
                <w:szCs w:val="24"/>
                <w:rtl/>
              </w:rPr>
            </w:pPr>
            <w:r>
              <w:rPr>
                <w:rFonts w:hint="cs"/>
                <w:i/>
                <w:iCs/>
                <w:sz w:val="16"/>
                <w:szCs w:val="24"/>
                <w:rtl/>
              </w:rPr>
              <w:t>العمل الأساسي</w:t>
            </w:r>
          </w:p>
        </w:tc>
      </w:tr>
      <w:tr w:rsidR="004A4D33" w:rsidRPr="001B18C5">
        <w:trPr>
          <w:cantSplit/>
          <w:tblHeader/>
          <w:jc w:val="center"/>
        </w:trPr>
        <w:tc>
          <w:tcPr>
            <w:tcW w:w="2885" w:type="dxa"/>
            <w:shd w:val="clear" w:color="auto" w:fill="auto"/>
            <w:vAlign w:val="bottom"/>
          </w:tcPr>
          <w:p w:rsidR="004A4D33" w:rsidRPr="001B18C5" w:rsidRDefault="004A4D33" w:rsidP="00F96BC0">
            <w:pPr>
              <w:spacing w:after="40" w:line="240" w:lineRule="exact"/>
              <w:rPr>
                <w:i/>
                <w:iCs/>
                <w:sz w:val="16"/>
                <w:szCs w:val="24"/>
              </w:rPr>
            </w:pPr>
          </w:p>
        </w:tc>
        <w:tc>
          <w:tcPr>
            <w:tcW w:w="1545" w:type="dxa"/>
            <w:tcBorders>
              <w:top w:val="single" w:sz="4" w:space="0" w:color="auto"/>
            </w:tcBorders>
            <w:shd w:val="clear" w:color="auto" w:fill="auto"/>
            <w:vAlign w:val="bottom"/>
          </w:tcPr>
          <w:p w:rsidR="004A4D33" w:rsidRPr="001B18C5" w:rsidRDefault="004A4D33" w:rsidP="00F96BC0">
            <w:pPr>
              <w:spacing w:after="40" w:line="240" w:lineRule="exact"/>
              <w:ind w:right="144"/>
              <w:rPr>
                <w:rFonts w:hint="cs"/>
                <w:i/>
                <w:iCs/>
                <w:sz w:val="16"/>
                <w:szCs w:val="24"/>
                <w:rtl/>
              </w:rPr>
            </w:pPr>
          </w:p>
        </w:tc>
        <w:tc>
          <w:tcPr>
            <w:tcW w:w="2889" w:type="dxa"/>
            <w:gridSpan w:val="2"/>
            <w:tcBorders>
              <w:top w:val="single" w:sz="4" w:space="0" w:color="auto"/>
              <w:bottom w:val="single" w:sz="4" w:space="0" w:color="auto"/>
            </w:tcBorders>
            <w:shd w:val="clear" w:color="auto" w:fill="auto"/>
            <w:vAlign w:val="bottom"/>
          </w:tcPr>
          <w:p w:rsidR="004A4D33" w:rsidRPr="001B18C5" w:rsidRDefault="004A4D33" w:rsidP="00F96BC0">
            <w:pPr>
              <w:spacing w:after="40" w:line="240" w:lineRule="exact"/>
              <w:ind w:right="144"/>
              <w:jc w:val="center"/>
              <w:rPr>
                <w:rFonts w:hint="cs"/>
                <w:i/>
                <w:iCs/>
                <w:sz w:val="16"/>
                <w:szCs w:val="24"/>
                <w:rtl/>
              </w:rPr>
            </w:pPr>
            <w:r>
              <w:rPr>
                <w:rFonts w:hint="cs"/>
                <w:i/>
                <w:iCs/>
                <w:sz w:val="16"/>
                <w:szCs w:val="24"/>
                <w:rtl/>
              </w:rPr>
              <w:t>اللون أو العنصر</w:t>
            </w:r>
          </w:p>
        </w:tc>
      </w:tr>
      <w:tr w:rsidR="003314C9" w:rsidRPr="001B18C5">
        <w:trPr>
          <w:cantSplit/>
          <w:tblHeader/>
          <w:jc w:val="center"/>
        </w:trPr>
        <w:tc>
          <w:tcPr>
            <w:tcW w:w="2885" w:type="dxa"/>
            <w:tcBorders>
              <w:bottom w:val="single" w:sz="12" w:space="0" w:color="auto"/>
            </w:tcBorders>
            <w:shd w:val="clear" w:color="auto" w:fill="auto"/>
            <w:vAlign w:val="bottom"/>
          </w:tcPr>
          <w:p w:rsidR="003314C9" w:rsidRPr="001B18C5" w:rsidRDefault="004A4D33" w:rsidP="00F96BC0">
            <w:pPr>
              <w:spacing w:after="40" w:line="240" w:lineRule="exact"/>
              <w:rPr>
                <w:rFonts w:hint="cs"/>
                <w:i/>
                <w:iCs/>
                <w:sz w:val="16"/>
                <w:szCs w:val="24"/>
              </w:rPr>
            </w:pPr>
            <w:r>
              <w:rPr>
                <w:rFonts w:hint="cs"/>
                <w:i/>
                <w:iCs/>
                <w:sz w:val="16"/>
                <w:szCs w:val="24"/>
                <w:rtl/>
              </w:rPr>
              <w:t>النسبة من الحد الأدنى للأجور</w:t>
            </w:r>
          </w:p>
        </w:tc>
        <w:tc>
          <w:tcPr>
            <w:tcW w:w="1545" w:type="dxa"/>
            <w:tcBorders>
              <w:bottom w:val="single" w:sz="12" w:space="0" w:color="auto"/>
            </w:tcBorders>
            <w:shd w:val="clear" w:color="auto" w:fill="auto"/>
            <w:vAlign w:val="bottom"/>
          </w:tcPr>
          <w:p w:rsidR="003314C9" w:rsidRPr="001B18C5" w:rsidRDefault="004A4D33" w:rsidP="00F96BC0">
            <w:pPr>
              <w:spacing w:after="40" w:line="240" w:lineRule="exact"/>
              <w:ind w:right="144"/>
              <w:rPr>
                <w:rFonts w:hint="cs"/>
                <w:i/>
                <w:iCs/>
                <w:sz w:val="16"/>
                <w:szCs w:val="24"/>
                <w:rtl/>
              </w:rPr>
            </w:pPr>
            <w:r>
              <w:rPr>
                <w:rFonts w:hint="cs"/>
                <w:i/>
                <w:iCs/>
                <w:sz w:val="16"/>
                <w:szCs w:val="24"/>
                <w:rtl/>
              </w:rPr>
              <w:t>المجموع</w:t>
            </w:r>
          </w:p>
        </w:tc>
        <w:tc>
          <w:tcPr>
            <w:tcW w:w="1442" w:type="dxa"/>
            <w:tcBorders>
              <w:top w:val="single" w:sz="4" w:space="0" w:color="auto"/>
              <w:bottom w:val="single" w:sz="12" w:space="0" w:color="auto"/>
            </w:tcBorders>
            <w:shd w:val="clear" w:color="auto" w:fill="auto"/>
            <w:vAlign w:val="bottom"/>
          </w:tcPr>
          <w:p w:rsidR="003314C9" w:rsidRPr="001B18C5" w:rsidRDefault="004A4D33" w:rsidP="00F96BC0">
            <w:pPr>
              <w:spacing w:after="40" w:line="240" w:lineRule="exact"/>
              <w:ind w:right="144"/>
              <w:rPr>
                <w:rFonts w:hint="cs"/>
                <w:i/>
                <w:iCs/>
                <w:sz w:val="16"/>
                <w:szCs w:val="24"/>
                <w:rtl/>
              </w:rPr>
            </w:pPr>
            <w:r>
              <w:rPr>
                <w:rFonts w:hint="cs"/>
                <w:i/>
                <w:iCs/>
                <w:sz w:val="16"/>
                <w:szCs w:val="24"/>
                <w:rtl/>
              </w:rPr>
              <w:t>بيض</w:t>
            </w:r>
          </w:p>
        </w:tc>
        <w:tc>
          <w:tcPr>
            <w:tcW w:w="1447" w:type="dxa"/>
            <w:tcBorders>
              <w:top w:val="single" w:sz="4" w:space="0" w:color="auto"/>
              <w:bottom w:val="single" w:sz="12" w:space="0" w:color="auto"/>
            </w:tcBorders>
            <w:shd w:val="clear" w:color="auto" w:fill="auto"/>
            <w:vAlign w:val="bottom"/>
          </w:tcPr>
          <w:p w:rsidR="003314C9" w:rsidRPr="001B18C5" w:rsidRDefault="004A4D33" w:rsidP="00F96BC0">
            <w:pPr>
              <w:spacing w:after="40" w:line="240" w:lineRule="exact"/>
              <w:ind w:right="144"/>
              <w:rPr>
                <w:rFonts w:hint="cs"/>
                <w:i/>
                <w:iCs/>
                <w:sz w:val="16"/>
                <w:szCs w:val="24"/>
                <w:rtl/>
              </w:rPr>
            </w:pPr>
            <w:r>
              <w:rPr>
                <w:rFonts w:hint="cs"/>
                <w:i/>
                <w:iCs/>
                <w:sz w:val="16"/>
                <w:szCs w:val="24"/>
                <w:rtl/>
              </w:rPr>
              <w:t>سود</w:t>
            </w:r>
          </w:p>
        </w:tc>
      </w:tr>
      <w:tr w:rsidR="003314C9" w:rsidRPr="001B18C5">
        <w:trPr>
          <w:cantSplit/>
          <w:jc w:val="center"/>
        </w:trPr>
        <w:tc>
          <w:tcPr>
            <w:tcW w:w="2885" w:type="dxa"/>
            <w:shd w:val="clear" w:color="auto" w:fill="auto"/>
            <w:vAlign w:val="bottom"/>
          </w:tcPr>
          <w:p w:rsidR="003314C9" w:rsidRPr="001B18C5" w:rsidRDefault="004A4D33" w:rsidP="00F96BC0">
            <w:pPr>
              <w:spacing w:after="40" w:line="240" w:lineRule="exact"/>
              <w:rPr>
                <w:rFonts w:hint="cs"/>
                <w:sz w:val="16"/>
                <w:szCs w:val="24"/>
                <w:lang w:eastAsia="pt-BR"/>
              </w:rPr>
            </w:pPr>
            <w:r>
              <w:rPr>
                <w:rFonts w:hint="cs"/>
                <w:sz w:val="16"/>
                <w:szCs w:val="24"/>
                <w:rtl/>
                <w:lang w:eastAsia="pt-BR"/>
              </w:rPr>
              <w:t>ربع أو أقل من الحد الأدنى للأجور</w:t>
            </w:r>
          </w:p>
        </w:tc>
        <w:tc>
          <w:tcPr>
            <w:tcW w:w="1545"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67</w:t>
            </w:r>
            <w:r w:rsidRPr="001B18C5">
              <w:rPr>
                <w:sz w:val="16"/>
                <w:szCs w:val="24"/>
              </w:rPr>
              <w:t>,</w:t>
            </w:r>
            <w:r w:rsidRPr="001B18C5">
              <w:rPr>
                <w:rFonts w:hint="cs"/>
                <w:sz w:val="16"/>
                <w:szCs w:val="24"/>
                <w:rtl/>
              </w:rPr>
              <w:t>8</w:t>
            </w:r>
          </w:p>
        </w:tc>
        <w:tc>
          <w:tcPr>
            <w:tcW w:w="1442"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64</w:t>
            </w:r>
            <w:r w:rsidRPr="001B18C5">
              <w:rPr>
                <w:sz w:val="16"/>
                <w:szCs w:val="24"/>
              </w:rPr>
              <w:t>,</w:t>
            </w:r>
            <w:r w:rsidRPr="001B18C5">
              <w:rPr>
                <w:rFonts w:hint="cs"/>
                <w:sz w:val="16"/>
                <w:szCs w:val="24"/>
                <w:rtl/>
              </w:rPr>
              <w:t>8</w:t>
            </w:r>
          </w:p>
        </w:tc>
        <w:tc>
          <w:tcPr>
            <w:tcW w:w="1447"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70</w:t>
            </w:r>
            <w:r w:rsidRPr="001B18C5">
              <w:rPr>
                <w:sz w:val="16"/>
                <w:szCs w:val="24"/>
              </w:rPr>
              <w:t>,</w:t>
            </w:r>
            <w:r w:rsidRPr="001B18C5">
              <w:rPr>
                <w:rFonts w:hint="cs"/>
                <w:sz w:val="16"/>
                <w:szCs w:val="24"/>
                <w:rtl/>
              </w:rPr>
              <w:t>2</w:t>
            </w:r>
          </w:p>
        </w:tc>
      </w:tr>
      <w:tr w:rsidR="003314C9" w:rsidRPr="001B18C5">
        <w:trPr>
          <w:cantSplit/>
          <w:jc w:val="center"/>
        </w:trPr>
        <w:tc>
          <w:tcPr>
            <w:tcW w:w="2885" w:type="dxa"/>
            <w:shd w:val="clear" w:color="auto" w:fill="auto"/>
            <w:vAlign w:val="bottom"/>
          </w:tcPr>
          <w:p w:rsidR="003314C9" w:rsidRPr="001B18C5" w:rsidRDefault="004A4D33" w:rsidP="00F96BC0">
            <w:pPr>
              <w:spacing w:after="40" w:line="240" w:lineRule="exact"/>
              <w:rPr>
                <w:rFonts w:hint="cs"/>
                <w:sz w:val="16"/>
                <w:szCs w:val="24"/>
                <w:lang w:eastAsia="pt-BR"/>
              </w:rPr>
            </w:pPr>
            <w:r>
              <w:rPr>
                <w:rFonts w:hint="cs"/>
                <w:sz w:val="16"/>
                <w:szCs w:val="24"/>
                <w:rtl/>
                <w:lang w:eastAsia="pt-BR"/>
              </w:rPr>
              <w:t>من ربع إلى نصف الحد الأدنى للأجور</w:t>
            </w:r>
          </w:p>
        </w:tc>
        <w:tc>
          <w:tcPr>
            <w:tcW w:w="1545"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7</w:t>
            </w:r>
            <w:r w:rsidRPr="001B18C5">
              <w:rPr>
                <w:sz w:val="16"/>
                <w:szCs w:val="24"/>
              </w:rPr>
              <w:t>,</w:t>
            </w:r>
            <w:r w:rsidRPr="001B18C5">
              <w:rPr>
                <w:rFonts w:hint="cs"/>
                <w:sz w:val="16"/>
                <w:szCs w:val="24"/>
                <w:rtl/>
              </w:rPr>
              <w:t>4</w:t>
            </w:r>
          </w:p>
        </w:tc>
        <w:tc>
          <w:tcPr>
            <w:tcW w:w="1442"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5</w:t>
            </w:r>
            <w:r w:rsidRPr="001B18C5">
              <w:rPr>
                <w:sz w:val="16"/>
                <w:szCs w:val="24"/>
              </w:rPr>
              <w:t>,</w:t>
            </w:r>
            <w:r w:rsidRPr="001B18C5">
              <w:rPr>
                <w:rFonts w:hint="cs"/>
                <w:sz w:val="16"/>
                <w:szCs w:val="24"/>
                <w:rtl/>
              </w:rPr>
              <w:t>3</w:t>
            </w:r>
          </w:p>
        </w:tc>
        <w:tc>
          <w:tcPr>
            <w:tcW w:w="1447" w:type="dxa"/>
            <w:shd w:val="clear" w:color="auto" w:fill="auto"/>
            <w:vAlign w:val="bottom"/>
          </w:tcPr>
          <w:p w:rsidR="003314C9" w:rsidRPr="001B18C5" w:rsidRDefault="003314C9" w:rsidP="00F96BC0">
            <w:pPr>
              <w:bidi w:val="0"/>
              <w:spacing w:after="40" w:line="240" w:lineRule="exact"/>
              <w:ind w:right="33"/>
              <w:jc w:val="right"/>
              <w:rPr>
                <w:sz w:val="16"/>
                <w:szCs w:val="24"/>
                <w:lang w:eastAsia="pt-BR"/>
              </w:rPr>
            </w:pPr>
            <w:r w:rsidRPr="001B18C5">
              <w:rPr>
                <w:rFonts w:hint="cs"/>
                <w:sz w:val="16"/>
                <w:szCs w:val="24"/>
                <w:rtl/>
              </w:rPr>
              <w:t>9</w:t>
            </w:r>
            <w:r w:rsidRPr="001B18C5">
              <w:rPr>
                <w:sz w:val="16"/>
                <w:szCs w:val="24"/>
              </w:rPr>
              <w:t>,</w:t>
            </w:r>
            <w:r w:rsidRPr="001B18C5">
              <w:rPr>
                <w:rFonts w:hint="cs"/>
                <w:sz w:val="16"/>
                <w:szCs w:val="24"/>
                <w:rtl/>
              </w:rPr>
              <w:t>2</w:t>
            </w:r>
          </w:p>
        </w:tc>
      </w:tr>
      <w:tr w:rsidR="003314C9" w:rsidRPr="001B18C5">
        <w:trPr>
          <w:cantSplit/>
          <w:jc w:val="center"/>
        </w:trPr>
        <w:tc>
          <w:tcPr>
            <w:tcW w:w="2885" w:type="dxa"/>
            <w:shd w:val="clear" w:color="auto" w:fill="auto"/>
            <w:vAlign w:val="bottom"/>
          </w:tcPr>
          <w:p w:rsidR="003314C9" w:rsidRPr="001B18C5" w:rsidRDefault="004A4D33" w:rsidP="00F96BC0">
            <w:pPr>
              <w:spacing w:after="40" w:line="240" w:lineRule="exact"/>
              <w:rPr>
                <w:rFonts w:hint="cs"/>
                <w:sz w:val="16"/>
                <w:szCs w:val="24"/>
                <w:lang w:eastAsia="pt-BR"/>
              </w:rPr>
            </w:pPr>
            <w:r>
              <w:rPr>
                <w:rFonts w:hint="cs"/>
                <w:sz w:val="16"/>
                <w:szCs w:val="24"/>
                <w:rtl/>
                <w:lang w:eastAsia="pt-BR"/>
              </w:rPr>
              <w:t>من نصف إلى الحد الأدنى للأجور</w:t>
            </w:r>
          </w:p>
        </w:tc>
        <w:tc>
          <w:tcPr>
            <w:tcW w:w="1545"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5</w:t>
            </w:r>
            <w:r w:rsidRPr="001B18C5">
              <w:rPr>
                <w:sz w:val="16"/>
                <w:szCs w:val="24"/>
              </w:rPr>
              <w:t>,</w:t>
            </w:r>
            <w:r w:rsidRPr="001B18C5">
              <w:rPr>
                <w:rFonts w:hint="cs"/>
                <w:sz w:val="16"/>
                <w:szCs w:val="24"/>
                <w:rtl/>
              </w:rPr>
              <w:t>5</w:t>
            </w:r>
          </w:p>
        </w:tc>
        <w:tc>
          <w:tcPr>
            <w:tcW w:w="1442"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5</w:t>
            </w:r>
            <w:r w:rsidRPr="001B18C5">
              <w:rPr>
                <w:sz w:val="16"/>
                <w:szCs w:val="24"/>
              </w:rPr>
              <w:t>,</w:t>
            </w:r>
            <w:r w:rsidRPr="001B18C5">
              <w:rPr>
                <w:rFonts w:hint="cs"/>
                <w:sz w:val="16"/>
                <w:szCs w:val="24"/>
                <w:rtl/>
              </w:rPr>
              <w:t>4</w:t>
            </w:r>
          </w:p>
        </w:tc>
        <w:tc>
          <w:tcPr>
            <w:tcW w:w="1447"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5</w:t>
            </w:r>
            <w:r w:rsidRPr="001B18C5">
              <w:rPr>
                <w:sz w:val="16"/>
                <w:szCs w:val="24"/>
              </w:rPr>
              <w:t>,</w:t>
            </w:r>
            <w:r w:rsidRPr="001B18C5">
              <w:rPr>
                <w:rFonts w:hint="cs"/>
                <w:sz w:val="16"/>
                <w:szCs w:val="24"/>
                <w:rtl/>
              </w:rPr>
              <w:t>6</w:t>
            </w:r>
          </w:p>
        </w:tc>
      </w:tr>
      <w:tr w:rsidR="003314C9" w:rsidRPr="001B18C5">
        <w:trPr>
          <w:cantSplit/>
          <w:jc w:val="center"/>
        </w:trPr>
        <w:tc>
          <w:tcPr>
            <w:tcW w:w="2885" w:type="dxa"/>
            <w:shd w:val="clear" w:color="auto" w:fill="auto"/>
            <w:vAlign w:val="bottom"/>
          </w:tcPr>
          <w:p w:rsidR="003314C9" w:rsidRPr="001B18C5" w:rsidRDefault="004A4D33" w:rsidP="00F96BC0">
            <w:pPr>
              <w:spacing w:after="40" w:line="240" w:lineRule="exact"/>
              <w:rPr>
                <w:rFonts w:hint="cs"/>
                <w:sz w:val="16"/>
                <w:szCs w:val="24"/>
                <w:lang w:eastAsia="pt-BR"/>
              </w:rPr>
            </w:pPr>
            <w:r>
              <w:rPr>
                <w:rFonts w:hint="cs"/>
                <w:sz w:val="16"/>
                <w:szCs w:val="24"/>
                <w:rtl/>
                <w:lang w:eastAsia="pt-BR"/>
              </w:rPr>
              <w:t>الحد الأدنى للأجور</w:t>
            </w:r>
          </w:p>
        </w:tc>
        <w:tc>
          <w:tcPr>
            <w:tcW w:w="1545"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6</w:t>
            </w:r>
            <w:r w:rsidRPr="001B18C5">
              <w:rPr>
                <w:sz w:val="16"/>
                <w:szCs w:val="24"/>
              </w:rPr>
              <w:t>,</w:t>
            </w:r>
            <w:r w:rsidRPr="001B18C5">
              <w:rPr>
                <w:rFonts w:hint="cs"/>
                <w:sz w:val="16"/>
                <w:szCs w:val="24"/>
                <w:rtl/>
              </w:rPr>
              <w:t>6</w:t>
            </w:r>
          </w:p>
        </w:tc>
        <w:tc>
          <w:tcPr>
            <w:tcW w:w="1442"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5</w:t>
            </w:r>
            <w:r w:rsidRPr="001B18C5">
              <w:rPr>
                <w:sz w:val="16"/>
                <w:szCs w:val="24"/>
              </w:rPr>
              <w:t>,</w:t>
            </w:r>
            <w:r w:rsidRPr="001B18C5">
              <w:rPr>
                <w:rFonts w:hint="cs"/>
                <w:sz w:val="16"/>
                <w:szCs w:val="24"/>
                <w:rtl/>
              </w:rPr>
              <w:t>9</w:t>
            </w:r>
          </w:p>
        </w:tc>
        <w:tc>
          <w:tcPr>
            <w:tcW w:w="1447" w:type="dxa"/>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7</w:t>
            </w:r>
            <w:r w:rsidRPr="001B18C5">
              <w:rPr>
                <w:sz w:val="16"/>
                <w:szCs w:val="24"/>
              </w:rPr>
              <w:t>,</w:t>
            </w:r>
            <w:r w:rsidRPr="001B18C5">
              <w:rPr>
                <w:rFonts w:hint="cs"/>
                <w:sz w:val="16"/>
                <w:szCs w:val="24"/>
                <w:rtl/>
              </w:rPr>
              <w:t>2</w:t>
            </w:r>
          </w:p>
        </w:tc>
      </w:tr>
      <w:tr w:rsidR="003314C9" w:rsidRPr="001B18C5">
        <w:trPr>
          <w:cantSplit/>
          <w:jc w:val="center"/>
        </w:trPr>
        <w:tc>
          <w:tcPr>
            <w:tcW w:w="2885" w:type="dxa"/>
            <w:tcBorders>
              <w:bottom w:val="single" w:sz="4" w:space="0" w:color="auto"/>
            </w:tcBorders>
            <w:shd w:val="clear" w:color="auto" w:fill="auto"/>
            <w:vAlign w:val="bottom"/>
          </w:tcPr>
          <w:p w:rsidR="003314C9" w:rsidRPr="001B18C5" w:rsidRDefault="004A4D33" w:rsidP="00F96BC0">
            <w:pPr>
              <w:spacing w:after="40" w:line="240" w:lineRule="exact"/>
              <w:rPr>
                <w:rFonts w:hint="cs"/>
                <w:sz w:val="16"/>
                <w:szCs w:val="24"/>
                <w:lang w:eastAsia="pt-BR"/>
              </w:rPr>
            </w:pPr>
            <w:r>
              <w:rPr>
                <w:rFonts w:hint="cs"/>
                <w:sz w:val="16"/>
                <w:szCs w:val="24"/>
                <w:rtl/>
                <w:lang w:eastAsia="pt-BR"/>
              </w:rPr>
              <w:t>أكبر من الحد الأدنى للأجور</w:t>
            </w:r>
          </w:p>
        </w:tc>
        <w:tc>
          <w:tcPr>
            <w:tcW w:w="1545" w:type="dxa"/>
            <w:tcBorders>
              <w:bottom w:val="single" w:sz="4" w:space="0" w:color="auto"/>
            </w:tcBorders>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12</w:t>
            </w:r>
            <w:r w:rsidRPr="001B18C5">
              <w:rPr>
                <w:sz w:val="16"/>
                <w:szCs w:val="24"/>
              </w:rPr>
              <w:t>,</w:t>
            </w:r>
            <w:r w:rsidRPr="001B18C5">
              <w:rPr>
                <w:rFonts w:hint="cs"/>
                <w:sz w:val="16"/>
                <w:szCs w:val="24"/>
                <w:rtl/>
              </w:rPr>
              <w:t>6</w:t>
            </w:r>
          </w:p>
        </w:tc>
        <w:tc>
          <w:tcPr>
            <w:tcW w:w="1442" w:type="dxa"/>
            <w:tcBorders>
              <w:bottom w:val="single" w:sz="4" w:space="0" w:color="auto"/>
            </w:tcBorders>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18</w:t>
            </w:r>
            <w:r w:rsidRPr="001B18C5">
              <w:rPr>
                <w:sz w:val="16"/>
                <w:szCs w:val="24"/>
              </w:rPr>
              <w:t>,</w:t>
            </w:r>
            <w:r w:rsidRPr="001B18C5">
              <w:rPr>
                <w:rFonts w:hint="cs"/>
                <w:sz w:val="16"/>
                <w:szCs w:val="24"/>
                <w:rtl/>
              </w:rPr>
              <w:t>5</w:t>
            </w:r>
          </w:p>
        </w:tc>
        <w:tc>
          <w:tcPr>
            <w:tcW w:w="1447" w:type="dxa"/>
            <w:tcBorders>
              <w:bottom w:val="single" w:sz="4" w:space="0" w:color="auto"/>
            </w:tcBorders>
            <w:shd w:val="clear" w:color="auto" w:fill="auto"/>
            <w:vAlign w:val="bottom"/>
          </w:tcPr>
          <w:p w:rsidR="003314C9" w:rsidRPr="001B18C5" w:rsidRDefault="003314C9" w:rsidP="00F96BC0">
            <w:pPr>
              <w:bidi w:val="0"/>
              <w:spacing w:after="40" w:line="240" w:lineRule="exact"/>
              <w:jc w:val="right"/>
              <w:rPr>
                <w:sz w:val="16"/>
                <w:szCs w:val="24"/>
                <w:lang w:eastAsia="pt-BR"/>
              </w:rPr>
            </w:pPr>
            <w:r w:rsidRPr="001B18C5">
              <w:rPr>
                <w:rFonts w:hint="cs"/>
                <w:sz w:val="16"/>
                <w:szCs w:val="24"/>
                <w:rtl/>
              </w:rPr>
              <w:t>7</w:t>
            </w:r>
            <w:r w:rsidRPr="001B18C5">
              <w:rPr>
                <w:sz w:val="16"/>
                <w:szCs w:val="24"/>
              </w:rPr>
              <w:t>,</w:t>
            </w:r>
            <w:r w:rsidRPr="001B18C5">
              <w:rPr>
                <w:rFonts w:hint="cs"/>
                <w:sz w:val="16"/>
                <w:szCs w:val="24"/>
                <w:rtl/>
              </w:rPr>
              <w:t>7</w:t>
            </w:r>
          </w:p>
        </w:tc>
      </w:tr>
      <w:tr w:rsidR="003314C9" w:rsidRPr="001B18C5">
        <w:trPr>
          <w:cantSplit/>
          <w:jc w:val="center"/>
        </w:trPr>
        <w:tc>
          <w:tcPr>
            <w:tcW w:w="2885" w:type="dxa"/>
            <w:tcBorders>
              <w:top w:val="single" w:sz="4" w:space="0" w:color="auto"/>
              <w:bottom w:val="single" w:sz="12" w:space="0" w:color="auto"/>
            </w:tcBorders>
            <w:shd w:val="clear" w:color="auto" w:fill="auto"/>
            <w:vAlign w:val="bottom"/>
          </w:tcPr>
          <w:p w:rsidR="003314C9" w:rsidRPr="004A4D33" w:rsidRDefault="004A4D33" w:rsidP="00F96BC0">
            <w:pPr>
              <w:spacing w:after="40" w:line="240" w:lineRule="exact"/>
              <w:rPr>
                <w:rFonts w:hint="cs"/>
                <w:b/>
                <w:bCs/>
                <w:sz w:val="16"/>
                <w:szCs w:val="24"/>
                <w:lang w:eastAsia="pt-BR"/>
              </w:rPr>
            </w:pPr>
            <w:r w:rsidRPr="004A4D33">
              <w:rPr>
                <w:rFonts w:hint="cs"/>
                <w:b/>
                <w:bCs/>
                <w:sz w:val="16"/>
                <w:szCs w:val="24"/>
                <w:rtl/>
                <w:lang w:eastAsia="pt-BR"/>
              </w:rPr>
              <w:t>المجموع</w:t>
            </w:r>
          </w:p>
        </w:tc>
        <w:tc>
          <w:tcPr>
            <w:tcW w:w="1545" w:type="dxa"/>
            <w:tcBorders>
              <w:top w:val="single" w:sz="4" w:space="0" w:color="auto"/>
              <w:bottom w:val="single" w:sz="12" w:space="0" w:color="auto"/>
            </w:tcBorders>
            <w:shd w:val="clear" w:color="auto" w:fill="auto"/>
            <w:vAlign w:val="bottom"/>
          </w:tcPr>
          <w:p w:rsidR="003314C9" w:rsidRPr="004A4D33" w:rsidRDefault="003314C9" w:rsidP="00F96BC0">
            <w:pPr>
              <w:bidi w:val="0"/>
              <w:spacing w:after="40" w:line="240" w:lineRule="exact"/>
              <w:ind w:right="144"/>
              <w:jc w:val="right"/>
              <w:rPr>
                <w:b/>
                <w:bCs/>
                <w:sz w:val="16"/>
                <w:szCs w:val="24"/>
                <w:lang w:eastAsia="pt-BR"/>
              </w:rPr>
            </w:pPr>
            <w:r w:rsidRPr="004A4D33">
              <w:rPr>
                <w:rFonts w:hint="cs"/>
                <w:b/>
                <w:bCs/>
                <w:sz w:val="16"/>
                <w:szCs w:val="24"/>
                <w:rtl/>
              </w:rPr>
              <w:t>100</w:t>
            </w:r>
            <w:r w:rsidRPr="004A4D33">
              <w:rPr>
                <w:b/>
                <w:bCs/>
                <w:sz w:val="16"/>
                <w:szCs w:val="24"/>
              </w:rPr>
              <w:t>,</w:t>
            </w:r>
            <w:r w:rsidRPr="004A4D33">
              <w:rPr>
                <w:rFonts w:hint="cs"/>
                <w:b/>
                <w:bCs/>
                <w:sz w:val="16"/>
                <w:szCs w:val="24"/>
                <w:rtl/>
              </w:rPr>
              <w:t>0</w:t>
            </w:r>
          </w:p>
        </w:tc>
        <w:tc>
          <w:tcPr>
            <w:tcW w:w="1442" w:type="dxa"/>
            <w:tcBorders>
              <w:top w:val="single" w:sz="4" w:space="0" w:color="auto"/>
              <w:bottom w:val="single" w:sz="12" w:space="0" w:color="auto"/>
            </w:tcBorders>
            <w:shd w:val="clear" w:color="auto" w:fill="auto"/>
            <w:vAlign w:val="bottom"/>
          </w:tcPr>
          <w:p w:rsidR="003314C9" w:rsidRPr="004A4D33" w:rsidRDefault="003314C9" w:rsidP="00F96BC0">
            <w:pPr>
              <w:bidi w:val="0"/>
              <w:spacing w:after="40" w:line="240" w:lineRule="exact"/>
              <w:ind w:right="144"/>
              <w:jc w:val="right"/>
              <w:rPr>
                <w:b/>
                <w:bCs/>
                <w:sz w:val="16"/>
                <w:szCs w:val="24"/>
                <w:lang w:eastAsia="pt-BR"/>
              </w:rPr>
            </w:pPr>
            <w:r w:rsidRPr="004A4D33">
              <w:rPr>
                <w:rFonts w:hint="cs"/>
                <w:b/>
                <w:bCs/>
                <w:sz w:val="16"/>
                <w:szCs w:val="24"/>
                <w:rtl/>
              </w:rPr>
              <w:t>100</w:t>
            </w:r>
            <w:r w:rsidRPr="004A4D33">
              <w:rPr>
                <w:b/>
                <w:bCs/>
                <w:sz w:val="16"/>
                <w:szCs w:val="24"/>
              </w:rPr>
              <w:t>,</w:t>
            </w:r>
            <w:r w:rsidRPr="004A4D33">
              <w:rPr>
                <w:rFonts w:hint="cs"/>
                <w:b/>
                <w:bCs/>
                <w:sz w:val="16"/>
                <w:szCs w:val="24"/>
                <w:rtl/>
              </w:rPr>
              <w:t>0</w:t>
            </w:r>
          </w:p>
        </w:tc>
        <w:tc>
          <w:tcPr>
            <w:tcW w:w="1447" w:type="dxa"/>
            <w:tcBorders>
              <w:top w:val="single" w:sz="4" w:space="0" w:color="auto"/>
              <w:bottom w:val="single" w:sz="12" w:space="0" w:color="auto"/>
            </w:tcBorders>
            <w:shd w:val="clear" w:color="auto" w:fill="auto"/>
            <w:vAlign w:val="bottom"/>
          </w:tcPr>
          <w:p w:rsidR="003314C9" w:rsidRPr="004A4D33" w:rsidRDefault="003314C9" w:rsidP="00F96BC0">
            <w:pPr>
              <w:bidi w:val="0"/>
              <w:spacing w:after="40" w:line="240" w:lineRule="exact"/>
              <w:ind w:right="144"/>
              <w:jc w:val="right"/>
              <w:rPr>
                <w:b/>
                <w:bCs/>
                <w:sz w:val="16"/>
                <w:szCs w:val="24"/>
                <w:lang w:eastAsia="pt-BR"/>
              </w:rPr>
            </w:pPr>
            <w:r w:rsidRPr="004A4D33">
              <w:rPr>
                <w:rFonts w:hint="cs"/>
                <w:b/>
                <w:bCs/>
                <w:sz w:val="16"/>
                <w:szCs w:val="24"/>
                <w:rtl/>
              </w:rPr>
              <w:t>100</w:t>
            </w:r>
            <w:r w:rsidRPr="004A4D33">
              <w:rPr>
                <w:b/>
                <w:bCs/>
                <w:sz w:val="16"/>
                <w:szCs w:val="24"/>
              </w:rPr>
              <w:t>,</w:t>
            </w:r>
            <w:r w:rsidRPr="004A4D33">
              <w:rPr>
                <w:rFonts w:hint="cs"/>
                <w:b/>
                <w:bCs/>
                <w:sz w:val="16"/>
                <w:szCs w:val="24"/>
                <w:rtl/>
              </w:rPr>
              <w:t>0</w:t>
            </w:r>
          </w:p>
        </w:tc>
      </w:tr>
    </w:tbl>
    <w:p w:rsidR="00C37212" w:rsidRPr="00C37212" w:rsidRDefault="00C37212" w:rsidP="00C3721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4A4D33" w:rsidRPr="00F96BC0" w:rsidRDefault="004A4D33" w:rsidP="00E1629D">
      <w:pPr>
        <w:pStyle w:val="FootnoteText"/>
        <w:tabs>
          <w:tab w:val="clear" w:pos="418"/>
          <w:tab w:val="right" w:pos="1915"/>
          <w:tab w:val="left" w:pos="2016"/>
          <w:tab w:val="left" w:pos="2491"/>
          <w:tab w:val="left" w:pos="2966"/>
          <w:tab w:val="left" w:pos="3442"/>
          <w:tab w:val="left" w:pos="3917"/>
        </w:tabs>
        <w:spacing w:line="260" w:lineRule="exact"/>
        <w:ind w:left="2030" w:right="1267" w:hanging="763"/>
        <w:rPr>
          <w:rFonts w:hint="cs"/>
          <w:sz w:val="15"/>
          <w:szCs w:val="24"/>
          <w:rtl/>
          <w:lang w:bidi="ar-EG"/>
        </w:rPr>
      </w:pPr>
      <w:r w:rsidRPr="00F96BC0">
        <w:rPr>
          <w:rFonts w:hint="cs"/>
          <w:sz w:val="15"/>
          <w:szCs w:val="24"/>
          <w:rtl/>
          <w:lang w:bidi="ar-EG"/>
        </w:rPr>
        <w:tab/>
      </w:r>
      <w:r w:rsidRPr="00F96BC0">
        <w:rPr>
          <w:rFonts w:hint="cs"/>
          <w:i/>
          <w:iCs/>
          <w:sz w:val="15"/>
          <w:szCs w:val="24"/>
          <w:rtl/>
          <w:lang w:bidi="ar-EG"/>
        </w:rPr>
        <w:t>المصدر</w:t>
      </w:r>
      <w:r w:rsidRPr="00F96BC0">
        <w:rPr>
          <w:rFonts w:hint="cs"/>
          <w:sz w:val="15"/>
          <w:szCs w:val="24"/>
          <w:rtl/>
          <w:lang w:bidi="ar-EG"/>
        </w:rPr>
        <w:t>:</w:t>
      </w:r>
      <w:r w:rsidRPr="00F96BC0">
        <w:rPr>
          <w:rFonts w:hint="cs"/>
          <w:sz w:val="15"/>
          <w:szCs w:val="24"/>
          <w:rtl/>
          <w:lang w:bidi="ar-EG"/>
        </w:rPr>
        <w:tab/>
        <w:t>المعهد البرازيلي للجغرافيا والإحصاءات - بيانات جزئية - الدراسات الاستقصائية الوطنية لعينات من الأسر المعيشية 2003.</w:t>
      </w:r>
    </w:p>
    <w:p w:rsidR="004A4D33" w:rsidRPr="00F96BC0" w:rsidRDefault="004A4D33" w:rsidP="00F96BC0">
      <w:pPr>
        <w:pStyle w:val="FootnoteText"/>
        <w:tabs>
          <w:tab w:val="clear" w:pos="418"/>
          <w:tab w:val="right" w:pos="1915"/>
          <w:tab w:val="left" w:pos="2016"/>
          <w:tab w:val="left" w:pos="2491"/>
          <w:tab w:val="left" w:pos="2966"/>
          <w:tab w:val="left" w:pos="3442"/>
          <w:tab w:val="left" w:pos="3917"/>
        </w:tabs>
        <w:spacing w:line="260" w:lineRule="exact"/>
        <w:ind w:left="2030" w:right="1267" w:hanging="763"/>
        <w:rPr>
          <w:rFonts w:hint="cs"/>
          <w:sz w:val="15"/>
          <w:szCs w:val="24"/>
          <w:rtl/>
          <w:lang w:bidi="ar-EG"/>
        </w:rPr>
      </w:pPr>
      <w:r w:rsidRPr="00F96BC0">
        <w:rPr>
          <w:rFonts w:hint="cs"/>
          <w:sz w:val="15"/>
          <w:szCs w:val="24"/>
          <w:rtl/>
          <w:lang w:bidi="ar-EG"/>
        </w:rPr>
        <w:tab/>
      </w:r>
      <w:r w:rsidRPr="00F96BC0">
        <w:rPr>
          <w:rFonts w:hint="cs"/>
          <w:i/>
          <w:iCs/>
          <w:sz w:val="15"/>
          <w:szCs w:val="24"/>
          <w:rtl/>
          <w:lang w:bidi="ar-EG"/>
        </w:rPr>
        <w:t>الإعداد</w:t>
      </w:r>
      <w:r w:rsidRPr="00F96BC0">
        <w:rPr>
          <w:rFonts w:hint="cs"/>
          <w:sz w:val="15"/>
          <w:szCs w:val="24"/>
          <w:rtl/>
          <w:lang w:bidi="ar-EG"/>
        </w:rPr>
        <w:t>:</w:t>
      </w:r>
      <w:r w:rsidRPr="00F96BC0">
        <w:rPr>
          <w:rFonts w:hint="cs"/>
          <w:sz w:val="15"/>
          <w:szCs w:val="24"/>
          <w:rtl/>
          <w:lang w:bidi="ar-EG"/>
        </w:rPr>
        <w:tab/>
        <w:t>معهد البحوث الاقتصادية التطبيقية/إدارة الدراسات الاجتماعية.</w:t>
      </w:r>
    </w:p>
    <w:p w:rsidR="003314C9" w:rsidRDefault="006372F4" w:rsidP="002A1045">
      <w:pPr>
        <w:pStyle w:val="SingleTxt"/>
        <w:rPr>
          <w:rFonts w:hint="cs"/>
          <w:rtl/>
          <w:lang w:bidi="ar-EG"/>
        </w:rPr>
      </w:pPr>
      <w:r>
        <w:rPr>
          <w:rFonts w:hint="cs"/>
          <w:rtl/>
          <w:lang w:bidi="ar-EG"/>
        </w:rPr>
        <w:tab/>
        <w:t>وأخيرا، فتحليل مؤشرات تغطية الضمان الاجتماعي له صلة وثيقة بهذه المسألة. ويكفل الدستور الاتحادي لعام 1988 إمكانية حصول العمال في الريف على استحقاقات التقاعد في سن يقل 5 سنوات عن سن تقاعد العمال في الحضر. وهذا مشروع معاش تقاعدي غير إسهامي لمن يعملون في النظام الزراعي الأسري. وعلى أي حال، يجب على الشخص أن يبرهن على أنه يمارس العمل الريفي بالفعل. ويمكن القيام بذلك، على سبيل المثال، عن طريق تقديم إثبات عضوية في نقابة، أو ملكية أرض، أو وجود اسم الشخص في إيصالات سلع التجزئة في حالة العمال الذين يسهمون في النظام الخاص للتقاعد في الريف.</w:t>
      </w:r>
    </w:p>
    <w:p w:rsidR="006372F4" w:rsidRDefault="006372F4" w:rsidP="00E1629D">
      <w:pPr>
        <w:pStyle w:val="SingleTxt"/>
        <w:rPr>
          <w:rFonts w:hint="cs"/>
          <w:rtl/>
          <w:lang w:bidi="ar-EG"/>
        </w:rPr>
      </w:pPr>
      <w:r>
        <w:rPr>
          <w:rFonts w:hint="cs"/>
          <w:rtl/>
          <w:lang w:bidi="ar-EG"/>
        </w:rPr>
        <w:tab/>
      </w:r>
      <w:r w:rsidR="00E1629D">
        <w:rPr>
          <w:rFonts w:hint="cs"/>
          <w:rtl/>
          <w:lang w:bidi="ar-EG"/>
        </w:rPr>
        <w:t>وإحدى</w:t>
      </w:r>
      <w:r>
        <w:rPr>
          <w:rFonts w:hint="cs"/>
          <w:rtl/>
          <w:lang w:bidi="ar-EG"/>
        </w:rPr>
        <w:t xml:space="preserve"> العقبات الضخمة التي تواجهها المرأة عند التقدم بطلب استحقاقات التقاعد هي على وجه التحديد ضرورة إثبات وضعها كعاملة ريفية. وهناك عدد كبير من العاملات الريفيات اللاتي ليس</w:t>
      </w:r>
      <w:r w:rsidR="00E1629D">
        <w:rPr>
          <w:rFonts w:hint="cs"/>
          <w:rtl/>
          <w:lang w:bidi="ar-EG"/>
        </w:rPr>
        <w:t>ت</w:t>
      </w:r>
      <w:r>
        <w:rPr>
          <w:rFonts w:hint="cs"/>
          <w:rtl/>
          <w:lang w:bidi="ar-EG"/>
        </w:rPr>
        <w:t xml:space="preserve"> لديهن وثائق مدنية أساسية، مثل بطاقة الهوية أو رقم التسجيل الشخصي. وهذا يحول دون انضمام المرأة إلى النقابات، كما يحول دون استخدامها أية وسيلة أخرى لكي تثبت أنها عاملة ريفية، بل إن ذلك يمنعها حتى من طلب الاستحقاقات، حيث أن وزارة الرفاه الاجتماعي تتطلب تقديم وثائق للهوية، فضلا عن ضرورة تقديم إثبات بالعمل الريفي.</w:t>
      </w:r>
    </w:p>
    <w:p w:rsidR="006372F4" w:rsidRDefault="006372F4" w:rsidP="002A1045">
      <w:pPr>
        <w:pStyle w:val="SingleTxt"/>
        <w:rPr>
          <w:rFonts w:hint="cs"/>
          <w:rtl/>
          <w:lang w:bidi="ar-EG"/>
        </w:rPr>
      </w:pPr>
      <w:r>
        <w:rPr>
          <w:rFonts w:hint="cs"/>
          <w:rtl/>
          <w:lang w:bidi="ar-EG"/>
        </w:rPr>
        <w:tab/>
        <w:t>ورغبة في حل هذه المشكلة، تتخذ الحكومة الاتحادية مختلف الإجراءات لكي تيسر إمكانية حصول النساء الريفيات على الوثائق المدنية الأساسية وغير ذلك من الوثائق اللازمة لضمان حقوقهن كمواطنات وكمنتفعات بالبرامج الاجتماعية الحكومية.</w:t>
      </w:r>
    </w:p>
    <w:p w:rsidR="006372F4" w:rsidRDefault="006372F4" w:rsidP="00E1629D">
      <w:pPr>
        <w:pStyle w:val="SingleTxt"/>
        <w:rPr>
          <w:rFonts w:hint="cs"/>
          <w:rtl/>
          <w:lang w:bidi="ar-EG"/>
        </w:rPr>
      </w:pPr>
      <w:r>
        <w:rPr>
          <w:rFonts w:hint="cs"/>
          <w:rtl/>
          <w:lang w:bidi="ar-EG"/>
        </w:rPr>
        <w:tab/>
        <w:t>ونتيجة لذلك، يوضح تحليل للبيانات الواردة أدناه زيادة عدد الريفيات اللاتي يحصلن على استحقاقات التقاعد أو المعاشات التقاعدية بين عامي 1992 و 2003. ويمكن أن يكون ذلك مرتبط</w:t>
      </w:r>
      <w:r w:rsidR="00E1629D">
        <w:rPr>
          <w:rFonts w:hint="cs"/>
          <w:rtl/>
          <w:lang w:bidi="ar-EG"/>
        </w:rPr>
        <w:t>ا</w:t>
      </w:r>
      <w:r>
        <w:rPr>
          <w:rFonts w:hint="cs"/>
          <w:rtl/>
          <w:lang w:bidi="ar-EG"/>
        </w:rPr>
        <w:t xml:space="preserve"> بكل من سياسات التوثيق للعاملات الريفيات واتجاه سن السكان إلى الزيادة، وبخاصة </w:t>
      </w:r>
      <w:r w:rsidR="00C6286A">
        <w:rPr>
          <w:rFonts w:hint="cs"/>
          <w:rtl/>
          <w:lang w:bidi="ar-EG"/>
        </w:rPr>
        <w:t>السكان الإناث. وتبلغ نسبة الزيادة في عدد الريفيات اللاتي ينتفعن بعلاوات التقاعد أو بالمعاشات التقاعدية 85 في المائة عن العقد الذي جرى تحليله.</w:t>
      </w:r>
    </w:p>
    <w:p w:rsidR="00C6286A" w:rsidRDefault="00C6286A" w:rsidP="002A1045">
      <w:pPr>
        <w:pStyle w:val="SingleTxt"/>
        <w:rPr>
          <w:rFonts w:hint="cs"/>
          <w:rtl/>
          <w:lang w:bidi="ar-EG"/>
        </w:rPr>
      </w:pPr>
      <w:r>
        <w:rPr>
          <w:rFonts w:hint="cs"/>
          <w:rtl/>
          <w:lang w:bidi="ar-EG"/>
        </w:rPr>
        <w:tab/>
        <w:t>ومع ذلك، ظهرت هذه الزيادة على نحو يختلف للبيض عن السود. وبينما تضاعفت نسبة النساء البيض اللاتي يتلقين استحقاقات التقاعد أو المعاشات التقاعدية، لم تكن نسبة الزيادة إلا 70 في المائة للنساء السود.</w:t>
      </w:r>
    </w:p>
    <w:p w:rsidR="00C6286A" w:rsidRPr="00C6286A" w:rsidRDefault="00F96BC0" w:rsidP="00C6286A">
      <w:pPr>
        <w:pStyle w:val="SingleTxt"/>
        <w:spacing w:after="0" w:line="120" w:lineRule="exact"/>
        <w:rPr>
          <w:rFonts w:hint="cs"/>
          <w:sz w:val="10"/>
          <w:rtl/>
          <w:lang w:bidi="ar-EG"/>
        </w:rPr>
      </w:pPr>
      <w:r>
        <w:rPr>
          <w:sz w:val="10"/>
          <w:rtl/>
          <w:lang w:bidi="ar-EG"/>
        </w:rPr>
        <w:br w:type="page"/>
      </w:r>
    </w:p>
    <w:tbl>
      <w:tblPr>
        <w:bidiVisual/>
        <w:tblW w:w="0" w:type="auto"/>
        <w:jc w:val="center"/>
        <w:tblLayout w:type="fixed"/>
        <w:tblCellMar>
          <w:left w:w="70" w:type="dxa"/>
          <w:right w:w="70" w:type="dxa"/>
        </w:tblCellMar>
        <w:tblLook w:val="0000" w:firstRow="0" w:lastRow="0" w:firstColumn="0" w:lastColumn="0" w:noHBand="0" w:noVBand="0"/>
      </w:tblPr>
      <w:tblGrid>
        <w:gridCol w:w="1892"/>
        <w:gridCol w:w="927"/>
        <w:gridCol w:w="927"/>
        <w:gridCol w:w="721"/>
        <w:gridCol w:w="206"/>
        <w:gridCol w:w="927"/>
        <w:gridCol w:w="927"/>
        <w:gridCol w:w="796"/>
      </w:tblGrid>
      <w:tr w:rsidR="00C6286A" w:rsidRPr="006866B8">
        <w:trPr>
          <w:cantSplit/>
          <w:tblHeader/>
          <w:jc w:val="center"/>
        </w:trPr>
        <w:tc>
          <w:tcPr>
            <w:tcW w:w="7323" w:type="dxa"/>
            <w:gridSpan w:val="8"/>
            <w:tcBorders>
              <w:top w:val="single" w:sz="4" w:space="0" w:color="auto"/>
              <w:bottom w:val="single" w:sz="4" w:space="0" w:color="auto"/>
            </w:tcBorders>
            <w:shd w:val="clear" w:color="auto" w:fill="auto"/>
            <w:vAlign w:val="bottom"/>
          </w:tcPr>
          <w:p w:rsidR="00C6286A" w:rsidRPr="00C6286A" w:rsidRDefault="00C6286A" w:rsidP="00C37212">
            <w:pPr>
              <w:spacing w:before="80" w:after="80" w:line="300" w:lineRule="exact"/>
              <w:ind w:right="144"/>
              <w:jc w:val="center"/>
              <w:rPr>
                <w:rFonts w:hint="cs"/>
                <w:b/>
                <w:bCs/>
                <w:sz w:val="18"/>
                <w:szCs w:val="26"/>
                <w:rtl/>
                <w:lang w:val="es-ES_tradnl"/>
              </w:rPr>
            </w:pPr>
            <w:r>
              <w:rPr>
                <w:rFonts w:hint="cs"/>
                <w:b/>
                <w:bCs/>
                <w:sz w:val="18"/>
                <w:szCs w:val="26"/>
                <w:rtl/>
                <w:lang w:val="es-ES_tradnl"/>
              </w:rPr>
              <w:t>النساء الريفيات المتقاعدات أ</w:t>
            </w:r>
            <w:r w:rsidR="00C37212">
              <w:rPr>
                <w:rFonts w:hint="cs"/>
                <w:b/>
                <w:bCs/>
                <w:sz w:val="18"/>
                <w:szCs w:val="26"/>
                <w:rtl/>
                <w:lang w:val="es-ES_tradnl"/>
              </w:rPr>
              <w:t>و</w:t>
            </w:r>
            <w:r>
              <w:rPr>
                <w:rFonts w:hint="cs"/>
                <w:b/>
                <w:bCs/>
                <w:sz w:val="18"/>
                <w:szCs w:val="26"/>
                <w:rtl/>
                <w:lang w:val="es-ES_tradnl"/>
              </w:rPr>
              <w:t xml:space="preserve"> اللاتي يتلقين معاشات تقاعدية، وفقا للعنصر/اللون</w:t>
            </w:r>
            <w:r>
              <w:rPr>
                <w:rFonts w:hint="cs"/>
                <w:b/>
                <w:bCs/>
                <w:sz w:val="18"/>
                <w:szCs w:val="26"/>
                <w:rtl/>
                <w:lang w:val="es-ES_tradnl"/>
              </w:rPr>
              <w:br/>
              <w:t xml:space="preserve">1992 و </w:t>
            </w:r>
            <w:r w:rsidR="00C37212">
              <w:rPr>
                <w:rFonts w:hint="cs"/>
                <w:b/>
                <w:bCs/>
                <w:sz w:val="18"/>
                <w:szCs w:val="26"/>
                <w:rtl/>
                <w:lang w:val="es-ES_tradnl"/>
              </w:rPr>
              <w:t>2003</w:t>
            </w:r>
          </w:p>
        </w:tc>
      </w:tr>
      <w:tr w:rsidR="00C37212" w:rsidRPr="006866B8">
        <w:trPr>
          <w:cantSplit/>
          <w:tblHeader/>
          <w:jc w:val="center"/>
        </w:trPr>
        <w:tc>
          <w:tcPr>
            <w:tcW w:w="1892" w:type="dxa"/>
            <w:vMerge w:val="restart"/>
            <w:tcBorders>
              <w:top w:val="single" w:sz="4" w:space="0" w:color="auto"/>
            </w:tcBorders>
            <w:shd w:val="clear" w:color="auto" w:fill="auto"/>
            <w:vAlign w:val="bottom"/>
          </w:tcPr>
          <w:p w:rsidR="00C37212" w:rsidRPr="006866B8" w:rsidRDefault="00C37212" w:rsidP="00C6286A">
            <w:pPr>
              <w:spacing w:after="80" w:line="240" w:lineRule="exact"/>
              <w:rPr>
                <w:rFonts w:hint="cs"/>
                <w:i/>
                <w:iCs/>
                <w:sz w:val="16"/>
                <w:szCs w:val="24"/>
                <w:lang w:val="es-ES_tradnl"/>
              </w:rPr>
            </w:pPr>
            <w:r>
              <w:rPr>
                <w:rFonts w:hint="cs"/>
                <w:i/>
                <w:iCs/>
                <w:sz w:val="16"/>
                <w:szCs w:val="24"/>
                <w:rtl/>
                <w:lang w:val="es-ES_tradnl"/>
              </w:rPr>
              <w:t>الحاصلات على استحقاقات التقاعد أو معاشات تقاعدية</w:t>
            </w:r>
          </w:p>
        </w:tc>
        <w:tc>
          <w:tcPr>
            <w:tcW w:w="2575" w:type="dxa"/>
            <w:gridSpan w:val="3"/>
            <w:tcBorders>
              <w:top w:val="single" w:sz="4" w:space="0" w:color="auto"/>
              <w:bottom w:val="single" w:sz="4" w:space="0" w:color="auto"/>
            </w:tcBorders>
            <w:shd w:val="clear" w:color="auto" w:fill="auto"/>
            <w:vAlign w:val="bottom"/>
          </w:tcPr>
          <w:p w:rsidR="00C37212" w:rsidRPr="006866B8" w:rsidRDefault="00C37212" w:rsidP="00C37212">
            <w:pPr>
              <w:spacing w:after="80" w:line="240" w:lineRule="exact"/>
              <w:ind w:right="144"/>
              <w:jc w:val="center"/>
              <w:rPr>
                <w:rFonts w:hint="cs"/>
                <w:i/>
                <w:iCs/>
                <w:sz w:val="16"/>
                <w:szCs w:val="24"/>
                <w:rtl/>
                <w:lang w:val="es-ES_tradnl"/>
              </w:rPr>
            </w:pPr>
            <w:r>
              <w:rPr>
                <w:rFonts w:hint="cs"/>
                <w:i/>
                <w:iCs/>
                <w:sz w:val="16"/>
                <w:szCs w:val="24"/>
                <w:rtl/>
                <w:lang w:val="es-ES_tradnl"/>
              </w:rPr>
              <w:t>1992</w:t>
            </w:r>
          </w:p>
        </w:tc>
        <w:tc>
          <w:tcPr>
            <w:tcW w:w="206" w:type="dxa"/>
            <w:tcBorders>
              <w:top w:val="single" w:sz="4"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p>
        </w:tc>
        <w:tc>
          <w:tcPr>
            <w:tcW w:w="2650" w:type="dxa"/>
            <w:gridSpan w:val="3"/>
            <w:tcBorders>
              <w:top w:val="single" w:sz="4" w:space="0" w:color="auto"/>
              <w:bottom w:val="single" w:sz="4" w:space="0" w:color="auto"/>
            </w:tcBorders>
            <w:shd w:val="clear" w:color="auto" w:fill="auto"/>
            <w:vAlign w:val="bottom"/>
          </w:tcPr>
          <w:p w:rsidR="00C37212" w:rsidRPr="006866B8" w:rsidRDefault="00C37212" w:rsidP="00C37212">
            <w:pPr>
              <w:spacing w:after="80" w:line="240" w:lineRule="exact"/>
              <w:ind w:right="144"/>
              <w:jc w:val="center"/>
              <w:rPr>
                <w:rFonts w:hint="cs"/>
                <w:i/>
                <w:iCs/>
                <w:sz w:val="16"/>
                <w:szCs w:val="24"/>
                <w:rtl/>
                <w:lang w:val="es-ES_tradnl"/>
              </w:rPr>
            </w:pPr>
            <w:r>
              <w:rPr>
                <w:rFonts w:hint="cs"/>
                <w:i/>
                <w:iCs/>
                <w:sz w:val="16"/>
                <w:szCs w:val="24"/>
                <w:rtl/>
                <w:lang w:val="es-ES_tradnl"/>
              </w:rPr>
              <w:t>2003</w:t>
            </w:r>
          </w:p>
        </w:tc>
      </w:tr>
      <w:tr w:rsidR="00C37212" w:rsidRPr="006866B8">
        <w:trPr>
          <w:cantSplit/>
          <w:tblHeader/>
          <w:jc w:val="center"/>
        </w:trPr>
        <w:tc>
          <w:tcPr>
            <w:tcW w:w="1892" w:type="dxa"/>
            <w:vMerge/>
            <w:tcBorders>
              <w:bottom w:val="single" w:sz="12" w:space="0" w:color="auto"/>
            </w:tcBorders>
            <w:shd w:val="clear" w:color="auto" w:fill="auto"/>
            <w:vAlign w:val="bottom"/>
          </w:tcPr>
          <w:p w:rsidR="00C37212" w:rsidRPr="006866B8" w:rsidRDefault="00C37212" w:rsidP="00C6286A">
            <w:pPr>
              <w:spacing w:after="80" w:line="240" w:lineRule="exact"/>
              <w:rPr>
                <w:i/>
                <w:iCs/>
                <w:sz w:val="16"/>
                <w:szCs w:val="24"/>
                <w:lang w:val="es-ES_tradnl"/>
              </w:rPr>
            </w:pPr>
          </w:p>
        </w:tc>
        <w:tc>
          <w:tcPr>
            <w:tcW w:w="927" w:type="dxa"/>
            <w:tcBorders>
              <w:bottom w:val="single" w:sz="12" w:space="0" w:color="auto"/>
            </w:tcBorders>
            <w:shd w:val="clear" w:color="auto" w:fill="auto"/>
            <w:vAlign w:val="bottom"/>
          </w:tcPr>
          <w:p w:rsidR="00C37212" w:rsidRPr="00C37212"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المجموع</w:t>
            </w:r>
          </w:p>
        </w:tc>
        <w:tc>
          <w:tcPr>
            <w:tcW w:w="927" w:type="dxa"/>
            <w:tcBorders>
              <w:bottom w:val="single" w:sz="12"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بيض</w:t>
            </w:r>
          </w:p>
        </w:tc>
        <w:tc>
          <w:tcPr>
            <w:tcW w:w="927" w:type="dxa"/>
            <w:gridSpan w:val="2"/>
            <w:tcBorders>
              <w:bottom w:val="single" w:sz="12"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سود</w:t>
            </w:r>
          </w:p>
        </w:tc>
        <w:tc>
          <w:tcPr>
            <w:tcW w:w="927" w:type="dxa"/>
            <w:tcBorders>
              <w:bottom w:val="single" w:sz="12"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المجموع</w:t>
            </w:r>
          </w:p>
        </w:tc>
        <w:tc>
          <w:tcPr>
            <w:tcW w:w="927" w:type="dxa"/>
            <w:tcBorders>
              <w:bottom w:val="single" w:sz="12"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بيض</w:t>
            </w:r>
          </w:p>
        </w:tc>
        <w:tc>
          <w:tcPr>
            <w:tcW w:w="796" w:type="dxa"/>
            <w:tcBorders>
              <w:bottom w:val="single" w:sz="12" w:space="0" w:color="auto"/>
            </w:tcBorders>
            <w:shd w:val="clear" w:color="auto" w:fill="auto"/>
            <w:vAlign w:val="bottom"/>
          </w:tcPr>
          <w:p w:rsidR="00C37212" w:rsidRPr="006866B8" w:rsidRDefault="00C37212" w:rsidP="00C6286A">
            <w:pPr>
              <w:spacing w:after="80" w:line="240" w:lineRule="exact"/>
              <w:ind w:right="144"/>
              <w:rPr>
                <w:rFonts w:hint="cs"/>
                <w:i/>
                <w:iCs/>
                <w:sz w:val="16"/>
                <w:szCs w:val="24"/>
                <w:rtl/>
                <w:lang w:val="es-ES_tradnl"/>
              </w:rPr>
            </w:pPr>
            <w:r>
              <w:rPr>
                <w:rFonts w:hint="cs"/>
                <w:i/>
                <w:iCs/>
                <w:sz w:val="16"/>
                <w:szCs w:val="24"/>
                <w:rtl/>
                <w:lang w:val="es-ES_tradnl"/>
              </w:rPr>
              <w:t>سود</w:t>
            </w:r>
          </w:p>
        </w:tc>
      </w:tr>
      <w:tr w:rsidR="00C6286A" w:rsidRPr="006866B8">
        <w:trPr>
          <w:cantSplit/>
          <w:trHeight w:hRule="exact" w:val="115"/>
          <w:tblHeader/>
          <w:jc w:val="center"/>
        </w:trPr>
        <w:tc>
          <w:tcPr>
            <w:tcW w:w="1892" w:type="dxa"/>
            <w:tcBorders>
              <w:top w:val="single" w:sz="12" w:space="0" w:color="auto"/>
            </w:tcBorders>
            <w:shd w:val="clear" w:color="auto" w:fill="auto"/>
            <w:vAlign w:val="bottom"/>
          </w:tcPr>
          <w:p w:rsidR="00C6286A" w:rsidRPr="006866B8" w:rsidRDefault="00C6286A" w:rsidP="00C37212">
            <w:pPr>
              <w:spacing w:before="40" w:after="80" w:line="240" w:lineRule="exact"/>
              <w:jc w:val="left"/>
              <w:rPr>
                <w:sz w:val="16"/>
                <w:szCs w:val="24"/>
                <w:lang w:val="es-ES_tradnl"/>
              </w:rPr>
            </w:pPr>
          </w:p>
        </w:tc>
        <w:tc>
          <w:tcPr>
            <w:tcW w:w="927" w:type="dxa"/>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c>
          <w:tcPr>
            <w:tcW w:w="927" w:type="dxa"/>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c>
          <w:tcPr>
            <w:tcW w:w="927" w:type="dxa"/>
            <w:gridSpan w:val="2"/>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c>
          <w:tcPr>
            <w:tcW w:w="927" w:type="dxa"/>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c>
          <w:tcPr>
            <w:tcW w:w="927" w:type="dxa"/>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c>
          <w:tcPr>
            <w:tcW w:w="796" w:type="dxa"/>
            <w:tcBorders>
              <w:top w:val="single" w:sz="12" w:space="0" w:color="auto"/>
            </w:tcBorders>
            <w:shd w:val="clear" w:color="auto" w:fill="auto"/>
            <w:vAlign w:val="bottom"/>
          </w:tcPr>
          <w:p w:rsidR="00C6286A" w:rsidRPr="006866B8" w:rsidRDefault="00C6286A" w:rsidP="00C37212">
            <w:pPr>
              <w:bidi w:val="0"/>
              <w:spacing w:before="40" w:after="80" w:line="240" w:lineRule="exact"/>
              <w:ind w:right="144"/>
              <w:jc w:val="right"/>
              <w:rPr>
                <w:rFonts w:hint="cs"/>
                <w:sz w:val="16"/>
                <w:szCs w:val="24"/>
                <w:rtl/>
                <w:lang w:val="es-ES_tradnl"/>
              </w:rPr>
            </w:pPr>
          </w:p>
        </w:tc>
      </w:tr>
      <w:tr w:rsidR="00C6286A" w:rsidRPr="006866B8">
        <w:trPr>
          <w:cantSplit/>
          <w:jc w:val="center"/>
        </w:trPr>
        <w:tc>
          <w:tcPr>
            <w:tcW w:w="1892" w:type="dxa"/>
            <w:shd w:val="clear" w:color="auto" w:fill="auto"/>
            <w:vAlign w:val="bottom"/>
          </w:tcPr>
          <w:p w:rsidR="00C6286A" w:rsidRPr="006866B8" w:rsidRDefault="00C6286A" w:rsidP="00C37212">
            <w:pPr>
              <w:spacing w:before="40" w:after="80" w:line="240" w:lineRule="exact"/>
              <w:jc w:val="left"/>
              <w:rPr>
                <w:rFonts w:hint="cs"/>
                <w:sz w:val="16"/>
                <w:szCs w:val="24"/>
                <w:rtl/>
                <w:lang w:val="es-ES_tradnl" w:eastAsia="pt-BR" w:bidi="ar-EG"/>
              </w:rPr>
            </w:pPr>
            <w:r>
              <w:rPr>
                <w:rFonts w:hint="cs"/>
                <w:sz w:val="16"/>
                <w:szCs w:val="24"/>
                <w:rtl/>
                <w:lang w:val="es-ES_tradnl" w:bidi="ar-EG"/>
              </w:rPr>
              <w:t>نعم</w:t>
            </w:r>
          </w:p>
        </w:tc>
        <w:tc>
          <w:tcPr>
            <w:tcW w:w="927" w:type="dxa"/>
            <w:shd w:val="clear" w:color="auto" w:fill="auto"/>
            <w:vAlign w:val="bottom"/>
          </w:tcPr>
          <w:p w:rsidR="00C6286A" w:rsidRPr="002225B6" w:rsidRDefault="00C6286A" w:rsidP="00C6286A">
            <w:pPr>
              <w:bidi w:val="0"/>
              <w:spacing w:before="40" w:after="80" w:line="240" w:lineRule="exact"/>
              <w:jc w:val="right"/>
              <w:rPr>
                <w:sz w:val="16"/>
                <w:szCs w:val="24"/>
                <w:lang w:eastAsia="pt-BR"/>
              </w:rPr>
            </w:pPr>
            <w:r w:rsidRPr="006866B8">
              <w:rPr>
                <w:rFonts w:hint="cs"/>
                <w:sz w:val="16"/>
                <w:szCs w:val="24"/>
                <w:rtl/>
                <w:lang w:val="es-ES_tradnl"/>
              </w:rPr>
              <w:t>7</w:t>
            </w:r>
            <w:r w:rsidRPr="006866B8">
              <w:rPr>
                <w:sz w:val="16"/>
                <w:szCs w:val="24"/>
                <w:lang w:val="es-ES_tradnl"/>
              </w:rPr>
              <w:t>,</w:t>
            </w:r>
            <w:r w:rsidRPr="006866B8">
              <w:rPr>
                <w:rFonts w:hint="cs"/>
                <w:sz w:val="16"/>
                <w:szCs w:val="24"/>
                <w:rtl/>
                <w:lang w:val="es-ES_tradnl"/>
              </w:rPr>
              <w:t>3</w:t>
            </w:r>
          </w:p>
        </w:tc>
        <w:tc>
          <w:tcPr>
            <w:tcW w:w="927" w:type="dxa"/>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7</w:t>
            </w:r>
            <w:r w:rsidRPr="006866B8">
              <w:rPr>
                <w:sz w:val="16"/>
                <w:szCs w:val="24"/>
                <w:lang w:val="es-ES_tradnl"/>
              </w:rPr>
              <w:t>,</w:t>
            </w:r>
            <w:r w:rsidRPr="006866B8">
              <w:rPr>
                <w:rFonts w:hint="cs"/>
                <w:sz w:val="16"/>
                <w:szCs w:val="24"/>
                <w:rtl/>
                <w:lang w:val="es-ES_tradnl"/>
              </w:rPr>
              <w:t>4</w:t>
            </w:r>
          </w:p>
        </w:tc>
        <w:tc>
          <w:tcPr>
            <w:tcW w:w="927" w:type="dxa"/>
            <w:gridSpan w:val="2"/>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7</w:t>
            </w:r>
            <w:r w:rsidRPr="006866B8">
              <w:rPr>
                <w:sz w:val="16"/>
                <w:szCs w:val="24"/>
                <w:lang w:val="es-ES_tradnl"/>
              </w:rPr>
              <w:t>,</w:t>
            </w:r>
            <w:r w:rsidRPr="006866B8">
              <w:rPr>
                <w:rFonts w:hint="cs"/>
                <w:sz w:val="16"/>
                <w:szCs w:val="24"/>
                <w:rtl/>
                <w:lang w:val="es-ES_tradnl"/>
              </w:rPr>
              <w:t>3</w:t>
            </w:r>
          </w:p>
        </w:tc>
        <w:tc>
          <w:tcPr>
            <w:tcW w:w="927" w:type="dxa"/>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13</w:t>
            </w:r>
            <w:r w:rsidRPr="006866B8">
              <w:rPr>
                <w:sz w:val="16"/>
                <w:szCs w:val="24"/>
                <w:lang w:val="es-ES_tradnl"/>
              </w:rPr>
              <w:t>,</w:t>
            </w:r>
            <w:r w:rsidRPr="006866B8">
              <w:rPr>
                <w:rFonts w:hint="cs"/>
                <w:sz w:val="16"/>
                <w:szCs w:val="24"/>
                <w:rtl/>
                <w:lang w:val="es-ES_tradnl"/>
              </w:rPr>
              <w:t>6</w:t>
            </w:r>
          </w:p>
        </w:tc>
        <w:tc>
          <w:tcPr>
            <w:tcW w:w="927" w:type="dxa"/>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15</w:t>
            </w:r>
            <w:r w:rsidRPr="006866B8">
              <w:rPr>
                <w:sz w:val="16"/>
                <w:szCs w:val="24"/>
                <w:lang w:val="es-ES_tradnl"/>
              </w:rPr>
              <w:t>,</w:t>
            </w:r>
            <w:r w:rsidRPr="006866B8">
              <w:rPr>
                <w:rFonts w:hint="cs"/>
                <w:sz w:val="16"/>
                <w:szCs w:val="24"/>
                <w:rtl/>
                <w:lang w:val="es-ES_tradnl"/>
              </w:rPr>
              <w:t>2</w:t>
            </w:r>
          </w:p>
        </w:tc>
        <w:tc>
          <w:tcPr>
            <w:tcW w:w="796" w:type="dxa"/>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12</w:t>
            </w:r>
            <w:r w:rsidRPr="006866B8">
              <w:rPr>
                <w:sz w:val="16"/>
                <w:szCs w:val="24"/>
                <w:lang w:val="es-ES_tradnl"/>
              </w:rPr>
              <w:t>,</w:t>
            </w:r>
            <w:r w:rsidRPr="006866B8">
              <w:rPr>
                <w:rFonts w:hint="cs"/>
                <w:sz w:val="16"/>
                <w:szCs w:val="24"/>
                <w:rtl/>
                <w:lang w:val="es-ES_tradnl"/>
              </w:rPr>
              <w:t>4</w:t>
            </w:r>
          </w:p>
        </w:tc>
      </w:tr>
      <w:tr w:rsidR="00C6286A" w:rsidRPr="006866B8">
        <w:trPr>
          <w:cantSplit/>
          <w:jc w:val="center"/>
        </w:trPr>
        <w:tc>
          <w:tcPr>
            <w:tcW w:w="1892" w:type="dxa"/>
            <w:tcBorders>
              <w:bottom w:val="single" w:sz="4" w:space="0" w:color="auto"/>
            </w:tcBorders>
            <w:shd w:val="clear" w:color="auto" w:fill="auto"/>
            <w:vAlign w:val="bottom"/>
          </w:tcPr>
          <w:p w:rsidR="00C6286A" w:rsidRPr="006866B8" w:rsidRDefault="00C6286A" w:rsidP="00C37212">
            <w:pPr>
              <w:spacing w:before="40" w:after="80" w:line="240" w:lineRule="exact"/>
              <w:jc w:val="left"/>
              <w:rPr>
                <w:rFonts w:hint="cs"/>
                <w:sz w:val="16"/>
                <w:szCs w:val="24"/>
                <w:rtl/>
                <w:lang w:val="es-ES_tradnl" w:eastAsia="pt-BR" w:bidi="ar-EG"/>
              </w:rPr>
            </w:pPr>
            <w:r>
              <w:rPr>
                <w:rFonts w:hint="cs"/>
                <w:sz w:val="16"/>
                <w:szCs w:val="24"/>
                <w:rtl/>
                <w:lang w:val="es-ES_tradnl" w:bidi="ar-EG"/>
              </w:rPr>
              <w:t>لا</w:t>
            </w:r>
          </w:p>
        </w:tc>
        <w:tc>
          <w:tcPr>
            <w:tcW w:w="927" w:type="dxa"/>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92</w:t>
            </w:r>
            <w:r w:rsidRPr="006866B8">
              <w:rPr>
                <w:sz w:val="16"/>
                <w:szCs w:val="24"/>
                <w:lang w:val="es-ES_tradnl"/>
              </w:rPr>
              <w:t>,</w:t>
            </w:r>
            <w:r w:rsidRPr="006866B8">
              <w:rPr>
                <w:rFonts w:hint="cs"/>
                <w:sz w:val="16"/>
                <w:szCs w:val="24"/>
                <w:rtl/>
                <w:lang w:val="es-ES_tradnl"/>
              </w:rPr>
              <w:t>7</w:t>
            </w:r>
          </w:p>
        </w:tc>
        <w:tc>
          <w:tcPr>
            <w:tcW w:w="927" w:type="dxa"/>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92</w:t>
            </w:r>
            <w:r w:rsidRPr="006866B8">
              <w:rPr>
                <w:sz w:val="16"/>
                <w:szCs w:val="24"/>
                <w:lang w:val="es-ES_tradnl"/>
              </w:rPr>
              <w:t>,</w:t>
            </w:r>
            <w:r w:rsidRPr="006866B8">
              <w:rPr>
                <w:rFonts w:hint="cs"/>
                <w:sz w:val="16"/>
                <w:szCs w:val="24"/>
                <w:rtl/>
                <w:lang w:val="es-ES_tradnl"/>
              </w:rPr>
              <w:t>6</w:t>
            </w:r>
          </w:p>
        </w:tc>
        <w:tc>
          <w:tcPr>
            <w:tcW w:w="927" w:type="dxa"/>
            <w:gridSpan w:val="2"/>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92</w:t>
            </w:r>
            <w:r w:rsidRPr="006866B8">
              <w:rPr>
                <w:sz w:val="16"/>
                <w:szCs w:val="24"/>
                <w:lang w:val="es-ES_tradnl"/>
              </w:rPr>
              <w:t>,</w:t>
            </w:r>
            <w:r w:rsidRPr="006866B8">
              <w:rPr>
                <w:rFonts w:hint="cs"/>
                <w:sz w:val="16"/>
                <w:szCs w:val="24"/>
                <w:rtl/>
                <w:lang w:val="es-ES_tradnl"/>
              </w:rPr>
              <w:t>7</w:t>
            </w:r>
          </w:p>
        </w:tc>
        <w:tc>
          <w:tcPr>
            <w:tcW w:w="927" w:type="dxa"/>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86</w:t>
            </w:r>
            <w:r w:rsidRPr="006866B8">
              <w:rPr>
                <w:sz w:val="16"/>
                <w:szCs w:val="24"/>
                <w:lang w:val="es-ES_tradnl"/>
              </w:rPr>
              <w:t>,</w:t>
            </w:r>
            <w:r w:rsidRPr="006866B8">
              <w:rPr>
                <w:rFonts w:hint="cs"/>
                <w:sz w:val="16"/>
                <w:szCs w:val="24"/>
                <w:rtl/>
                <w:lang w:val="es-ES_tradnl"/>
              </w:rPr>
              <w:t>4</w:t>
            </w:r>
          </w:p>
        </w:tc>
        <w:tc>
          <w:tcPr>
            <w:tcW w:w="927" w:type="dxa"/>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84</w:t>
            </w:r>
            <w:r w:rsidRPr="006866B8">
              <w:rPr>
                <w:sz w:val="16"/>
                <w:szCs w:val="24"/>
                <w:lang w:val="es-ES_tradnl"/>
              </w:rPr>
              <w:t>,</w:t>
            </w:r>
            <w:r w:rsidRPr="006866B8">
              <w:rPr>
                <w:rFonts w:hint="cs"/>
                <w:sz w:val="16"/>
                <w:szCs w:val="24"/>
                <w:rtl/>
                <w:lang w:val="es-ES_tradnl"/>
              </w:rPr>
              <w:t>8</w:t>
            </w:r>
          </w:p>
        </w:tc>
        <w:tc>
          <w:tcPr>
            <w:tcW w:w="796" w:type="dxa"/>
            <w:tcBorders>
              <w:bottom w:val="single" w:sz="4" w:space="0" w:color="auto"/>
            </w:tcBorders>
            <w:shd w:val="clear" w:color="auto" w:fill="auto"/>
            <w:vAlign w:val="bottom"/>
          </w:tcPr>
          <w:p w:rsidR="00C6286A" w:rsidRPr="006866B8" w:rsidRDefault="00C6286A" w:rsidP="00C6286A">
            <w:pPr>
              <w:bidi w:val="0"/>
              <w:spacing w:before="40" w:after="80" w:line="240" w:lineRule="exact"/>
              <w:jc w:val="right"/>
              <w:rPr>
                <w:sz w:val="16"/>
                <w:szCs w:val="24"/>
                <w:lang w:val="es-ES_tradnl" w:eastAsia="pt-BR"/>
              </w:rPr>
            </w:pPr>
            <w:r w:rsidRPr="006866B8">
              <w:rPr>
                <w:rFonts w:hint="cs"/>
                <w:sz w:val="16"/>
                <w:szCs w:val="24"/>
                <w:rtl/>
                <w:lang w:val="es-ES_tradnl"/>
              </w:rPr>
              <w:t>87</w:t>
            </w:r>
            <w:r w:rsidRPr="006866B8">
              <w:rPr>
                <w:sz w:val="16"/>
                <w:szCs w:val="24"/>
                <w:lang w:val="es-ES_tradnl"/>
              </w:rPr>
              <w:t>,</w:t>
            </w:r>
            <w:r w:rsidRPr="006866B8">
              <w:rPr>
                <w:rFonts w:hint="cs"/>
                <w:sz w:val="16"/>
                <w:szCs w:val="24"/>
                <w:rtl/>
                <w:lang w:val="es-ES_tradnl"/>
              </w:rPr>
              <w:t>6</w:t>
            </w:r>
          </w:p>
        </w:tc>
      </w:tr>
      <w:tr w:rsidR="00C6286A" w:rsidRPr="00C6286A">
        <w:trPr>
          <w:cantSplit/>
          <w:jc w:val="center"/>
        </w:trPr>
        <w:tc>
          <w:tcPr>
            <w:tcW w:w="1892" w:type="dxa"/>
            <w:tcBorders>
              <w:top w:val="single" w:sz="4" w:space="0" w:color="auto"/>
              <w:bottom w:val="single" w:sz="12" w:space="0" w:color="auto"/>
            </w:tcBorders>
            <w:shd w:val="clear" w:color="auto" w:fill="auto"/>
            <w:vAlign w:val="bottom"/>
          </w:tcPr>
          <w:p w:rsidR="00C6286A" w:rsidRPr="00C6286A" w:rsidRDefault="00C6286A" w:rsidP="00C37212">
            <w:pPr>
              <w:spacing w:before="40" w:after="80" w:line="240" w:lineRule="exact"/>
              <w:jc w:val="left"/>
              <w:rPr>
                <w:rFonts w:hint="cs"/>
                <w:b/>
                <w:bCs/>
                <w:sz w:val="16"/>
                <w:szCs w:val="24"/>
                <w:rtl/>
                <w:lang w:val="es-ES_tradnl" w:eastAsia="pt-BR" w:bidi="ar-EG"/>
              </w:rPr>
            </w:pPr>
            <w:r w:rsidRPr="00C6286A">
              <w:rPr>
                <w:rFonts w:hint="cs"/>
                <w:b/>
                <w:bCs/>
                <w:sz w:val="16"/>
                <w:szCs w:val="24"/>
                <w:rtl/>
                <w:lang w:val="es-ES_tradnl" w:bidi="ar-EG"/>
              </w:rPr>
              <w:t>المجموع</w:t>
            </w:r>
          </w:p>
        </w:tc>
        <w:tc>
          <w:tcPr>
            <w:tcW w:w="927" w:type="dxa"/>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c>
          <w:tcPr>
            <w:tcW w:w="927" w:type="dxa"/>
            <w:gridSpan w:val="2"/>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c>
          <w:tcPr>
            <w:tcW w:w="927" w:type="dxa"/>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c>
          <w:tcPr>
            <w:tcW w:w="796" w:type="dxa"/>
            <w:tcBorders>
              <w:top w:val="single" w:sz="4" w:space="0" w:color="auto"/>
              <w:bottom w:val="single" w:sz="12" w:space="0" w:color="auto"/>
            </w:tcBorders>
            <w:shd w:val="clear" w:color="auto" w:fill="auto"/>
            <w:vAlign w:val="bottom"/>
          </w:tcPr>
          <w:p w:rsidR="00C6286A" w:rsidRPr="00C6286A" w:rsidRDefault="00C6286A" w:rsidP="00C6286A">
            <w:pPr>
              <w:bidi w:val="0"/>
              <w:spacing w:before="40" w:after="80" w:line="240" w:lineRule="exact"/>
              <w:jc w:val="right"/>
              <w:rPr>
                <w:b/>
                <w:bCs/>
                <w:sz w:val="16"/>
                <w:szCs w:val="24"/>
                <w:lang w:eastAsia="pt-BR"/>
              </w:rPr>
            </w:pPr>
            <w:r w:rsidRPr="00C6286A">
              <w:rPr>
                <w:rFonts w:hint="cs"/>
                <w:b/>
                <w:bCs/>
                <w:sz w:val="16"/>
                <w:szCs w:val="24"/>
                <w:rtl/>
              </w:rPr>
              <w:t>100</w:t>
            </w:r>
            <w:r w:rsidRPr="00C6286A">
              <w:rPr>
                <w:b/>
                <w:bCs/>
                <w:sz w:val="16"/>
                <w:szCs w:val="24"/>
              </w:rPr>
              <w:t>,</w:t>
            </w:r>
            <w:r w:rsidRPr="00C6286A">
              <w:rPr>
                <w:rFonts w:hint="cs"/>
                <w:b/>
                <w:bCs/>
                <w:sz w:val="16"/>
                <w:szCs w:val="24"/>
                <w:rtl/>
              </w:rPr>
              <w:t>0</w:t>
            </w:r>
          </w:p>
        </w:tc>
      </w:tr>
    </w:tbl>
    <w:p w:rsidR="00C37212" w:rsidRPr="00C37212" w:rsidRDefault="00C37212" w:rsidP="00C37212">
      <w:pPr>
        <w:pStyle w:val="SingleTxt"/>
        <w:spacing w:after="0" w:line="120" w:lineRule="exact"/>
        <w:rPr>
          <w:rFonts w:hint="cs"/>
          <w:sz w:val="10"/>
          <w:rtl/>
          <w:lang w:bidi="ar-EG"/>
        </w:rPr>
      </w:pPr>
    </w:p>
    <w:p w:rsidR="00C37212" w:rsidRDefault="00C37212" w:rsidP="00C3721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A1045">
        <w:rPr>
          <w:rFonts w:hint="cs"/>
          <w:i/>
          <w:iCs/>
          <w:rtl/>
          <w:lang w:bidi="ar-EG"/>
        </w:rPr>
        <w:t>المصدر</w:t>
      </w:r>
      <w:r>
        <w:rPr>
          <w:rFonts w:hint="cs"/>
          <w:rtl/>
          <w:lang w:bidi="ar-EG"/>
        </w:rPr>
        <w:t>:</w:t>
      </w:r>
      <w:r>
        <w:rPr>
          <w:rFonts w:hint="cs"/>
          <w:rtl/>
          <w:lang w:bidi="ar-EG"/>
        </w:rPr>
        <w:tab/>
        <w:t>المعهد البرازيلي للجغرافيا والإحصاءات - بيانات جزئية - الدراسات الاستقصائية الوطنية لعينات من الأسر المعيشية 1992 و 2003.</w:t>
      </w:r>
    </w:p>
    <w:p w:rsidR="00C37212" w:rsidRDefault="00C37212" w:rsidP="00C3721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الإعداد</w:t>
      </w:r>
      <w:r>
        <w:rPr>
          <w:rFonts w:hint="cs"/>
          <w:rtl/>
          <w:lang w:bidi="ar-EG"/>
        </w:rPr>
        <w:t>:</w:t>
      </w:r>
      <w:r>
        <w:rPr>
          <w:rFonts w:hint="cs"/>
          <w:rtl/>
          <w:lang w:bidi="ar-EG"/>
        </w:rPr>
        <w:tab/>
        <w:t>معهد البحوث الاقتصادية التطبيقية/إدارة الدراسات الاجتماعية.</w:t>
      </w:r>
    </w:p>
    <w:p w:rsidR="00C37212" w:rsidRPr="00C37212" w:rsidRDefault="00C37212" w:rsidP="00C37212">
      <w:pPr>
        <w:pStyle w:val="SingleTxt"/>
        <w:spacing w:after="0" w:line="120" w:lineRule="exact"/>
        <w:rPr>
          <w:rFonts w:hint="cs"/>
          <w:sz w:val="10"/>
          <w:rtl/>
          <w:lang w:bidi="ar-EG"/>
        </w:rPr>
      </w:pPr>
    </w:p>
    <w:p w:rsidR="00C37212" w:rsidRPr="00C37212" w:rsidRDefault="00C37212" w:rsidP="00C37212">
      <w:pPr>
        <w:pStyle w:val="SingleTxt"/>
        <w:spacing w:after="0" w:line="120" w:lineRule="exact"/>
        <w:rPr>
          <w:rFonts w:hint="cs"/>
          <w:sz w:val="10"/>
          <w:rtl/>
          <w:lang w:bidi="ar-EG"/>
        </w:rPr>
      </w:pPr>
    </w:p>
    <w:p w:rsidR="00C6286A" w:rsidRDefault="00C37212" w:rsidP="00E1629D">
      <w:pPr>
        <w:pStyle w:val="SingleTxt"/>
        <w:rPr>
          <w:rFonts w:hint="cs"/>
          <w:rtl/>
          <w:lang w:bidi="ar-EG"/>
        </w:rPr>
      </w:pPr>
      <w:r>
        <w:rPr>
          <w:rFonts w:hint="cs"/>
          <w:rtl/>
          <w:lang w:bidi="ar-EG"/>
        </w:rPr>
        <w:tab/>
      </w:r>
      <w:r w:rsidR="00746496">
        <w:rPr>
          <w:rFonts w:hint="cs"/>
          <w:rtl/>
          <w:lang w:bidi="ar-EG"/>
        </w:rPr>
        <w:t xml:space="preserve">والعنف أحد الجوانب الهامة للإقصاء والتمييز اللذين تعاني منهما المرأة في المناطق الريفية. والبيانات الواردة في البحث الذي اضطلعت به حركة سانتا كاترينا النسائية الزراعية (2002) بشأن أشكال العنف المتنوعة التي تعاني منها المرأة الريفية تشير إلى أن 10 نساء من بين كل 100 امرأة يعانين من العدوان من جانب أزواجهن. ورغم هذه الإحصاءات، لا تزال النساء صامتات إلى حد كبير بشأن هذه القضية. و 26.2 في المائة من النساء اللاتي أجريت </w:t>
      </w:r>
      <w:r w:rsidR="00461892">
        <w:rPr>
          <w:rFonts w:hint="cs"/>
          <w:rtl/>
          <w:lang w:bidi="ar-EG"/>
        </w:rPr>
        <w:t>معه</w:t>
      </w:r>
      <w:r w:rsidR="00461892">
        <w:rPr>
          <w:rtl/>
          <w:lang w:bidi="ar-EG"/>
        </w:rPr>
        <w:t>ن</w:t>
      </w:r>
      <w:r w:rsidR="00746496">
        <w:rPr>
          <w:rFonts w:hint="cs"/>
          <w:rtl/>
          <w:lang w:bidi="ar-EG"/>
        </w:rPr>
        <w:t xml:space="preserve"> مقابلات لم يجبن على السؤال المتعلق بما إذا كن عانين من أي شكل من أشكال العنف.</w:t>
      </w:r>
    </w:p>
    <w:p w:rsidR="00746496" w:rsidRDefault="00746496" w:rsidP="002A1045">
      <w:pPr>
        <w:pStyle w:val="SingleTxt"/>
        <w:rPr>
          <w:rFonts w:hint="cs"/>
          <w:rtl/>
          <w:lang w:bidi="ar-EG"/>
        </w:rPr>
      </w:pPr>
      <w:r>
        <w:rPr>
          <w:rFonts w:hint="cs"/>
          <w:rtl/>
          <w:lang w:bidi="ar-EG"/>
        </w:rPr>
        <w:tab/>
        <w:t xml:space="preserve">و 48.4 في المائة من النساء اللاتي أجريت معهن مقابلات يعرفن امرأة في المجتمع المحلي تعرضت للضرب، و 34.2 </w:t>
      </w:r>
      <w:r w:rsidR="00E1629D">
        <w:rPr>
          <w:rFonts w:hint="cs"/>
          <w:rtl/>
          <w:lang w:bidi="ar-EG"/>
        </w:rPr>
        <w:t xml:space="preserve">في المائة </w:t>
      </w:r>
      <w:r>
        <w:rPr>
          <w:rFonts w:hint="cs"/>
          <w:rtl/>
          <w:lang w:bidi="ar-EG"/>
        </w:rPr>
        <w:t xml:space="preserve">منهن يعرفن أن هناك حالات اغتصاب، و 24.7 </w:t>
      </w:r>
      <w:r w:rsidR="00E1629D">
        <w:rPr>
          <w:rFonts w:hint="cs"/>
          <w:rtl/>
          <w:lang w:bidi="ar-EG"/>
        </w:rPr>
        <w:t xml:space="preserve">في المائة </w:t>
      </w:r>
      <w:r>
        <w:rPr>
          <w:rFonts w:hint="cs"/>
          <w:rtl/>
          <w:lang w:bidi="ar-EG"/>
        </w:rPr>
        <w:t>كشفن عن أن هذه الحالات حدثت داخل مجتمعا</w:t>
      </w:r>
      <w:r w:rsidR="00E1629D">
        <w:rPr>
          <w:rFonts w:hint="cs"/>
          <w:rtl/>
          <w:lang w:bidi="ar-EG"/>
        </w:rPr>
        <w:t>تهن المحلية. وأكثر من نصفهن (53</w:t>
      </w:r>
      <w:r w:rsidR="00E1629D">
        <w:rPr>
          <w:rFonts w:hint="eastAsia"/>
          <w:rtl/>
          <w:lang w:bidi="ar-EG"/>
        </w:rPr>
        <w:t> </w:t>
      </w:r>
      <w:r>
        <w:rPr>
          <w:rFonts w:hint="cs"/>
          <w:rtl/>
          <w:lang w:bidi="ar-EG"/>
        </w:rPr>
        <w:t>في المائة) تعرضن للإساءة الشفوية.</w:t>
      </w:r>
    </w:p>
    <w:p w:rsidR="00746496" w:rsidRDefault="00746496" w:rsidP="002A1045">
      <w:pPr>
        <w:pStyle w:val="SingleTxt"/>
        <w:rPr>
          <w:rFonts w:hint="cs"/>
          <w:rtl/>
          <w:lang w:bidi="ar-EG"/>
        </w:rPr>
      </w:pPr>
      <w:r>
        <w:rPr>
          <w:rFonts w:hint="cs"/>
          <w:rtl/>
          <w:lang w:bidi="ar-EG"/>
        </w:rPr>
        <w:tab/>
        <w:t>وفيما يتعلق بصنع القرار والاستقلال الذاتي، كشفت الدراسة عن أن 64.3 في المائة من النساء لم تكن لديهن حرية صنع القرارات، وأن 19.8 في المائة منهن قلن أنه نادرا ما</w:t>
      </w:r>
      <w:r>
        <w:rPr>
          <w:rFonts w:hint="eastAsia"/>
          <w:rtl/>
          <w:lang w:bidi="ar-EG"/>
        </w:rPr>
        <w:t> </w:t>
      </w:r>
      <w:r>
        <w:rPr>
          <w:rFonts w:hint="cs"/>
          <w:rtl/>
          <w:lang w:bidi="ar-EG"/>
        </w:rPr>
        <w:t>كن يتمكن من صنع القرارات. أما بالنسبة للحقوق، فقد خدعت 44 في المائة من النساء بشكل أو آخر، بينما دعت 19.4 في المائة منهن فيما يتعلق بالرعاية الصحية.</w:t>
      </w:r>
    </w:p>
    <w:p w:rsidR="00746496" w:rsidRDefault="00746496" w:rsidP="002A1045">
      <w:pPr>
        <w:pStyle w:val="SingleTxt"/>
        <w:rPr>
          <w:rFonts w:hint="cs"/>
          <w:rtl/>
          <w:lang w:bidi="ar-EG"/>
        </w:rPr>
      </w:pPr>
      <w:r>
        <w:rPr>
          <w:rFonts w:hint="cs"/>
          <w:rtl/>
          <w:lang w:bidi="ar-EG"/>
        </w:rPr>
        <w:tab/>
        <w:t>وقد اتخذت الحكومة عدة تدابير لكي تغير حالة التباين هذه التي تسبب الضرر للريفيات. ومن هذه التدابير بصفة خاصة الإلزام بوجود شهادة ملكية مشتركة للأراضي.</w:t>
      </w:r>
    </w:p>
    <w:p w:rsidR="00746496" w:rsidRDefault="00746496" w:rsidP="00E1629D">
      <w:pPr>
        <w:pStyle w:val="SingleTxt"/>
        <w:rPr>
          <w:rFonts w:hint="cs"/>
          <w:rtl/>
          <w:lang w:bidi="ar-EG"/>
        </w:rPr>
      </w:pPr>
      <w:r>
        <w:rPr>
          <w:rFonts w:hint="cs"/>
          <w:rtl/>
          <w:lang w:bidi="ar-EG"/>
        </w:rPr>
        <w:tab/>
        <w:t xml:space="preserve">وينص الدستور الاتحادي لعام 1988 في المادة 189، المكونة من فقرة واحدة، على </w:t>
      </w:r>
      <w:r>
        <w:rPr>
          <w:rFonts w:hint="eastAsia"/>
          <w:rtl/>
          <w:lang w:bidi="ar-EG"/>
        </w:rPr>
        <w:t xml:space="preserve">”منح شهادات ملكية الأراضي وامتيازات استعمالها للرجل أو </w:t>
      </w:r>
      <w:r w:rsidR="00E1629D">
        <w:rPr>
          <w:rFonts w:hint="cs"/>
          <w:rtl/>
          <w:lang w:bidi="ar-EG"/>
        </w:rPr>
        <w:t>ل</w:t>
      </w:r>
      <w:r>
        <w:rPr>
          <w:rFonts w:hint="eastAsia"/>
          <w:rtl/>
          <w:lang w:bidi="ar-EG"/>
        </w:rPr>
        <w:t xml:space="preserve">لمرأة أو </w:t>
      </w:r>
      <w:r w:rsidR="00E1629D">
        <w:rPr>
          <w:rFonts w:hint="cs"/>
          <w:rtl/>
          <w:lang w:bidi="ar-EG"/>
        </w:rPr>
        <w:t>ل</w:t>
      </w:r>
      <w:r>
        <w:rPr>
          <w:rFonts w:hint="eastAsia"/>
          <w:rtl/>
          <w:lang w:bidi="ar-EG"/>
        </w:rPr>
        <w:t>كليهما، بغض النظر عن الحالة المدنية للشخص</w:t>
      </w:r>
      <w:r>
        <w:rPr>
          <w:rFonts w:hint="cs"/>
          <w:rtl/>
          <w:lang w:bidi="ar-EG"/>
        </w:rPr>
        <w:t xml:space="preserve">“. ومع ذلك، لم توجد حتى عام 2003 الصكوك القانونية الضرورية لجعل شهادة الملكية المشتركة للأراضي أمرا ملزما، رغم أن ذلك مطلوب بمقتضى الدستور. وبالتالي، كانت العملية غير مستقرة، كما كان من الصعب تنفيذها نتيجة لوجود نظام هرمي للأراضي الريفية يرتكز على منظور لنوع الجنس يقضي بأنه </w:t>
      </w:r>
      <w:r>
        <w:rPr>
          <w:rFonts w:hint="eastAsia"/>
          <w:rtl/>
          <w:lang w:bidi="ar-EG"/>
        </w:rPr>
        <w:t>”من الطبيعي</w:t>
      </w:r>
      <w:r>
        <w:rPr>
          <w:rFonts w:hint="cs"/>
          <w:rtl/>
          <w:lang w:bidi="ar-EG"/>
        </w:rPr>
        <w:t xml:space="preserve">“ </w:t>
      </w:r>
      <w:r w:rsidR="00A9226D">
        <w:rPr>
          <w:rFonts w:hint="cs"/>
          <w:rtl/>
          <w:lang w:bidi="ar-EG"/>
        </w:rPr>
        <w:t>أن</w:t>
      </w:r>
      <w:r>
        <w:rPr>
          <w:rFonts w:hint="cs"/>
          <w:rtl/>
          <w:lang w:bidi="ar-EG"/>
        </w:rPr>
        <w:t xml:space="preserve"> تكون ملكية الأرض حقا للرجل.</w:t>
      </w:r>
    </w:p>
    <w:p w:rsidR="00D67266" w:rsidRDefault="00D67266" w:rsidP="00E1629D">
      <w:pPr>
        <w:pStyle w:val="SingleTxt"/>
        <w:rPr>
          <w:rFonts w:hint="cs"/>
          <w:rtl/>
          <w:lang w:bidi="ar-EG"/>
        </w:rPr>
      </w:pPr>
      <w:r>
        <w:rPr>
          <w:rFonts w:hint="cs"/>
          <w:rtl/>
          <w:lang w:bidi="ar-EG"/>
        </w:rPr>
        <w:tab/>
        <w:t>وفي عام 2003 جعلت الحكومة من شهادة الملكية المشتركة</w:t>
      </w:r>
      <w:r w:rsidR="00E1629D">
        <w:rPr>
          <w:rFonts w:hint="cs"/>
          <w:rtl/>
          <w:lang w:bidi="ar-EG"/>
        </w:rPr>
        <w:t xml:space="preserve"> للأراضي أ</w:t>
      </w:r>
      <w:r>
        <w:rPr>
          <w:rFonts w:hint="cs"/>
          <w:rtl/>
          <w:lang w:bidi="ar-EG"/>
        </w:rPr>
        <w:t xml:space="preserve">مرا واقعا من خلال وزارة التنمية الزراعية. وتلبية لمطلب من المطالب الرئيسية لحركات العاملات الريفيات، أصدرت وزارة التنمية الزراعية، من خلال المعهد الوطني للاستيطان والإصلاح الزراعي، الأمر الإداري رقم 981 بتاريخ 2 تشرين الأول/أكتوبر 2003 الذي يقضي بأن شهادة الملكية المشتركة للأراضي أمر إلزامي. وبالتالي، نصت الحكومة الاتحادية، في صفحة 44 من الخطة الوطنية لسياسات المرأة، على هدف منح 000 400 شهادة ملكية مشتركة للأراضي، في حالات الأراضي التي يملكها الزوجان، لجميع الأسر التي </w:t>
      </w:r>
      <w:r w:rsidR="00E1629D">
        <w:rPr>
          <w:rFonts w:hint="cs"/>
          <w:rtl/>
          <w:lang w:bidi="ar-EG"/>
        </w:rPr>
        <w:t>تنتفع</w:t>
      </w:r>
      <w:r>
        <w:rPr>
          <w:rFonts w:hint="cs"/>
          <w:rtl/>
          <w:lang w:bidi="ar-EG"/>
        </w:rPr>
        <w:t xml:space="preserve"> من الإصلاح الزراعي بين عامي 2004 و 2007.</w:t>
      </w:r>
    </w:p>
    <w:p w:rsidR="00D67266" w:rsidRDefault="00D67266" w:rsidP="002A1045">
      <w:pPr>
        <w:pStyle w:val="SingleTxt"/>
        <w:rPr>
          <w:rFonts w:hint="cs"/>
          <w:rtl/>
          <w:lang w:bidi="ar-EG"/>
        </w:rPr>
      </w:pPr>
      <w:r>
        <w:rPr>
          <w:rFonts w:hint="cs"/>
          <w:rtl/>
          <w:lang w:bidi="ar-EG"/>
        </w:rPr>
        <w:tab/>
        <w:t>وفي تشرين الثاني/نوفمبر 2003، قدمت الحكومة الخطة الوطنية الثانية للإصلاح الزراعي، وكان ذلك أيضا من منظور توسيع نطاق حصول المرأة على الأراضي. وتنظر هذه الخطة إلى الإصلاح الزراعي نظرة أوسع نطاقا، فضلا عن أن الخطة تضفي صبغة أكثر ديمقراطية على إمكانية الحصول على الأرض عن طريق لامركزية هيكل ملكية الأراضي. وسلمت الخطة أيضا بالتنوع الاجتماعي والثقافي لسكان الريف، وبالسمات الخاصة المتعلقة بالعلاقات بين الجنسين، وبين الأجيال، والعلاقات العنصرية والإثنية، مما يتطلب اتخاذ نهج فريد للتغلب على عدم المساواة.</w:t>
      </w:r>
    </w:p>
    <w:p w:rsidR="00D67266" w:rsidRDefault="00D67266" w:rsidP="002A1045">
      <w:pPr>
        <w:pStyle w:val="SingleTxt"/>
        <w:rPr>
          <w:rFonts w:hint="cs"/>
          <w:rtl/>
          <w:lang w:bidi="ar-EG"/>
        </w:rPr>
      </w:pPr>
      <w:r>
        <w:rPr>
          <w:rFonts w:hint="cs"/>
          <w:rtl/>
          <w:lang w:bidi="ar-EG"/>
        </w:rPr>
        <w:tab/>
        <w:t xml:space="preserve">ورغبة في تغيير ذلك الواقع، وابتداء من خطة الحصاد 2004/2005، جرى تنفيذ التغييرات في إعلان التأهيل للبرنامج الوطني لتعزيز الزراعة الأسرية، فأصبح يصدر الآن باسم الزوجين بغية إدراج المرأة على نحو أكبر في البرنامج. وفي ظل البرنامج الوطني لتعزيز الزراعة الأسرية للمرأة، أنشئ أيضا خط ائتمان مخصص </w:t>
      </w:r>
      <w:r w:rsidR="00A96597">
        <w:rPr>
          <w:rFonts w:hint="cs"/>
          <w:rtl/>
          <w:lang w:bidi="ar-EG"/>
        </w:rPr>
        <w:t>للمرأة في خطة الحصاد 2004/2005. وبالتالي يعتبر الائتمان أحد الأدوات التي تساعد المرأة الريفية على إمكانية الوصول، وتزيد من استقلالها الذاتي، وتساعدها على نيل حقوقها الاقتصادية، فضلا عن تعزيز المساواة بين الرجل والمرأة في الزراعة الأسرية.</w:t>
      </w:r>
    </w:p>
    <w:p w:rsidR="00A96597" w:rsidRDefault="00A96597" w:rsidP="00E1629D">
      <w:pPr>
        <w:pStyle w:val="SingleTxt"/>
        <w:rPr>
          <w:rFonts w:hint="cs"/>
          <w:rtl/>
          <w:lang w:bidi="ar-EG"/>
        </w:rPr>
      </w:pPr>
      <w:r>
        <w:rPr>
          <w:rFonts w:hint="cs"/>
          <w:rtl/>
          <w:lang w:bidi="ar-EG"/>
        </w:rPr>
        <w:tab/>
        <w:t>وكان من المهم أيضا أن يجري استهلال البرنامج الوطني للتوثيق للعاملات الريفيات في ظل الخطة الوطنية للإصلاح الزراعي. وتضع هذا البرنامج وزارة التنمية الزراعية والمعهد الوطني للاستيطان والإصلاح الزراعي، في شراكة مع هيئات حكومية أخرى تتضمن الأمانة الخاصة لسياسات المرأة. ويهدف هذا البرنامج إلى توفير الوثائق المدنية الأساسية بالمجان</w:t>
      </w:r>
      <w:r w:rsidR="00E1629D">
        <w:rPr>
          <w:rFonts w:hint="cs"/>
          <w:rtl/>
          <w:lang w:bidi="ar-EG"/>
        </w:rPr>
        <w:t xml:space="preserve"> (بطاقة الرقم الضريبي</w:t>
      </w:r>
      <w:r>
        <w:rPr>
          <w:rFonts w:hint="cs"/>
          <w:rtl/>
          <w:lang w:bidi="ar-EG"/>
        </w:rPr>
        <w:t>، والسجل الوظيفي للعامل، وبطاقة الهوية، وشهادة الميلاد، وتسجيل الضمان الاجتماعي) للنساء المستوطنات بموجب الإصلاح الزراعي، وللمزارعين الأسريين.</w:t>
      </w:r>
    </w:p>
    <w:p w:rsidR="00A96597" w:rsidRDefault="00A96597" w:rsidP="00A96597">
      <w:pPr>
        <w:pStyle w:val="SingleTxt"/>
        <w:rPr>
          <w:rFonts w:hint="cs"/>
          <w:rtl/>
          <w:lang w:bidi="ar-EG"/>
        </w:rPr>
      </w:pPr>
      <w:r>
        <w:rPr>
          <w:rFonts w:hint="cs"/>
          <w:rtl/>
          <w:lang w:bidi="ar-EG"/>
        </w:rPr>
        <w:tab/>
        <w:t>وهذا التوثيق ضروري من أجل الوصول إلى العديد من السياسات العامة للحكومة الاتحادية، مثل برنامج المنح الأسرية، وبرامج الائتمان، واستحقاقات الضمان الاجتماعي، وشهادة الملكية المشتركة للأراضي. ويعتبر برنامج التوثيق الحصول على هذه الوثائق خطوة لازمة لإدماج الريفيات في سياسات التنمية والحصول على الأراضي. وهذا البرنامج أداة هامة أيضا لإرساء الظروف اللازمة للارتقاء بقيمة الريفيات في المجتمع ككل، فضلا عن تعزيز الاعتراف بدورهن الرائد، مع أطراف أخرى، في إحداث تغييرات اجتماعية في المناطق الريفية.</w:t>
      </w:r>
    </w:p>
    <w:p w:rsidR="00A96597" w:rsidRDefault="00A96597" w:rsidP="00E1629D">
      <w:pPr>
        <w:pStyle w:val="SingleTxt"/>
        <w:rPr>
          <w:rFonts w:hint="cs"/>
          <w:rtl/>
          <w:lang w:bidi="ar-EG"/>
        </w:rPr>
      </w:pPr>
      <w:r>
        <w:rPr>
          <w:rFonts w:hint="cs"/>
          <w:rtl/>
          <w:lang w:bidi="ar-EG"/>
        </w:rPr>
        <w:tab/>
        <w:t xml:space="preserve">وما زال هناك عملان هامان اضطلعت بهما الحكومة الاتحادية من منظور تعزيز المواطنة والرقابة الاجتماعية، وهما </w:t>
      </w:r>
      <w:r w:rsidR="00E1629D">
        <w:rPr>
          <w:rFonts w:hint="cs"/>
          <w:rtl/>
          <w:lang w:bidi="ar-EG"/>
        </w:rPr>
        <w:t>تعيين</w:t>
      </w:r>
      <w:r>
        <w:rPr>
          <w:rFonts w:hint="cs"/>
          <w:rtl/>
          <w:lang w:bidi="ar-EG"/>
        </w:rPr>
        <w:t xml:space="preserve"> ممثلين عن الحركة النسائية في المجلس الوطني للتنمية الريفية، وتشكيل لجنة المساواة الجنسانية والعنصرية والإثنية. وسيكون على هذه اللجنة أن تنظر في اتخاذ الإجراءات اللازمة للعمل على التنمية الإثنية للسكان الأصليين، ولمجتمعات</w:t>
      </w:r>
      <w:r w:rsidR="00E1629D">
        <w:rPr>
          <w:rFonts w:hint="cs"/>
          <w:rtl/>
          <w:lang w:bidi="ar-EG"/>
        </w:rPr>
        <w:t xml:space="preserve"> العبيد الهاربين السابقين</w:t>
      </w:r>
      <w:r>
        <w:rPr>
          <w:rFonts w:hint="cs"/>
          <w:rtl/>
          <w:lang w:bidi="ar-EG"/>
        </w:rPr>
        <w:t xml:space="preserve">، </w:t>
      </w:r>
      <w:r w:rsidR="00D634B2">
        <w:rPr>
          <w:rFonts w:hint="cs"/>
          <w:rtl/>
          <w:lang w:bidi="ar-EG"/>
        </w:rPr>
        <w:t>ولتنفيذ الشروط التفضيلية لإمكانية وصول الريفيات إلى السياسات الزراعية والريفية.</w:t>
      </w:r>
    </w:p>
    <w:p w:rsidR="00A9044C" w:rsidRDefault="00A9044C" w:rsidP="00D635F7">
      <w:pPr>
        <w:pStyle w:val="SingleTxt"/>
        <w:rPr>
          <w:rFonts w:hint="cs"/>
          <w:rtl/>
        </w:rPr>
      </w:pPr>
      <w:r>
        <w:rPr>
          <w:rFonts w:hint="cs"/>
          <w:rtl/>
        </w:rPr>
        <w:tab/>
        <w:t xml:space="preserve">وجرى الأخذ في الاعتبار عند إنشاء اللجنة أنه من الناحية التاريخية لم تكن السياسات العامة كافية، كما أنها لم تؤد إلى الأخذ باستراتيجيات تحفز على إدماج النساء والسكان الأصليين والسود. وجرى الأخذ في الاعتبار أيضا بضرورة صياغة استراتيجية من أجل تدعيم الديمقراطية وتشجيع وجود ومشاركة الريفيات والسكان الأصليين ومجتمعات </w:t>
      </w:r>
      <w:r w:rsidR="00D635F7">
        <w:rPr>
          <w:rFonts w:hint="cs"/>
          <w:rtl/>
        </w:rPr>
        <w:t>العبيد الهاربين السابقين</w:t>
      </w:r>
      <w:r>
        <w:rPr>
          <w:rFonts w:hint="cs"/>
          <w:rtl/>
        </w:rPr>
        <w:t>.</w:t>
      </w:r>
    </w:p>
    <w:p w:rsidR="00A9044C" w:rsidRDefault="00A9044C" w:rsidP="00D635F7">
      <w:pPr>
        <w:pStyle w:val="SingleTxt"/>
        <w:rPr>
          <w:rFonts w:hint="cs"/>
          <w:rtl/>
        </w:rPr>
      </w:pPr>
      <w:r>
        <w:rPr>
          <w:rFonts w:hint="cs"/>
          <w:rtl/>
        </w:rPr>
        <w:tab/>
        <w:t xml:space="preserve">وفي عام 2004 رسمت الحكومة البرازيلية، من خلال وزارة التنمية الزراعية، سياسة عامة </w:t>
      </w:r>
      <w:r w:rsidR="00D635F7">
        <w:rPr>
          <w:rFonts w:hint="cs"/>
          <w:rtl/>
        </w:rPr>
        <w:t>وهي سياسة</w:t>
      </w:r>
      <w:r>
        <w:rPr>
          <w:rFonts w:hint="cs"/>
          <w:rtl/>
        </w:rPr>
        <w:t xml:space="preserve"> المساعدة التقنية والإرشاد الريفي، ونفذت هذه السياسة من خلال إنشاء برنامج ووضع شروط تفضيلية وتنفيذها بهدف تيسير إمكانية وصول العاملات الريفيات إلى السياسات الزراعية.</w:t>
      </w:r>
    </w:p>
    <w:p w:rsidR="00A9044C" w:rsidRDefault="00A9044C" w:rsidP="00D635F7">
      <w:pPr>
        <w:pStyle w:val="SingleTxt"/>
        <w:rPr>
          <w:rFonts w:hint="cs"/>
          <w:rtl/>
        </w:rPr>
      </w:pPr>
      <w:r>
        <w:rPr>
          <w:rFonts w:hint="cs"/>
          <w:rtl/>
        </w:rPr>
        <w:tab/>
        <w:t xml:space="preserve">وتعترف السياسة الجديدة للمساعدة التقنية والإرشاد الريفي بالمرأة بوصفها مواطنة اجتماعية تضطلع بدور رئيسي في التنمية الزراعية الأسرية، وتقدم المرأة مساهمتها من خلال الطريقة التي تؤدي بها الأنشطة الزراعية وغير الزراعية، وإسهامها في صون التنوع البيولوجي، وأنشطتها المتعلقة بتربية الحيوانات الصغيرة ورعايتها، وبإسهامها الخاص في إدرار الدخل وفي القيمة الإضافية للوحدة الأسرية. والأهمية التي توليها الحكومة الاتحادية لهذا البرنامج تتضح في الهدف المفترض تحقيقه بموجب </w:t>
      </w:r>
      <w:r w:rsidR="00D635F7">
        <w:rPr>
          <w:rFonts w:hint="cs"/>
          <w:rtl/>
        </w:rPr>
        <w:t>البرنامج الوطني لسياسات المرأة (صفحة 44)، بجعل 000</w:t>
      </w:r>
      <w:r w:rsidR="00D635F7">
        <w:rPr>
          <w:rFonts w:hint="eastAsia"/>
          <w:rtl/>
        </w:rPr>
        <w:t> </w:t>
      </w:r>
      <w:r>
        <w:rPr>
          <w:rFonts w:hint="cs"/>
          <w:rtl/>
        </w:rPr>
        <w:t>350 امرأة يشاركن بين عامي 2004 و 2007 في مشروع المساعدة التقنية والإرشاد الريفي ومشروع المساعدات التقنية والمستدامة.</w:t>
      </w:r>
    </w:p>
    <w:p w:rsidR="00A9044C" w:rsidRDefault="00A9044C" w:rsidP="00A9044C">
      <w:pPr>
        <w:pStyle w:val="SingleTxt"/>
        <w:rPr>
          <w:rFonts w:hint="cs"/>
          <w:rtl/>
        </w:rPr>
      </w:pPr>
      <w:r>
        <w:rPr>
          <w:rFonts w:hint="cs"/>
          <w:rtl/>
        </w:rPr>
        <w:tab/>
        <w:t>والأمانة الخاصة لتربية المائيات وصيد السمك، التابعة لرئاسة الجمهورية، تضطلع أيضا بالأعمال اللازمة لضمان مستويات معيشة أفضل للنساء اللاتي يرتزقن من تربية المائيات وصيد السمك.</w:t>
      </w:r>
    </w:p>
    <w:p w:rsidR="00A9044C" w:rsidRDefault="00A9044C" w:rsidP="00A9044C">
      <w:pPr>
        <w:pStyle w:val="SingleTxt"/>
        <w:rPr>
          <w:rFonts w:hint="cs"/>
          <w:rtl/>
        </w:rPr>
      </w:pPr>
      <w:r>
        <w:rPr>
          <w:rFonts w:hint="cs"/>
          <w:rtl/>
        </w:rPr>
        <w:tab/>
        <w:t>وعقد أول مؤتمر وطني لتربية المائيات وصيد السمك في تشرين الثاني/نوفمبر 2003. وأوضحت نتائج هذا المؤتمر أنه رغم أن هذين النشاطين معا يتيحان 000 934 وظيفة مباشرة و 2.5 مليون وظيفة غير مباشرة ويدران دخلا سنويا للأسر المعيشية يبلغ 4 بلايين ريال برازيلي، إلا أن جزءا كبيرا من قوة العمل (ومعظمها من الإناث) التي تشارك في هذين النشاطين يجري استبعاده من الحماية الاجتماعية للدولة.</w:t>
      </w:r>
    </w:p>
    <w:p w:rsidR="00A9044C" w:rsidRDefault="00A9044C" w:rsidP="00A9044C">
      <w:pPr>
        <w:pStyle w:val="SingleTxt"/>
        <w:rPr>
          <w:rFonts w:hint="cs"/>
          <w:rtl/>
        </w:rPr>
      </w:pPr>
      <w:r>
        <w:rPr>
          <w:rFonts w:hint="cs"/>
          <w:rtl/>
        </w:rPr>
        <w:tab/>
        <w:t>ومعظم هؤلاء العمال من الأميين وليس لديهم علاقات عمل نظامية مع أصحاب القوارب ولا أي تدريب نظامي. وتزداد حدة هذه الحالة بالنسبة لصغار صيادي السمك، حيث تكون علاقات عملهم أقل نظامية. وتشريع العمالة لقطاع صيد السمك يولي انتباها ضئيلا للنساء ولصغار صيادي السمك، مما يزيد من انعدام النظامية في علاقات العمل بين صائد السمك وصاحب القارب، ويزيد من تفاقم المشاكل التي تظهر نتيجة لنقص المساعدة المقدمة إلى هذه المجموعة.</w:t>
      </w:r>
    </w:p>
    <w:p w:rsidR="00A9044C" w:rsidRDefault="00A9044C" w:rsidP="00CC2CE4">
      <w:pPr>
        <w:pStyle w:val="SingleTxt"/>
        <w:rPr>
          <w:rFonts w:hint="cs"/>
          <w:rtl/>
        </w:rPr>
      </w:pPr>
      <w:r>
        <w:rPr>
          <w:rFonts w:hint="cs"/>
          <w:rtl/>
        </w:rPr>
        <w:tab/>
        <w:t xml:space="preserve">وقد صاغت حكومة الرئيس لويس إناسيو لولا دا سيلفا سياسات من خلال الأمانة الخاصة لتربية المائيات وصيد السمك التابعة لرئاسة الجمهورية، وترمي هذه السياسات إلى تعزيز الإدماج الاجتماعي لمجتمعات صيد السمك وتربية المائيات، من أجل نساء تلك المجتمعات قبل أي شيء، فضلا عن الاهتمام بصفة خاصة بصيد السمك الذي تباشره الأسر على نطاق ضيق، وإنشاء مؤسسات مستدامة صغرى وصغيرة لتربية المائيات. وقد سعت الحكومة أيضا إلى إنشاء أنشطة اقتصادية بديلة للمشتغلين بالصيد وتربية المائيات. وتتضمن هذه الأنشطة استغلال الموارد المائية عن طريق الاعتماد على قوة عمل </w:t>
      </w:r>
      <w:r w:rsidR="00CC2CE4">
        <w:rPr>
          <w:rFonts w:hint="cs"/>
          <w:rtl/>
        </w:rPr>
        <w:t>دائمة</w:t>
      </w:r>
      <w:r>
        <w:rPr>
          <w:rFonts w:hint="cs"/>
          <w:rtl/>
        </w:rPr>
        <w:t xml:space="preserve"> التوظيف لكي تقلل المشاكل المتعلقة بالجوع والأمية وتوزيع السمك وتسويقه.</w:t>
      </w:r>
    </w:p>
    <w:p w:rsidR="00A9044C" w:rsidRDefault="00A9044C" w:rsidP="00CC2CE4">
      <w:pPr>
        <w:pStyle w:val="SingleTxt"/>
        <w:rPr>
          <w:rFonts w:hint="cs"/>
          <w:rtl/>
        </w:rPr>
      </w:pPr>
      <w:r>
        <w:rPr>
          <w:rFonts w:hint="cs"/>
          <w:rtl/>
        </w:rPr>
        <w:tab/>
        <w:t xml:space="preserve">والسياسة الوطنية لتربية المائيات وصيد السمك، التي تطورها الآن الأمانة الخاصة لتربية المائيات وصيد السمك التابعة لرئاسة الجمهورية تستهدف الإدماج الاجتماعي، وتهيئة فرص عمل، وتوليد الثروة وتوزيعها بعدل، والتدريب المهني، وإدماج هذه المجموعة في برامج الرفاه الاجتماعي والعمالة، وبخاصة العاملات. وستحث هذه السياسة أيضا على المشاركة والتعاون وتنفيذ سياسة تقدم </w:t>
      </w:r>
      <w:r w:rsidR="00CC2CE4">
        <w:rPr>
          <w:rFonts w:hint="cs"/>
          <w:rtl/>
        </w:rPr>
        <w:t>ضمانا</w:t>
      </w:r>
      <w:r>
        <w:rPr>
          <w:rFonts w:hint="cs"/>
          <w:rtl/>
        </w:rPr>
        <w:t xml:space="preserve"> في حالة انقطاع الإنتاج.</w:t>
      </w:r>
    </w:p>
    <w:p w:rsidR="00A9044C" w:rsidRDefault="00A9044C" w:rsidP="00CC2CE4">
      <w:pPr>
        <w:pStyle w:val="SingleTxt"/>
        <w:rPr>
          <w:rFonts w:hint="cs"/>
          <w:rtl/>
        </w:rPr>
      </w:pPr>
      <w:r>
        <w:rPr>
          <w:rFonts w:hint="cs"/>
          <w:rtl/>
        </w:rPr>
        <w:tab/>
        <w:t xml:space="preserve">وينبغي أيضا توجيه الاهتمام إلى الاجتماع الوطني الأول للعاملين في صيد السمك وتربية المائيات، الذي نظمته الأمانة الخاصة في بلدية لوسيانيا، بولاية غوياس من 7 إلى 9 كانون الأول/ديسمبر 2004. وجمع هذا الاجتماع معا حوالي 400 من العاملين في صيد السمك وتربية المائيات والصناعات المماثلة. وأثناء تلك الأيام الثلاثة، ناقشت العاملات من مجتمعات صيد السمك ومشاريع تربية المائيات الموجودة في مختلف الولايات البرازيلية مسألة المهنيات في عالم صيد السمك واقترحن نماذج لحلول جرى اعتمادها أو رفضها في ذلك التجمع. وشملت مطالبهن مجالات مكافحة العنف المنـزلي (الذي يتسبب فيه الأب أو الزوج)، والتأمين الطبي والضمان الاجتماعي، والتعليم والتدريب المهني لهن ولأطفالهن، والإجراءات التي تتخذها الحكومة لإقامة الخدمات الأساسية </w:t>
      </w:r>
      <w:r w:rsidR="00CC2CE4">
        <w:rPr>
          <w:rFonts w:hint="cs"/>
          <w:rtl/>
        </w:rPr>
        <w:t>والمرافق</w:t>
      </w:r>
      <w:r>
        <w:rPr>
          <w:rFonts w:hint="cs"/>
          <w:rtl/>
        </w:rPr>
        <w:t xml:space="preserve"> الصحي</w:t>
      </w:r>
      <w:r w:rsidR="00CC2CE4">
        <w:rPr>
          <w:rFonts w:hint="cs"/>
          <w:rtl/>
        </w:rPr>
        <w:t>ة</w:t>
      </w:r>
      <w:r>
        <w:rPr>
          <w:rFonts w:hint="cs"/>
          <w:rtl/>
        </w:rPr>
        <w:t xml:space="preserve"> في المناطق السكنية. وتعلقت مطالبهن الأخرى بضرورة توفير مراقبة بيئية في مناطق صيد السمك، وإنشاء شبكة للتجارة تتصل اتصالا مباشرا بالسوق، مما يغني عن الحاجة إلى طرف وسيط. وأخذا في الاعتبار بدرجة الإقصاء الاقتصادي لأغلبية من حضر هذا الاجتماع، جرى تقديم طلب </w:t>
      </w:r>
      <w:r>
        <w:rPr>
          <w:rFonts w:hint="eastAsia"/>
          <w:rtl/>
        </w:rPr>
        <w:t>”بمجموعة أدوات</w:t>
      </w:r>
      <w:r>
        <w:rPr>
          <w:rFonts w:hint="cs"/>
          <w:rtl/>
        </w:rPr>
        <w:t>“ لصيد السمك تتضمن عازل للشمس وقفازات من المطاط وقبعات من القش.</w:t>
      </w:r>
    </w:p>
    <w:p w:rsidR="00A9044C" w:rsidRDefault="00A9044C" w:rsidP="00CC2CE4">
      <w:pPr>
        <w:pStyle w:val="SingleTxt"/>
        <w:rPr>
          <w:rFonts w:hint="cs"/>
          <w:rtl/>
        </w:rPr>
      </w:pPr>
      <w:r>
        <w:rPr>
          <w:rFonts w:hint="cs"/>
          <w:rtl/>
        </w:rPr>
        <w:tab/>
        <w:t xml:space="preserve">وأثناء السنتين الماضيتين، اضطلعت الحكومة بأعمال متنوعة مكرسة لمجتمعات </w:t>
      </w:r>
      <w:r w:rsidR="00CC2CE4">
        <w:rPr>
          <w:rFonts w:hint="cs"/>
          <w:rtl/>
        </w:rPr>
        <w:t>العبيد الهاربين السابقين (كويلومبو)</w:t>
      </w:r>
      <w:r>
        <w:rPr>
          <w:rFonts w:hint="cs"/>
          <w:rtl/>
        </w:rPr>
        <w:t>. وأنشئ برنامج كويلومبو البرازيل وجرى وضعه تحت مسؤولية الأمانة الخاصة لسياسات تعزيز المساواة العنصرية، ويهدف إلى دعم مجتمعات كويلومبو السابقة التي كونها السود الذين هربوا من الأسر أثناء فترة العبودية. وكثير من الأعمال الواردة أدناه لا تستهدف نساء كويلومبو بصفة خاصة، إلا أن لها طبيعة هيكلية تستهدف مجموعة من أكثر مجموعات سكان البرازيل إقصاء، وبالتالي فهي تؤثر أيضا على المرأة على نحو غير مباشر.</w:t>
      </w:r>
    </w:p>
    <w:p w:rsidR="00A9044C" w:rsidRDefault="00A9044C" w:rsidP="00A9044C">
      <w:pPr>
        <w:pStyle w:val="SingleTxt"/>
        <w:rPr>
          <w:rFonts w:hint="cs"/>
          <w:rtl/>
        </w:rPr>
      </w:pPr>
      <w:r>
        <w:rPr>
          <w:rFonts w:hint="cs"/>
          <w:rtl/>
        </w:rPr>
        <w:tab/>
        <w:t>والقرار رقم 4887 الصادر في 20 تشرين الثاني/نوفمبر 2003 ينص على إجراءات تحديد الأراضي التي تشغلها مجتمعات كويلومبو، والاعتراف بها، وتخطيطها، وتعيين حدودها، ومنح شهادات ملكيتها. وبعد إصدار القرار، جرى تشكيل لجنة إدارية تتولى تنسيقها الأمانة الخاصة لسياسات تعزيز المساواة العنصرية بغية إنشاء برنامج كويلومبو البرازيل، فضلا عن وضع الإجراءات ورصدها بناء على مواصفات كل مجتمع من مجتمعات كويلومبو في البلد.</w:t>
      </w:r>
    </w:p>
    <w:p w:rsidR="00A9044C" w:rsidRDefault="00A9044C" w:rsidP="00A9044C">
      <w:pPr>
        <w:pStyle w:val="SingleTxt"/>
        <w:rPr>
          <w:rFonts w:hint="cs"/>
          <w:rtl/>
        </w:rPr>
      </w:pPr>
      <w:r>
        <w:rPr>
          <w:rFonts w:hint="cs"/>
          <w:rtl/>
        </w:rPr>
        <w:tab/>
        <w:t>واضطلعت معا وزارات ومؤسسات عامة وخاصة أخرى (على الصعيد الوطني وصعيدي الولايات والبلديات) بطائفة من الإجراءات، يرد ذكرها أدناه:</w:t>
      </w:r>
    </w:p>
    <w:p w:rsidR="00A9044C" w:rsidRDefault="00A9044C" w:rsidP="00A9044C">
      <w:pPr>
        <w:pStyle w:val="SingleTxt"/>
        <w:rPr>
          <w:rFonts w:hint="cs"/>
          <w:rtl/>
        </w:rPr>
      </w:pPr>
      <w:r>
        <w:rPr>
          <w:rFonts w:hint="cs"/>
          <w:rtl/>
        </w:rPr>
        <w:tab/>
        <w:t>1 -</w:t>
      </w:r>
      <w:r>
        <w:rPr>
          <w:rFonts w:hint="cs"/>
          <w:rtl/>
        </w:rPr>
        <w:tab/>
        <w:t xml:space="preserve">أجراء كالونغا - بدأ إجراء كالونغا في 12 آذار/مارس 2004 وركز على بلديات تيريسينا دي غوياس، وكافالكانتي، ومونتي أليغري، في ولاية غوياس. واعتمد هذا الإجراء في ظل </w:t>
      </w:r>
      <w:r>
        <w:rPr>
          <w:rFonts w:hint="eastAsia"/>
          <w:rtl/>
        </w:rPr>
        <w:t>”اتفاق التعاون التقني</w:t>
      </w:r>
      <w:r>
        <w:rPr>
          <w:rFonts w:hint="cs"/>
          <w:rtl/>
        </w:rPr>
        <w:t>“ بين الحكومة الاتحادية وحكومة ولاية غوياس من أجل العمل المشترك في المجتمع المحلي، وتنظيم حيازة الأرض، والهياكل الأساسية في المنطقة، والإدماج الاجتماعي والاقتصادي والسياسي والثقافي للمنحدرين من أصل أفريقي.</w:t>
      </w:r>
    </w:p>
    <w:p w:rsidR="00A9044C" w:rsidRDefault="00A9044C" w:rsidP="00CC2CE4">
      <w:pPr>
        <w:pStyle w:val="SingleTxt"/>
        <w:rPr>
          <w:rFonts w:hint="cs"/>
          <w:rtl/>
        </w:rPr>
      </w:pPr>
      <w:r>
        <w:rPr>
          <w:rFonts w:hint="cs"/>
          <w:rtl/>
        </w:rPr>
        <w:tab/>
        <w:t>2 -</w:t>
      </w:r>
      <w:r>
        <w:rPr>
          <w:rFonts w:hint="cs"/>
          <w:rtl/>
        </w:rPr>
        <w:tab/>
        <w:t>الأمن الغذائي - ويتضمن هذا البرنام</w:t>
      </w:r>
      <w:r w:rsidR="00CC2CE4">
        <w:rPr>
          <w:rFonts w:hint="cs"/>
          <w:rtl/>
        </w:rPr>
        <w:t>ج</w:t>
      </w:r>
      <w:r>
        <w:rPr>
          <w:rFonts w:hint="cs"/>
          <w:rtl/>
        </w:rPr>
        <w:t xml:space="preserve"> بناء القدرات لوكلاء التنمية الإثنية وتنفيذ الإجراءات التي تستهدف تنمية الهيكل الأساسي الإنتاجي (طواحين الدقيق، أو الأدوات الزراعية، أو مواد صيد السمك، أو الأعمال الحرفية، أو الري، أو المساعدات التقنية في مجال الزراعة). ويشارك هذا البرنامج ما مجموعه 150 من المجتمعات المحلية بها ما يقرب من 000 14 أسرة موزعة على 21 وحدة من وحدات الاتحاد. وجرى عقد خمس حلقات عمل إقليمية لتحديد الأنشطة التي سيجري الاضطلاع بها في كل مجتمع محلي.</w:t>
      </w:r>
    </w:p>
    <w:p w:rsidR="00A9044C" w:rsidRDefault="00A9044C" w:rsidP="00A9044C">
      <w:pPr>
        <w:pStyle w:val="SingleTxt"/>
        <w:rPr>
          <w:rFonts w:hint="cs"/>
          <w:rtl/>
        </w:rPr>
      </w:pPr>
      <w:r>
        <w:rPr>
          <w:rFonts w:hint="cs"/>
          <w:rtl/>
        </w:rPr>
        <w:tab/>
        <w:t>3 -</w:t>
      </w:r>
      <w:r>
        <w:rPr>
          <w:rFonts w:hint="cs"/>
          <w:rtl/>
        </w:rPr>
        <w:tab/>
        <w:t xml:space="preserve">كهربة الريف - ويشمل هذا الإجراء 29 مجتمعا من مجتمعات كويلومبو السابقة، ويشكل جزءا من برنامج </w:t>
      </w:r>
      <w:r>
        <w:rPr>
          <w:rFonts w:hint="eastAsia"/>
          <w:rtl/>
        </w:rPr>
        <w:t>”الإضاءة للجميع</w:t>
      </w:r>
      <w:r>
        <w:rPr>
          <w:rFonts w:hint="cs"/>
          <w:rtl/>
        </w:rPr>
        <w:t>“ التابع لوزارة المناجم والطاقة.</w:t>
      </w:r>
    </w:p>
    <w:p w:rsidR="00A9044C" w:rsidRDefault="00A9044C" w:rsidP="00A870C6">
      <w:pPr>
        <w:pStyle w:val="SingleTxt"/>
        <w:rPr>
          <w:rFonts w:hint="cs"/>
          <w:rtl/>
        </w:rPr>
      </w:pPr>
      <w:r>
        <w:rPr>
          <w:rFonts w:hint="cs"/>
          <w:rtl/>
        </w:rPr>
        <w:tab/>
        <w:t>4 -</w:t>
      </w:r>
      <w:r>
        <w:rPr>
          <w:rFonts w:hint="cs"/>
          <w:rtl/>
        </w:rPr>
        <w:tab/>
        <w:t>برنامج الإعانات الوطنية لإسكان ذوي المصلحة الاجتماعية بموجب خطة الإسكان الوطنية - ستتولى وزارة المدن بناء أو إصلاح 000 2 منـزل، بما فيها 400 بناء جديد و 800 إصلاح في مجتمع كالونغا. أما المنازل الأخرى وعددها 800 منـزل فستبنى لمجتم</w:t>
      </w:r>
      <w:r w:rsidR="00A870C6">
        <w:rPr>
          <w:rFonts w:hint="cs"/>
          <w:rtl/>
        </w:rPr>
        <w:t>ع ريو داس راس ومجتمعات بلدية الكانترا</w:t>
      </w:r>
      <w:r>
        <w:rPr>
          <w:rFonts w:hint="cs"/>
          <w:rtl/>
        </w:rPr>
        <w:t>.</w:t>
      </w:r>
    </w:p>
    <w:p w:rsidR="00A9044C" w:rsidRDefault="00A9044C" w:rsidP="00A870C6">
      <w:pPr>
        <w:pStyle w:val="SingleTxt"/>
        <w:rPr>
          <w:rFonts w:hint="cs"/>
          <w:rtl/>
        </w:rPr>
      </w:pPr>
      <w:r>
        <w:rPr>
          <w:rFonts w:hint="cs"/>
          <w:rtl/>
        </w:rPr>
        <w:tab/>
        <w:t>5 -</w:t>
      </w:r>
      <w:r>
        <w:rPr>
          <w:rFonts w:hint="cs"/>
          <w:rtl/>
        </w:rPr>
        <w:tab/>
        <w:t xml:space="preserve">إمدادات المياه </w:t>
      </w:r>
      <w:r w:rsidR="00A870C6">
        <w:rPr>
          <w:rFonts w:hint="cs"/>
          <w:rtl/>
        </w:rPr>
        <w:t>والمرافق الصحية</w:t>
      </w:r>
      <w:r>
        <w:rPr>
          <w:rFonts w:hint="cs"/>
          <w:rtl/>
        </w:rPr>
        <w:t xml:space="preserve"> الأساسي</w:t>
      </w:r>
      <w:r w:rsidR="00A870C6">
        <w:rPr>
          <w:rFonts w:hint="cs"/>
          <w:rtl/>
        </w:rPr>
        <w:t>ة</w:t>
      </w:r>
      <w:r>
        <w:rPr>
          <w:rFonts w:hint="cs"/>
          <w:rtl/>
        </w:rPr>
        <w:t xml:space="preserve"> للأسر المعيشية - </w:t>
      </w:r>
      <w:r w:rsidR="00A870C6">
        <w:rPr>
          <w:rFonts w:hint="cs"/>
          <w:rtl/>
        </w:rPr>
        <w:t xml:space="preserve">ستقدم </w:t>
      </w:r>
      <w:r>
        <w:rPr>
          <w:rFonts w:hint="cs"/>
          <w:rtl/>
        </w:rPr>
        <w:t>مؤسسة الصحة الوطنية خدمات إلى 13 مجتمعا (أو مجموعة من المجتمعات). وسيعود هذا العمل بالنفع على 027 4 محل سكن.</w:t>
      </w:r>
    </w:p>
    <w:p w:rsidR="00A9044C" w:rsidRDefault="00A9044C" w:rsidP="00A9044C">
      <w:pPr>
        <w:pStyle w:val="SingleTxt"/>
        <w:rPr>
          <w:rFonts w:hint="cs"/>
          <w:rtl/>
        </w:rPr>
      </w:pPr>
      <w:r>
        <w:rPr>
          <w:rFonts w:hint="cs"/>
          <w:rtl/>
        </w:rPr>
        <w:tab/>
        <w:t>6 -</w:t>
      </w:r>
      <w:r>
        <w:rPr>
          <w:rFonts w:hint="cs"/>
          <w:rtl/>
        </w:rPr>
        <w:tab/>
        <w:t>برنامج صحة الأسرة - تتلقى البلديات التي توجد بها مجتمعات كويلومبو مبلغا إضافيا بموجب تحويل الموارد من الرعاية الأساسية. وهناك رصد أيضا يرمي إلى ضمان توجيه برامج وكيل صحة المجتمع، والصحة الفموية، وإضفاء الصبغة الإنسانية على الولادة، والصيدليات الشعبية، وصيدليات النساء، إلى البلديات التي توجد بها مجتمعات كويلومبو.</w:t>
      </w:r>
    </w:p>
    <w:p w:rsidR="00A9044C" w:rsidRDefault="00A9044C" w:rsidP="00A9044C">
      <w:pPr>
        <w:pStyle w:val="SingleTxt"/>
        <w:rPr>
          <w:rFonts w:hint="cs"/>
          <w:rtl/>
        </w:rPr>
      </w:pPr>
      <w:r>
        <w:rPr>
          <w:rFonts w:hint="cs"/>
          <w:rtl/>
        </w:rPr>
        <w:tab/>
        <w:t>7 -</w:t>
      </w:r>
      <w:r>
        <w:rPr>
          <w:rFonts w:hint="cs"/>
          <w:rtl/>
        </w:rPr>
        <w:tab/>
        <w:t>برنامج المساعدة التقنية والبرنامج الوطني لتعزيز الزراعة الأسرية - ستجري كفالة تقديم المساعدة التقنية إلى رابطات كويلومبو والمنظمات التي تعمل داخل المجتمعات والتي تستجيب للالتماسات التي تتقدم بها وزارة التنمية الزراعية. وفي عام 2004 جرى توجيه موارد البرنامج الوطني لتعزيز الزراعة الأسرية إلى عشرة مجتمعات.</w:t>
      </w:r>
    </w:p>
    <w:p w:rsidR="00A9044C" w:rsidRDefault="00A9044C" w:rsidP="00A9044C">
      <w:pPr>
        <w:pStyle w:val="SingleTxt"/>
        <w:rPr>
          <w:rFonts w:hint="cs"/>
          <w:rtl/>
        </w:rPr>
      </w:pPr>
      <w:r>
        <w:rPr>
          <w:rFonts w:hint="cs"/>
          <w:rtl/>
        </w:rPr>
        <w:tab/>
        <w:t>8 -</w:t>
      </w:r>
      <w:r>
        <w:rPr>
          <w:rFonts w:hint="cs"/>
          <w:rtl/>
        </w:rPr>
        <w:tab/>
        <w:t>التعليم - يجري اتخاذ الإجراءات بالشراكة مع وزارة التعليم من أجل ضمان التدريب المتصل للمعلمين، وإنتاج المواد التعليمية، وبناء المعدات وتوزيعها على المدارس الموجودة في مناطق هذه المجتمعات.</w:t>
      </w:r>
    </w:p>
    <w:p w:rsidR="00A9044C" w:rsidRDefault="00A9044C" w:rsidP="00A9044C">
      <w:pPr>
        <w:pStyle w:val="SingleTxt"/>
        <w:rPr>
          <w:rFonts w:hint="cs"/>
          <w:rtl/>
        </w:rPr>
      </w:pPr>
      <w:r>
        <w:rPr>
          <w:rFonts w:hint="cs"/>
          <w:rtl/>
        </w:rPr>
        <w:tab/>
        <w:t>9 -</w:t>
      </w:r>
      <w:r>
        <w:rPr>
          <w:rFonts w:hint="cs"/>
          <w:rtl/>
        </w:rPr>
        <w:tab/>
        <w:t>مشروع زاناواندي - سيدعم هذا المشروع عقد اجتماعات وطنية للشباب، واجتماع وطني لنساء كويلومبو، وإجراء استقصاء بالعينات لحالة الشباب في مجتمعات كويلومبو.</w:t>
      </w:r>
    </w:p>
    <w:p w:rsidR="00A9044C" w:rsidRDefault="00A9044C" w:rsidP="00E1242A">
      <w:pPr>
        <w:pStyle w:val="SingleTxt"/>
        <w:rPr>
          <w:rFonts w:hint="cs"/>
          <w:rtl/>
        </w:rPr>
      </w:pPr>
      <w:r>
        <w:rPr>
          <w:rFonts w:hint="cs"/>
          <w:rtl/>
        </w:rPr>
        <w:tab/>
        <w:t xml:space="preserve">و </w:t>
      </w:r>
      <w:r>
        <w:rPr>
          <w:rFonts w:hint="eastAsia"/>
          <w:rtl/>
        </w:rPr>
        <w:t>”بناء القدرات للمرأة في قطاعي الإنتاج الريفي والحضري</w:t>
      </w:r>
      <w:r>
        <w:rPr>
          <w:rFonts w:hint="cs"/>
          <w:rtl/>
        </w:rPr>
        <w:t xml:space="preserve">“ يشكل أحد أنواع الأعمال التي يجري القيام بها في ظل برنامج المساواة بين الجنسين في علاقات العمل، </w:t>
      </w:r>
      <w:r w:rsidR="00E1242A">
        <w:rPr>
          <w:rFonts w:hint="cs"/>
          <w:rtl/>
        </w:rPr>
        <w:t>ويقع هذا البرنامج</w:t>
      </w:r>
      <w:r>
        <w:rPr>
          <w:rFonts w:hint="cs"/>
          <w:rtl/>
        </w:rPr>
        <w:t xml:space="preserve"> في نطاق مسؤولية الأمانة الخاصة لسياسات المرأة. والهدف من ذلك هو تعزيز و/أو دعم برامج بناء القدرات بغية تزويد العاملات بظروف عمل ونوعية حياة أفضل، وتشجيع المشاركة المدنية، فضلا عن تعزيز و/أو دعم دورات تدريبية للقدرات للعاملات الريفيات من أجل كفالة حصولهن على الائتمان. وفي عام 2004 بلغت الموارد المخصصة لهذا العمل 1.2 مليون ريال برازيلي. وجرى تدر</w:t>
      </w:r>
      <w:r w:rsidR="00E1242A">
        <w:rPr>
          <w:rFonts w:hint="cs"/>
          <w:rtl/>
        </w:rPr>
        <w:t>يب حوالي 500 3 امرأة من خلال 15</w:t>
      </w:r>
      <w:r w:rsidR="00E1242A">
        <w:rPr>
          <w:rFonts w:hint="eastAsia"/>
          <w:rtl/>
        </w:rPr>
        <w:t> </w:t>
      </w:r>
      <w:r>
        <w:rPr>
          <w:rFonts w:hint="cs"/>
          <w:rtl/>
        </w:rPr>
        <w:t>اتفاقا بين كيانات عامة وخاصة.</w:t>
      </w:r>
    </w:p>
    <w:p w:rsidR="00A9044C" w:rsidRDefault="00A9044C" w:rsidP="00E1242A">
      <w:pPr>
        <w:pStyle w:val="SingleTxt"/>
        <w:rPr>
          <w:rFonts w:hint="cs"/>
          <w:rtl/>
        </w:rPr>
      </w:pPr>
      <w:r>
        <w:rPr>
          <w:rFonts w:hint="cs"/>
          <w:rtl/>
        </w:rPr>
        <w:tab/>
        <w:t xml:space="preserve">ومن بين الأعمال المتنوعة التي جرى الاضطلاع بها في مجال صحة المرأة الريفية، يجدر بالذكر مشاركة الفريق الإداري الثنائي وتمويل مشروع بناء القدرات للمدربين في مجالات نوع الجنس والصحة والحقوق الجنسية والإنجابية الذي أنشأته أمانة إدارة العمل والتثقيف في المجال الصحي، التابعة لوزارة الصحة، </w:t>
      </w:r>
      <w:r w:rsidR="00E1242A">
        <w:rPr>
          <w:rFonts w:hint="cs"/>
          <w:rtl/>
        </w:rPr>
        <w:t>والاتحاد الوطني للعمال الزراعيين</w:t>
      </w:r>
      <w:r>
        <w:rPr>
          <w:rFonts w:hint="cs"/>
          <w:rtl/>
        </w:rPr>
        <w:t>.</w:t>
      </w:r>
    </w:p>
    <w:p w:rsidR="00A9044C" w:rsidRDefault="00A9044C" w:rsidP="005E219A">
      <w:pPr>
        <w:pStyle w:val="SingleTxt"/>
        <w:rPr>
          <w:rFonts w:hint="cs"/>
          <w:rtl/>
        </w:rPr>
      </w:pPr>
      <w:r>
        <w:rPr>
          <w:rFonts w:hint="cs"/>
          <w:rtl/>
        </w:rPr>
        <w:tab/>
        <w:t>ومن الأعمال الأخرى الجديرة بالملاحظة تقديم الرعاية إلى المرأة الريفية في المستشفيات الصغيرة، وبناء القدرات لمدربين صحيين مهنيين يبلغ عددهم 85 مدربا للعمل كمعلم</w:t>
      </w:r>
      <w:r w:rsidR="00E1242A">
        <w:rPr>
          <w:rFonts w:hint="cs"/>
          <w:rtl/>
        </w:rPr>
        <w:t>ين، ولقابلات تقليديات يبلغ عددهن</w:t>
      </w:r>
      <w:r>
        <w:rPr>
          <w:rFonts w:hint="cs"/>
          <w:rtl/>
        </w:rPr>
        <w:t xml:space="preserve"> 157 في ولايات إيكر، وأمازوناس، وأمابا، وبارا، وما</w:t>
      </w:r>
      <w:r w:rsidR="005E219A">
        <w:rPr>
          <w:rFonts w:hint="cs"/>
          <w:rtl/>
        </w:rPr>
        <w:t>ر</w:t>
      </w:r>
      <w:r>
        <w:rPr>
          <w:rFonts w:hint="cs"/>
          <w:rtl/>
        </w:rPr>
        <w:t>انهاو، وألاغوس، وغوياس، وميناس غيرايس، وبار</w:t>
      </w:r>
      <w:r w:rsidR="005E219A">
        <w:rPr>
          <w:rFonts w:hint="cs"/>
          <w:rtl/>
        </w:rPr>
        <w:t>ا</w:t>
      </w:r>
      <w:r>
        <w:rPr>
          <w:rFonts w:hint="cs"/>
          <w:rtl/>
        </w:rPr>
        <w:t>يبا.</w:t>
      </w:r>
    </w:p>
    <w:p w:rsidR="00A9044C" w:rsidRPr="00B37E8F"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15 من اتفاقية القضاء على جميع أشكال التمييز ضد المرأة</w:t>
      </w:r>
    </w:p>
    <w:p w:rsidR="00A9044C" w:rsidRPr="00766F6A" w:rsidRDefault="00E2419F" w:rsidP="00E2419F">
      <w:pPr>
        <w:pStyle w:val="SingleTxt"/>
        <w:ind w:left="1930" w:hanging="663"/>
        <w:rPr>
          <w:rtl/>
          <w:lang w:bidi="ar-EG"/>
        </w:rPr>
      </w:pPr>
      <w:r>
        <w:rPr>
          <w:rFonts w:hint="cs"/>
          <w:rtl/>
          <w:lang w:bidi="ar-EG"/>
        </w:rPr>
        <w:tab/>
      </w:r>
      <w:r>
        <w:rPr>
          <w:rtl/>
          <w:lang w:bidi="ar-EG"/>
        </w:rPr>
        <w:tab/>
      </w:r>
      <w:r w:rsidR="00A9044C" w:rsidRPr="00766F6A">
        <w:rPr>
          <w:rtl/>
          <w:lang w:bidi="ar-EG"/>
        </w:rPr>
        <w:t>1 -</w:t>
      </w:r>
      <w:r w:rsidR="00A9044C" w:rsidRPr="00766F6A">
        <w:rPr>
          <w:rtl/>
          <w:lang w:bidi="ar-EG"/>
        </w:rPr>
        <w:tab/>
        <w:t>تعترف الدول الأطراف للمرأة بالمساواة مع الرجل أمام القانون.</w:t>
      </w:r>
    </w:p>
    <w:p w:rsidR="00A9044C" w:rsidRPr="00766F6A" w:rsidRDefault="00E2419F" w:rsidP="00E2419F">
      <w:pPr>
        <w:pStyle w:val="SingleTxt"/>
        <w:ind w:left="1930" w:hanging="663"/>
        <w:rPr>
          <w:rtl/>
          <w:lang w:bidi="ar-EG"/>
        </w:rPr>
      </w:pPr>
      <w:r>
        <w:rPr>
          <w:rFonts w:hint="cs"/>
          <w:rtl/>
          <w:lang w:bidi="ar-EG"/>
        </w:rPr>
        <w:tab/>
      </w:r>
      <w:r>
        <w:rPr>
          <w:rFonts w:hint="cs"/>
          <w:rtl/>
          <w:lang w:bidi="ar-EG"/>
        </w:rPr>
        <w:tab/>
      </w:r>
      <w:r w:rsidR="00A9044C" w:rsidRPr="00766F6A">
        <w:rPr>
          <w:rtl/>
          <w:lang w:bidi="ar-EG"/>
        </w:rPr>
        <w:t>2 -</w:t>
      </w:r>
      <w:r w:rsidR="00A9044C" w:rsidRPr="00766F6A">
        <w:rPr>
          <w:rtl/>
          <w:lang w:bidi="ar-EG"/>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وتعاملهما على قدم المساواة في جميع مراحل الإجراءات القضائية.</w:t>
      </w:r>
    </w:p>
    <w:p w:rsidR="00A9044C" w:rsidRPr="00766F6A" w:rsidRDefault="00E2419F" w:rsidP="00E2419F">
      <w:pPr>
        <w:pStyle w:val="SingleTxt"/>
        <w:ind w:left="1930" w:hanging="663"/>
        <w:rPr>
          <w:rtl/>
          <w:lang w:bidi="ar-EG"/>
        </w:rPr>
      </w:pPr>
      <w:r>
        <w:rPr>
          <w:rFonts w:hint="cs"/>
          <w:rtl/>
          <w:lang w:bidi="ar-EG"/>
        </w:rPr>
        <w:tab/>
      </w:r>
      <w:r>
        <w:rPr>
          <w:rFonts w:hint="cs"/>
          <w:rtl/>
          <w:lang w:bidi="ar-EG"/>
        </w:rPr>
        <w:tab/>
      </w:r>
      <w:r w:rsidR="00A9044C" w:rsidRPr="00766F6A">
        <w:rPr>
          <w:rtl/>
          <w:lang w:bidi="ar-EG"/>
        </w:rPr>
        <w:t>3 -</w:t>
      </w:r>
      <w:r w:rsidR="00A9044C" w:rsidRPr="00766F6A">
        <w:rPr>
          <w:rtl/>
          <w:lang w:bidi="ar-EG"/>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A9044C" w:rsidRDefault="00E2419F" w:rsidP="00E2419F">
      <w:pPr>
        <w:pStyle w:val="SingleTxt"/>
        <w:ind w:left="1930" w:hanging="663"/>
        <w:rPr>
          <w:rFonts w:hint="cs"/>
          <w:rtl/>
          <w:lang w:bidi="ar-EG"/>
        </w:rPr>
      </w:pPr>
      <w:r>
        <w:rPr>
          <w:rFonts w:hint="cs"/>
          <w:rtl/>
          <w:lang w:bidi="ar-EG"/>
        </w:rPr>
        <w:tab/>
      </w:r>
      <w:r>
        <w:rPr>
          <w:rFonts w:hint="cs"/>
          <w:rtl/>
          <w:lang w:bidi="ar-EG"/>
        </w:rPr>
        <w:tab/>
      </w:r>
      <w:r w:rsidR="00A9044C" w:rsidRPr="00766F6A">
        <w:rPr>
          <w:rtl/>
          <w:lang w:bidi="ar-EG"/>
        </w:rPr>
        <w:t>4 -</w:t>
      </w:r>
      <w:r w:rsidR="00A9044C" w:rsidRPr="00766F6A">
        <w:rPr>
          <w:rtl/>
          <w:lang w:bidi="ar-EG"/>
        </w:rPr>
        <w:tab/>
        <w:t>تمنح الدول الأطراف الرجل والمرأة نفس الحقوق فيما يتعلق بالتشريع المتصل بحركة الأشخاص وحرية اختيار محل سكناهم وإقامتهم</w:t>
      </w:r>
      <w:r w:rsidR="00A9044C" w:rsidRPr="00766F6A">
        <w:rPr>
          <w:rtl/>
        </w:rPr>
        <w:t>.</w:t>
      </w:r>
    </w:p>
    <w:p w:rsidR="00A9044C" w:rsidRPr="00A9044C"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16 من اتفاقية القضاء على جميع أشكال التمييز ضد المرأة</w:t>
      </w:r>
    </w:p>
    <w:p w:rsidR="00A9044C" w:rsidRPr="00A9044C" w:rsidRDefault="00E2419F" w:rsidP="00E2419F">
      <w:pPr>
        <w:pStyle w:val="SingleTxt"/>
        <w:ind w:left="1930" w:hanging="663"/>
        <w:rPr>
          <w:rtl/>
        </w:rPr>
      </w:pPr>
      <w:r>
        <w:rPr>
          <w:rFonts w:hint="cs"/>
          <w:rtl/>
        </w:rPr>
        <w:tab/>
      </w:r>
      <w:r>
        <w:rPr>
          <w:rFonts w:hint="cs"/>
          <w:rtl/>
        </w:rPr>
        <w:tab/>
      </w:r>
      <w:r w:rsidR="00A9044C" w:rsidRPr="00A9044C">
        <w:rPr>
          <w:rtl/>
        </w:rPr>
        <w:t>1 -</w:t>
      </w:r>
      <w:r w:rsidR="00A9044C" w:rsidRPr="00A9044C">
        <w:rPr>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A9044C" w:rsidRPr="00A9044C" w:rsidRDefault="00E2419F" w:rsidP="00E2419F">
      <w:pPr>
        <w:pStyle w:val="SingleTxt"/>
        <w:ind w:left="1930" w:hanging="663"/>
        <w:rPr>
          <w:rtl/>
        </w:rPr>
      </w:pPr>
      <w:r>
        <w:rPr>
          <w:rFonts w:hint="cs"/>
          <w:rtl/>
        </w:rPr>
        <w:tab/>
      </w:r>
      <w:r w:rsidR="00A9044C" w:rsidRPr="00A9044C">
        <w:rPr>
          <w:rtl/>
        </w:rPr>
        <w:tab/>
        <w:t>(أ)</w:t>
      </w:r>
      <w:r w:rsidR="00A9044C" w:rsidRPr="00A9044C">
        <w:rPr>
          <w:rtl/>
        </w:rPr>
        <w:tab/>
        <w:t>نفس الحق في عقد الزواج؛</w:t>
      </w:r>
    </w:p>
    <w:p w:rsidR="00A9044C" w:rsidRPr="00A9044C" w:rsidRDefault="00E2419F" w:rsidP="00E2419F">
      <w:pPr>
        <w:pStyle w:val="SingleTxt"/>
        <w:ind w:left="1930" w:hanging="663"/>
        <w:rPr>
          <w:rtl/>
        </w:rPr>
      </w:pPr>
      <w:r>
        <w:rPr>
          <w:rFonts w:hint="cs"/>
          <w:rtl/>
        </w:rPr>
        <w:tab/>
      </w:r>
      <w:r w:rsidR="00A9044C" w:rsidRPr="00A9044C">
        <w:rPr>
          <w:rtl/>
        </w:rPr>
        <w:tab/>
        <w:t>(ب)</w:t>
      </w:r>
      <w:r w:rsidR="00A9044C" w:rsidRPr="00A9044C">
        <w:rPr>
          <w:rtl/>
        </w:rPr>
        <w:tab/>
        <w:t>نفس الحق في حرية اختيار الزوج، وفي عدم عقد الزواج إلا برضاها الحر الكامل؛</w:t>
      </w:r>
    </w:p>
    <w:p w:rsidR="00A9044C" w:rsidRPr="00A9044C" w:rsidRDefault="00E2419F" w:rsidP="00E2419F">
      <w:pPr>
        <w:pStyle w:val="SingleTxt"/>
        <w:ind w:left="1930" w:hanging="663"/>
        <w:rPr>
          <w:rtl/>
        </w:rPr>
      </w:pPr>
      <w:r>
        <w:rPr>
          <w:rFonts w:hint="cs"/>
          <w:rtl/>
        </w:rPr>
        <w:tab/>
      </w:r>
      <w:r w:rsidR="00A9044C" w:rsidRPr="00A9044C">
        <w:rPr>
          <w:rtl/>
        </w:rPr>
        <w:tab/>
        <w:t>(ج)</w:t>
      </w:r>
      <w:r w:rsidR="00A9044C" w:rsidRPr="00A9044C">
        <w:rPr>
          <w:rtl/>
        </w:rPr>
        <w:tab/>
        <w:t>نفس الحقوق والمسؤوليات أثناء الزواج وعند فسخه؛</w:t>
      </w:r>
    </w:p>
    <w:p w:rsidR="00A9044C" w:rsidRPr="00A9044C" w:rsidRDefault="00E2419F" w:rsidP="00E2419F">
      <w:pPr>
        <w:pStyle w:val="SingleTxt"/>
        <w:ind w:left="1930" w:hanging="663"/>
        <w:rPr>
          <w:rtl/>
        </w:rPr>
      </w:pPr>
      <w:r>
        <w:rPr>
          <w:rFonts w:hint="cs"/>
          <w:rtl/>
        </w:rPr>
        <w:tab/>
      </w:r>
      <w:r w:rsidR="00A9044C" w:rsidRPr="00A9044C">
        <w:rPr>
          <w:rtl/>
        </w:rPr>
        <w:tab/>
        <w:t>(د)</w:t>
      </w:r>
      <w:r w:rsidR="00A9044C" w:rsidRPr="00A9044C">
        <w:rPr>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A9044C" w:rsidRPr="00A9044C" w:rsidRDefault="00E2419F" w:rsidP="00E2419F">
      <w:pPr>
        <w:pStyle w:val="SingleTxt"/>
        <w:ind w:left="1930" w:hanging="663"/>
        <w:rPr>
          <w:rtl/>
        </w:rPr>
      </w:pPr>
      <w:r>
        <w:rPr>
          <w:rFonts w:hint="cs"/>
          <w:rtl/>
        </w:rPr>
        <w:tab/>
      </w:r>
      <w:r w:rsidR="00A9044C" w:rsidRPr="00A9044C">
        <w:rPr>
          <w:rtl/>
        </w:rPr>
        <w:tab/>
        <w:t>(هـ)</w:t>
      </w:r>
      <w:r w:rsidR="00A9044C" w:rsidRPr="00A9044C">
        <w:rPr>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A9044C" w:rsidRPr="00A9044C" w:rsidRDefault="00E2419F" w:rsidP="00E2419F">
      <w:pPr>
        <w:pStyle w:val="SingleTxt"/>
        <w:ind w:left="1930" w:hanging="663"/>
        <w:rPr>
          <w:rtl/>
        </w:rPr>
      </w:pPr>
      <w:r>
        <w:rPr>
          <w:rFonts w:hint="cs"/>
          <w:rtl/>
        </w:rPr>
        <w:tab/>
      </w:r>
      <w:r w:rsidR="00A9044C" w:rsidRPr="00A9044C">
        <w:rPr>
          <w:rtl/>
        </w:rPr>
        <w:tab/>
        <w:t>(و)</w:t>
      </w:r>
      <w:r w:rsidR="00A9044C" w:rsidRPr="00A9044C">
        <w:rPr>
          <w:rtl/>
        </w:rPr>
        <w:tab/>
        <w:t xml:space="preserve">نفس الحقوق والمسؤوليات فيما يتعلق بالولاية والقوامة والوصاية على الأطفال وتبنيهم، أو ما شابه ذلك من </w:t>
      </w:r>
      <w:r w:rsidR="009223A3">
        <w:rPr>
          <w:rFonts w:hint="cs"/>
          <w:rtl/>
        </w:rPr>
        <w:t>الأنظمة المؤسسية الاجتماعية</w:t>
      </w:r>
      <w:r w:rsidR="00A9044C" w:rsidRPr="00A9044C">
        <w:rPr>
          <w:rtl/>
        </w:rPr>
        <w:t>، حين توجد هذه المفاهيم في التشريع الوطني، وفي جميع الأحوال يكون لمصلحة الأطفال الاعتبار الأول؛</w:t>
      </w:r>
    </w:p>
    <w:p w:rsidR="00A9044C" w:rsidRPr="00A9044C" w:rsidRDefault="00E2419F" w:rsidP="00E2419F">
      <w:pPr>
        <w:pStyle w:val="SingleTxt"/>
        <w:ind w:left="1930" w:hanging="663"/>
        <w:rPr>
          <w:rtl/>
        </w:rPr>
      </w:pPr>
      <w:r>
        <w:rPr>
          <w:rFonts w:hint="cs"/>
          <w:rtl/>
        </w:rPr>
        <w:tab/>
      </w:r>
      <w:r w:rsidR="00A9044C" w:rsidRPr="00A9044C">
        <w:rPr>
          <w:rtl/>
        </w:rPr>
        <w:tab/>
        <w:t>(ز)</w:t>
      </w:r>
      <w:r w:rsidR="00A9044C" w:rsidRPr="00A9044C">
        <w:rPr>
          <w:rtl/>
        </w:rPr>
        <w:tab/>
        <w:t>نفس الحقوق الشخصية للزوج والزوجة، بما في ذلك الحق في اختيار اسم الأسرة والمهنة ونوع العمل؛</w:t>
      </w:r>
    </w:p>
    <w:p w:rsidR="00A9044C" w:rsidRPr="00A9044C" w:rsidRDefault="00E2419F" w:rsidP="00E2419F">
      <w:pPr>
        <w:pStyle w:val="SingleTxt"/>
        <w:ind w:left="1930" w:hanging="663"/>
        <w:rPr>
          <w:rtl/>
        </w:rPr>
      </w:pPr>
      <w:r>
        <w:rPr>
          <w:rFonts w:hint="cs"/>
          <w:rtl/>
        </w:rPr>
        <w:tab/>
      </w:r>
      <w:r w:rsidR="00A9044C" w:rsidRPr="00A9044C">
        <w:rPr>
          <w:rFonts w:hint="cs"/>
          <w:rtl/>
        </w:rPr>
        <w:tab/>
      </w:r>
      <w:r w:rsidR="00A9044C" w:rsidRPr="00A9044C">
        <w:rPr>
          <w:rtl/>
        </w:rPr>
        <w:t>(ح)</w:t>
      </w:r>
      <w:r w:rsidR="00A9044C" w:rsidRPr="00A9044C">
        <w:rPr>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A9044C" w:rsidRPr="00A9044C" w:rsidRDefault="00E2419F" w:rsidP="00E2419F">
      <w:pPr>
        <w:pStyle w:val="SingleTxt"/>
        <w:ind w:left="1930" w:hanging="663"/>
        <w:rPr>
          <w:rFonts w:hint="cs"/>
          <w:rtl/>
          <w:lang w:bidi="ar-EG"/>
        </w:rPr>
      </w:pPr>
      <w:r>
        <w:rPr>
          <w:rFonts w:hint="cs"/>
          <w:rtl/>
        </w:rPr>
        <w:tab/>
      </w:r>
      <w:r>
        <w:rPr>
          <w:rFonts w:hint="cs"/>
          <w:rtl/>
        </w:rPr>
        <w:tab/>
      </w:r>
      <w:r w:rsidR="00A9044C" w:rsidRPr="00A9044C">
        <w:rPr>
          <w:rFonts w:hint="cs"/>
          <w:rtl/>
        </w:rPr>
        <w:t>2</w:t>
      </w:r>
      <w:r w:rsidR="00A9044C" w:rsidRPr="00A9044C">
        <w:rPr>
          <w:rtl/>
        </w:rPr>
        <w:t xml:space="preserve"> -</w:t>
      </w:r>
      <w:r w:rsidR="00A9044C" w:rsidRPr="00A9044C">
        <w:rPr>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A9044C" w:rsidRPr="00A9044C" w:rsidRDefault="00A9044C" w:rsidP="00A9044C">
      <w:pPr>
        <w:pStyle w:val="SingleTxt"/>
        <w:spacing w:after="0" w:line="120" w:lineRule="exact"/>
        <w:rPr>
          <w:rFonts w:hint="cs"/>
          <w:sz w:val="10"/>
          <w:rtl/>
        </w:rPr>
      </w:pPr>
    </w:p>
    <w:p w:rsidR="00A9044C" w:rsidRDefault="00A9044C" w:rsidP="00A9044C">
      <w:pPr>
        <w:pStyle w:val="SingleTxt"/>
        <w:rPr>
          <w:rFonts w:hint="cs"/>
          <w:rtl/>
        </w:rPr>
      </w:pPr>
      <w:r>
        <w:rPr>
          <w:rFonts w:hint="cs"/>
          <w:rtl/>
        </w:rPr>
        <w:tab/>
        <w:t>تعتمد الحكومة البرازيلية تدابير متنوعة امتثالا للمادتين 15 و 16 من الاتفاقية.</w:t>
      </w:r>
    </w:p>
    <w:p w:rsidR="00A9044C" w:rsidRDefault="00A9044C" w:rsidP="009223A3">
      <w:pPr>
        <w:pStyle w:val="SingleTxt"/>
        <w:rPr>
          <w:rFonts w:hint="cs"/>
          <w:rtl/>
        </w:rPr>
      </w:pPr>
      <w:r>
        <w:rPr>
          <w:rFonts w:hint="cs"/>
          <w:rtl/>
        </w:rPr>
        <w:tab/>
        <w:t>دخل القانون المدني البرازيلي الجديد حيز النفاذ في كانون الثاني/يناير 2003. وأبطل هذا القانون معظم الأحكام التمييزية الموجودة فيما يتعلق بالمساواة بين المرأة والرجل. ومع ذلك، ما زالت هناك ممارسات تمييزية متبقية في بعض المواد، تتناول إحداها العمر القانوني للزواج وتحدد عمرين مختلفين لكل من الرجل والمرأة؛ وأخرى لا تسمح إلا للنساء المتزوجات بإمكان رفض الحماية؛ وثالث</w:t>
      </w:r>
      <w:r w:rsidR="009223A3">
        <w:rPr>
          <w:rFonts w:hint="cs"/>
          <w:rtl/>
        </w:rPr>
        <w:t>ة</w:t>
      </w:r>
      <w:r>
        <w:rPr>
          <w:rFonts w:hint="cs"/>
          <w:rtl/>
        </w:rPr>
        <w:t xml:space="preserve"> تفرض قيودا على زواج المرأة.</w:t>
      </w:r>
    </w:p>
    <w:p w:rsidR="00A9044C" w:rsidRDefault="00A9044C" w:rsidP="00A9044C">
      <w:pPr>
        <w:pStyle w:val="SingleTxt"/>
        <w:rPr>
          <w:rFonts w:hint="cs"/>
          <w:rtl/>
        </w:rPr>
      </w:pPr>
      <w:r>
        <w:rPr>
          <w:rFonts w:hint="cs"/>
          <w:rtl/>
        </w:rPr>
        <w:tab/>
        <w:t>وتدرك الحكومة البرازيلية أن هذه الأحكام التمييزية لا تزال موجودة في القانون المدني الجديد، ولكنها تتعاون مع السلطة التشريعية، وبخاصة المجموعة النسائية في الكونغرس الوطني والحركة النسائية، من أجل الموافقة على مقترحات جديدة تبطل تلك الأحكام.</w:t>
      </w:r>
    </w:p>
    <w:p w:rsidR="00A9044C" w:rsidRDefault="00A9044C" w:rsidP="00A9044C">
      <w:pPr>
        <w:pStyle w:val="SingleTxt"/>
        <w:rPr>
          <w:rFonts w:hint="cs"/>
          <w:rtl/>
        </w:rPr>
      </w:pPr>
      <w:r>
        <w:rPr>
          <w:rFonts w:hint="cs"/>
          <w:rtl/>
        </w:rPr>
        <w:tab/>
        <w:t>وينبغي أن نذكر أيضا موافقة مجلس النواب في جلسته العامة مؤخرا على إدخال تغييرات على قانون العقوبات. ويستبعد النص الجديد موادا وأقساما تمييزية عديدة. وبالإضافة إلى التغييرات التي سبق ذكرها في الإجابة التي تشير إلى المادة 3 من الاتفاقية، هناك تغييرات أخرى أدخلت على القانون الجنائي وتستحق إلقاء الضوء عليها حيث أنها تسهم في إرساء المساواة الواقعية في الحقوق بين الرجل والمرأة. وتتضمن هذه التغييرات ما يلي:</w:t>
      </w:r>
    </w:p>
    <w:p w:rsidR="00A9044C" w:rsidRDefault="00A9044C" w:rsidP="00A9044C">
      <w:pPr>
        <w:pStyle w:val="SingleTxt"/>
        <w:rPr>
          <w:rFonts w:hint="cs"/>
          <w:rtl/>
        </w:rPr>
      </w:pPr>
      <w:r>
        <w:rPr>
          <w:rFonts w:hint="cs"/>
          <w:rtl/>
        </w:rPr>
        <w:tab/>
        <w:t>1 -</w:t>
      </w:r>
      <w:r>
        <w:rPr>
          <w:rFonts w:hint="cs"/>
          <w:rtl/>
        </w:rPr>
        <w:tab/>
        <w:t>جرى استبعاد القسمين السابع والثامن من المادة 107، اللذين يتناولان الإفلات التلقائي من العقاب لمرتكب جريمة عند زواج الضحية من مرتكب الجريمة أو من طرف ثالث. وهذا القسمان العتيقان يرتبطان بسلوك بدأ في فترة الاستعمار عندما كانت العذرية ودفع المهر يقيّمان بالعملة.</w:t>
      </w:r>
    </w:p>
    <w:p w:rsidR="00A9044C" w:rsidRDefault="00A9044C" w:rsidP="001455B5">
      <w:pPr>
        <w:pStyle w:val="SingleTxt"/>
        <w:spacing w:line="390" w:lineRule="exact"/>
        <w:rPr>
          <w:rFonts w:hint="cs"/>
          <w:rtl/>
        </w:rPr>
      </w:pPr>
      <w:r>
        <w:rPr>
          <w:rFonts w:hint="cs"/>
          <w:rtl/>
        </w:rPr>
        <w:tab/>
        <w:t>2 -</w:t>
      </w:r>
      <w:r>
        <w:rPr>
          <w:rFonts w:hint="cs"/>
          <w:rtl/>
        </w:rPr>
        <w:tab/>
        <w:t>جرى تغيير القسم الأول من المادة 148 التي تتناول جرائم الخطف والسجن غير القانوني، وأصبح ذلك القسم يدرج الرفيق في قائمة الضحايا المحتملين لتلك الجرائم. ويضمن هذا التغيير امتثال المادة للأحكام الواردة في الدستور الاتحادي التي تعامل الزوج والقرين على قدم المساواة. وأضيف القسمان الرابع والخامس إلى نفس المادة لكي تدرج - ضمن الظروف المشددة للعقوبة على جريمة الخطف - نية مرتكب الجريمة ممارسة أفعال جنسية مع الضحية، والظروف التي تكون فيها ضحية الجريمة دون سن 18 سنة.</w:t>
      </w:r>
    </w:p>
    <w:p w:rsidR="00A9044C" w:rsidRDefault="00A9044C" w:rsidP="001455B5">
      <w:pPr>
        <w:pStyle w:val="SingleTxt"/>
        <w:spacing w:line="390" w:lineRule="exact"/>
        <w:rPr>
          <w:rFonts w:hint="cs"/>
          <w:rtl/>
        </w:rPr>
      </w:pPr>
      <w:r>
        <w:rPr>
          <w:rFonts w:hint="cs"/>
          <w:rtl/>
        </w:rPr>
        <w:tab/>
        <w:t>3 -</w:t>
      </w:r>
      <w:r>
        <w:rPr>
          <w:rFonts w:hint="cs"/>
          <w:rtl/>
        </w:rPr>
        <w:tab/>
        <w:t>استبعدت المادة 217 التي تناولت جريمة الإغواء. وطبقا لهذه المادة كان هناك اختلاف في المعاملة بين المرأة والرجل، حيث أن ضحايا الإغواء كن من النساء فقط. وكانت هذه المادة تثير أيضا المفهوم التمييزي للمرأة العذراء. واستبعدت أيضا المادتان 219 و 222، اللتان تناولتا خطف المرأة بالتراضي أو من خلال الاحتيال، واللتان لمحتا لجريمة الخطف والسجن غير القانوني.</w:t>
      </w:r>
    </w:p>
    <w:p w:rsidR="00A9044C" w:rsidRDefault="00A9044C" w:rsidP="001455B5">
      <w:pPr>
        <w:pStyle w:val="SingleTxt"/>
        <w:spacing w:line="390" w:lineRule="exact"/>
        <w:rPr>
          <w:rFonts w:hint="cs"/>
          <w:rtl/>
        </w:rPr>
      </w:pPr>
      <w:r>
        <w:rPr>
          <w:rFonts w:hint="cs"/>
          <w:rtl/>
        </w:rPr>
        <w:tab/>
        <w:t>4 -</w:t>
      </w:r>
      <w:r>
        <w:rPr>
          <w:rFonts w:hint="cs"/>
          <w:rtl/>
        </w:rPr>
        <w:tab/>
        <w:t xml:space="preserve">جرى تغيير المادة 226 التي تنص على زيادة العقوبة على جرائم العنف الجنسي، بحيث تتضمن </w:t>
      </w:r>
      <w:r>
        <w:rPr>
          <w:rFonts w:hint="eastAsia"/>
          <w:rtl/>
        </w:rPr>
        <w:t>”الرف</w:t>
      </w:r>
      <w:r>
        <w:rPr>
          <w:rFonts w:hint="cs"/>
          <w:rtl/>
        </w:rPr>
        <w:t>يق</w:t>
      </w:r>
      <w:r>
        <w:rPr>
          <w:rFonts w:hint="eastAsia"/>
          <w:rtl/>
        </w:rPr>
        <w:t xml:space="preserve">“ كضحية ممكنة. </w:t>
      </w:r>
      <w:r>
        <w:rPr>
          <w:rFonts w:hint="cs"/>
          <w:rtl/>
        </w:rPr>
        <w:t>وهذا التغيير يضمن امتثال المادة لأحكام الدستور الاتحادي التي تعترف بالعشرة الدائمة بين رجل وامرأة. ويتيح هذا التغيير أيضا زيادة العقوبة بمقدار النصف إذا كان مرتكب الجريمة على علاقة وثيقة بالضحية، أو يعيش، أو كان يعيش، معها.</w:t>
      </w:r>
    </w:p>
    <w:p w:rsidR="00A9044C" w:rsidRDefault="00A9044C" w:rsidP="001455B5">
      <w:pPr>
        <w:pStyle w:val="SingleTxt"/>
        <w:spacing w:line="390" w:lineRule="exact"/>
        <w:rPr>
          <w:rFonts w:hint="cs"/>
          <w:rtl/>
        </w:rPr>
      </w:pPr>
      <w:r>
        <w:rPr>
          <w:rFonts w:hint="cs"/>
          <w:rtl/>
        </w:rPr>
        <w:tab/>
        <w:t>5 -</w:t>
      </w:r>
      <w:r>
        <w:rPr>
          <w:rFonts w:hint="cs"/>
          <w:rtl/>
        </w:rPr>
        <w:tab/>
        <w:t xml:space="preserve">جرى تغيير عنوان الفصل الخامس الذي يتناول جريمة القوادة والاتجار بالنساء، إلى </w:t>
      </w:r>
      <w:r>
        <w:rPr>
          <w:rFonts w:hint="eastAsia"/>
          <w:rtl/>
        </w:rPr>
        <w:t>”القوادة والاتجار بالأشخاص</w:t>
      </w:r>
      <w:r>
        <w:rPr>
          <w:rFonts w:hint="cs"/>
          <w:rtl/>
        </w:rPr>
        <w:t>“.</w:t>
      </w:r>
    </w:p>
    <w:p w:rsidR="00A9044C" w:rsidRDefault="00A9044C" w:rsidP="001455B5">
      <w:pPr>
        <w:pStyle w:val="SingleTxt"/>
        <w:spacing w:line="390" w:lineRule="exact"/>
        <w:rPr>
          <w:rFonts w:hint="eastAsia"/>
          <w:rtl/>
        </w:rPr>
      </w:pPr>
      <w:r>
        <w:rPr>
          <w:rFonts w:hint="cs"/>
          <w:rtl/>
        </w:rPr>
        <w:tab/>
        <w:t>6 -</w:t>
      </w:r>
      <w:r>
        <w:rPr>
          <w:rFonts w:hint="cs"/>
          <w:rtl/>
        </w:rPr>
        <w:tab/>
        <w:t xml:space="preserve">جرى تغيير الفقرة الأولى من المادة 227 التي تتناول دور الوسيط في إغواء شخص على أداء عمل غير لائق مع شخص آخر. واستبعد المصطلح </w:t>
      </w:r>
      <w:r>
        <w:rPr>
          <w:rFonts w:hint="eastAsia"/>
          <w:rtl/>
        </w:rPr>
        <w:t>”زو</w:t>
      </w:r>
      <w:r>
        <w:rPr>
          <w:rFonts w:hint="cs"/>
          <w:rtl/>
        </w:rPr>
        <w:t>ج</w:t>
      </w:r>
      <w:r>
        <w:rPr>
          <w:rFonts w:hint="eastAsia"/>
          <w:rtl/>
        </w:rPr>
        <w:t xml:space="preserve">“ وحل محله التعبيرين </w:t>
      </w:r>
      <w:r>
        <w:rPr>
          <w:rFonts w:hint="cs"/>
          <w:rtl/>
        </w:rPr>
        <w:t>”قرين</w:t>
      </w:r>
      <w:r>
        <w:rPr>
          <w:rFonts w:hint="eastAsia"/>
          <w:rtl/>
        </w:rPr>
        <w:t xml:space="preserve">“ أو </w:t>
      </w:r>
      <w:r>
        <w:rPr>
          <w:rFonts w:hint="cs"/>
          <w:rtl/>
        </w:rPr>
        <w:t>”رفيق</w:t>
      </w:r>
      <w:r>
        <w:rPr>
          <w:rFonts w:hint="eastAsia"/>
          <w:rtl/>
        </w:rPr>
        <w:t>“، بغية ضمان الامتثال للدستور الاتحادي.</w:t>
      </w:r>
    </w:p>
    <w:p w:rsidR="00A9044C" w:rsidRDefault="00A9044C" w:rsidP="001455B5">
      <w:pPr>
        <w:pStyle w:val="SingleTxt"/>
        <w:spacing w:line="390" w:lineRule="exact"/>
        <w:rPr>
          <w:rFonts w:hint="cs"/>
          <w:rtl/>
        </w:rPr>
      </w:pPr>
      <w:r>
        <w:rPr>
          <w:rFonts w:hint="cs"/>
          <w:rtl/>
        </w:rPr>
        <w:tab/>
        <w:t>وفيما يتعلق بالإصلاحات التشريعية أيضا، قدمت السلطة التنفيذية الاتحادية اقتراحا بمشروع قانون يتناول العنف المنزلي والأسري ضد المرأة، الذي ورد عند النظر في المادة 6 من الاتفاقية.</w:t>
      </w:r>
    </w:p>
    <w:p w:rsidR="00A9044C" w:rsidRDefault="00A9044C" w:rsidP="001455B5">
      <w:pPr>
        <w:pStyle w:val="SingleTxt"/>
        <w:spacing w:line="390" w:lineRule="exact"/>
        <w:rPr>
          <w:rFonts w:hint="cs"/>
          <w:rtl/>
        </w:rPr>
      </w:pPr>
      <w:r>
        <w:rPr>
          <w:rFonts w:hint="cs"/>
          <w:rtl/>
        </w:rPr>
        <w:tab/>
        <w:t xml:space="preserve">والتوصية رقم 1 للجنة المعنية بالقضاء على التمييز ضد المرأة تحض الدول الأطراف </w:t>
      </w:r>
      <w:r w:rsidR="009223A3">
        <w:rPr>
          <w:rFonts w:hint="cs"/>
          <w:rtl/>
        </w:rPr>
        <w:t xml:space="preserve">على </w:t>
      </w:r>
      <w:r>
        <w:rPr>
          <w:rFonts w:hint="cs"/>
          <w:rtl/>
        </w:rPr>
        <w:t>أن تعمل على التطبيق الكامل للاتفاقية وللضمانات الدستورية من خلال إصلاح تشريعي واسع النطاق يهدف إلى توفير المساواة في الحقوق. وتقترح التوصية رقم 2 باتخاذ تدابير لتوعية المشتغلين بالمهن القانونية بشأن مركز المعاهدات الدولية في هرمية القوانين البرازيلية. واستجابة لهاتين التوصيتين، استهلت الأمانة الخاصة لسياسات المرأة في أيار/مايو الماضي (2005) أنشطة لبناء القدرات لمحامي المساعدة القضائية في ولاية ميناس غيرايس. وجرى في عامي 2003 و 2004 التدريب في هذا المجال لجميع محامي المساعدة القضائية والموظفين في مكتب محامي المساعدة القضائية في ولاية بارايبا.</w:t>
      </w:r>
    </w:p>
    <w:p w:rsidR="00A9044C" w:rsidRDefault="00A9044C" w:rsidP="009223A3">
      <w:pPr>
        <w:pStyle w:val="SingleTxt"/>
        <w:spacing w:line="390" w:lineRule="exact"/>
        <w:rPr>
          <w:rFonts w:hint="cs"/>
          <w:rtl/>
        </w:rPr>
      </w:pPr>
      <w:r>
        <w:rPr>
          <w:rFonts w:hint="cs"/>
          <w:rtl/>
        </w:rPr>
        <w:tab/>
        <w:t>ومن الأمور الهامة أيضا زيادة عدد مكاتب محامي المساعدة القضائية أو مراكز المساعدة القضائية في ولاي</w:t>
      </w:r>
      <w:r w:rsidR="009223A3">
        <w:rPr>
          <w:rFonts w:hint="cs"/>
          <w:rtl/>
        </w:rPr>
        <w:t>ات</w:t>
      </w:r>
      <w:r>
        <w:rPr>
          <w:rFonts w:hint="cs"/>
          <w:rtl/>
        </w:rPr>
        <w:t xml:space="preserve"> مختلفة في البرازيل. وفي بداية الإدارة الاتحادية الحالية، لم </w:t>
      </w:r>
      <w:r w:rsidR="009223A3">
        <w:rPr>
          <w:rFonts w:hint="cs"/>
          <w:rtl/>
        </w:rPr>
        <w:t>ت</w:t>
      </w:r>
      <w:r>
        <w:rPr>
          <w:rFonts w:hint="cs"/>
          <w:rtl/>
        </w:rPr>
        <w:t>وجد في البلد بأكمله سوى ثلاثة مكاتب لمحامي المساعدة القضائية: مكتبان في ولاية ماتوغروسو دو سو</w:t>
      </w:r>
      <w:r w:rsidR="009223A3">
        <w:rPr>
          <w:rFonts w:hint="cs"/>
          <w:rtl/>
        </w:rPr>
        <w:t>ل</w:t>
      </w:r>
      <w:r>
        <w:rPr>
          <w:rFonts w:hint="cs"/>
          <w:rtl/>
        </w:rPr>
        <w:t xml:space="preserve"> ومكتب في ولاية ريو دي </w:t>
      </w:r>
      <w:r w:rsidR="009223A3">
        <w:rPr>
          <w:rFonts w:hint="cs"/>
          <w:rtl/>
        </w:rPr>
        <w:t>ج</w:t>
      </w:r>
      <w:r>
        <w:rPr>
          <w:rFonts w:hint="cs"/>
          <w:rtl/>
        </w:rPr>
        <w:t>انيرو. أما الآن فتعمل مكاتب محامي المساعدة القضائية في الولايات التالية: مكتب في ولاية باهيا، ومكتبان في ولاية بارايبا، ومكتب في ولاية سييرا، ومكتب في ولاية أمابا، ومكتب في ولاية توكانتينـز، ومكتب في ولاية ميناس غيرايس. وفي المجموع، هناك 10 مكاتب لمحامي المساعدة القضائية أو مراكز للمساعدة القضائية مكرسة لتقديم المساعدة إلى المرأة.</w:t>
      </w:r>
    </w:p>
    <w:p w:rsidR="00A9044C" w:rsidRDefault="00A9044C" w:rsidP="00A322C2">
      <w:pPr>
        <w:pStyle w:val="SingleTxt"/>
        <w:spacing w:line="390" w:lineRule="exact"/>
        <w:rPr>
          <w:rFonts w:hint="cs"/>
          <w:rtl/>
        </w:rPr>
      </w:pPr>
      <w:r>
        <w:rPr>
          <w:rFonts w:hint="cs"/>
          <w:rtl/>
        </w:rPr>
        <w:tab/>
        <w:t xml:space="preserve">وجلسات الاستماع العامة، وحلقة العمل </w:t>
      </w:r>
      <w:r>
        <w:rPr>
          <w:rFonts w:hint="eastAsia"/>
          <w:rtl/>
        </w:rPr>
        <w:t>”تلاقي وجهات النظر</w:t>
      </w:r>
      <w:r>
        <w:rPr>
          <w:rFonts w:hint="cs"/>
          <w:rtl/>
        </w:rPr>
        <w:t>“، التي عقدت بمشاركة المشتغلين بالمهن القانونية (والمذكورة في المادة 6) أثناء عملية مناقشة مشروع القانون المعني بالعنف المنـزلي، من الأمور ذات الصلة أيضا بالتوصيتين رقم 1 ورقم 2. ومن الأمور التي لها نفس الأهمية حملة مكافحة الاتجار بالأشخاص، وإنشاء مكاتب في مدينتي ساو باولو وغويانيا لتقديم المساعدة إلى ضحايا الاتجار وبناء القدرات للمشتغلين بالمهن القانونية فيما يتعلق بهذه المسألة. وبفضل التعديل الدستوري رقم 45، الذي يتناول الإصلاح القضائي، أصبح لمكتب الولاية لمحامي المساعدة القضائية استقلاله الذاتي من الناحيتين التشغيلية والإدارية، ولم يعد يعتمد على الولايات.</w:t>
      </w:r>
    </w:p>
    <w:p w:rsidR="00A9044C" w:rsidRDefault="00A9044C" w:rsidP="001455B5">
      <w:pPr>
        <w:pStyle w:val="SingleTxt"/>
        <w:spacing w:line="390" w:lineRule="exact"/>
        <w:rPr>
          <w:rFonts w:hint="cs"/>
          <w:rtl/>
        </w:rPr>
      </w:pPr>
      <w:r>
        <w:rPr>
          <w:rFonts w:hint="cs"/>
          <w:rtl/>
        </w:rPr>
        <w:tab/>
        <w:t xml:space="preserve">وفيما يتعلق بالدفاع عن الحقوق المدنية ومكافحة جميع أشكال التمييز، نظم برنامج مكافحة العنف والتمييز ضد المثليين والمثليات ومن يغيرون </w:t>
      </w:r>
      <w:r w:rsidR="00A322C2">
        <w:rPr>
          <w:rFonts w:hint="cs"/>
          <w:rtl/>
        </w:rPr>
        <w:t xml:space="preserve">نوع </w:t>
      </w:r>
      <w:r>
        <w:rPr>
          <w:rFonts w:hint="cs"/>
          <w:rtl/>
        </w:rPr>
        <w:t>جنسهم وثنائي الجنس - البرازيل بدون كراهية للمثليين، وقد نظم البرنامج عن طريق شراكة بين الأمانة الخاصة لسياسات المرأة والأمانة الخاصة لحقوق الإنسان ووزارات التعليم، والصحة، والعدل، والعمل والعمالة.</w:t>
      </w:r>
    </w:p>
    <w:p w:rsidR="00A9044C" w:rsidRDefault="00A9044C" w:rsidP="00A322C2">
      <w:pPr>
        <w:pStyle w:val="SingleTxt"/>
        <w:spacing w:line="390" w:lineRule="exact"/>
        <w:rPr>
          <w:rFonts w:hint="cs"/>
          <w:rtl/>
        </w:rPr>
      </w:pPr>
      <w:r>
        <w:rPr>
          <w:rFonts w:hint="cs"/>
          <w:rtl/>
        </w:rPr>
        <w:tab/>
        <w:t xml:space="preserve">ويتناول مشروع القانون رقم 1151 الاقتران المدني بين أشخاص من نفس نوع الجنس، وهو قيد النظر لدى الكونغرس الوطني منذ عام 1995. ومشروع القانون هذا وثيق الصلة أيضا بالحقوق المدنية. وهناك مقاومة شديدة ضد الموافقة عليه، إلا أن نظام العدالة البرازيلي يمضي قدما وقد سبق له أن اعترف بالاقتران بين أشخاص من نفس الجنس في </w:t>
      </w:r>
      <w:r w:rsidR="00A322C2">
        <w:rPr>
          <w:rFonts w:hint="cs"/>
          <w:rtl/>
        </w:rPr>
        <w:t xml:space="preserve">أحكام </w:t>
      </w:r>
      <w:r>
        <w:rPr>
          <w:rFonts w:hint="cs"/>
          <w:rtl/>
        </w:rPr>
        <w:t>متنوعة تضمن حقوق الأزواج المثليين. وفي عام 2003، تقدم المدعي العام بإجراء مدني عام لكي يجبر جميع الولايات البرازيلية ومنطقة العاصمة على السماح بالاحتفال بالزيجات بين المثليين. ولم تتمكن السلطة القضائية من الإبقاء على حالة اللامبالاة إزاء هذه التغييرات، ووجدت نفسها تحت ضغط بأن تمنحها صياغة قانونية.</w:t>
      </w:r>
    </w:p>
    <w:p w:rsidR="00A9044C" w:rsidRDefault="00A9044C" w:rsidP="001455B5">
      <w:pPr>
        <w:pStyle w:val="SingleTxt"/>
        <w:spacing w:line="390" w:lineRule="exact"/>
        <w:rPr>
          <w:rFonts w:hint="cs"/>
          <w:rtl/>
        </w:rPr>
      </w:pPr>
      <w:r>
        <w:rPr>
          <w:rFonts w:hint="cs"/>
          <w:rtl/>
        </w:rPr>
        <w:tab/>
        <w:t xml:space="preserve">وأقام مدع عام قضية في الجزء الداخلي من ولاية ساو باولو، حيث قدم التماسا إلى القاضي ليقرر ما إذا كان ينبغي للحكومة الاتحادية والولايات ومنطقة العاصمة أن تطبق أي قرار إداري بمعاقبة موظفي الخدمة المدنية أو الانتقام منهم جزاء توجههم الجنسي. وكانت حجة المدعي العام أن </w:t>
      </w:r>
      <w:r>
        <w:rPr>
          <w:rFonts w:hint="eastAsia"/>
          <w:rtl/>
        </w:rPr>
        <w:t>”الحظر الذي تفرضه الولايات على زواج المثليين لا يفيد إلا الأفراد الذي لا يطيقون رؤية سعادة</w:t>
      </w:r>
      <w:r>
        <w:rPr>
          <w:rFonts w:hint="cs"/>
          <w:rtl/>
        </w:rPr>
        <w:t xml:space="preserve"> الآخرين</w:t>
      </w:r>
      <w:r>
        <w:rPr>
          <w:rFonts w:hint="eastAsia"/>
          <w:rtl/>
        </w:rPr>
        <w:t>“، وأكد أن المادة 1521 من القانون المدني تنص على الحالات التي يمنع فيها الزواج (على سبيل المثال</w:t>
      </w:r>
      <w:r>
        <w:rPr>
          <w:rFonts w:hint="cs"/>
          <w:rtl/>
        </w:rPr>
        <w:t xml:space="preserve"> </w:t>
      </w:r>
      <w:r>
        <w:rPr>
          <w:rFonts w:hint="eastAsia"/>
          <w:rtl/>
        </w:rPr>
        <w:t>”زواج الأسلاف من المنحدرين من سلالتهم، سواء كانت بينهم قرابة دم أو زواج</w:t>
      </w:r>
      <w:r>
        <w:rPr>
          <w:rFonts w:hint="cs"/>
          <w:rtl/>
        </w:rPr>
        <w:t>“). ووفقا لهذا التفسير، لا يوجد في الواقع أي حظر واضح في القانون على زواج المثليين.</w:t>
      </w:r>
    </w:p>
    <w:p w:rsidR="00A9044C" w:rsidRDefault="00A9044C" w:rsidP="001455B5">
      <w:pPr>
        <w:pStyle w:val="SingleTxt"/>
        <w:spacing w:line="390" w:lineRule="exact"/>
        <w:rPr>
          <w:rFonts w:hint="cs"/>
          <w:rtl/>
        </w:rPr>
      </w:pPr>
      <w:r>
        <w:rPr>
          <w:rFonts w:hint="cs"/>
          <w:rtl/>
        </w:rPr>
        <w:tab/>
        <w:t>وعلى الرغم من أن الدستور البرازيلي لعام 1988 يعترف بالمساواة بين المرأة والرجل، فلا يشكل هذا المبدأ حتى الآن جزءا حقيقيا من الحياة اليومية لأجزاء كبيرة من السكان. واعترافا من الحكومة البرازيلية بالتباين الموجود، سعت إلى رسم سياسات يكون لها تأثير إيجابي على حياة السكان الذين كثيرا ما يكونوا غير ظاهرين، مثل المسجونات، أو رفيقات وبنات الأفراد الذين يخالفون القانون.</w:t>
      </w:r>
    </w:p>
    <w:p w:rsidR="00A9044C" w:rsidRDefault="00A9044C" w:rsidP="001455B5">
      <w:pPr>
        <w:pStyle w:val="SingleTxt"/>
        <w:spacing w:line="390" w:lineRule="exact"/>
        <w:rPr>
          <w:rFonts w:hint="cs"/>
          <w:rtl/>
        </w:rPr>
      </w:pPr>
      <w:r>
        <w:rPr>
          <w:rFonts w:hint="cs"/>
          <w:rtl/>
        </w:rPr>
        <w:tab/>
        <w:t>ولهذا السبب، ولأول مرة في التاريخ، أدرجت الحكومة البرازيلية موضوع نوع الجنس في إعادة الإدماج الاجتماعي بوصفه أحد معايير مناقشة المشروعات التي تدعمها موارد صندوق السجون الوطني.</w:t>
      </w:r>
    </w:p>
    <w:p w:rsidR="00A9044C" w:rsidRDefault="00A9044C" w:rsidP="00A322C2">
      <w:pPr>
        <w:pStyle w:val="SingleTxt"/>
        <w:spacing w:line="390" w:lineRule="exact"/>
        <w:rPr>
          <w:rFonts w:hint="cs"/>
          <w:rtl/>
        </w:rPr>
      </w:pPr>
      <w:r>
        <w:rPr>
          <w:rFonts w:hint="cs"/>
          <w:rtl/>
        </w:rPr>
        <w:tab/>
        <w:t>و</w:t>
      </w:r>
      <w:r w:rsidR="00A322C2">
        <w:rPr>
          <w:rFonts w:hint="cs"/>
          <w:rtl/>
        </w:rPr>
        <w:t>ي</w:t>
      </w:r>
      <w:r>
        <w:rPr>
          <w:rFonts w:hint="cs"/>
          <w:rtl/>
        </w:rPr>
        <w:t xml:space="preserve">هدف </w:t>
      </w:r>
      <w:r w:rsidR="00A322C2">
        <w:rPr>
          <w:rFonts w:hint="cs"/>
          <w:rtl/>
        </w:rPr>
        <w:t xml:space="preserve">ذلك بصفة رئيسية إلى </w:t>
      </w:r>
      <w:r>
        <w:rPr>
          <w:rFonts w:hint="cs"/>
          <w:rtl/>
        </w:rPr>
        <w:t>إيجاد منهج فعال للمشاريع التي تعود بالفائدة على المسجونات، وعلى رفيقات وبنات الرجال الذين يخالفون القانون. وسيشمل هذا النهج أيضا المساجين الذين يقضون عقوبات بديلة والذين يغادرون نظام السجون. ونتيجة لذلك، يمكن دعم برامج التدريب الوظيفي التي تراعي خصائص الأعمال الأنثوية، مع الأخذ في الحسبان دائما بسوق العمل.</w:t>
      </w:r>
    </w:p>
    <w:p w:rsidR="00A9044C" w:rsidRDefault="00A9044C" w:rsidP="00A322C2">
      <w:pPr>
        <w:pStyle w:val="SingleTxt"/>
        <w:spacing w:line="390" w:lineRule="exact"/>
        <w:rPr>
          <w:rFonts w:hint="cs"/>
          <w:rtl/>
        </w:rPr>
      </w:pPr>
      <w:r>
        <w:rPr>
          <w:rFonts w:hint="cs"/>
          <w:rtl/>
        </w:rPr>
        <w:tab/>
        <w:t xml:space="preserve">وجرت إعادة هيكلة </w:t>
      </w:r>
      <w:r w:rsidR="00A322C2">
        <w:rPr>
          <w:rFonts w:hint="cs"/>
          <w:rtl/>
        </w:rPr>
        <w:t>على نحو كبير</w:t>
      </w:r>
      <w:r>
        <w:rPr>
          <w:rFonts w:hint="cs"/>
          <w:rtl/>
        </w:rPr>
        <w:t xml:space="preserve"> فيما يتعلق ببيانات إدارة السجون</w:t>
      </w:r>
      <w:r w:rsidR="00A322C2">
        <w:rPr>
          <w:rFonts w:hint="cs"/>
          <w:rtl/>
        </w:rPr>
        <w:t>.</w:t>
      </w:r>
      <w:r>
        <w:rPr>
          <w:rFonts w:hint="cs"/>
          <w:rtl/>
        </w:rPr>
        <w:t xml:space="preserve"> ولأول مرة سيكون لدى البرازيل خلال الأشهر القليلة القادمة إحصاءات عن نوع الجنس والإثنية والأفراد ذوي الاحتياجات الخاصة. والغرض </w:t>
      </w:r>
      <w:r w:rsidR="00A322C2">
        <w:rPr>
          <w:rFonts w:hint="cs"/>
          <w:rtl/>
        </w:rPr>
        <w:t>من ذلك</w:t>
      </w:r>
      <w:r>
        <w:rPr>
          <w:rFonts w:hint="cs"/>
          <w:rtl/>
        </w:rPr>
        <w:t xml:space="preserve"> اكتساب فهم أفضل للصورة الاقتصادية - الاجتماعية للسجين والسجينة بغية تحسين مشاريع التدريب الوظيفي والتعليم لهؤلاء الأفراد. وسيجري تنظيم حلقات دراسية إقليمية تجري فيها مناقشات موضوعية حول </w:t>
      </w:r>
      <w:r>
        <w:rPr>
          <w:rFonts w:hint="eastAsia"/>
          <w:rtl/>
        </w:rPr>
        <w:t>”النساء والسجون</w:t>
      </w:r>
      <w:r>
        <w:rPr>
          <w:rFonts w:hint="cs"/>
          <w:rtl/>
        </w:rPr>
        <w:t>“ من خلال شراكات مع الجامعات وإدارات العدل والمواطنة بالولايات، بالإضافة إلى الدوائر المكلفة بإدارة السجون.</w:t>
      </w:r>
    </w:p>
    <w:p w:rsidR="00A9044C" w:rsidRDefault="00A9044C" w:rsidP="00A9044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أعضاء الفري</w:t>
      </w:r>
      <w:bookmarkStart w:id="1" w:name="TmpSave"/>
      <w:bookmarkEnd w:id="1"/>
      <w:r>
        <w:rPr>
          <w:rFonts w:hint="cs"/>
          <w:rtl/>
        </w:rPr>
        <w:t>ق العامل</w:t>
      </w:r>
    </w:p>
    <w:p w:rsidR="00A9044C" w:rsidRPr="001A37B3" w:rsidRDefault="00A9044C" w:rsidP="00A9044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الأمانة الخاصة لسياسات المرأة</w:t>
      </w:r>
    </w:p>
    <w:p w:rsidR="00A9044C" w:rsidRDefault="00A9044C" w:rsidP="00A9044C">
      <w:pPr>
        <w:pStyle w:val="SingleTxt"/>
        <w:rPr>
          <w:rFonts w:hint="cs"/>
          <w:rtl/>
        </w:rPr>
      </w:pPr>
      <w:r>
        <w:rPr>
          <w:rFonts w:hint="cs"/>
          <w:rtl/>
        </w:rPr>
        <w:t>سويلي دي أوليفيرا - بالإمانة الفرعية للعلاقات المؤسسية</w:t>
      </w:r>
    </w:p>
    <w:p w:rsidR="00A9044C" w:rsidRDefault="00A9044C" w:rsidP="00A9044C">
      <w:pPr>
        <w:pStyle w:val="SingleTxt"/>
        <w:rPr>
          <w:rFonts w:hint="cs"/>
          <w:rtl/>
        </w:rPr>
      </w:pPr>
      <w:r>
        <w:rPr>
          <w:rFonts w:hint="cs"/>
          <w:rtl/>
        </w:rPr>
        <w:t>سونيا ماليروس ميغيل - مديرة برامج</w:t>
      </w:r>
    </w:p>
    <w:p w:rsidR="00A9044C" w:rsidRDefault="00A9044C" w:rsidP="00A9044C">
      <w:pPr>
        <w:pStyle w:val="SingleTxt"/>
        <w:rPr>
          <w:rFonts w:hint="cs"/>
          <w:rtl/>
        </w:rPr>
      </w:pPr>
      <w:r>
        <w:rPr>
          <w:rFonts w:hint="cs"/>
          <w:rtl/>
        </w:rPr>
        <w:t>ناتاليا فونتورا - مشرفة مشاريع</w:t>
      </w:r>
    </w:p>
    <w:p w:rsidR="00A9044C" w:rsidRDefault="00A9044C" w:rsidP="00A9044C">
      <w:pPr>
        <w:pStyle w:val="SingleTxt"/>
        <w:rPr>
          <w:rFonts w:hint="cs"/>
          <w:rtl/>
        </w:rPr>
      </w:pPr>
      <w:r>
        <w:rPr>
          <w:rFonts w:hint="cs"/>
          <w:rtl/>
        </w:rPr>
        <w:t>مارشيا ليبوراسي - مشرفة مشاريع</w:t>
      </w:r>
    </w:p>
    <w:p w:rsidR="00A9044C" w:rsidRDefault="00A9044C" w:rsidP="00A9044C">
      <w:pPr>
        <w:pStyle w:val="SingleTxt"/>
        <w:rPr>
          <w:rFonts w:hint="cs"/>
          <w:rtl/>
        </w:rPr>
      </w:pPr>
      <w:r>
        <w:rPr>
          <w:rFonts w:hint="cs"/>
          <w:rtl/>
        </w:rPr>
        <w:t>كليد ريجينا سيلفا - مستشارة فنية</w:t>
      </w:r>
    </w:p>
    <w:p w:rsidR="00A9044C" w:rsidRPr="001A37B3" w:rsidRDefault="00A9044C" w:rsidP="00A9044C">
      <w:pPr>
        <w:pStyle w:val="SingleTxt"/>
        <w:spacing w:after="0" w:line="120" w:lineRule="exact"/>
        <w:rPr>
          <w:rFonts w:hint="cs"/>
          <w:sz w:val="10"/>
          <w:rtl/>
        </w:rPr>
      </w:pPr>
    </w:p>
    <w:p w:rsidR="00A9044C" w:rsidRPr="001A37B3"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إدارة حقوق الإنسان والمسائل الاجتماعية/وزارة الخارجية</w:t>
      </w:r>
    </w:p>
    <w:p w:rsidR="00A9044C" w:rsidRDefault="00A9044C" w:rsidP="00A9044C">
      <w:pPr>
        <w:pStyle w:val="SingleTxt"/>
        <w:rPr>
          <w:rFonts w:hint="cs"/>
          <w:rtl/>
        </w:rPr>
      </w:pPr>
      <w:r>
        <w:rPr>
          <w:rFonts w:hint="cs"/>
          <w:rtl/>
        </w:rPr>
        <w:t>الوزيرة ماريا لويزا ريبيرو فيوتشي - مديرة عامة</w:t>
      </w:r>
    </w:p>
    <w:p w:rsidR="00A9044C" w:rsidRDefault="00A9044C" w:rsidP="00A322C2">
      <w:pPr>
        <w:pStyle w:val="SingleTxt"/>
        <w:rPr>
          <w:rFonts w:hint="cs"/>
          <w:rtl/>
        </w:rPr>
      </w:pPr>
      <w:r>
        <w:rPr>
          <w:rFonts w:hint="cs"/>
          <w:rtl/>
        </w:rPr>
        <w:t>المستشارة ريجينا سيليا دي أولي</w:t>
      </w:r>
      <w:r w:rsidR="00A322C2">
        <w:rPr>
          <w:rFonts w:hint="cs"/>
          <w:rtl/>
        </w:rPr>
        <w:t>في</w:t>
      </w:r>
      <w:r>
        <w:rPr>
          <w:rFonts w:hint="cs"/>
          <w:rtl/>
        </w:rPr>
        <w:t>را بيتينكور - مستشارة المديرة العامة</w:t>
      </w:r>
    </w:p>
    <w:p w:rsidR="00A9044C" w:rsidRPr="001A37B3" w:rsidRDefault="00A9044C" w:rsidP="00A9044C">
      <w:pPr>
        <w:pStyle w:val="SingleTxt"/>
        <w:spacing w:after="0" w:line="120" w:lineRule="exact"/>
        <w:rPr>
          <w:rFonts w:hint="cs"/>
          <w:sz w:val="10"/>
          <w:rtl/>
        </w:rPr>
      </w:pPr>
    </w:p>
    <w:p w:rsidR="00A9044C" w:rsidRPr="001A37B3"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العمل والعمالة</w:t>
      </w:r>
    </w:p>
    <w:p w:rsidR="00A9044C" w:rsidRDefault="00A9044C" w:rsidP="00A9044C">
      <w:pPr>
        <w:pStyle w:val="SingleTxt"/>
        <w:rPr>
          <w:rFonts w:hint="cs"/>
          <w:rtl/>
        </w:rPr>
      </w:pPr>
      <w:r>
        <w:rPr>
          <w:rFonts w:hint="cs"/>
          <w:rtl/>
        </w:rPr>
        <w:t>مانويل فيراس - مستشار الوزير</w:t>
      </w:r>
    </w:p>
    <w:p w:rsidR="00A9044C" w:rsidRPr="001A37B3" w:rsidRDefault="00A9044C" w:rsidP="00A9044C">
      <w:pPr>
        <w:pStyle w:val="SingleTxt"/>
        <w:spacing w:after="0" w:line="120" w:lineRule="exact"/>
        <w:rPr>
          <w:rFonts w:hint="cs"/>
          <w:sz w:val="10"/>
          <w:rtl/>
        </w:rPr>
      </w:pPr>
    </w:p>
    <w:p w:rsidR="00A9044C" w:rsidRPr="001A37B3"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الصحة</w:t>
      </w:r>
    </w:p>
    <w:p w:rsidR="00A9044C" w:rsidRDefault="00A9044C" w:rsidP="00A9044C">
      <w:pPr>
        <w:pStyle w:val="SingleTxt"/>
        <w:rPr>
          <w:rFonts w:hint="cs"/>
          <w:rtl/>
        </w:rPr>
      </w:pPr>
      <w:r>
        <w:rPr>
          <w:rFonts w:hint="cs"/>
          <w:rtl/>
        </w:rPr>
        <w:t>كيلي فرانسا - المسائل الدولية المتعلقة بالصحة</w:t>
      </w:r>
    </w:p>
    <w:p w:rsidR="00A9044C" w:rsidRDefault="00A9044C" w:rsidP="00A9044C">
      <w:pPr>
        <w:pStyle w:val="SingleTxt"/>
        <w:rPr>
          <w:rFonts w:hint="cs"/>
          <w:rtl/>
        </w:rPr>
      </w:pPr>
      <w:r>
        <w:rPr>
          <w:rFonts w:hint="cs"/>
          <w:rtl/>
        </w:rPr>
        <w:t>روراني إستر سيلفا - الإدارة الفنية لصحة المرأة</w:t>
      </w:r>
    </w:p>
    <w:p w:rsidR="00A9044C" w:rsidRPr="001A37B3" w:rsidRDefault="00A9044C" w:rsidP="00A9044C">
      <w:pPr>
        <w:pStyle w:val="SingleTxt"/>
        <w:spacing w:after="0" w:line="120" w:lineRule="exact"/>
        <w:rPr>
          <w:rFonts w:hint="cs"/>
          <w:sz w:val="10"/>
          <w:rtl/>
        </w:rPr>
      </w:pPr>
    </w:p>
    <w:p w:rsidR="00A9044C" w:rsidRPr="001A37B3"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وزارة التعليم</w:t>
      </w:r>
    </w:p>
    <w:p w:rsidR="00A9044C" w:rsidRDefault="00A9044C" w:rsidP="00A322C2">
      <w:pPr>
        <w:pStyle w:val="SingleTxt"/>
        <w:ind w:left="1930" w:hanging="663"/>
        <w:rPr>
          <w:rFonts w:hint="cs"/>
          <w:rtl/>
        </w:rPr>
      </w:pPr>
      <w:r>
        <w:rPr>
          <w:rFonts w:hint="cs"/>
          <w:rtl/>
        </w:rPr>
        <w:t>ماريا إليزا براند - خبيرة من وكالة العلاقات المؤسسية - إدارة التعليم المتصل، و</w:t>
      </w:r>
      <w:r w:rsidR="00A322C2">
        <w:rPr>
          <w:rFonts w:hint="cs"/>
          <w:rtl/>
        </w:rPr>
        <w:t>محو الأمية</w:t>
      </w:r>
      <w:r>
        <w:rPr>
          <w:rFonts w:hint="cs"/>
          <w:rtl/>
        </w:rPr>
        <w:t>، والتنوع</w:t>
      </w:r>
    </w:p>
    <w:p w:rsidR="00A9044C" w:rsidRDefault="00A9044C" w:rsidP="00A9044C">
      <w:pPr>
        <w:pStyle w:val="SingleTxt"/>
        <w:ind w:left="1930" w:hanging="663"/>
        <w:rPr>
          <w:rFonts w:hint="cs"/>
          <w:rtl/>
        </w:rPr>
      </w:pPr>
      <w:r>
        <w:rPr>
          <w:rFonts w:hint="cs"/>
          <w:rtl/>
        </w:rPr>
        <w:t>ماريا أوريانا ب. دينيس - المجموعة الاستشارية الدولية</w:t>
      </w:r>
    </w:p>
    <w:p w:rsidR="00A9044C" w:rsidRPr="001A37B3" w:rsidRDefault="00A9044C" w:rsidP="00A9044C">
      <w:pPr>
        <w:pStyle w:val="SingleTxt"/>
        <w:spacing w:after="0" w:line="120" w:lineRule="exact"/>
        <w:ind w:left="1930" w:hanging="663"/>
        <w:rPr>
          <w:rFonts w:hint="cs"/>
          <w:sz w:val="10"/>
          <w:rtl/>
        </w:rPr>
      </w:pPr>
    </w:p>
    <w:p w:rsidR="00A9044C" w:rsidRPr="001A37B3" w:rsidRDefault="00A9044C" w:rsidP="00A9044C">
      <w:pPr>
        <w:pStyle w:val="SingleTxt"/>
        <w:spacing w:after="0" w:line="120" w:lineRule="exact"/>
        <w:ind w:left="1930" w:hanging="663"/>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الأمانة الخاصة لحقوق الإنسان</w:t>
      </w:r>
    </w:p>
    <w:p w:rsidR="00A9044C" w:rsidRDefault="00A9044C" w:rsidP="00A9044C">
      <w:pPr>
        <w:pStyle w:val="SingleTxt"/>
        <w:rPr>
          <w:rFonts w:hint="cs"/>
          <w:rtl/>
        </w:rPr>
      </w:pPr>
      <w:r>
        <w:rPr>
          <w:rFonts w:hint="cs"/>
          <w:rtl/>
        </w:rPr>
        <w:t>بيدرو بونتوال - مستشار فني</w:t>
      </w: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معهد البحوث الاقتصادية التطبيقية</w:t>
      </w:r>
    </w:p>
    <w:p w:rsidR="00A9044C" w:rsidRDefault="00A9044C" w:rsidP="00A9044C">
      <w:pPr>
        <w:pStyle w:val="SingleTxt"/>
        <w:rPr>
          <w:rFonts w:hint="cs"/>
          <w:rtl/>
        </w:rPr>
      </w:pPr>
      <w:r>
        <w:rPr>
          <w:rFonts w:hint="cs"/>
          <w:rtl/>
        </w:rPr>
        <w:t>لوانا بينييرو - خبيرة</w:t>
      </w:r>
    </w:p>
    <w:p w:rsidR="00A9044C" w:rsidRPr="00BE264B" w:rsidRDefault="00A9044C" w:rsidP="00A9044C">
      <w:pPr>
        <w:pStyle w:val="SingleTxt"/>
        <w:spacing w:after="0" w:line="120" w:lineRule="exact"/>
        <w:rPr>
          <w:rFonts w:hint="cs"/>
          <w:sz w:val="10"/>
          <w:rtl/>
        </w:rPr>
      </w:pPr>
    </w:p>
    <w:p w:rsidR="00A9044C" w:rsidRPr="00BE264B" w:rsidRDefault="00A9044C" w:rsidP="00A9044C">
      <w:pPr>
        <w:pStyle w:val="SingleTxt"/>
        <w:spacing w:after="0" w:line="120" w:lineRule="exact"/>
        <w:rPr>
          <w:rFonts w:hint="cs"/>
          <w:sz w:val="10"/>
          <w:rtl/>
        </w:rPr>
      </w:pPr>
    </w:p>
    <w:p w:rsidR="00A9044C" w:rsidRDefault="00A9044C" w:rsidP="00A904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المجلس الوطني لحقوق المرأة</w:t>
      </w:r>
    </w:p>
    <w:p w:rsidR="00A9044C" w:rsidRDefault="00A9044C" w:rsidP="00A9044C">
      <w:pPr>
        <w:pStyle w:val="SingleTxt"/>
        <w:rPr>
          <w:rFonts w:hint="cs"/>
          <w:rtl/>
        </w:rPr>
      </w:pPr>
      <w:r>
        <w:rPr>
          <w:rFonts w:hint="cs"/>
          <w:rtl/>
        </w:rPr>
        <w:t>شوما شوماهر - إئتلاف المرأة البرازيلية</w:t>
      </w:r>
    </w:p>
    <w:p w:rsidR="00A9044C" w:rsidRDefault="00A9044C" w:rsidP="00A9044C">
      <w:pPr>
        <w:pStyle w:val="SingleTxt"/>
        <w:rPr>
          <w:rFonts w:hint="cs"/>
          <w:rtl/>
        </w:rPr>
      </w:pPr>
      <w:r>
        <w:rPr>
          <w:rFonts w:hint="cs"/>
          <w:rtl/>
        </w:rPr>
        <w:t>مارسيا دي كامبوس - المؤسسة الديمقراطية الدولية للمرأة</w:t>
      </w:r>
    </w:p>
    <w:p w:rsidR="00A9044C" w:rsidRDefault="00A9044C" w:rsidP="00A9044C">
      <w:pPr>
        <w:pStyle w:val="SingleTxt"/>
        <w:rPr>
          <w:rFonts w:hint="cs"/>
          <w:rtl/>
        </w:rPr>
      </w:pPr>
      <w:r>
        <w:rPr>
          <w:rFonts w:hint="cs"/>
          <w:rtl/>
        </w:rPr>
        <w:t>ماريا إدنالفا بيزيها دي ليما - اتحاد نقابات العمال، الأمانة الوطنية للعاملات</w:t>
      </w:r>
    </w:p>
    <w:p w:rsidR="00A9044C" w:rsidRPr="00BE264B" w:rsidRDefault="00A9044C" w:rsidP="00A9044C">
      <w:pPr>
        <w:pStyle w:val="SingleTxt"/>
        <w:spacing w:after="0" w:line="120" w:lineRule="exact"/>
        <w:rPr>
          <w:rFonts w:hint="cs"/>
          <w:sz w:val="10"/>
          <w:rtl/>
        </w:rPr>
      </w:pPr>
    </w:p>
    <w:p w:rsidR="00A9044C" w:rsidRPr="00BE264B" w:rsidRDefault="00A9044C" w:rsidP="00A9044C">
      <w:pPr>
        <w:pStyle w:val="SingleTxt"/>
        <w:spacing w:after="0" w:line="120" w:lineRule="exact"/>
        <w:rPr>
          <w:rFonts w:hint="cs"/>
          <w:sz w:val="10"/>
          <w:rtl/>
        </w:rPr>
      </w:pPr>
    </w:p>
    <w:p w:rsidR="00A9044C" w:rsidRDefault="00A9044C" w:rsidP="003924F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الأمانة الخاصة لسياسات </w:t>
      </w:r>
      <w:r w:rsidR="003924FC">
        <w:rPr>
          <w:rFonts w:hint="cs"/>
          <w:rtl/>
        </w:rPr>
        <w:t xml:space="preserve">تعزيز </w:t>
      </w:r>
      <w:r>
        <w:rPr>
          <w:rFonts w:hint="cs"/>
          <w:rtl/>
        </w:rPr>
        <w:t>المساواة العنصرية</w:t>
      </w:r>
    </w:p>
    <w:p w:rsidR="00A9044C" w:rsidRDefault="00A9044C" w:rsidP="00A9044C">
      <w:pPr>
        <w:pStyle w:val="SingleTxt"/>
        <w:rPr>
          <w:rFonts w:hint="cs"/>
          <w:rtl/>
        </w:rPr>
      </w:pPr>
      <w:r>
        <w:rPr>
          <w:rFonts w:hint="cs"/>
          <w:rtl/>
        </w:rPr>
        <w:t>ماغالي نافيز - مستشارة دولية</w:t>
      </w:r>
    </w:p>
    <w:p w:rsidR="00A9044C" w:rsidRPr="00BE264B" w:rsidRDefault="00A9044C" w:rsidP="00A9044C">
      <w:pPr>
        <w:pStyle w:val="SingleTxt"/>
        <w:spacing w:after="0" w:line="240" w:lineRule="auto"/>
        <w:rPr>
          <w:rFonts w:hint="cs"/>
          <w:rtl/>
        </w:rPr>
      </w:pPr>
      <w:r>
        <w:rPr>
          <w:rFonts w:hint="cs"/>
          <w:noProof/>
          <w:w w:val="100"/>
          <w:rtl/>
        </w:rPr>
        <w:pict>
          <v:line id="_x0000_s1027" style="position:absolute;left:0;text-align:left;z-index:2" from="206.6pt,24pt" to="278.6pt,24pt" strokeweight=".25pt">
            <w10:wrap anchorx="page"/>
          </v:line>
        </w:pict>
      </w:r>
    </w:p>
    <w:p w:rsidR="00A9044C" w:rsidRPr="00B37E8F" w:rsidRDefault="00A9044C" w:rsidP="00A9044C">
      <w:pPr>
        <w:pStyle w:val="SingleTxt"/>
        <w:rPr>
          <w:rFonts w:hint="cs"/>
          <w:rtl/>
          <w:lang w:bidi="ar-EG"/>
        </w:rPr>
      </w:pPr>
    </w:p>
    <w:sectPr w:rsidR="00A9044C" w:rsidRPr="00B37E8F" w:rsidSect="00202C39">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4T23:56:00Z" w:initials="Start">
    <w:p w:rsidR="00E2419F" w:rsidRDefault="00E2419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NO&gt;&gt;N0547929A&lt;&lt;ODS JOB NO</w:t>
      </w:r>
      <w:r>
        <w:rPr>
          <w:rtl/>
        </w:rPr>
        <w:t>&gt;&gt;</w:t>
      </w:r>
    </w:p>
    <w:p w:rsidR="00E2419F" w:rsidRDefault="00E2419F">
      <w:pPr>
        <w:pStyle w:val="CommentText"/>
        <w:rPr>
          <w:rtl/>
        </w:rPr>
      </w:pPr>
      <w:r>
        <w:rPr>
          <w:rtl/>
        </w:rPr>
        <w:t>&lt;&lt;</w:t>
      </w:r>
      <w:r>
        <w:t>ODS DOC SYMBOL1&gt;&gt;CEDAW/C/BRA/6&lt;&lt;ODS DOC SYMBOL1</w:t>
      </w:r>
      <w:r>
        <w:rPr>
          <w:rtl/>
        </w:rPr>
        <w:t>&gt;&gt;</w:t>
      </w:r>
    </w:p>
    <w:p w:rsidR="00E2419F" w:rsidRDefault="00E2419F">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19F" w:rsidRDefault="00E2419F">
      <w:r>
        <w:separator/>
      </w:r>
    </w:p>
  </w:endnote>
  <w:endnote w:type="continuationSeparator" w:id="0">
    <w:p w:rsidR="00E2419F" w:rsidRDefault="00E24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419F">
      <w:tblPrEx>
        <w:tblCellMar>
          <w:top w:w="0" w:type="dxa"/>
          <w:bottom w:w="0" w:type="dxa"/>
        </w:tblCellMar>
      </w:tblPrEx>
      <w:tc>
        <w:tcPr>
          <w:tcW w:w="5033" w:type="dxa"/>
          <w:shd w:val="clear" w:color="auto" w:fill="auto"/>
        </w:tcPr>
        <w:p w:rsidR="00E2419F" w:rsidRPr="00202C39" w:rsidRDefault="00E2419F" w:rsidP="00202C39">
          <w:pPr>
            <w:pStyle w:val="Footer"/>
            <w:jc w:val="right"/>
            <w:rPr>
              <w:w w:val="103"/>
            </w:rPr>
          </w:pPr>
          <w:r>
            <w:rPr>
              <w:w w:val="103"/>
            </w:rPr>
            <w:fldChar w:fldCharType="begin"/>
          </w:r>
          <w:r>
            <w:rPr>
              <w:w w:val="103"/>
            </w:rPr>
            <w:instrText xml:space="preserve"> PAGE  \* MERGEFORMAT </w:instrText>
          </w:r>
          <w:r>
            <w:rPr>
              <w:w w:val="103"/>
            </w:rPr>
            <w:fldChar w:fldCharType="separate"/>
          </w:r>
          <w:r w:rsidR="005D66C5">
            <w:rPr>
              <w:w w:val="103"/>
            </w:rPr>
            <w:t>2</w:t>
          </w:r>
          <w:r>
            <w:rPr>
              <w:w w:val="103"/>
            </w:rPr>
            <w:fldChar w:fldCharType="end"/>
          </w:r>
        </w:p>
      </w:tc>
      <w:tc>
        <w:tcPr>
          <w:tcW w:w="5033" w:type="dxa"/>
          <w:shd w:val="clear" w:color="auto" w:fill="auto"/>
        </w:tcPr>
        <w:p w:rsidR="00E2419F" w:rsidRPr="00202C39" w:rsidRDefault="00E2419F" w:rsidP="00202C3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53858">
            <w:rPr>
              <w:b w:val="0"/>
              <w:w w:val="103"/>
            </w:rPr>
            <w:t>05-47929</w:t>
          </w:r>
          <w:r>
            <w:rPr>
              <w:b w:val="0"/>
              <w:w w:val="103"/>
            </w:rPr>
            <w:fldChar w:fldCharType="end"/>
          </w:r>
        </w:p>
      </w:tc>
    </w:tr>
  </w:tbl>
  <w:p w:rsidR="00E2419F" w:rsidRPr="00202C39" w:rsidRDefault="00E2419F" w:rsidP="00202C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2419F">
      <w:tblPrEx>
        <w:tblCellMar>
          <w:top w:w="0" w:type="dxa"/>
          <w:bottom w:w="0" w:type="dxa"/>
        </w:tblCellMar>
      </w:tblPrEx>
      <w:tc>
        <w:tcPr>
          <w:tcW w:w="5033" w:type="dxa"/>
          <w:shd w:val="clear" w:color="auto" w:fill="auto"/>
        </w:tcPr>
        <w:p w:rsidR="00E2419F" w:rsidRPr="00202C39" w:rsidRDefault="00E2419F" w:rsidP="00202C3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53858">
            <w:rPr>
              <w:b w:val="0"/>
              <w:w w:val="103"/>
            </w:rPr>
            <w:t>05-47929</w:t>
          </w:r>
          <w:r>
            <w:rPr>
              <w:b w:val="0"/>
              <w:w w:val="103"/>
            </w:rPr>
            <w:fldChar w:fldCharType="end"/>
          </w:r>
        </w:p>
      </w:tc>
      <w:tc>
        <w:tcPr>
          <w:tcW w:w="5033" w:type="dxa"/>
          <w:shd w:val="clear" w:color="auto" w:fill="auto"/>
        </w:tcPr>
        <w:p w:rsidR="00E2419F" w:rsidRPr="00202C39" w:rsidRDefault="00E2419F" w:rsidP="00202C39">
          <w:pPr>
            <w:pStyle w:val="Footer"/>
            <w:rPr>
              <w:w w:val="103"/>
            </w:rPr>
          </w:pPr>
          <w:r>
            <w:rPr>
              <w:w w:val="103"/>
            </w:rPr>
            <w:fldChar w:fldCharType="begin"/>
          </w:r>
          <w:r>
            <w:rPr>
              <w:w w:val="103"/>
            </w:rPr>
            <w:instrText xml:space="preserve"> PAGE  \* MERGEFORMAT </w:instrText>
          </w:r>
          <w:r>
            <w:rPr>
              <w:w w:val="103"/>
            </w:rPr>
            <w:fldChar w:fldCharType="separate"/>
          </w:r>
          <w:r w:rsidR="00B25A42">
            <w:rPr>
              <w:w w:val="103"/>
            </w:rPr>
            <w:t>115</w:t>
          </w:r>
          <w:r>
            <w:rPr>
              <w:w w:val="103"/>
            </w:rPr>
            <w:fldChar w:fldCharType="end"/>
          </w:r>
        </w:p>
      </w:tc>
    </w:tr>
  </w:tbl>
  <w:p w:rsidR="00E2419F" w:rsidRPr="00202C39" w:rsidRDefault="00E2419F" w:rsidP="00202C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19F" w:rsidRDefault="00E2419F">
    <w:pPr>
      <w:pStyle w:val="Footer"/>
    </w:pPr>
  </w:p>
  <w:p w:rsidR="00E2419F" w:rsidRDefault="00E2419F" w:rsidP="00202C39">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553858">
      <w:rPr>
        <w:rFonts w:cs="Times New Roman"/>
        <w:b w:val="0"/>
        <w:w w:val="103"/>
        <w:sz w:val="20"/>
      </w:rPr>
      <w:t>05-47929 (A)</w:t>
    </w:r>
    <w:r>
      <w:rPr>
        <w:rFonts w:cs="Times New Roman"/>
        <w:b w:val="0"/>
        <w:w w:val="103"/>
        <w:sz w:val="20"/>
      </w:rPr>
      <w:fldChar w:fldCharType="end"/>
    </w:r>
  </w:p>
  <w:p w:rsidR="00E2419F" w:rsidRPr="00202C39" w:rsidRDefault="00E2419F" w:rsidP="00202C3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53858">
      <w:rPr>
        <w:rFonts w:ascii="Barcode 3 of 9 by request" w:hAnsi="Barcode 3 of 9 by request" w:cs="Times New Roman"/>
        <w:b w:val="0"/>
        <w:sz w:val="24"/>
      </w:rPr>
      <w:t>*0547929*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19F" w:rsidRPr="00FF3535" w:rsidRDefault="00E2419F" w:rsidP="00FF3535">
      <w:pPr>
        <w:pStyle w:val="Footer"/>
        <w:bidi/>
        <w:spacing w:after="80"/>
        <w:ind w:left="792"/>
        <w:rPr>
          <w:sz w:val="16"/>
        </w:rPr>
      </w:pPr>
      <w:r w:rsidRPr="00FF3535">
        <w:rPr>
          <w:sz w:val="16"/>
          <w:rtl/>
        </w:rPr>
        <w:t>__________</w:t>
      </w:r>
    </w:p>
  </w:footnote>
  <w:footnote w:type="continuationSeparator" w:id="0">
    <w:p w:rsidR="00E2419F" w:rsidRPr="00FF3535" w:rsidRDefault="00E2419F" w:rsidP="00FF3535">
      <w:pPr>
        <w:pStyle w:val="Footer"/>
        <w:spacing w:after="80"/>
        <w:ind w:left="792"/>
        <w:rPr>
          <w:sz w:val="16"/>
        </w:rPr>
      </w:pPr>
      <w:r w:rsidRPr="00FF3535">
        <w:rPr>
          <w:sz w:val="16"/>
        </w:rPr>
        <w:t>__________</w:t>
      </w:r>
    </w:p>
  </w:footnote>
  <w:footnote w:id="1">
    <w:p w:rsidR="00E2419F" w:rsidRPr="00040541" w:rsidRDefault="00E2419F" w:rsidP="00DE11C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24090">
        <w:rPr>
          <w:w w:val="103"/>
          <w:rtl/>
          <w:lang w:eastAsia="ja-JP" w:bidi="ar-EG"/>
        </w:rPr>
        <w:t>(</w:t>
      </w:r>
      <w:r w:rsidRPr="00D24090">
        <w:rPr>
          <w:rStyle w:val="FootnoteReference"/>
          <w:spacing w:val="0"/>
          <w:w w:val="103"/>
          <w:vertAlign w:val="baseline"/>
          <w:rtl/>
          <w:lang w:eastAsia="ja-JP"/>
        </w:rPr>
        <w:footnoteRef/>
      </w:r>
      <w:r w:rsidRPr="00D24090">
        <w:rPr>
          <w:w w:val="103"/>
          <w:rtl/>
          <w:lang w:eastAsia="ja-JP" w:bidi="ar-EG"/>
        </w:rPr>
        <w:t>)</w:t>
      </w:r>
      <w:r w:rsidRPr="00D24090">
        <w:rPr>
          <w:w w:val="103"/>
          <w:rtl/>
        </w:rPr>
        <w:tab/>
      </w:r>
      <w:r>
        <w:rPr>
          <w:rFonts w:hint="cs"/>
          <w:w w:val="103"/>
          <w:rtl/>
          <w:lang w:bidi="ar-EG"/>
        </w:rPr>
        <w:t xml:space="preserve">البرازيل، رئاسة الجمهورية، الأمانة الخاصة لسياسات المرأة. </w:t>
      </w:r>
      <w:r>
        <w:rPr>
          <w:rFonts w:hint="cs"/>
          <w:i/>
          <w:iCs/>
          <w:w w:val="103"/>
          <w:rtl/>
          <w:lang w:bidi="ar-EG"/>
        </w:rPr>
        <w:t>الحلول التوفيقية للحكومة الاتحادية 2003</w:t>
      </w:r>
      <w:r>
        <w:rPr>
          <w:rFonts w:hint="cs"/>
          <w:w w:val="103"/>
          <w:rtl/>
          <w:lang w:bidi="ar-EG"/>
        </w:rPr>
        <w:t>: السياسات العامة للمرأة. برازيليا: 2003، ص 18.</w:t>
      </w:r>
    </w:p>
  </w:footnote>
  <w:footnote w:id="2">
    <w:p w:rsidR="00E2419F" w:rsidRPr="00040541" w:rsidRDefault="00E2419F" w:rsidP="0004054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040541">
        <w:rPr>
          <w:w w:val="103"/>
          <w:rtl/>
          <w:lang w:eastAsia="ja-JP" w:bidi="ar-EG"/>
        </w:rPr>
        <w:t>(</w:t>
      </w:r>
      <w:r w:rsidRPr="00040541">
        <w:rPr>
          <w:rStyle w:val="FootnoteReference"/>
          <w:spacing w:val="0"/>
          <w:w w:val="103"/>
          <w:vertAlign w:val="baseline"/>
          <w:rtl/>
          <w:lang w:eastAsia="ja-JP"/>
        </w:rPr>
        <w:footnoteRef/>
      </w:r>
      <w:r w:rsidRPr="00040541">
        <w:rPr>
          <w:w w:val="103"/>
          <w:rtl/>
          <w:lang w:eastAsia="ja-JP" w:bidi="ar-EG"/>
        </w:rPr>
        <w:t>)</w:t>
      </w:r>
      <w:r w:rsidRPr="00040541">
        <w:rPr>
          <w:w w:val="103"/>
          <w:rtl/>
        </w:rPr>
        <w:tab/>
      </w:r>
      <w:r>
        <w:rPr>
          <w:rFonts w:hint="cs"/>
          <w:w w:val="103"/>
          <w:rtl/>
          <w:lang w:bidi="ar-EG"/>
        </w:rPr>
        <w:t xml:space="preserve">البرازيل: رئاسة الجمهورية، الأمانة الخاصة لسياسات المرأة. </w:t>
      </w:r>
      <w:r>
        <w:rPr>
          <w:rFonts w:hint="cs"/>
          <w:i/>
          <w:iCs/>
          <w:w w:val="103"/>
          <w:rtl/>
          <w:lang w:bidi="ar-EG"/>
        </w:rPr>
        <w:t>الخطة الوطنية لسياسات المرأة</w:t>
      </w:r>
      <w:r>
        <w:rPr>
          <w:rFonts w:hint="cs"/>
          <w:w w:val="103"/>
          <w:rtl/>
          <w:lang w:bidi="ar-EG"/>
        </w:rPr>
        <w:t>. برازيليا: 2004، ص 85.</w:t>
      </w:r>
    </w:p>
  </w:footnote>
  <w:footnote w:id="3">
    <w:p w:rsidR="00E2419F" w:rsidRPr="00A25063" w:rsidRDefault="00E2419F" w:rsidP="00A25063">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A25063">
        <w:rPr>
          <w:w w:val="103"/>
          <w:rtl/>
        </w:rPr>
        <w:t>(</w:t>
      </w:r>
      <w:r w:rsidRPr="00A25063">
        <w:rPr>
          <w:rStyle w:val="FootnoteReference"/>
          <w:spacing w:val="0"/>
          <w:w w:val="103"/>
          <w:vertAlign w:val="baseline"/>
          <w:rtl/>
        </w:rPr>
        <w:footnoteRef/>
      </w:r>
      <w:r w:rsidRPr="00A25063">
        <w:rPr>
          <w:w w:val="103"/>
          <w:rtl/>
        </w:rPr>
        <w:t>)</w:t>
      </w:r>
      <w:r w:rsidRPr="00A25063">
        <w:rPr>
          <w:w w:val="103"/>
          <w:rtl/>
        </w:rPr>
        <w:tab/>
      </w:r>
      <w:r>
        <w:rPr>
          <w:rFonts w:hint="cs"/>
          <w:w w:val="103"/>
          <w:rtl/>
          <w:lang w:bidi="ar-EG"/>
        </w:rPr>
        <w:t xml:space="preserve">شغل ماركو أنطونيو داما سينو فييرا منصب المستشار التشريعي للمنطقة السابعة عشرة - الدفاع الوطني، والأمن العام، والقوات المسلحة، والهيئة الاستشارية التشريعية. معلومات بشأن هذا الموضوع من التعليق التقني على وجود المرأة في هيئة القوات المسلحة، وهي هيئة بمجلس النواب، كانون الأول/ديسمبر 2001. الموقع </w:t>
      </w:r>
      <w:hyperlink r:id="rId1" w:history="1">
        <w:r w:rsidRPr="00A25063">
          <w:rPr>
            <w:rStyle w:val="Hyperlink"/>
            <w:rFonts w:cs="Times New Roman"/>
            <w:sz w:val="20"/>
            <w:szCs w:val="20"/>
            <w:lang w:val="fr-FR"/>
          </w:rPr>
          <w:t>www.ca</w:t>
        </w:r>
        <w:r w:rsidRPr="00A25063">
          <w:rPr>
            <w:rStyle w:val="Hyperlink"/>
            <w:rFonts w:cs="Times New Roman"/>
            <w:sz w:val="20"/>
            <w:szCs w:val="20"/>
            <w:lang w:val="fr-FR"/>
          </w:rPr>
          <w:t>m</w:t>
        </w:r>
        <w:r w:rsidRPr="00A25063">
          <w:rPr>
            <w:rStyle w:val="Hyperlink"/>
            <w:rFonts w:cs="Times New Roman"/>
            <w:sz w:val="20"/>
            <w:szCs w:val="20"/>
            <w:lang w:val="fr-FR"/>
          </w:rPr>
          <w:t>ara.gov.br</w:t>
        </w:r>
      </w:hyperlink>
    </w:p>
  </w:footnote>
  <w:footnote w:id="4">
    <w:p w:rsidR="00E2419F" w:rsidRPr="00971A69" w:rsidRDefault="00E2419F" w:rsidP="004F0004">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71A69">
        <w:rPr>
          <w:w w:val="103"/>
          <w:rtl/>
        </w:rPr>
        <w:t>(</w:t>
      </w:r>
      <w:r w:rsidRPr="00971A69">
        <w:rPr>
          <w:rStyle w:val="FootnoteReference"/>
          <w:spacing w:val="0"/>
          <w:w w:val="103"/>
          <w:vertAlign w:val="baseline"/>
          <w:rtl/>
        </w:rPr>
        <w:footnoteRef/>
      </w:r>
      <w:r w:rsidRPr="00971A69">
        <w:rPr>
          <w:w w:val="103"/>
          <w:rtl/>
        </w:rPr>
        <w:t>)</w:t>
      </w:r>
      <w:r w:rsidRPr="00971A69">
        <w:rPr>
          <w:w w:val="103"/>
          <w:rtl/>
        </w:rPr>
        <w:tab/>
      </w:r>
      <w:r>
        <w:rPr>
          <w:rFonts w:hint="cs"/>
          <w:w w:val="103"/>
          <w:rtl/>
          <w:lang w:bidi="ar-EG"/>
        </w:rPr>
        <w:t xml:space="preserve">نتج هذا التعبير عن </w:t>
      </w:r>
      <w:r>
        <w:rPr>
          <w:rFonts w:hint="eastAsia"/>
          <w:w w:val="103"/>
          <w:rtl/>
          <w:lang w:bidi="ar-EG"/>
        </w:rPr>
        <w:t>”لجنة السقف الزجاجي</w:t>
      </w:r>
      <w:r>
        <w:rPr>
          <w:rFonts w:hint="cs"/>
          <w:w w:val="103"/>
          <w:rtl/>
          <w:lang w:bidi="ar-EG"/>
        </w:rPr>
        <w:t>“، وهي لجنة أنشأتها الحكومة الأمريكية لإجراء دراسة وإصدار توصيات بشأن القضاء على العوائق الاصطناعية التي تحول دون النهوض بالمرأة والأقليات، فضلا عن زيادة الفرص وإنشاء المشاريع من أجل النهوض بالمرأة والأقليات لشغل مناسب في الإدارة وصنع القرار في المشاريع التجارية.</w:t>
      </w:r>
    </w:p>
  </w:footnote>
  <w:footnote w:id="5">
    <w:p w:rsidR="00E2419F" w:rsidRPr="00353D3F" w:rsidRDefault="00E2419F" w:rsidP="00353D3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353D3F">
        <w:rPr>
          <w:w w:val="103"/>
          <w:rtl/>
          <w:lang w:bidi="ar-EG"/>
        </w:rPr>
        <w:t>(</w:t>
      </w:r>
      <w:r w:rsidRPr="00353D3F">
        <w:rPr>
          <w:rStyle w:val="FootnoteReference"/>
          <w:spacing w:val="0"/>
          <w:w w:val="103"/>
          <w:vertAlign w:val="baseline"/>
          <w:rtl/>
        </w:rPr>
        <w:footnoteRef/>
      </w:r>
      <w:r w:rsidRPr="00353D3F">
        <w:rPr>
          <w:w w:val="103"/>
          <w:rtl/>
          <w:lang w:bidi="ar-EG"/>
        </w:rPr>
        <w:t>)</w:t>
      </w:r>
      <w:r w:rsidRPr="00353D3F">
        <w:rPr>
          <w:w w:val="103"/>
          <w:rtl/>
        </w:rPr>
        <w:tab/>
      </w:r>
      <w:r>
        <w:rPr>
          <w:rFonts w:hint="cs"/>
          <w:w w:val="103"/>
          <w:rtl/>
          <w:lang w:bidi="ar-EG"/>
        </w:rPr>
        <w:t>القانون رقم 10639، المؤرخ 9 كانون الثاني/يناير 2003، يعدل القانون رقم 9394، المؤرخ 20</w:t>
      </w:r>
      <w:r>
        <w:rPr>
          <w:rFonts w:hint="eastAsia"/>
          <w:w w:val="103"/>
          <w:rtl/>
          <w:lang w:bidi="ar-EG"/>
        </w:rPr>
        <w:t> </w:t>
      </w:r>
      <w:r>
        <w:rPr>
          <w:rFonts w:hint="cs"/>
          <w:w w:val="103"/>
          <w:rtl/>
          <w:lang w:bidi="ar-EG"/>
        </w:rPr>
        <w:t xml:space="preserve">كانون الأول/ديسمبر 1996، الذي ينص على المبادئ التوجيهية والقواعد المتعلقة بالتعليم الوطني، بغية إدراج الالتزام بتقديم التثقيف المعني بموضوع </w:t>
      </w:r>
      <w:r>
        <w:rPr>
          <w:rFonts w:hint="eastAsia"/>
          <w:w w:val="103"/>
          <w:rtl/>
          <w:lang w:bidi="ar-EG"/>
        </w:rPr>
        <w:t>”تاريخ وثقافة البرازيليين من أصل أفريقي</w:t>
      </w:r>
      <w:r>
        <w:rPr>
          <w:rFonts w:hint="cs"/>
          <w:w w:val="103"/>
          <w:rtl/>
          <w:lang w:bidi="ar-EG"/>
        </w:rPr>
        <w:t>“ كجزء من المنهج الدراسي الرسمي للنظام التعليمي.</w:t>
      </w:r>
    </w:p>
  </w:footnote>
  <w:footnote w:id="6">
    <w:p w:rsidR="00E2419F" w:rsidRPr="00FF134F" w:rsidRDefault="00E2419F" w:rsidP="00FF134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F134F">
        <w:rPr>
          <w:w w:val="103"/>
          <w:rtl/>
          <w:lang w:bidi="ar-EG"/>
        </w:rPr>
        <w:t>(</w:t>
      </w:r>
      <w:r w:rsidRPr="00FF134F">
        <w:rPr>
          <w:rStyle w:val="FootnoteReference"/>
          <w:spacing w:val="0"/>
          <w:w w:val="103"/>
          <w:vertAlign w:val="baseline"/>
          <w:rtl/>
        </w:rPr>
        <w:footnoteRef/>
      </w:r>
      <w:r w:rsidRPr="00FF134F">
        <w:rPr>
          <w:w w:val="103"/>
          <w:rtl/>
          <w:lang w:bidi="ar-EG"/>
        </w:rPr>
        <w:t>)</w:t>
      </w:r>
      <w:r w:rsidRPr="00FF134F">
        <w:rPr>
          <w:w w:val="103"/>
          <w:rtl/>
        </w:rPr>
        <w:tab/>
      </w:r>
      <w:r>
        <w:rPr>
          <w:w w:val="103"/>
          <w:lang w:bidi="ar-EG"/>
        </w:rPr>
        <w:t>Doulas</w:t>
      </w:r>
      <w:r>
        <w:rPr>
          <w:rFonts w:hint="cs"/>
          <w:w w:val="103"/>
          <w:rtl/>
          <w:lang w:bidi="ar-EG"/>
        </w:rPr>
        <w:t xml:space="preserve">: </w:t>
      </w:r>
      <w:r w:rsidRPr="00B44C56">
        <w:rPr>
          <w:rFonts w:hint="cs"/>
          <w:rtl/>
          <w:lang w:bidi="ar-EG"/>
        </w:rPr>
        <w:t xml:space="preserve">كلمة إغريقية تعني </w:t>
      </w:r>
      <w:r w:rsidRPr="00B44C56">
        <w:rPr>
          <w:rFonts w:hint="eastAsia"/>
          <w:rtl/>
          <w:lang w:bidi="ar-EG"/>
        </w:rPr>
        <w:t>”امرأة تخدم أخرى</w:t>
      </w:r>
      <w:r w:rsidRPr="00B44C56">
        <w:rPr>
          <w:rFonts w:hint="cs"/>
          <w:rtl/>
          <w:lang w:bidi="ar-EG"/>
        </w:rPr>
        <w:t xml:space="preserve">“، </w:t>
      </w:r>
      <w:r w:rsidRPr="00B44C56">
        <w:rPr>
          <w:rFonts w:hint="eastAsia"/>
          <w:rtl/>
          <w:lang w:bidi="ar-EG"/>
        </w:rPr>
        <w:t>”خادمة</w:t>
      </w:r>
      <w:r w:rsidRPr="00B44C56">
        <w:rPr>
          <w:rFonts w:hint="cs"/>
          <w:rtl/>
          <w:lang w:bidi="ar-EG"/>
        </w:rPr>
        <w:t>“. وأعادت إحياء هذا المصطلح دانا رافائيل، وهي عالمة أجناس أمريكية، للإشارة إلى المرأة التي تساعد أخرى أثناء الحمل، وفي الولادة وما بعد الولادة، أو في الرضاعة الطبيعية. وتستخدم هذه الكلمة في الوقت الحالي على الصعيد الدولي للإشارة إلى امرأة</w:t>
      </w:r>
      <w:r>
        <w:rPr>
          <w:rFonts w:hint="cs"/>
          <w:w w:val="103"/>
          <w:rtl/>
          <w:lang w:bidi="ar-EG"/>
        </w:rPr>
        <w:t xml:space="preserve"> متمرسة في الولادة تقدم الدعم البدني والعاطفي، فضلا عن المعلومات، إلى الأم قبل الولادة وخلالها وبعدها مباشرة.</w:t>
      </w:r>
    </w:p>
  </w:footnote>
  <w:footnote w:id="7">
    <w:p w:rsidR="00E2419F" w:rsidRPr="00FF3535" w:rsidRDefault="00E2419F" w:rsidP="00FF3535">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F3535">
        <w:rPr>
          <w:w w:val="103"/>
          <w:rtl/>
          <w:lang w:bidi="ar-EG"/>
        </w:rPr>
        <w:t>(</w:t>
      </w:r>
      <w:r w:rsidRPr="00FF3535">
        <w:rPr>
          <w:rStyle w:val="FootnoteReference"/>
          <w:spacing w:val="0"/>
          <w:w w:val="103"/>
          <w:vertAlign w:val="baseline"/>
          <w:rtl/>
        </w:rPr>
        <w:footnoteRef/>
      </w:r>
      <w:r w:rsidRPr="00FF3535">
        <w:rPr>
          <w:w w:val="103"/>
          <w:rtl/>
          <w:lang w:bidi="ar-EG"/>
        </w:rPr>
        <w:t>)</w:t>
      </w:r>
      <w:r w:rsidRPr="00FF3535">
        <w:rPr>
          <w:w w:val="103"/>
          <w:rtl/>
        </w:rPr>
        <w:tab/>
      </w:r>
      <w:r>
        <w:rPr>
          <w:rFonts w:hint="cs"/>
          <w:w w:val="103"/>
          <w:rtl/>
          <w:lang w:bidi="ar-EG"/>
        </w:rPr>
        <w:t>يمكن العثور في الخطة الوطنية لسياسات المرأة، المرفقة بهذه الوثيقة، على معلومات هامة أخرى تتعلق بمعدل أنشطة المرأة في الريف وفي الحضر، مقارنة بالرجل في نفس الفئات.</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E2419F">
      <w:tblPrEx>
        <w:tblCellMar>
          <w:top w:w="0" w:type="dxa"/>
          <w:bottom w:w="0" w:type="dxa"/>
        </w:tblCellMar>
      </w:tblPrEx>
      <w:trPr>
        <w:trHeight w:hRule="exact" w:val="864"/>
        <w:jc w:val="center"/>
      </w:trPr>
      <w:tc>
        <w:tcPr>
          <w:tcW w:w="5033" w:type="dxa"/>
          <w:shd w:val="clear" w:color="auto" w:fill="auto"/>
          <w:vAlign w:val="bottom"/>
        </w:tcPr>
        <w:p w:rsidR="00E2419F" w:rsidRDefault="00E2419F" w:rsidP="00202C39">
          <w:pPr>
            <w:pStyle w:val="Header"/>
            <w:bidi/>
            <w:jc w:val="right"/>
          </w:pPr>
        </w:p>
      </w:tc>
      <w:tc>
        <w:tcPr>
          <w:tcW w:w="5033" w:type="dxa"/>
          <w:shd w:val="clear" w:color="auto" w:fill="auto"/>
          <w:vAlign w:val="bottom"/>
        </w:tcPr>
        <w:p w:rsidR="00E2419F" w:rsidRPr="00202C39" w:rsidRDefault="00E2419F" w:rsidP="00202C3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553858">
            <w:rPr>
              <w:w w:val="103"/>
            </w:rPr>
            <w:t>CEDAW/C/BRA/6</w:t>
          </w:r>
          <w:r>
            <w:rPr>
              <w:w w:val="103"/>
            </w:rPr>
            <w:fldChar w:fldCharType="end"/>
          </w:r>
        </w:p>
      </w:tc>
    </w:tr>
  </w:tbl>
  <w:p w:rsidR="00E2419F" w:rsidRPr="00202C39" w:rsidRDefault="00E2419F" w:rsidP="00202C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E2419F">
      <w:tblPrEx>
        <w:tblCellMar>
          <w:top w:w="0" w:type="dxa"/>
          <w:bottom w:w="0" w:type="dxa"/>
        </w:tblCellMar>
      </w:tblPrEx>
      <w:trPr>
        <w:trHeight w:hRule="exact" w:val="864"/>
        <w:jc w:val="center"/>
      </w:trPr>
      <w:tc>
        <w:tcPr>
          <w:tcW w:w="5033" w:type="dxa"/>
          <w:shd w:val="clear" w:color="auto" w:fill="auto"/>
          <w:vAlign w:val="bottom"/>
        </w:tcPr>
        <w:p w:rsidR="00E2419F" w:rsidRPr="00202C39" w:rsidRDefault="00E2419F" w:rsidP="00202C3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553858">
            <w:rPr>
              <w:w w:val="103"/>
            </w:rPr>
            <w:t>CEDAW/C/BRA/6</w:t>
          </w:r>
          <w:r>
            <w:rPr>
              <w:w w:val="103"/>
              <w:rtl/>
            </w:rPr>
            <w:fldChar w:fldCharType="end"/>
          </w:r>
        </w:p>
      </w:tc>
      <w:tc>
        <w:tcPr>
          <w:tcW w:w="5033" w:type="dxa"/>
          <w:shd w:val="clear" w:color="auto" w:fill="auto"/>
          <w:vAlign w:val="bottom"/>
        </w:tcPr>
        <w:p w:rsidR="00E2419F" w:rsidRDefault="00E2419F" w:rsidP="00202C39">
          <w:pPr>
            <w:pStyle w:val="Header"/>
          </w:pPr>
        </w:p>
      </w:tc>
    </w:tr>
  </w:tbl>
  <w:p w:rsidR="00E2419F" w:rsidRPr="00202C39" w:rsidRDefault="00E2419F" w:rsidP="00202C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2419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2419F" w:rsidRDefault="00E2419F" w:rsidP="00202C39">
          <w:pPr>
            <w:pStyle w:val="Header"/>
            <w:spacing w:after="120"/>
          </w:pPr>
        </w:p>
      </w:tc>
      <w:tc>
        <w:tcPr>
          <w:tcW w:w="1786" w:type="dxa"/>
          <w:tcBorders>
            <w:bottom w:val="single" w:sz="4" w:space="0" w:color="auto"/>
          </w:tcBorders>
          <w:shd w:val="clear" w:color="auto" w:fill="auto"/>
          <w:vAlign w:val="bottom"/>
        </w:tcPr>
        <w:p w:rsidR="00E2419F" w:rsidRPr="00202C39" w:rsidRDefault="00E2419F" w:rsidP="00202C3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2419F" w:rsidRDefault="00E2419F" w:rsidP="00202C39">
          <w:pPr>
            <w:pStyle w:val="Header"/>
            <w:spacing w:after="120"/>
          </w:pPr>
        </w:p>
      </w:tc>
      <w:tc>
        <w:tcPr>
          <w:tcW w:w="6523" w:type="dxa"/>
          <w:gridSpan w:val="3"/>
          <w:tcBorders>
            <w:bottom w:val="single" w:sz="4" w:space="0" w:color="auto"/>
          </w:tcBorders>
          <w:shd w:val="clear" w:color="auto" w:fill="auto"/>
          <w:vAlign w:val="bottom"/>
        </w:tcPr>
        <w:p w:rsidR="00E2419F" w:rsidRPr="00202C39" w:rsidRDefault="00E2419F" w:rsidP="00202C39">
          <w:pPr>
            <w:spacing w:line="380" w:lineRule="exact"/>
            <w:jc w:val="right"/>
          </w:pPr>
          <w:r>
            <w:rPr>
              <w:sz w:val="40"/>
            </w:rPr>
            <w:t>CEDAW</w:t>
          </w:r>
          <w:r>
            <w:t>/C/BRA/6</w:t>
          </w:r>
        </w:p>
      </w:tc>
    </w:tr>
    <w:tr w:rsidR="00E2419F" w:rsidRPr="00202C3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2419F" w:rsidRDefault="00E2419F" w:rsidP="00202C3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2419F" w:rsidRPr="00202C39" w:rsidRDefault="00E2419F" w:rsidP="00202C39">
          <w:pPr>
            <w:pStyle w:val="Header"/>
            <w:spacing w:before="109"/>
            <w:jc w:val="right"/>
          </w:pPr>
        </w:p>
      </w:tc>
      <w:tc>
        <w:tcPr>
          <w:tcW w:w="5227" w:type="dxa"/>
          <w:gridSpan w:val="3"/>
          <w:tcBorders>
            <w:top w:val="single" w:sz="4" w:space="0" w:color="auto"/>
            <w:bottom w:val="single" w:sz="12" w:space="0" w:color="auto"/>
          </w:tcBorders>
          <w:shd w:val="clear" w:color="auto" w:fill="auto"/>
        </w:tcPr>
        <w:p w:rsidR="00E2419F" w:rsidRPr="00202C39" w:rsidRDefault="00E2419F" w:rsidP="00806D3E">
          <w:pPr>
            <w:pStyle w:val="XLarge"/>
            <w:spacing w:before="109" w:line="60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2419F" w:rsidRPr="00202C39" w:rsidRDefault="00E2419F" w:rsidP="00202C39">
          <w:pPr>
            <w:pStyle w:val="Header"/>
            <w:spacing w:before="109"/>
          </w:pPr>
        </w:p>
      </w:tc>
      <w:tc>
        <w:tcPr>
          <w:tcW w:w="3100" w:type="dxa"/>
          <w:gridSpan w:val="2"/>
          <w:tcBorders>
            <w:top w:val="single" w:sz="4" w:space="0" w:color="auto"/>
            <w:bottom w:val="single" w:sz="12" w:space="0" w:color="auto"/>
          </w:tcBorders>
          <w:shd w:val="clear" w:color="auto" w:fill="auto"/>
        </w:tcPr>
        <w:p w:rsidR="00E2419F" w:rsidRDefault="00E2419F" w:rsidP="00202C39">
          <w:pPr>
            <w:bidi w:val="0"/>
            <w:spacing w:before="240" w:line="240" w:lineRule="exact"/>
          </w:pPr>
          <w:r>
            <w:t>Distr.: General</w:t>
          </w:r>
        </w:p>
        <w:p w:rsidR="00E2419F" w:rsidRDefault="00E2419F" w:rsidP="00202C39">
          <w:pPr>
            <w:bidi w:val="0"/>
            <w:spacing w:line="240" w:lineRule="exact"/>
            <w:jc w:val="left"/>
          </w:pPr>
          <w:r>
            <w:t>29 August 2005</w:t>
          </w:r>
        </w:p>
        <w:p w:rsidR="00E2419F" w:rsidRDefault="00E2419F" w:rsidP="00202C39">
          <w:pPr>
            <w:bidi w:val="0"/>
            <w:spacing w:line="240" w:lineRule="exact"/>
            <w:jc w:val="left"/>
          </w:pPr>
          <w:r>
            <w:t>Arabic</w:t>
          </w:r>
        </w:p>
        <w:p w:rsidR="00E2419F" w:rsidRPr="00202C39" w:rsidRDefault="00E2419F" w:rsidP="00202C39">
          <w:pPr>
            <w:bidi w:val="0"/>
            <w:spacing w:line="240" w:lineRule="exact"/>
            <w:jc w:val="left"/>
          </w:pPr>
          <w:r>
            <w:t>Original: English</w:t>
          </w:r>
        </w:p>
      </w:tc>
    </w:tr>
  </w:tbl>
  <w:p w:rsidR="00E2419F" w:rsidRPr="00202C39" w:rsidRDefault="00E2419F" w:rsidP="00202C3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7929*"/>
    <w:docVar w:name="CreationDt" w:val="14/09/2005 11:56 PM"/>
    <w:docVar w:name="DocCategory" w:val="Doc"/>
    <w:docVar w:name="DocType" w:val="Final"/>
    <w:docVar w:name="FooterJN" w:val="05-47929"/>
    <w:docVar w:name="jobn" w:val="05-47929 (A)"/>
    <w:docVar w:name="jobnDT" w:val="05-47929 (A)   140905"/>
    <w:docVar w:name="jobnDTDT" w:val="05-47929 (A)   140905   140905"/>
    <w:docVar w:name="JobNo" w:val="0547929A"/>
    <w:docVar w:name="OandT" w:val=" "/>
    <w:docVar w:name="sss1" w:val="CEDAW/C/BRA/6"/>
    <w:docVar w:name="sss2" w:val="-"/>
    <w:docVar w:name="Symbol1" w:val="CEDAW/C/BRA/6"/>
    <w:docVar w:name="Symbol2" w:val="-"/>
  </w:docVars>
  <w:rsids>
    <w:rsidRoot w:val="001B2AE6"/>
    <w:rsid w:val="00006593"/>
    <w:rsid w:val="00007C7C"/>
    <w:rsid w:val="00013086"/>
    <w:rsid w:val="000141C9"/>
    <w:rsid w:val="00017BF5"/>
    <w:rsid w:val="00025DB7"/>
    <w:rsid w:val="00026EC5"/>
    <w:rsid w:val="00035CE2"/>
    <w:rsid w:val="00035D72"/>
    <w:rsid w:val="00040541"/>
    <w:rsid w:val="00042425"/>
    <w:rsid w:val="000427BA"/>
    <w:rsid w:val="00051ABE"/>
    <w:rsid w:val="00060540"/>
    <w:rsid w:val="0006132D"/>
    <w:rsid w:val="00063EF0"/>
    <w:rsid w:val="0006648F"/>
    <w:rsid w:val="00077284"/>
    <w:rsid w:val="00087310"/>
    <w:rsid w:val="00093AC0"/>
    <w:rsid w:val="0009732C"/>
    <w:rsid w:val="000A1817"/>
    <w:rsid w:val="000C07F7"/>
    <w:rsid w:val="000D2CEC"/>
    <w:rsid w:val="000D48E0"/>
    <w:rsid w:val="000E497B"/>
    <w:rsid w:val="000F20DC"/>
    <w:rsid w:val="000F42D9"/>
    <w:rsid w:val="00101EE8"/>
    <w:rsid w:val="00113349"/>
    <w:rsid w:val="001206AD"/>
    <w:rsid w:val="00120806"/>
    <w:rsid w:val="00137ABD"/>
    <w:rsid w:val="001455B5"/>
    <w:rsid w:val="001519A9"/>
    <w:rsid w:val="001658AD"/>
    <w:rsid w:val="00166476"/>
    <w:rsid w:val="00170C1D"/>
    <w:rsid w:val="001725ED"/>
    <w:rsid w:val="001737F8"/>
    <w:rsid w:val="0017544D"/>
    <w:rsid w:val="00184A04"/>
    <w:rsid w:val="00187870"/>
    <w:rsid w:val="0019047C"/>
    <w:rsid w:val="001A4756"/>
    <w:rsid w:val="001B08B6"/>
    <w:rsid w:val="001B18C5"/>
    <w:rsid w:val="001B2034"/>
    <w:rsid w:val="001B2AE6"/>
    <w:rsid w:val="001C5EE5"/>
    <w:rsid w:val="001D311E"/>
    <w:rsid w:val="001D5FE2"/>
    <w:rsid w:val="001E4EE6"/>
    <w:rsid w:val="001F15B7"/>
    <w:rsid w:val="001F19C6"/>
    <w:rsid w:val="001F6786"/>
    <w:rsid w:val="00201D5E"/>
    <w:rsid w:val="00202C39"/>
    <w:rsid w:val="002108A7"/>
    <w:rsid w:val="002225B6"/>
    <w:rsid w:val="00222C4A"/>
    <w:rsid w:val="00225F6D"/>
    <w:rsid w:val="002416C5"/>
    <w:rsid w:val="002502E8"/>
    <w:rsid w:val="0025253E"/>
    <w:rsid w:val="00266F59"/>
    <w:rsid w:val="00272B6C"/>
    <w:rsid w:val="00272C66"/>
    <w:rsid w:val="0027623A"/>
    <w:rsid w:val="00290F2F"/>
    <w:rsid w:val="002937DA"/>
    <w:rsid w:val="00294A82"/>
    <w:rsid w:val="00297B48"/>
    <w:rsid w:val="002A09C6"/>
    <w:rsid w:val="002A1045"/>
    <w:rsid w:val="002B2328"/>
    <w:rsid w:val="002C2AF2"/>
    <w:rsid w:val="002C4E1B"/>
    <w:rsid w:val="002D4FDC"/>
    <w:rsid w:val="002E6436"/>
    <w:rsid w:val="002F53A7"/>
    <w:rsid w:val="002F65AD"/>
    <w:rsid w:val="002F6FD8"/>
    <w:rsid w:val="0030007A"/>
    <w:rsid w:val="003038BA"/>
    <w:rsid w:val="00307751"/>
    <w:rsid w:val="00312162"/>
    <w:rsid w:val="0032064F"/>
    <w:rsid w:val="00322C04"/>
    <w:rsid w:val="00324BED"/>
    <w:rsid w:val="003314C9"/>
    <w:rsid w:val="00341BC5"/>
    <w:rsid w:val="003501D5"/>
    <w:rsid w:val="00350315"/>
    <w:rsid w:val="0035037F"/>
    <w:rsid w:val="00352022"/>
    <w:rsid w:val="00353D3F"/>
    <w:rsid w:val="00355B4D"/>
    <w:rsid w:val="003631C0"/>
    <w:rsid w:val="00364A2F"/>
    <w:rsid w:val="00371AC4"/>
    <w:rsid w:val="003755FE"/>
    <w:rsid w:val="00383CA8"/>
    <w:rsid w:val="003924FC"/>
    <w:rsid w:val="0039327A"/>
    <w:rsid w:val="003A22E4"/>
    <w:rsid w:val="003A65ED"/>
    <w:rsid w:val="003B131B"/>
    <w:rsid w:val="003B7539"/>
    <w:rsid w:val="003B7ACD"/>
    <w:rsid w:val="003C0E0B"/>
    <w:rsid w:val="003D4612"/>
    <w:rsid w:val="003E432F"/>
    <w:rsid w:val="003E55E9"/>
    <w:rsid w:val="003E5DAE"/>
    <w:rsid w:val="003F28A7"/>
    <w:rsid w:val="003F4B8C"/>
    <w:rsid w:val="00401032"/>
    <w:rsid w:val="00401BDF"/>
    <w:rsid w:val="00402B9C"/>
    <w:rsid w:val="0041178D"/>
    <w:rsid w:val="00411BBD"/>
    <w:rsid w:val="00415922"/>
    <w:rsid w:val="00416493"/>
    <w:rsid w:val="00423BD7"/>
    <w:rsid w:val="0042757D"/>
    <w:rsid w:val="0043590E"/>
    <w:rsid w:val="00437803"/>
    <w:rsid w:val="00437C14"/>
    <w:rsid w:val="00445830"/>
    <w:rsid w:val="004470B8"/>
    <w:rsid w:val="00447144"/>
    <w:rsid w:val="004527C9"/>
    <w:rsid w:val="00453069"/>
    <w:rsid w:val="00455426"/>
    <w:rsid w:val="00461892"/>
    <w:rsid w:val="00472EAF"/>
    <w:rsid w:val="004773F0"/>
    <w:rsid w:val="004804EF"/>
    <w:rsid w:val="00483F5B"/>
    <w:rsid w:val="00490874"/>
    <w:rsid w:val="00494EE2"/>
    <w:rsid w:val="00496E83"/>
    <w:rsid w:val="00497782"/>
    <w:rsid w:val="004A2886"/>
    <w:rsid w:val="004A3703"/>
    <w:rsid w:val="004A4D33"/>
    <w:rsid w:val="004B14A0"/>
    <w:rsid w:val="004B1E98"/>
    <w:rsid w:val="004B2F6C"/>
    <w:rsid w:val="004C21FC"/>
    <w:rsid w:val="004D0FE3"/>
    <w:rsid w:val="004D2078"/>
    <w:rsid w:val="004D353D"/>
    <w:rsid w:val="004D6BE6"/>
    <w:rsid w:val="004E2C7F"/>
    <w:rsid w:val="004E605D"/>
    <w:rsid w:val="004F0004"/>
    <w:rsid w:val="004F12B2"/>
    <w:rsid w:val="004F1402"/>
    <w:rsid w:val="004F4EF1"/>
    <w:rsid w:val="0050149F"/>
    <w:rsid w:val="0050659B"/>
    <w:rsid w:val="00507A99"/>
    <w:rsid w:val="005245FB"/>
    <w:rsid w:val="00524A2E"/>
    <w:rsid w:val="005279DE"/>
    <w:rsid w:val="00534772"/>
    <w:rsid w:val="00537FCD"/>
    <w:rsid w:val="00544B92"/>
    <w:rsid w:val="00545F76"/>
    <w:rsid w:val="00553858"/>
    <w:rsid w:val="005545BB"/>
    <w:rsid w:val="00556882"/>
    <w:rsid w:val="005619EC"/>
    <w:rsid w:val="00561E43"/>
    <w:rsid w:val="00566278"/>
    <w:rsid w:val="005672BF"/>
    <w:rsid w:val="00570228"/>
    <w:rsid w:val="005838F5"/>
    <w:rsid w:val="00591B45"/>
    <w:rsid w:val="005A0F73"/>
    <w:rsid w:val="005A2EA3"/>
    <w:rsid w:val="005A484F"/>
    <w:rsid w:val="005A77EB"/>
    <w:rsid w:val="005C2ECE"/>
    <w:rsid w:val="005C69C7"/>
    <w:rsid w:val="005D04DF"/>
    <w:rsid w:val="005D66C5"/>
    <w:rsid w:val="005E219A"/>
    <w:rsid w:val="005F0384"/>
    <w:rsid w:val="005F5D48"/>
    <w:rsid w:val="006103BF"/>
    <w:rsid w:val="006133EC"/>
    <w:rsid w:val="00616E82"/>
    <w:rsid w:val="006218A3"/>
    <w:rsid w:val="0062200E"/>
    <w:rsid w:val="00635541"/>
    <w:rsid w:val="006372F4"/>
    <w:rsid w:val="006403F5"/>
    <w:rsid w:val="00645C7B"/>
    <w:rsid w:val="006564CE"/>
    <w:rsid w:val="00663388"/>
    <w:rsid w:val="00663F64"/>
    <w:rsid w:val="00675564"/>
    <w:rsid w:val="006866B8"/>
    <w:rsid w:val="00693982"/>
    <w:rsid w:val="00696B7A"/>
    <w:rsid w:val="00696F01"/>
    <w:rsid w:val="0069754E"/>
    <w:rsid w:val="006A11FB"/>
    <w:rsid w:val="006B7EF4"/>
    <w:rsid w:val="006C340B"/>
    <w:rsid w:val="006C38EE"/>
    <w:rsid w:val="006D1811"/>
    <w:rsid w:val="006D4C1F"/>
    <w:rsid w:val="006D76E4"/>
    <w:rsid w:val="0070027D"/>
    <w:rsid w:val="0071531E"/>
    <w:rsid w:val="0071645B"/>
    <w:rsid w:val="00716E9D"/>
    <w:rsid w:val="00731686"/>
    <w:rsid w:val="007349CE"/>
    <w:rsid w:val="0073677B"/>
    <w:rsid w:val="007369D3"/>
    <w:rsid w:val="00744D8F"/>
    <w:rsid w:val="00746496"/>
    <w:rsid w:val="00747B9E"/>
    <w:rsid w:val="00751207"/>
    <w:rsid w:val="00751A4E"/>
    <w:rsid w:val="007524BE"/>
    <w:rsid w:val="007525FA"/>
    <w:rsid w:val="00757116"/>
    <w:rsid w:val="00761886"/>
    <w:rsid w:val="00774FF0"/>
    <w:rsid w:val="0079046D"/>
    <w:rsid w:val="0079753A"/>
    <w:rsid w:val="007A580C"/>
    <w:rsid w:val="007A6227"/>
    <w:rsid w:val="007A6DD9"/>
    <w:rsid w:val="007A72DE"/>
    <w:rsid w:val="007C029D"/>
    <w:rsid w:val="007C18B4"/>
    <w:rsid w:val="007C5D30"/>
    <w:rsid w:val="007D60E0"/>
    <w:rsid w:val="007E32B9"/>
    <w:rsid w:val="00806D3E"/>
    <w:rsid w:val="00810839"/>
    <w:rsid w:val="0081284F"/>
    <w:rsid w:val="00813400"/>
    <w:rsid w:val="008144DA"/>
    <w:rsid w:val="00814843"/>
    <w:rsid w:val="00814C48"/>
    <w:rsid w:val="00814C66"/>
    <w:rsid w:val="008170DE"/>
    <w:rsid w:val="00830CB3"/>
    <w:rsid w:val="00830E32"/>
    <w:rsid w:val="0083333E"/>
    <w:rsid w:val="00853224"/>
    <w:rsid w:val="008615D6"/>
    <w:rsid w:val="008662E7"/>
    <w:rsid w:val="00873A11"/>
    <w:rsid w:val="00873AF9"/>
    <w:rsid w:val="00891190"/>
    <w:rsid w:val="00894A22"/>
    <w:rsid w:val="00896050"/>
    <w:rsid w:val="00896351"/>
    <w:rsid w:val="008A38F4"/>
    <w:rsid w:val="008A5347"/>
    <w:rsid w:val="008B1C55"/>
    <w:rsid w:val="008D00D5"/>
    <w:rsid w:val="008D1C04"/>
    <w:rsid w:val="008D26BD"/>
    <w:rsid w:val="008F04A0"/>
    <w:rsid w:val="008F54B8"/>
    <w:rsid w:val="008F64A7"/>
    <w:rsid w:val="0090012B"/>
    <w:rsid w:val="0090351F"/>
    <w:rsid w:val="009223A3"/>
    <w:rsid w:val="00925756"/>
    <w:rsid w:val="00930DE7"/>
    <w:rsid w:val="009329B5"/>
    <w:rsid w:val="00947A98"/>
    <w:rsid w:val="00963C98"/>
    <w:rsid w:val="00970BAD"/>
    <w:rsid w:val="00971A69"/>
    <w:rsid w:val="009768D1"/>
    <w:rsid w:val="009829B7"/>
    <w:rsid w:val="009927C0"/>
    <w:rsid w:val="00995866"/>
    <w:rsid w:val="009961E6"/>
    <w:rsid w:val="009A1E62"/>
    <w:rsid w:val="009A4695"/>
    <w:rsid w:val="009A7CA2"/>
    <w:rsid w:val="009B48F1"/>
    <w:rsid w:val="009C0017"/>
    <w:rsid w:val="009C15F4"/>
    <w:rsid w:val="009C5E4A"/>
    <w:rsid w:val="009D0028"/>
    <w:rsid w:val="009D0DCA"/>
    <w:rsid w:val="009D62A3"/>
    <w:rsid w:val="009E0C7F"/>
    <w:rsid w:val="009E19B4"/>
    <w:rsid w:val="009E1CD4"/>
    <w:rsid w:val="009E2A1F"/>
    <w:rsid w:val="009E608C"/>
    <w:rsid w:val="009F2FBA"/>
    <w:rsid w:val="009F3077"/>
    <w:rsid w:val="009F468B"/>
    <w:rsid w:val="009F67B8"/>
    <w:rsid w:val="00A05FD7"/>
    <w:rsid w:val="00A06D75"/>
    <w:rsid w:val="00A25063"/>
    <w:rsid w:val="00A254D7"/>
    <w:rsid w:val="00A3079D"/>
    <w:rsid w:val="00A316F1"/>
    <w:rsid w:val="00A322C2"/>
    <w:rsid w:val="00A37C4B"/>
    <w:rsid w:val="00A53DD4"/>
    <w:rsid w:val="00A60E5B"/>
    <w:rsid w:val="00A66F66"/>
    <w:rsid w:val="00A67EA6"/>
    <w:rsid w:val="00A700EE"/>
    <w:rsid w:val="00A71AE5"/>
    <w:rsid w:val="00A76862"/>
    <w:rsid w:val="00A771EF"/>
    <w:rsid w:val="00A8073D"/>
    <w:rsid w:val="00A870C6"/>
    <w:rsid w:val="00A87443"/>
    <w:rsid w:val="00A9044C"/>
    <w:rsid w:val="00A9226D"/>
    <w:rsid w:val="00A9644E"/>
    <w:rsid w:val="00A96597"/>
    <w:rsid w:val="00AA1E16"/>
    <w:rsid w:val="00AA3E3F"/>
    <w:rsid w:val="00AA73CD"/>
    <w:rsid w:val="00AB66EF"/>
    <w:rsid w:val="00AB7B71"/>
    <w:rsid w:val="00AC002C"/>
    <w:rsid w:val="00AC10A7"/>
    <w:rsid w:val="00AC6CDD"/>
    <w:rsid w:val="00AD38D0"/>
    <w:rsid w:val="00AD391D"/>
    <w:rsid w:val="00AE108C"/>
    <w:rsid w:val="00AF1A53"/>
    <w:rsid w:val="00AF2259"/>
    <w:rsid w:val="00AF7AC7"/>
    <w:rsid w:val="00B05ADC"/>
    <w:rsid w:val="00B10864"/>
    <w:rsid w:val="00B14111"/>
    <w:rsid w:val="00B2397A"/>
    <w:rsid w:val="00B25673"/>
    <w:rsid w:val="00B25A42"/>
    <w:rsid w:val="00B264BC"/>
    <w:rsid w:val="00B272BE"/>
    <w:rsid w:val="00B370BD"/>
    <w:rsid w:val="00B44C56"/>
    <w:rsid w:val="00B47AFC"/>
    <w:rsid w:val="00B630CB"/>
    <w:rsid w:val="00B70C69"/>
    <w:rsid w:val="00B81D56"/>
    <w:rsid w:val="00B8595D"/>
    <w:rsid w:val="00B86BF2"/>
    <w:rsid w:val="00B93EB1"/>
    <w:rsid w:val="00B9542C"/>
    <w:rsid w:val="00B95560"/>
    <w:rsid w:val="00BA33AB"/>
    <w:rsid w:val="00BA674D"/>
    <w:rsid w:val="00BA71AB"/>
    <w:rsid w:val="00BA7FAB"/>
    <w:rsid w:val="00BB030E"/>
    <w:rsid w:val="00BB29D0"/>
    <w:rsid w:val="00BC0E5C"/>
    <w:rsid w:val="00BC13BF"/>
    <w:rsid w:val="00BC2A7D"/>
    <w:rsid w:val="00BC2F4C"/>
    <w:rsid w:val="00BC471B"/>
    <w:rsid w:val="00BC4A05"/>
    <w:rsid w:val="00BE2BC7"/>
    <w:rsid w:val="00BF0B15"/>
    <w:rsid w:val="00C05344"/>
    <w:rsid w:val="00C12AF4"/>
    <w:rsid w:val="00C12CBB"/>
    <w:rsid w:val="00C25775"/>
    <w:rsid w:val="00C25A2D"/>
    <w:rsid w:val="00C260F8"/>
    <w:rsid w:val="00C37212"/>
    <w:rsid w:val="00C43FBE"/>
    <w:rsid w:val="00C449C6"/>
    <w:rsid w:val="00C564B0"/>
    <w:rsid w:val="00C56E7E"/>
    <w:rsid w:val="00C6286A"/>
    <w:rsid w:val="00C63143"/>
    <w:rsid w:val="00C70052"/>
    <w:rsid w:val="00C814A5"/>
    <w:rsid w:val="00C83534"/>
    <w:rsid w:val="00C96573"/>
    <w:rsid w:val="00CA4790"/>
    <w:rsid w:val="00CB3271"/>
    <w:rsid w:val="00CB70D9"/>
    <w:rsid w:val="00CC1A6D"/>
    <w:rsid w:val="00CC2CE4"/>
    <w:rsid w:val="00CC7CDE"/>
    <w:rsid w:val="00CD0BB8"/>
    <w:rsid w:val="00CD3849"/>
    <w:rsid w:val="00CE0BB3"/>
    <w:rsid w:val="00CE0EB7"/>
    <w:rsid w:val="00CE3FD0"/>
    <w:rsid w:val="00CF6DB6"/>
    <w:rsid w:val="00CF7384"/>
    <w:rsid w:val="00D0397B"/>
    <w:rsid w:val="00D13761"/>
    <w:rsid w:val="00D175F8"/>
    <w:rsid w:val="00D20140"/>
    <w:rsid w:val="00D205E6"/>
    <w:rsid w:val="00D22AB5"/>
    <w:rsid w:val="00D2343D"/>
    <w:rsid w:val="00D24090"/>
    <w:rsid w:val="00D30944"/>
    <w:rsid w:val="00D30EAE"/>
    <w:rsid w:val="00D318F1"/>
    <w:rsid w:val="00D33D9A"/>
    <w:rsid w:val="00D40B0E"/>
    <w:rsid w:val="00D428BA"/>
    <w:rsid w:val="00D430C0"/>
    <w:rsid w:val="00D462AB"/>
    <w:rsid w:val="00D474AB"/>
    <w:rsid w:val="00D53B4E"/>
    <w:rsid w:val="00D634B2"/>
    <w:rsid w:val="00D635F7"/>
    <w:rsid w:val="00D64F6A"/>
    <w:rsid w:val="00D67266"/>
    <w:rsid w:val="00D845A1"/>
    <w:rsid w:val="00D85E80"/>
    <w:rsid w:val="00D92D33"/>
    <w:rsid w:val="00D93AD9"/>
    <w:rsid w:val="00D95338"/>
    <w:rsid w:val="00DA255E"/>
    <w:rsid w:val="00DA66B7"/>
    <w:rsid w:val="00DB0865"/>
    <w:rsid w:val="00DC149B"/>
    <w:rsid w:val="00DE11C4"/>
    <w:rsid w:val="00DE2F66"/>
    <w:rsid w:val="00DE5433"/>
    <w:rsid w:val="00DE7E55"/>
    <w:rsid w:val="00DF56BE"/>
    <w:rsid w:val="00DF5F38"/>
    <w:rsid w:val="00E0579C"/>
    <w:rsid w:val="00E05B16"/>
    <w:rsid w:val="00E1242A"/>
    <w:rsid w:val="00E1629D"/>
    <w:rsid w:val="00E16BF5"/>
    <w:rsid w:val="00E23336"/>
    <w:rsid w:val="00E2419F"/>
    <w:rsid w:val="00E26EC9"/>
    <w:rsid w:val="00E30E34"/>
    <w:rsid w:val="00E31661"/>
    <w:rsid w:val="00E323BC"/>
    <w:rsid w:val="00E32B52"/>
    <w:rsid w:val="00E34BA0"/>
    <w:rsid w:val="00E44C50"/>
    <w:rsid w:val="00E47EB8"/>
    <w:rsid w:val="00E53738"/>
    <w:rsid w:val="00E626C8"/>
    <w:rsid w:val="00E62D22"/>
    <w:rsid w:val="00E6355C"/>
    <w:rsid w:val="00E64BFC"/>
    <w:rsid w:val="00E713E4"/>
    <w:rsid w:val="00E74579"/>
    <w:rsid w:val="00E750E1"/>
    <w:rsid w:val="00E9114A"/>
    <w:rsid w:val="00E92872"/>
    <w:rsid w:val="00E9525A"/>
    <w:rsid w:val="00EA489C"/>
    <w:rsid w:val="00EB01BB"/>
    <w:rsid w:val="00EB0A3C"/>
    <w:rsid w:val="00EB0CA7"/>
    <w:rsid w:val="00EB3235"/>
    <w:rsid w:val="00EB4992"/>
    <w:rsid w:val="00EB6E43"/>
    <w:rsid w:val="00EB7B3E"/>
    <w:rsid w:val="00ED18B2"/>
    <w:rsid w:val="00ED717A"/>
    <w:rsid w:val="00EE3884"/>
    <w:rsid w:val="00EE42D8"/>
    <w:rsid w:val="00EF22C7"/>
    <w:rsid w:val="00EF2E52"/>
    <w:rsid w:val="00F027F7"/>
    <w:rsid w:val="00F10860"/>
    <w:rsid w:val="00F32E4A"/>
    <w:rsid w:val="00F364C2"/>
    <w:rsid w:val="00F36D8C"/>
    <w:rsid w:val="00F5303B"/>
    <w:rsid w:val="00F61DFD"/>
    <w:rsid w:val="00F629EA"/>
    <w:rsid w:val="00F641F9"/>
    <w:rsid w:val="00F7650F"/>
    <w:rsid w:val="00F864F5"/>
    <w:rsid w:val="00F93545"/>
    <w:rsid w:val="00F945F2"/>
    <w:rsid w:val="00F96525"/>
    <w:rsid w:val="00F96BC0"/>
    <w:rsid w:val="00F96FBA"/>
    <w:rsid w:val="00FA15E5"/>
    <w:rsid w:val="00FA327A"/>
    <w:rsid w:val="00FB34F1"/>
    <w:rsid w:val="00FB4E06"/>
    <w:rsid w:val="00FB4E5F"/>
    <w:rsid w:val="00FB5B3B"/>
    <w:rsid w:val="00FC3483"/>
    <w:rsid w:val="00FC4D68"/>
    <w:rsid w:val="00FC7A55"/>
    <w:rsid w:val="00FD2ADA"/>
    <w:rsid w:val="00FE2F4D"/>
    <w:rsid w:val="00FE46DD"/>
    <w:rsid w:val="00FF134F"/>
    <w:rsid w:val="00FF35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3">
    <w:name w:val="heading 3"/>
    <w:basedOn w:val="Normal"/>
    <w:next w:val="Normal"/>
    <w:qFormat/>
    <w:rsid w:val="00EE3884"/>
    <w:pPr>
      <w:keepNext/>
      <w:spacing w:before="240" w:after="60"/>
      <w:outlineLvl w:val="2"/>
    </w:pPr>
    <w:rPr>
      <w:rFonts w:ascii="Arial" w:hAnsi="Arial" w:cs="Arial"/>
      <w:b/>
      <w:bCs/>
      <w:sz w:val="26"/>
      <w:szCs w:val="26"/>
    </w:rPr>
  </w:style>
  <w:style w:type="paragraph" w:styleId="Heading4">
    <w:name w:val="heading 4"/>
    <w:basedOn w:val="Normal"/>
    <w:next w:val="Normal"/>
    <w:qFormat/>
    <w:rsid w:val="000E497B"/>
    <w:pPr>
      <w:keepNext/>
      <w:spacing w:before="240" w:after="60"/>
      <w:outlineLvl w:val="3"/>
    </w:pPr>
    <w:rPr>
      <w:rFonts w:cs="Times New Roman"/>
      <w:b/>
      <w:bCs/>
      <w:sz w:val="28"/>
      <w:szCs w:val="28"/>
    </w:rPr>
  </w:style>
  <w:style w:type="paragraph" w:styleId="Heading5">
    <w:name w:val="heading 5"/>
    <w:basedOn w:val="Normal"/>
    <w:next w:val="Normal"/>
    <w:qFormat/>
    <w:rsid w:val="000E497B"/>
    <w:pPr>
      <w:spacing w:before="240" w:after="60"/>
      <w:outlineLvl w:val="4"/>
    </w:pPr>
    <w:rPr>
      <w:b/>
      <w:bCs/>
      <w:i/>
      <w:iCs/>
      <w:sz w:val="26"/>
      <w:szCs w:val="26"/>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02C39"/>
    <w:rPr>
      <w:szCs w:val="20"/>
    </w:rPr>
  </w:style>
  <w:style w:type="paragraph" w:styleId="CommentSubject">
    <w:name w:val="annotation subject"/>
    <w:basedOn w:val="CommentText"/>
    <w:next w:val="CommentText"/>
    <w:semiHidden/>
    <w:rsid w:val="00202C39"/>
    <w:rPr>
      <w:b/>
      <w:bCs/>
    </w:rPr>
  </w:style>
  <w:style w:type="paragraph" w:styleId="NormalWeb">
    <w:name w:val="Normal (Web)"/>
    <w:basedOn w:val="Normal"/>
    <w:rsid w:val="00EE3884"/>
    <w:pPr>
      <w:bidi w:val="0"/>
      <w:spacing w:before="100" w:beforeAutospacing="1" w:after="100" w:afterAutospacing="1" w:line="240" w:lineRule="auto"/>
      <w:jc w:val="left"/>
    </w:pPr>
    <w:rPr>
      <w:rFonts w:ascii="Arial Unicode MS" w:eastAsia="Arial Unicode MS" w:hAnsi="Arial Unicode MS" w:cs="Arial Unicode MS"/>
      <w:w w:val="100"/>
      <w:kern w:val="0"/>
      <w:sz w:val="24"/>
      <w:szCs w:val="24"/>
      <w:lang w:val="pt-BR" w:eastAsia="pt-BR"/>
    </w:rPr>
  </w:style>
  <w:style w:type="paragraph" w:customStyle="1" w:styleId="xl47">
    <w:name w:val="xl47"/>
    <w:basedOn w:val="Normal"/>
    <w:rsid w:val="000E497B"/>
    <w:pPr>
      <w:bidi w:val="0"/>
      <w:spacing w:before="100" w:beforeAutospacing="1" w:after="100" w:afterAutospacing="1" w:line="240" w:lineRule="auto"/>
      <w:jc w:val="center"/>
    </w:pPr>
    <w:rPr>
      <w:rFonts w:ascii="Arial" w:eastAsia="Arial Unicode MS" w:hAnsi="Arial" w:cs="Arial"/>
      <w:b/>
      <w:bCs/>
      <w:w w:val="100"/>
      <w:kern w:val="0"/>
      <w:sz w:val="24"/>
      <w:szCs w:val="24"/>
      <w:lang w:val="pt-BR" w:eastAsia="pt-BR"/>
    </w:rPr>
  </w:style>
  <w:style w:type="paragraph" w:customStyle="1" w:styleId="xl28">
    <w:name w:val="xl28"/>
    <w:basedOn w:val="Normal"/>
    <w:rsid w:val="000E497B"/>
    <w:pPr>
      <w:pBdr>
        <w:bottom w:val="single" w:sz="4" w:space="0" w:color="auto"/>
      </w:pBdr>
      <w:bidi w:val="0"/>
      <w:spacing w:before="100" w:beforeAutospacing="1" w:after="100" w:afterAutospacing="1" w:line="240" w:lineRule="auto"/>
      <w:jc w:val="left"/>
    </w:pPr>
    <w:rPr>
      <w:rFonts w:ascii="Arial Unicode MS" w:eastAsia="Arial Unicode MS" w:hAnsi="Arial Unicode MS" w:cs="Arial Unicode MS"/>
      <w:w w:val="100"/>
      <w:kern w:val="0"/>
      <w:sz w:val="24"/>
      <w:szCs w:val="24"/>
      <w:lang w:val="pt-BR" w:eastAsia="pt-BR"/>
    </w:rPr>
  </w:style>
  <w:style w:type="character" w:styleId="Strong">
    <w:name w:val="Strong"/>
    <w:qFormat/>
    <w:rsid w:val="000E497B"/>
    <w:rPr>
      <w:b/>
      <w:bCs w:val="0"/>
    </w:rPr>
  </w:style>
  <w:style w:type="paragraph" w:customStyle="1" w:styleId="xl35">
    <w:name w:val="xl35"/>
    <w:basedOn w:val="Normal"/>
    <w:rsid w:val="000E497B"/>
    <w:pPr>
      <w:pBdr>
        <w:bottom w:val="single" w:sz="4" w:space="0" w:color="auto"/>
      </w:pBdr>
      <w:bidi w:val="0"/>
      <w:spacing w:before="100" w:beforeAutospacing="1" w:after="100" w:afterAutospacing="1" w:line="240" w:lineRule="auto"/>
      <w:jc w:val="center"/>
    </w:pPr>
    <w:rPr>
      <w:rFonts w:ascii="Arial Unicode MS" w:eastAsia="Arial Unicode MS" w:hAnsi="Arial Unicode MS" w:cs="Arial Unicode MS"/>
      <w:w w:val="100"/>
      <w:kern w:val="0"/>
      <w:sz w:val="24"/>
      <w:szCs w:val="24"/>
      <w:lang w:val="pt-BR" w:eastAsia="pt-BR"/>
    </w:rPr>
  </w:style>
  <w:style w:type="character" w:styleId="Hyperlink">
    <w:name w:val="Hyperlink"/>
    <w:rsid w:val="009A1E62"/>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44660">
      <w:bodyDiv w:val="1"/>
      <w:marLeft w:val="0"/>
      <w:marRight w:val="0"/>
      <w:marTop w:val="0"/>
      <w:marBottom w:val="0"/>
      <w:divBdr>
        <w:top w:val="none" w:sz="0" w:space="0" w:color="auto"/>
        <w:left w:val="none" w:sz="0" w:space="0" w:color="auto"/>
        <w:bottom w:val="none" w:sz="0" w:space="0" w:color="auto"/>
        <w:right w:val="none" w:sz="0" w:space="0" w:color="auto"/>
      </w:divBdr>
    </w:div>
    <w:div w:id="376975959">
      <w:bodyDiv w:val="1"/>
      <w:marLeft w:val="0"/>
      <w:marRight w:val="0"/>
      <w:marTop w:val="0"/>
      <w:marBottom w:val="0"/>
      <w:divBdr>
        <w:top w:val="none" w:sz="0" w:space="0" w:color="auto"/>
        <w:left w:val="none" w:sz="0" w:space="0" w:color="auto"/>
        <w:bottom w:val="none" w:sz="0" w:space="0" w:color="auto"/>
        <w:right w:val="none" w:sz="0" w:space="0" w:color="auto"/>
      </w:divBdr>
    </w:div>
    <w:div w:id="383404828">
      <w:bodyDiv w:val="1"/>
      <w:marLeft w:val="0"/>
      <w:marRight w:val="0"/>
      <w:marTop w:val="0"/>
      <w:marBottom w:val="0"/>
      <w:divBdr>
        <w:top w:val="none" w:sz="0" w:space="0" w:color="auto"/>
        <w:left w:val="none" w:sz="0" w:space="0" w:color="auto"/>
        <w:bottom w:val="none" w:sz="0" w:space="0" w:color="auto"/>
        <w:right w:val="none" w:sz="0" w:space="0" w:color="auto"/>
      </w:divBdr>
    </w:div>
    <w:div w:id="423259678">
      <w:bodyDiv w:val="1"/>
      <w:marLeft w:val="0"/>
      <w:marRight w:val="0"/>
      <w:marTop w:val="0"/>
      <w:marBottom w:val="0"/>
      <w:divBdr>
        <w:top w:val="none" w:sz="0" w:space="0" w:color="auto"/>
        <w:left w:val="none" w:sz="0" w:space="0" w:color="auto"/>
        <w:bottom w:val="none" w:sz="0" w:space="0" w:color="auto"/>
        <w:right w:val="none" w:sz="0" w:space="0" w:color="auto"/>
      </w:divBdr>
    </w:div>
    <w:div w:id="523327101">
      <w:bodyDiv w:val="1"/>
      <w:marLeft w:val="0"/>
      <w:marRight w:val="0"/>
      <w:marTop w:val="0"/>
      <w:marBottom w:val="0"/>
      <w:divBdr>
        <w:top w:val="none" w:sz="0" w:space="0" w:color="auto"/>
        <w:left w:val="none" w:sz="0" w:space="0" w:color="auto"/>
        <w:bottom w:val="none" w:sz="0" w:space="0" w:color="auto"/>
        <w:right w:val="none" w:sz="0" w:space="0" w:color="auto"/>
      </w:divBdr>
    </w:div>
    <w:div w:id="643194259">
      <w:bodyDiv w:val="1"/>
      <w:marLeft w:val="0"/>
      <w:marRight w:val="0"/>
      <w:marTop w:val="0"/>
      <w:marBottom w:val="0"/>
      <w:divBdr>
        <w:top w:val="none" w:sz="0" w:space="0" w:color="auto"/>
        <w:left w:val="none" w:sz="0" w:space="0" w:color="auto"/>
        <w:bottom w:val="none" w:sz="0" w:space="0" w:color="auto"/>
        <w:right w:val="none" w:sz="0" w:space="0" w:color="auto"/>
      </w:divBdr>
    </w:div>
    <w:div w:id="683827378">
      <w:bodyDiv w:val="1"/>
      <w:marLeft w:val="0"/>
      <w:marRight w:val="0"/>
      <w:marTop w:val="0"/>
      <w:marBottom w:val="0"/>
      <w:divBdr>
        <w:top w:val="none" w:sz="0" w:space="0" w:color="auto"/>
        <w:left w:val="none" w:sz="0" w:space="0" w:color="auto"/>
        <w:bottom w:val="none" w:sz="0" w:space="0" w:color="auto"/>
        <w:right w:val="none" w:sz="0" w:space="0" w:color="auto"/>
      </w:divBdr>
    </w:div>
    <w:div w:id="743990422">
      <w:bodyDiv w:val="1"/>
      <w:marLeft w:val="0"/>
      <w:marRight w:val="0"/>
      <w:marTop w:val="0"/>
      <w:marBottom w:val="0"/>
      <w:divBdr>
        <w:top w:val="none" w:sz="0" w:space="0" w:color="auto"/>
        <w:left w:val="none" w:sz="0" w:space="0" w:color="auto"/>
        <w:bottom w:val="none" w:sz="0" w:space="0" w:color="auto"/>
        <w:right w:val="none" w:sz="0" w:space="0" w:color="auto"/>
      </w:divBdr>
    </w:div>
    <w:div w:id="856622363">
      <w:bodyDiv w:val="1"/>
      <w:marLeft w:val="0"/>
      <w:marRight w:val="0"/>
      <w:marTop w:val="0"/>
      <w:marBottom w:val="0"/>
      <w:divBdr>
        <w:top w:val="none" w:sz="0" w:space="0" w:color="auto"/>
        <w:left w:val="none" w:sz="0" w:space="0" w:color="auto"/>
        <w:bottom w:val="none" w:sz="0" w:space="0" w:color="auto"/>
        <w:right w:val="none" w:sz="0" w:space="0" w:color="auto"/>
      </w:divBdr>
    </w:div>
    <w:div w:id="882330922">
      <w:bodyDiv w:val="1"/>
      <w:marLeft w:val="0"/>
      <w:marRight w:val="0"/>
      <w:marTop w:val="0"/>
      <w:marBottom w:val="0"/>
      <w:divBdr>
        <w:top w:val="none" w:sz="0" w:space="0" w:color="auto"/>
        <w:left w:val="none" w:sz="0" w:space="0" w:color="auto"/>
        <w:bottom w:val="none" w:sz="0" w:space="0" w:color="auto"/>
        <w:right w:val="none" w:sz="0" w:space="0" w:color="auto"/>
      </w:divBdr>
    </w:div>
    <w:div w:id="1218708467">
      <w:bodyDiv w:val="1"/>
      <w:marLeft w:val="0"/>
      <w:marRight w:val="0"/>
      <w:marTop w:val="0"/>
      <w:marBottom w:val="0"/>
      <w:divBdr>
        <w:top w:val="none" w:sz="0" w:space="0" w:color="auto"/>
        <w:left w:val="none" w:sz="0" w:space="0" w:color="auto"/>
        <w:bottom w:val="none" w:sz="0" w:space="0" w:color="auto"/>
        <w:right w:val="none" w:sz="0" w:space="0" w:color="auto"/>
      </w:divBdr>
    </w:div>
    <w:div w:id="1233005301">
      <w:bodyDiv w:val="1"/>
      <w:marLeft w:val="0"/>
      <w:marRight w:val="0"/>
      <w:marTop w:val="0"/>
      <w:marBottom w:val="0"/>
      <w:divBdr>
        <w:top w:val="none" w:sz="0" w:space="0" w:color="auto"/>
        <w:left w:val="none" w:sz="0" w:space="0" w:color="auto"/>
        <w:bottom w:val="none" w:sz="0" w:space="0" w:color="auto"/>
        <w:right w:val="none" w:sz="0" w:space="0" w:color="auto"/>
      </w:divBdr>
    </w:div>
    <w:div w:id="1315328942">
      <w:bodyDiv w:val="1"/>
      <w:marLeft w:val="0"/>
      <w:marRight w:val="0"/>
      <w:marTop w:val="0"/>
      <w:marBottom w:val="0"/>
      <w:divBdr>
        <w:top w:val="none" w:sz="0" w:space="0" w:color="auto"/>
        <w:left w:val="none" w:sz="0" w:space="0" w:color="auto"/>
        <w:bottom w:val="none" w:sz="0" w:space="0" w:color="auto"/>
        <w:right w:val="none" w:sz="0" w:space="0" w:color="auto"/>
      </w:divBdr>
    </w:div>
    <w:div w:id="1395394220">
      <w:bodyDiv w:val="1"/>
      <w:marLeft w:val="0"/>
      <w:marRight w:val="0"/>
      <w:marTop w:val="0"/>
      <w:marBottom w:val="0"/>
      <w:divBdr>
        <w:top w:val="none" w:sz="0" w:space="0" w:color="auto"/>
        <w:left w:val="none" w:sz="0" w:space="0" w:color="auto"/>
        <w:bottom w:val="none" w:sz="0" w:space="0" w:color="auto"/>
        <w:right w:val="none" w:sz="0" w:space="0" w:color="auto"/>
      </w:divBdr>
    </w:div>
    <w:div w:id="1412390905">
      <w:bodyDiv w:val="1"/>
      <w:marLeft w:val="0"/>
      <w:marRight w:val="0"/>
      <w:marTop w:val="0"/>
      <w:marBottom w:val="0"/>
      <w:divBdr>
        <w:top w:val="none" w:sz="0" w:space="0" w:color="auto"/>
        <w:left w:val="none" w:sz="0" w:space="0" w:color="auto"/>
        <w:bottom w:val="none" w:sz="0" w:space="0" w:color="auto"/>
        <w:right w:val="none" w:sz="0" w:space="0" w:color="auto"/>
      </w:divBdr>
    </w:div>
    <w:div w:id="1483153507">
      <w:bodyDiv w:val="1"/>
      <w:marLeft w:val="0"/>
      <w:marRight w:val="0"/>
      <w:marTop w:val="0"/>
      <w:marBottom w:val="0"/>
      <w:divBdr>
        <w:top w:val="none" w:sz="0" w:space="0" w:color="auto"/>
        <w:left w:val="none" w:sz="0" w:space="0" w:color="auto"/>
        <w:bottom w:val="none" w:sz="0" w:space="0" w:color="auto"/>
        <w:right w:val="none" w:sz="0" w:space="0" w:color="auto"/>
      </w:divBdr>
    </w:div>
    <w:div w:id="1553731910">
      <w:bodyDiv w:val="1"/>
      <w:marLeft w:val="0"/>
      <w:marRight w:val="0"/>
      <w:marTop w:val="0"/>
      <w:marBottom w:val="0"/>
      <w:divBdr>
        <w:top w:val="none" w:sz="0" w:space="0" w:color="auto"/>
        <w:left w:val="none" w:sz="0" w:space="0" w:color="auto"/>
        <w:bottom w:val="none" w:sz="0" w:space="0" w:color="auto"/>
        <w:right w:val="none" w:sz="0" w:space="0" w:color="auto"/>
      </w:divBdr>
    </w:div>
    <w:div w:id="1644458471">
      <w:bodyDiv w:val="1"/>
      <w:marLeft w:val="0"/>
      <w:marRight w:val="0"/>
      <w:marTop w:val="0"/>
      <w:marBottom w:val="0"/>
      <w:divBdr>
        <w:top w:val="none" w:sz="0" w:space="0" w:color="auto"/>
        <w:left w:val="none" w:sz="0" w:space="0" w:color="auto"/>
        <w:bottom w:val="none" w:sz="0" w:space="0" w:color="auto"/>
        <w:right w:val="none" w:sz="0" w:space="0" w:color="auto"/>
      </w:divBdr>
    </w:div>
    <w:div w:id="1820877585">
      <w:bodyDiv w:val="1"/>
      <w:marLeft w:val="0"/>
      <w:marRight w:val="0"/>
      <w:marTop w:val="0"/>
      <w:marBottom w:val="0"/>
      <w:divBdr>
        <w:top w:val="none" w:sz="0" w:space="0" w:color="auto"/>
        <w:left w:val="none" w:sz="0" w:space="0" w:color="auto"/>
        <w:bottom w:val="none" w:sz="0" w:space="0" w:color="auto"/>
        <w:right w:val="none" w:sz="0" w:space="0" w:color="auto"/>
      </w:divBdr>
    </w:div>
    <w:div w:id="1863858412">
      <w:bodyDiv w:val="1"/>
      <w:marLeft w:val="0"/>
      <w:marRight w:val="0"/>
      <w:marTop w:val="0"/>
      <w:marBottom w:val="0"/>
      <w:divBdr>
        <w:top w:val="none" w:sz="0" w:space="0" w:color="auto"/>
        <w:left w:val="none" w:sz="0" w:space="0" w:color="auto"/>
        <w:bottom w:val="none" w:sz="0" w:space="0" w:color="auto"/>
        <w:right w:val="none" w:sz="0" w:space="0" w:color="auto"/>
      </w:divBdr>
    </w:div>
    <w:div w:id="1921676496">
      <w:bodyDiv w:val="1"/>
      <w:marLeft w:val="0"/>
      <w:marRight w:val="0"/>
      <w:marTop w:val="0"/>
      <w:marBottom w:val="0"/>
      <w:divBdr>
        <w:top w:val="none" w:sz="0" w:space="0" w:color="auto"/>
        <w:left w:val="none" w:sz="0" w:space="0" w:color="auto"/>
        <w:bottom w:val="none" w:sz="0" w:space="0" w:color="auto"/>
        <w:right w:val="none" w:sz="0" w:space="0" w:color="auto"/>
      </w:divBdr>
    </w:div>
    <w:div w:id="1956281678">
      <w:bodyDiv w:val="1"/>
      <w:marLeft w:val="0"/>
      <w:marRight w:val="0"/>
      <w:marTop w:val="0"/>
      <w:marBottom w:val="0"/>
      <w:divBdr>
        <w:top w:val="none" w:sz="0" w:space="0" w:color="auto"/>
        <w:left w:val="none" w:sz="0" w:space="0" w:color="auto"/>
        <w:bottom w:val="none" w:sz="0" w:space="0" w:color="auto"/>
        <w:right w:val="none" w:sz="0" w:space="0" w:color="auto"/>
      </w:divBdr>
    </w:div>
    <w:div w:id="1992296487">
      <w:bodyDiv w:val="1"/>
      <w:marLeft w:val="0"/>
      <w:marRight w:val="0"/>
      <w:marTop w:val="0"/>
      <w:marBottom w:val="0"/>
      <w:divBdr>
        <w:top w:val="none" w:sz="0" w:space="0" w:color="auto"/>
        <w:left w:val="none" w:sz="0" w:space="0" w:color="auto"/>
        <w:bottom w:val="none" w:sz="0" w:space="0" w:color="auto"/>
        <w:right w:val="none" w:sz="0" w:space="0" w:color="auto"/>
      </w:divBdr>
    </w:div>
    <w:div w:id="2012027448">
      <w:bodyDiv w:val="1"/>
      <w:marLeft w:val="0"/>
      <w:marRight w:val="0"/>
      <w:marTop w:val="0"/>
      <w:marBottom w:val="0"/>
      <w:divBdr>
        <w:top w:val="none" w:sz="0" w:space="0" w:color="auto"/>
        <w:left w:val="none" w:sz="0" w:space="0" w:color="auto"/>
        <w:bottom w:val="none" w:sz="0" w:space="0" w:color="auto"/>
        <w:right w:val="none" w:sz="0" w:space="0" w:color="auto"/>
      </w:divBdr>
    </w:div>
    <w:div w:id="207743037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dialogoscontraoracismo.org.br"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1.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2.e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www.presid&#234;ncia.gov.br/spmulheres"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camara.gov.b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3</Pages>
  <Words>32942</Words>
  <Characters>187770</Characters>
  <Application>Microsoft Office Word</Application>
  <DocSecurity>4</DocSecurity>
  <Lines>1564</Lines>
  <Paragraphs>440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220272</CharactersWithSpaces>
  <SharedDoc>false</SharedDoc>
  <HLinks>
    <vt:vector size="18" baseType="variant">
      <vt:variant>
        <vt:i4>9371741</vt:i4>
      </vt:variant>
      <vt:variant>
        <vt:i4>3</vt:i4>
      </vt:variant>
      <vt:variant>
        <vt:i4>0</vt:i4>
      </vt:variant>
      <vt:variant>
        <vt:i4>5</vt:i4>
      </vt:variant>
      <vt:variant>
        <vt:lpwstr>http://www.presidência.gov.br/spmulheres</vt:lpwstr>
      </vt:variant>
      <vt:variant>
        <vt:lpwstr/>
      </vt:variant>
      <vt:variant>
        <vt:i4>5963868</vt:i4>
      </vt:variant>
      <vt:variant>
        <vt:i4>0</vt:i4>
      </vt:variant>
      <vt:variant>
        <vt:i4>0</vt:i4>
      </vt:variant>
      <vt:variant>
        <vt:i4>5</vt:i4>
      </vt:variant>
      <vt:variant>
        <vt:lpwstr>http://www.dialogoscontraoracismo.org.br/</vt:lpwstr>
      </vt:variant>
      <vt:variant>
        <vt:lpwstr/>
      </vt:variant>
      <vt:variant>
        <vt:i4>4849730</vt:i4>
      </vt:variant>
      <vt:variant>
        <vt:i4>0</vt:i4>
      </vt:variant>
      <vt:variant>
        <vt:i4>0</vt:i4>
      </vt:variant>
      <vt:variant>
        <vt:i4>5</vt:i4>
      </vt:variant>
      <vt:variant>
        <vt:lpwstr>http://www.camara.gov.br/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Wagdy Rizk</dc:creator>
  <cp:keywords/>
  <dc:description/>
  <cp:lastModifiedBy>IMTU</cp:lastModifiedBy>
  <cp:revision>4</cp:revision>
  <cp:lastPrinted>2005-11-15T21:12:00Z</cp:lastPrinted>
  <dcterms:created xsi:type="dcterms:W3CDTF">2005-11-17T09:27:00Z</dcterms:created>
  <dcterms:modified xsi:type="dcterms:W3CDTF">2005-12-01T23:46:00Z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0547929</vt:lpwstr>
  </property>
  <property fmtid="{D5CDD505-2E9C-101B-9397-08002B2CF9AE}" pid="3" name="Symbol1">
    <vt:lpwstr>CEDAW/C/BRA/6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