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rPr>
          <w:b w:val="0"/>
          <w:sz w:val="22"/>
        </w:rPr>
        <w:t>Тридцать первая</w:t>
      </w:r>
      <w:r>
        <w:t xml:space="preserve">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650-м заседании,</w:t>
      </w:r>
    </w:p>
    <w:p w:rsidR="00000000" w:rsidRDefault="00000000">
      <w:r>
        <w:t>состоявшемся в Центральных учреждениях, Нью-Йорк, в среду, 7 июля 2004 года, в 15 ч. 00 м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  <w:rPr>
          <w:i/>
        </w:rPr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i/>
        </w:rPr>
        <w:t>(продолжение)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Пятый периодический доклад Испании</w:t>
      </w:r>
    </w:p>
    <w:p w:rsidR="00000000" w:rsidRDefault="00000000">
      <w:pPr>
        <w:pStyle w:val="SingleTxt"/>
        <w:suppressAutoHyphens/>
        <w:jc w:val="left"/>
        <w:rPr>
          <w:i/>
        </w:rPr>
      </w:pPr>
    </w:p>
    <w:p w:rsidR="00000000" w:rsidRDefault="00000000">
      <w:pPr>
        <w:pStyle w:val="SingleTxt"/>
        <w:suppressAutoHyphens/>
        <w:spacing w:after="0" w:line="240" w:lineRule="auto"/>
        <w:jc w:val="left"/>
        <w:rPr>
          <w:i/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rPr>
          <w:i/>
        </w:rP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представленных государствами-участниками в соответствии со статьей 18 Конвенции </w:t>
      </w:r>
      <w:r>
        <w:rPr>
          <w:b w:val="0"/>
        </w:rPr>
        <w:t>(продолж</w:t>
      </w:r>
      <w:r>
        <w:rPr>
          <w:b w:val="0"/>
        </w:rPr>
        <w:t>е</w:t>
      </w:r>
      <w:r>
        <w:rPr>
          <w:b w:val="0"/>
        </w:rPr>
        <w:t>ние)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jc w:val="left"/>
      </w:pPr>
      <w:r>
        <w:rPr>
          <w:i/>
        </w:rPr>
        <w:t>Пятый периодический доклад Испании</w:t>
      </w:r>
      <w:r>
        <w:t xml:space="preserve"> (продолж</w:t>
      </w:r>
      <w:r>
        <w:t>е</w:t>
      </w:r>
      <w:r>
        <w:t>ние) (CEDAW/C/ESP/5; CEDAW/PSWG/2004/II/; CRP.1/Add.4 и CEDAW/PSWG/2004/II/; CRP.2/Add.3)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члены делег</w:t>
      </w:r>
      <w:r>
        <w:t>а</w:t>
      </w:r>
      <w:r>
        <w:t>ции Испании занимают место за столом Комитета.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10 – 14 (продолжение)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просит членов Комитета пр</w:t>
      </w:r>
      <w:r>
        <w:t>о</w:t>
      </w:r>
      <w:r>
        <w:t>должать задавать вопросы делег</w:t>
      </w:r>
      <w:r>
        <w:t>а</w:t>
      </w:r>
      <w:r>
        <w:t>ции Испании.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 xml:space="preserve">Г-жа Гаспар </w:t>
      </w:r>
      <w:r>
        <w:t>говорит, что в 1999 году Комитет в своих заключительных замечаниях по третьему и четвертому периодическим докладам Испании р</w:t>
      </w:r>
      <w:r>
        <w:t>е</w:t>
      </w:r>
      <w:r>
        <w:t>комендовал включить в следующий доклад этой страны больше информации о количестве и катег</w:t>
      </w:r>
      <w:r>
        <w:t>о</w:t>
      </w:r>
      <w:r>
        <w:t>риях учебных курсов по женской проблематике в высших учебных заведениях. Она с разочарованием отмечает, что в пятом периодическом докладе лишь н</w:t>
      </w:r>
      <w:r>
        <w:t>е</w:t>
      </w:r>
      <w:r>
        <w:t>сколько строк посвящено этому вопросу.</w:t>
      </w:r>
    </w:p>
    <w:p w:rsidR="00000000" w:rsidRDefault="00000000">
      <w:pPr>
        <w:pStyle w:val="DualTxt"/>
      </w:pPr>
      <w:r>
        <w:t>4.</w:t>
      </w:r>
      <w:r>
        <w:tab/>
        <w:t>Чтобы мужчины и женщины могли на равных правах участвовать в жизни общества, необходимо с помощью исследований найти источники скрытой гендерной дискриминации и с помощью образов</w:t>
      </w:r>
      <w:r>
        <w:t>а</w:t>
      </w:r>
      <w:r>
        <w:t>ния устранить их. Она с удовлетворением отмечает достижения гендерного баланса на начальных уровнях высшего образования, но на последующих этапах мужчины преобладают и поэтому занимают большую долю преподавательских и профессорских должностей в университетах. Она настоятельно призывает правительство изучить причины этого дисбаланса.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 xml:space="preserve">Г-жа Морваи </w:t>
      </w:r>
      <w:r>
        <w:t>говорит, что она хотела бы у</w:t>
      </w:r>
      <w:r>
        <w:t>з</w:t>
      </w:r>
      <w:r>
        <w:t>нать, каким образом Испания планирует осущест</w:t>
      </w:r>
      <w:r>
        <w:t>в</w:t>
      </w:r>
      <w:r>
        <w:t>лять Конвенцию Организации Объединенных Н</w:t>
      </w:r>
      <w:r>
        <w:t>а</w:t>
      </w:r>
      <w:r>
        <w:t>ций против транснациональной организованной преступности, и в частности статью 9 Протокола к Конвенции о предупреждении и пресечении торго</w:t>
      </w:r>
      <w:r>
        <w:t>в</w:t>
      </w:r>
      <w:r>
        <w:t>ли людьми, особенно женщинами и детьми, и нак</w:t>
      </w:r>
      <w:r>
        <w:t>а</w:t>
      </w:r>
      <w:r>
        <w:t>зании за нее, и как она намерена решать проблему спроса на пр</w:t>
      </w:r>
      <w:r>
        <w:t>о</w:t>
      </w:r>
      <w:r>
        <w:t>ституцию.</w:t>
      </w:r>
    </w:p>
    <w:p w:rsidR="00000000" w:rsidRDefault="00000000">
      <w:pPr>
        <w:pStyle w:val="DualTxt"/>
      </w:pPr>
      <w:r>
        <w:t>6.</w:t>
      </w:r>
      <w:r>
        <w:tab/>
        <w:t>Она с обеспокоенностью отмечает, что, как г</w:t>
      </w:r>
      <w:r>
        <w:t>о</w:t>
      </w:r>
      <w:r>
        <w:t>ворится в докладе, только за один год, с 1999 по 2000 год, количество случаев намеренного прекр</w:t>
      </w:r>
      <w:r>
        <w:t>а</w:t>
      </w:r>
      <w:r>
        <w:t>щения беременности возросло на 10 процентов. Аборт — это не вопрос свободного выбора, а вын</w:t>
      </w:r>
      <w:r>
        <w:t>у</w:t>
      </w:r>
      <w:r>
        <w:t>жденный шаг, то есть за этот период примерно 60 000 женщин стали беременными против своей воли. Она спрашивает, почему они не могут прин</w:t>
      </w:r>
      <w:r>
        <w:t>и</w:t>
      </w:r>
      <w:r>
        <w:t>мать защитные меры и что можно сделать для с</w:t>
      </w:r>
      <w:r>
        <w:t>о</w:t>
      </w:r>
      <w:r>
        <w:t>кращ</w:t>
      </w:r>
      <w:r>
        <w:t>е</w:t>
      </w:r>
      <w:r>
        <w:t>ния очень большого количества абортов.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 xml:space="preserve">Г-жа Шимонович </w:t>
      </w:r>
      <w:r>
        <w:t>просит представить допо</w:t>
      </w:r>
      <w:r>
        <w:t>л</w:t>
      </w:r>
      <w:r>
        <w:t>нительную информацию о положении девочек н</w:t>
      </w:r>
      <w:r>
        <w:t>а</w:t>
      </w:r>
      <w:r>
        <w:t>родности рома (цыганок) в системе образования. Она спрашивает, интегрированы или сегрегирова</w:t>
      </w:r>
      <w:r>
        <w:t>н</w:t>
      </w:r>
      <w:r>
        <w:t>ны дети народности рома в системе образования и имеют ли они доступ к дошкольным учреждениям. Она спрашивает, много ли девушек народности р</w:t>
      </w:r>
      <w:r>
        <w:t>о</w:t>
      </w:r>
      <w:r>
        <w:t>ма выходят замуж в раннем возрасте, влияют ли ранние браки на прекращение ими учебы в школе и могут ли девушки народности рома успешно осп</w:t>
      </w:r>
      <w:r>
        <w:t>а</w:t>
      </w:r>
      <w:r>
        <w:t>ривать неформальные браки в судах.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 xml:space="preserve">Г-жа Паттен </w:t>
      </w:r>
      <w:r>
        <w:t>спрашивает, какие меры прин</w:t>
      </w:r>
      <w:r>
        <w:t>и</w:t>
      </w:r>
      <w:r>
        <w:t>мает правительство для охвата детей народности рома основной системой образования. Она спраш</w:t>
      </w:r>
      <w:r>
        <w:t>и</w:t>
      </w:r>
      <w:r>
        <w:t>вает, проводится ли информирование учителей о проблеме дискриминации и правах, предусмотре</w:t>
      </w:r>
      <w:r>
        <w:t>н</w:t>
      </w:r>
      <w:r>
        <w:t>ных Конвенцией.</w:t>
      </w:r>
    </w:p>
    <w:p w:rsidR="00000000" w:rsidRDefault="00000000">
      <w:pPr>
        <w:pStyle w:val="DualTxt"/>
      </w:pPr>
      <w:r>
        <w:t>9.</w:t>
      </w:r>
      <w:r>
        <w:tab/>
        <w:t>Отметив, что ответы на список тем и вопр</w:t>
      </w:r>
      <w:r>
        <w:t>о</w:t>
      </w:r>
      <w:r>
        <w:t>сов, касающихся пятого периодического доклада, позволили в определенной степени объяснить ра</w:t>
      </w:r>
      <w:r>
        <w:t>з</w:t>
      </w:r>
      <w:r>
        <w:t>ницу в заработной плате мужчин и женщин, она просит представить дополнительные сведения о разнице в размере заработной платы и о законе 30/2002 о равном вознаграждении за труд равной ценности. Она спрашивает, намерено ли правител</w:t>
      </w:r>
      <w:r>
        <w:t>ь</w:t>
      </w:r>
      <w:r>
        <w:t>ство следить за дискриминацией в оплате труда и изменить методы, используемые при обследовании структуры заработной платы.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 xml:space="preserve">Г-н Косас </w:t>
      </w:r>
      <w:r>
        <w:t>(Испания) говорит, что цифры, о</w:t>
      </w:r>
      <w:r>
        <w:t>т</w:t>
      </w:r>
      <w:r>
        <w:t>ражающие доступ женщин Испании на рынок труда и заработную плату женщин, ниже среднего показ</w:t>
      </w:r>
      <w:r>
        <w:t>а</w:t>
      </w:r>
      <w:r>
        <w:t>теля по Европейскому союзу. Однако этот недост</w:t>
      </w:r>
      <w:r>
        <w:t>а</w:t>
      </w:r>
      <w:r>
        <w:t>ток уравновешивается тем, что в Испании, а также в Ирландии, отмечается наиболее быстро растущий рынок труда и самые высокие темпы создания р</w:t>
      </w:r>
      <w:r>
        <w:t>а</w:t>
      </w:r>
      <w:r>
        <w:t>бочих мест в Европейском союзе. Организация эк</w:t>
      </w:r>
      <w:r>
        <w:t>о</w:t>
      </w:r>
      <w:r>
        <w:t>номического сотрудничества и развития (ОЭСР) прогнозирует устойчиво высокие темпы создания рабочих мест и сокращение уровня безработицы в краткосрочной перспективе. ОЭСР считает, что И</w:t>
      </w:r>
      <w:r>
        <w:t>с</w:t>
      </w:r>
      <w:r>
        <w:t>пания будет о</w:t>
      </w:r>
      <w:r>
        <w:t>д</w:t>
      </w:r>
      <w:r>
        <w:t>ной из всего лишь трех государств-членов ОЭСР, у которых темпы роста рынка труда превысят два процента в предстоящем году.</w:t>
      </w:r>
    </w:p>
    <w:p w:rsidR="00000000" w:rsidRDefault="00000000">
      <w:pPr>
        <w:pStyle w:val="DualTxt"/>
      </w:pPr>
      <w:r>
        <w:t>11.</w:t>
      </w:r>
      <w:r>
        <w:tab/>
        <w:t>Отвечая на вопросы г-жи Феррер Гомес и др</w:t>
      </w:r>
      <w:r>
        <w:t>у</w:t>
      </w:r>
      <w:r>
        <w:t>гих членов Комитета, он говорит, что большинство новых рабочих мест, созданных после 1995 года, заняты женщинами. За период с 1997 года число работающих женщин возросло более чем на 40 процентов, а число безработных женщин сокр</w:t>
      </w:r>
      <w:r>
        <w:t>а</w:t>
      </w:r>
      <w:r>
        <w:t>тилось вдвое. Численность работающих женщин возрастает на 5 процентов в год, тогда как анал</w:t>
      </w:r>
      <w:r>
        <w:t>о</w:t>
      </w:r>
      <w:r>
        <w:t>гичный показатель по мужчинам составляет 1 процент. Устойчивые темпы безработицы среди женщин в Испании вызваны не сокращением кол</w:t>
      </w:r>
      <w:r>
        <w:t>и</w:t>
      </w:r>
      <w:r>
        <w:t>чества рабочих мест, а увеличением числа женщин на рынке труда. Г-жа Феррер Гомес говорила также о числе женщин, работающих неполный рабочий день. Фактически их доля составляет 20 процентов, то есть 80 процентов женщин на рынке труда раб</w:t>
      </w:r>
      <w:r>
        <w:t>о</w:t>
      </w:r>
      <w:r>
        <w:t>тают полный рабочий день.</w:t>
      </w:r>
    </w:p>
    <w:p w:rsidR="00000000" w:rsidRDefault="00000000">
      <w:pPr>
        <w:pStyle w:val="DualTxt"/>
      </w:pPr>
      <w:r>
        <w:t>12.</w:t>
      </w:r>
      <w:r>
        <w:tab/>
        <w:t>Отвечая на вопрос о разнице в размере зар</w:t>
      </w:r>
      <w:r>
        <w:t>а</w:t>
      </w:r>
      <w:r>
        <w:t>ботной платы мужчин и женщин, он указывает, что от правительства не зависит установление уровня заработной платы по большинству рабочих мест, поскольку эти места существуют в частном секторе. В государственном секторе, в котором роль прав</w:t>
      </w:r>
      <w:r>
        <w:t>и</w:t>
      </w:r>
      <w:r>
        <w:t>тельства значительна, нет никаких признаков сущ</w:t>
      </w:r>
      <w:r>
        <w:t>е</w:t>
      </w:r>
      <w:r>
        <w:t>ственной гендерной дискриминации в уровне опл</w:t>
      </w:r>
      <w:r>
        <w:t>а</w:t>
      </w:r>
      <w:r>
        <w:t>ты труда. В частном секторе, где размер заработной платы является предметом свободного согласования между работодателями и профсоюзами, разрыв де</w:t>
      </w:r>
      <w:r>
        <w:t>й</w:t>
      </w:r>
      <w:r>
        <w:t>ствительно существует: зарплата женщин составл</w:t>
      </w:r>
      <w:r>
        <w:t>я</w:t>
      </w:r>
      <w:r>
        <w:t>ет 71-73 процента от зарплаты мужчин. Решение этой проблемы является важной задачей правител</w:t>
      </w:r>
      <w:r>
        <w:t>ь</w:t>
      </w:r>
      <w:r>
        <w:t>ства, работодателей и профсо</w:t>
      </w:r>
      <w:r>
        <w:t>ю</w:t>
      </w:r>
      <w:r>
        <w:t>зов.</w:t>
      </w:r>
    </w:p>
    <w:p w:rsidR="00000000" w:rsidRDefault="00000000">
      <w:pPr>
        <w:pStyle w:val="DualTxt"/>
      </w:pPr>
      <w:r>
        <w:t>13.</w:t>
      </w:r>
      <w:r>
        <w:tab/>
        <w:t>Последние обследования показали, что эта проблема является довольно сложной и ее нево</w:t>
      </w:r>
      <w:r>
        <w:t>з</w:t>
      </w:r>
      <w:r>
        <w:t>можно объяснить просто дискриминацией, прямой или косвенной. Здесь приходится учитывать такие факторы, как продолжительность рабочего дня, сфера занятости, характер трудового договора, во</w:t>
      </w:r>
      <w:r>
        <w:t>з</w:t>
      </w:r>
      <w:r>
        <w:t>раст и трудовой стаж работника, размер компании и доля иммигрантов в общей численности работн</w:t>
      </w:r>
      <w:r>
        <w:t>и</w:t>
      </w:r>
      <w:r>
        <w:t>ков.</w:t>
      </w:r>
    </w:p>
    <w:p w:rsidR="00000000" w:rsidRDefault="00000000">
      <w:pPr>
        <w:pStyle w:val="DualTxt"/>
      </w:pPr>
      <w:r>
        <w:t>14.</w:t>
      </w:r>
      <w:r>
        <w:tab/>
        <w:t>В Испании женщины стали предлагать свои услуги на рынке труда позднее, чем в других гос</w:t>
      </w:r>
      <w:r>
        <w:t>у</w:t>
      </w:r>
      <w:r>
        <w:t>дарствах Европейского союза, и поэтому у рынка труда было меньше времени для адаптации к этому новому явлению. Многие женщины работают в сфере услуг или на малых предприятиях, где отсу</w:t>
      </w:r>
      <w:r>
        <w:t>т</w:t>
      </w:r>
      <w:r>
        <w:t>ствуют коллективные трудовые договоры, многие из них работают в компаниях недавно и имеют м</w:t>
      </w:r>
      <w:r>
        <w:t>а</w:t>
      </w:r>
      <w:r>
        <w:t>лый трудовой стаж. Женщины охотнее работают по гибкому трудовому графику, зачастую выбирая т</w:t>
      </w:r>
      <w:r>
        <w:t>а</w:t>
      </w:r>
      <w:r>
        <w:t>кой режим работы из желания сбалансировать раб</w:t>
      </w:r>
      <w:r>
        <w:t>о</w:t>
      </w:r>
      <w:r>
        <w:t>ту на производстве и выполнение семейных обяза</w:t>
      </w:r>
      <w:r>
        <w:t>н</w:t>
      </w:r>
      <w:r>
        <w:t>ностей. Доля женщин среди работающих имм</w:t>
      </w:r>
      <w:r>
        <w:t>и</w:t>
      </w:r>
      <w:r>
        <w:t>грантов также б</w:t>
      </w:r>
      <w:r>
        <w:t>о</w:t>
      </w:r>
      <w:r>
        <w:t>лее высока.</w:t>
      </w:r>
    </w:p>
    <w:p w:rsidR="00000000" w:rsidRDefault="00000000">
      <w:pPr>
        <w:pStyle w:val="DualTxt"/>
      </w:pPr>
      <w:r>
        <w:t>15.</w:t>
      </w:r>
      <w:r>
        <w:tab/>
        <w:t>Если цифры Национального статистического института анализировать с точки зрения эквив</w:t>
      </w:r>
      <w:r>
        <w:t>а</w:t>
      </w:r>
      <w:r>
        <w:t>лентных рабочих мест в эквивалентных ситуациях, то разница в заработной плате окажется незнач</w:t>
      </w:r>
      <w:r>
        <w:t>и</w:t>
      </w:r>
      <w:r>
        <w:t>тельной или ее вообще не будет. В то же время И</w:t>
      </w:r>
      <w:r>
        <w:t>н</w:t>
      </w:r>
      <w:r>
        <w:t>ститут намерен провести более обстоятельное и</w:t>
      </w:r>
      <w:r>
        <w:t>с</w:t>
      </w:r>
      <w:r>
        <w:t>следование этой проблемы, и прав</w:t>
      </w:r>
      <w:r>
        <w:t>и</w:t>
      </w:r>
      <w:r>
        <w:t>тельство по-прежнему обеспокоено ее существованием. В 2002 году законом о статусе работников были вв</w:t>
      </w:r>
      <w:r>
        <w:t>е</w:t>
      </w:r>
      <w:r>
        <w:t>дены более строгие нормы равной оплаты труда и сфера недискриминации распространена на все а</w:t>
      </w:r>
      <w:r>
        <w:t>с</w:t>
      </w:r>
      <w:r>
        <w:t>пекты занятости, а не только на размер вознагра</w:t>
      </w:r>
      <w:r>
        <w:t>ж</w:t>
      </w:r>
      <w:r>
        <w:t>дения.</w:t>
      </w:r>
    </w:p>
    <w:p w:rsidR="00000000" w:rsidRDefault="00000000">
      <w:pPr>
        <w:pStyle w:val="DualTxt"/>
      </w:pPr>
      <w:r>
        <w:t>16.</w:t>
      </w:r>
      <w:r>
        <w:tab/>
        <w:t>Прилагаются усилия по совершенствованию учебно-разъяснительной работы с целью побудить молодых женщин добровольно предлагать свои у</w:t>
      </w:r>
      <w:r>
        <w:t>с</w:t>
      </w:r>
      <w:r>
        <w:t>луги на рынке труда, помочь уязвимым женщинам, которые работают или ищут работу, в том числе безработным в течение длительного времени, инв</w:t>
      </w:r>
      <w:r>
        <w:t>а</w:t>
      </w:r>
      <w:r>
        <w:t>лидам, иммигрантам и жертвам бытового насилия. В дополнение к законодательным мерам в 2003 году было также получено согласие конфедерации про</w:t>
      </w:r>
      <w:r>
        <w:t>ф</w:t>
      </w:r>
      <w:r>
        <w:t>союзов на заключение коллективных трудовых д</w:t>
      </w:r>
      <w:r>
        <w:t>о</w:t>
      </w:r>
      <w:r>
        <w:t>говоров, в рамках которых работодатели и про</w:t>
      </w:r>
      <w:r>
        <w:t>ф</w:t>
      </w:r>
      <w:r>
        <w:t>союзы должны стремится обеспечивать равную о</w:t>
      </w:r>
      <w:r>
        <w:t>п</w:t>
      </w:r>
      <w:r>
        <w:t>лату за равный труд и соблюдать ряд современных норм, призванных искоренить гендерную дискр</w:t>
      </w:r>
      <w:r>
        <w:t>и</w:t>
      </w:r>
      <w:r>
        <w:t>минацию и положить конец нарушениям принципа недискриминации. В этой связи одним из основных компонентов плана действий Инспекции по труд</w:t>
      </w:r>
      <w:r>
        <w:t>о</w:t>
      </w:r>
      <w:r>
        <w:t>вым вопросам и социальному страхованию является выполнение надзорных функций в отдельных сл</w:t>
      </w:r>
      <w:r>
        <w:t>у</w:t>
      </w:r>
      <w:r>
        <w:t>чаях дискриминации в вопросах оплаты труда и при пересмотре коллективных тр</w:t>
      </w:r>
      <w:r>
        <w:t>у</w:t>
      </w:r>
      <w:r>
        <w:t>довых договоров.</w:t>
      </w:r>
    </w:p>
    <w:p w:rsidR="00000000" w:rsidRDefault="00000000">
      <w:pPr>
        <w:pStyle w:val="DualTxt"/>
      </w:pPr>
      <w:r>
        <w:t>17.</w:t>
      </w:r>
      <w:r>
        <w:tab/>
        <w:t>Отвечая на вопрос г-жи Хан, он отмечает, что с 1997 года Испания вместе с другими государств</w:t>
      </w:r>
      <w:r>
        <w:t>а</w:t>
      </w:r>
      <w:r>
        <w:t>ми Европейского союза осуществляет Европейскую стратегию в области занятости и поэтому учитывает гендерный аспекты в своей политике. Борьба с ди</w:t>
      </w:r>
      <w:r>
        <w:t>с</w:t>
      </w:r>
      <w:r>
        <w:t>криминацией ведется в самых различных областях законодательства, в том числе касающегося занят</w:t>
      </w:r>
      <w:r>
        <w:t>о</w:t>
      </w:r>
      <w:r>
        <w:t>сти, налог</w:t>
      </w:r>
      <w:r>
        <w:t>о</w:t>
      </w:r>
      <w:r>
        <w:t>обложения и социального обеспечения.</w:t>
      </w:r>
    </w:p>
    <w:p w:rsidR="00000000" w:rsidRDefault="00000000">
      <w:pPr>
        <w:pStyle w:val="DualTxt"/>
      </w:pPr>
      <w:r>
        <w:t>18.</w:t>
      </w:r>
      <w:r>
        <w:tab/>
        <w:t>Правительство уделяет также внимание нер</w:t>
      </w:r>
      <w:r>
        <w:t>е</w:t>
      </w:r>
      <w:r>
        <w:t>гулярной работе женщин в сельском хозяйстве, к</w:t>
      </w:r>
      <w:r>
        <w:t>о</w:t>
      </w:r>
      <w:r>
        <w:t>торая в силу своего характера с трудом поддается оценке и регулированию. Поскольку многие сел</w:t>
      </w:r>
      <w:r>
        <w:t>ь</w:t>
      </w:r>
      <w:r>
        <w:t>скохозяйственные рабочие не имеют документов и не зарегистрированы, получение соответствующих данных, не говоря о данных в разбивке на мужчин и женщин, является нелегким делом. Тем не менее, занятость таких работников все в большей степени приобретает официальный статус и на них распр</w:t>
      </w:r>
      <w:r>
        <w:t>о</w:t>
      </w:r>
      <w:r>
        <w:t>страняется действие планов социального страхов</w:t>
      </w:r>
      <w:r>
        <w:t>а</w:t>
      </w:r>
      <w:r>
        <w:t>ния и трудовых договоров. Это оказывает влияние на данные о создании новых рабочих мест, п</w:t>
      </w:r>
      <w:r>
        <w:t>о</w:t>
      </w:r>
      <w:r>
        <w:t>скольку некоторые якобы новые рабочие места на самом деле оказываются давно существующими «неофициальными» рабочими местами, которые стали «официальными».</w:t>
      </w:r>
    </w:p>
    <w:p w:rsidR="00000000" w:rsidRDefault="00000000">
      <w:pPr>
        <w:pStyle w:val="DualTxt"/>
      </w:pPr>
      <w:r>
        <w:t>19.</w:t>
      </w:r>
      <w:r>
        <w:tab/>
        <w:t>Ссылаясь на замечание г-жи Шёпп-Шиллинг, он говорит, что правительство принимает меры по пересмотру уровня минимальной заработной платы. В таких секторах, как сельское хозяйство, это будет более заметно, чем в отраслях, в которых традиц</w:t>
      </w:r>
      <w:r>
        <w:t>и</w:t>
      </w:r>
      <w:r>
        <w:t>онно действовали коллективные трудовые догов</w:t>
      </w:r>
      <w:r>
        <w:t>о</w:t>
      </w:r>
      <w:r>
        <w:t>ры, например в обрабатывающей промышленности и сфере услуг.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 xml:space="preserve">Г-жа Гарсия Бартоломе </w:t>
      </w:r>
      <w:r>
        <w:t>(Испания) говорит, что улучшению положения женщин в сельской м</w:t>
      </w:r>
      <w:r>
        <w:t>е</w:t>
      </w:r>
      <w:r>
        <w:t>стности был посвящен самый первый план дейс</w:t>
      </w:r>
      <w:r>
        <w:t>т</w:t>
      </w:r>
      <w:r>
        <w:t>вий по обеспеч</w:t>
      </w:r>
      <w:r>
        <w:t>е</w:t>
      </w:r>
      <w:r>
        <w:t>нию равных возможностей (1988-1990 годы), а также этим вопросом занималось м</w:t>
      </w:r>
      <w:r>
        <w:t>и</w:t>
      </w:r>
      <w:r>
        <w:t>нистерство сельского хозяйства. С тех пор в конте</w:t>
      </w:r>
      <w:r>
        <w:t>к</w:t>
      </w:r>
      <w:r>
        <w:t>сте восстановления демократии были приняты м</w:t>
      </w:r>
      <w:r>
        <w:t>е</w:t>
      </w:r>
      <w:r>
        <w:t>ры для вовлечения сельских женщин в трудовые р</w:t>
      </w:r>
      <w:r>
        <w:t>е</w:t>
      </w:r>
      <w:r>
        <w:t>сурсы страны, а также в гражданское общество и общественную жизнь. Хотя 25 процентов населения страны по-прежнему живет в деревне, сокращение численности сельского населения явилось прич</w:t>
      </w:r>
      <w:r>
        <w:t>и</w:t>
      </w:r>
      <w:r>
        <w:t>ной возникновения возрастных диспропорций, так как деревню покидают главным образом представ</w:t>
      </w:r>
      <w:r>
        <w:t>и</w:t>
      </w:r>
      <w:r>
        <w:t>тели наиболее продуктивных возрастных групп. С</w:t>
      </w:r>
      <w:r>
        <w:t>о</w:t>
      </w:r>
      <w:r>
        <w:t>гласно последним имеющимся данным, 3 827 000 женщин живут в деревнях с населением менее 1000 жителей. В некоторых сельских районах сокращ</w:t>
      </w:r>
      <w:r>
        <w:t>е</w:t>
      </w:r>
      <w:r>
        <w:t>ние численности населения приостановилось и жизнь в населенных пунктах возрождается.</w:t>
      </w:r>
    </w:p>
    <w:p w:rsidR="00000000" w:rsidRDefault="00000000">
      <w:pPr>
        <w:pStyle w:val="DualTxt"/>
      </w:pPr>
      <w:r>
        <w:t>21.</w:t>
      </w:r>
      <w:r>
        <w:tab/>
        <w:t>Большинство женщин, живущих в сельской местности, работает в секторе услуг. Значительное число женщин, примерно один миллион, имеет ту или иную собственность в сельскохозяйственном секторе экономики. Примерно половина их них, б</w:t>
      </w:r>
      <w:r>
        <w:t>у</w:t>
      </w:r>
      <w:r>
        <w:t>дучи женами или родственниками землевладельцев, являются собственниками или совладельцами им</w:t>
      </w:r>
      <w:r>
        <w:t>у</w:t>
      </w:r>
      <w:r>
        <w:t>щества. По данным статистической службы евр</w:t>
      </w:r>
      <w:r>
        <w:t>о</w:t>
      </w:r>
      <w:r>
        <w:t>пейских сообществ Евростата, женщины, занятые в сельском хозяйстве Испании, работают в среднем 228 дней в году. Примерно 300 000 женщин, или 30 процентов общей численности, заняты в сел</w:t>
      </w:r>
      <w:r>
        <w:t>ь</w:t>
      </w:r>
      <w:r>
        <w:t>ском хозяйстве. 120 000 женщин, занятых в неоф</w:t>
      </w:r>
      <w:r>
        <w:t>и</w:t>
      </w:r>
      <w:r>
        <w:t>циальном сельскохозяйственном секторе, работают главным образом неполный рабочий день или в к</w:t>
      </w:r>
      <w:r>
        <w:t>а</w:t>
      </w:r>
      <w:r>
        <w:t>честве членов семей на небольших фермах. Сохр</w:t>
      </w:r>
      <w:r>
        <w:t>а</w:t>
      </w:r>
      <w:r>
        <w:t>нение небольших семейных ферм имеет важное значение с точки зрения социальной и территор</w:t>
      </w:r>
      <w:r>
        <w:t>и</w:t>
      </w:r>
      <w:r>
        <w:t>альной политики Испании. Большинство таких ферм находится в автономных областях Андалусия и Эстремадура. Система статистического учета, и</w:t>
      </w:r>
      <w:r>
        <w:t>с</w:t>
      </w:r>
      <w:r>
        <w:t>пользуемая правительством, позволяет получить данные о рабочей силе в разбивке на мужчин и женщин и по регионам, но должным образом не о</w:t>
      </w:r>
      <w:r>
        <w:t>т</w:t>
      </w:r>
      <w:r>
        <w:t>ражает доли трудящихся-мигрантов в рабочей силе, значительная часть которой также приходится на женщин, занятых в сельском хозяйстве и таких о</w:t>
      </w:r>
      <w:r>
        <w:t>т</w:t>
      </w:r>
      <w:r>
        <w:t>раслях, как текстильная промышленность и прои</w:t>
      </w:r>
      <w:r>
        <w:t>з</w:t>
      </w:r>
      <w:r>
        <w:t>водство обуви. Присутствие иммигрантов в рабочей силе, особенно иммигрантов, работающих от сл</w:t>
      </w:r>
      <w:r>
        <w:t>у</w:t>
      </w:r>
      <w:r>
        <w:t>чая к случаю или в сельском хозяйстве, как прав</w:t>
      </w:r>
      <w:r>
        <w:t>и</w:t>
      </w:r>
      <w:r>
        <w:t>ло, оказывает отрицательное воздействие на пол</w:t>
      </w:r>
      <w:r>
        <w:t>о</w:t>
      </w:r>
      <w:r>
        <w:t>жение работающих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22.</w:t>
      </w:r>
      <w:r>
        <w:tab/>
        <w:t>Что касается улучшения положения женщин в сельской местности, то министерство сельского х</w:t>
      </w:r>
      <w:r>
        <w:t>о</w:t>
      </w:r>
      <w:r>
        <w:t>зяйства и Институт по делам женщин стремятся включить задачу обеспечения равенства мужчин и женщин в свои программы развития сельских ра</w:t>
      </w:r>
      <w:r>
        <w:t>й</w:t>
      </w:r>
      <w:r>
        <w:t>онов. Серьезной проблемой является то, что 60 процентов фермерских хозяйств являются слишком малыми, чтобы быть экономически жизнеспосо</w:t>
      </w:r>
      <w:r>
        <w:t>б</w:t>
      </w:r>
      <w:r>
        <w:t>ными в долгосрочном плане. В настоящее время предпринимаются позитивные меры для поощрения молодых, хорошо обученных женщин рассматр</w:t>
      </w:r>
      <w:r>
        <w:t>и</w:t>
      </w:r>
      <w:r>
        <w:t>вать работу в сельском хозяйстве как карьерную деятельность и оставаться в этой сфере. Благодаря этой политике в сельскохозяйственный сектор уд</w:t>
      </w:r>
      <w:r>
        <w:t>а</w:t>
      </w:r>
      <w:r>
        <w:t>лось привлечь в среднем 5 000 женщин в возрасте до 35 лет, в результате чего доля женщин этой во</w:t>
      </w:r>
      <w:r>
        <w:t>з</w:t>
      </w:r>
      <w:r>
        <w:t>растной категории в секторе возросла с 11,2 пр</w:t>
      </w:r>
      <w:r>
        <w:t>о</w:t>
      </w:r>
      <w:r>
        <w:t>цента в 1988 году до нынешнего уровня в 28 процентов. В соответствии с программой Евр</w:t>
      </w:r>
      <w:r>
        <w:t>о</w:t>
      </w:r>
      <w:r>
        <w:t>пейского союза под названием «Лидер», которая призвана содействовать участию женщин в разв</w:t>
      </w:r>
      <w:r>
        <w:t>и</w:t>
      </w:r>
      <w:r>
        <w:t>тии экономики, 36 процентов созданных новых р</w:t>
      </w:r>
      <w:r>
        <w:t>а</w:t>
      </w:r>
      <w:r>
        <w:t>бочих мест в настоящее время занимают женщины. Эта программа, в сочетании с другими национал</w:t>
      </w:r>
      <w:r>
        <w:t>ь</w:t>
      </w:r>
      <w:r>
        <w:t>ными программами, также дает успешные результ</w:t>
      </w:r>
      <w:r>
        <w:t>а</w:t>
      </w:r>
      <w:r>
        <w:t>ты по вовлечению женщин в общественную и пол</w:t>
      </w:r>
      <w:r>
        <w:t>и</w:t>
      </w:r>
      <w:r>
        <w:t>тическую жизнь. В Испании насчитывается пр</w:t>
      </w:r>
      <w:r>
        <w:t>и</w:t>
      </w:r>
      <w:r>
        <w:t>мерно 7000 муниципалитетов, в которых прожив</w:t>
      </w:r>
      <w:r>
        <w:t>а</w:t>
      </w:r>
      <w:r>
        <w:t>ют менее 2000 человек. В этих малых населенных пунктах доля женщин, занимающих выборные должности, значительно возросла.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 xml:space="preserve">Г-жа Ралома Алонсо </w:t>
      </w:r>
      <w:r>
        <w:t>(Испания), отвечая на вопрос о наблюдении за здоровьем женщин и пр</w:t>
      </w:r>
      <w:r>
        <w:t>е</w:t>
      </w:r>
      <w:r>
        <w:t>кращении беременности, говорит что, по данным Всемирной организации здравоохранения, система здравоохранения Испании является одной из семи наилучших систем в мире и третьей наилучшей системой в категории стран с населением свыше 5 миллионов человек. Медицинское обслуживание по месту проживания является бесплатным и ра</w:t>
      </w:r>
      <w:r>
        <w:t>в</w:t>
      </w:r>
      <w:r>
        <w:t>ный доступ к системе здравоохранения гарантир</w:t>
      </w:r>
      <w:r>
        <w:t>о</w:t>
      </w:r>
      <w:r>
        <w:t>ван для всех жителей. 63 процента женщин считает, что состояние их здоровья хорошее или очень х</w:t>
      </w:r>
      <w:r>
        <w:t>о</w:t>
      </w:r>
      <w:r>
        <w:t>рошее. Что касается использования служб здрав</w:t>
      </w:r>
      <w:r>
        <w:t>о</w:t>
      </w:r>
      <w:r>
        <w:t>охранения, то было установлено, что женщины примерно в полтора раза чаще, чем мужчины пол</w:t>
      </w:r>
      <w:r>
        <w:t>ь</w:t>
      </w:r>
      <w:r>
        <w:t>зуются первичными медико-санитарными услугами; социальные исследования показывают, что, в отл</w:t>
      </w:r>
      <w:r>
        <w:t>и</w:t>
      </w:r>
      <w:r>
        <w:t>чие от мужчин, женщины обычно обращаются к врачу как только обнаруживают симптомы болезни. 53 процента стационарных больных – женщины и 52 процента пользователей службы срочной мед</w:t>
      </w:r>
      <w:r>
        <w:t>и</w:t>
      </w:r>
      <w:r>
        <w:t>цинской помощи – женщины. Что касается женщин-иммигрантов, то утверждение о том, что им труднее получить доступ к медицинскому обслуживанию, совершенно не соответствует действительности. Напротив, в Испании им легче, чем в какой-либо другой стране Европы, получить медицинскую ка</w:t>
      </w:r>
      <w:r>
        <w:t>р</w:t>
      </w:r>
      <w:r>
        <w:t>точку даже в тех случаях, когда они являются нез</w:t>
      </w:r>
      <w:r>
        <w:t>а</w:t>
      </w:r>
      <w:r>
        <w:t>конными иммигрантами. Что касается курения и употребления алкогольных напитков, то установл</w:t>
      </w:r>
      <w:r>
        <w:t>е</w:t>
      </w:r>
      <w:r>
        <w:t>но, что среди мужчин эти вредные привычки ра</w:t>
      </w:r>
      <w:r>
        <w:t>с</w:t>
      </w:r>
      <w:r>
        <w:t>пространены на 25 процентов больше, чем среди женщин. Доля постоянных курильщиков среди мужчин составляет 35 процентов, тогда как среди женщин — 29 процентов. Однако с использованием транквилизаторов картина обратная: женщины чаще принимают эти лекарства, чем мужчины; это об</w:t>
      </w:r>
      <w:r>
        <w:t>у</w:t>
      </w:r>
      <w:r>
        <w:t>словлено тем, что женщины в большей степени подвержены тр</w:t>
      </w:r>
      <w:r>
        <w:t>е</w:t>
      </w:r>
      <w:r>
        <w:t>воге и депрессии, что, по-видимому, объясняется их более тяжелыми общес</w:t>
      </w:r>
      <w:r>
        <w:t>т</w:t>
      </w:r>
      <w:r>
        <w:t>венными и профессиональными нагрузками. В ст</w:t>
      </w:r>
      <w:r>
        <w:t>а</w:t>
      </w:r>
      <w:r>
        <w:t>тистических данных, касающихся распростране</w:t>
      </w:r>
      <w:r>
        <w:t>н</w:t>
      </w:r>
      <w:r>
        <w:t>ности суицида и шизофрении, мужчины фигурир</w:t>
      </w:r>
      <w:r>
        <w:t>у</w:t>
      </w:r>
      <w:r>
        <w:t>ют чаще, чем женщины; это подтверждают, в час</w:t>
      </w:r>
      <w:r>
        <w:t>т</w:t>
      </w:r>
      <w:r>
        <w:t>ности, данные об употреблении лекарств от шизо</w:t>
      </w:r>
      <w:r>
        <w:t>ф</w:t>
      </w:r>
      <w:r>
        <w:t>рении. Во всех автономных областях приоритетное внимание уделяется охране психического здоровья населения как в учреждениях по оказанию перви</w:t>
      </w:r>
      <w:r>
        <w:t>ч</w:t>
      </w:r>
      <w:r>
        <w:t>ной медицинской помощи, так и в специализир</w:t>
      </w:r>
      <w:r>
        <w:t>о</w:t>
      </w:r>
      <w:r>
        <w:t>ванных медицинских учреждениях. Что касается охраны здоровья престарелых, то министерство труда и социального обеспечения сознает необх</w:t>
      </w:r>
      <w:r>
        <w:t>о</w:t>
      </w:r>
      <w:r>
        <w:t>димость охраны здоровья пожилых женщин и уд</w:t>
      </w:r>
      <w:r>
        <w:t>е</w:t>
      </w:r>
      <w:r>
        <w:t>ления повышенного внимания женским болезням. После принятия в 2001 году Мадридской деклар</w:t>
      </w:r>
      <w:r>
        <w:t>а</w:t>
      </w:r>
      <w:r>
        <w:t>ции о ликвидации неравенства в медицинском о</w:t>
      </w:r>
      <w:r>
        <w:t>б</w:t>
      </w:r>
      <w:r>
        <w:t>служивании мужчин и женщин была создана Слу</w:t>
      </w:r>
      <w:r>
        <w:t>ж</w:t>
      </w:r>
      <w:r>
        <w:t>ба наблюдения за здоровьем женщин для контроля за соблюдением принципов равенства в секторе здравоохранения, в том числе равного доступа к медицинским службам, и распространения перед</w:t>
      </w:r>
      <w:r>
        <w:t>о</w:t>
      </w:r>
      <w:r>
        <w:t>вого опыта в этой области. Годовой бюджет Службы в настоящее время составляет 9 млн. евро. Фина</w:t>
      </w:r>
      <w:r>
        <w:t>н</w:t>
      </w:r>
      <w:r>
        <w:t>совая помощь предоставляется также тем неко</w:t>
      </w:r>
      <w:r>
        <w:t>м</w:t>
      </w:r>
      <w:r>
        <w:t>мерческим организациям в области здравоохран</w:t>
      </w:r>
      <w:r>
        <w:t>е</w:t>
      </w:r>
      <w:r>
        <w:t>ния, которые учитывают гендерные аспекты в своей работе. Что касается вопроса об удаленности мед</w:t>
      </w:r>
      <w:r>
        <w:t>и</w:t>
      </w:r>
      <w:r>
        <w:t>цинских учреждений, то закон, принятый в 1986 году, гласит, что в каждом населенном пункте, в котором проживает от 5 до 25 000 человек, до</w:t>
      </w:r>
      <w:r>
        <w:t>л</w:t>
      </w:r>
      <w:r>
        <w:t>жен быть свой медицинский центр и что в малых населенных пунктах и горных районах должны также существовать клиники. Время, необходимое для того, чтобы добраться до таких медицинских учреждений общественным транспортом, не дол</w:t>
      </w:r>
      <w:r>
        <w:t>ж</w:t>
      </w:r>
      <w:r>
        <w:t>но превышать 10-15 минут.</w:t>
      </w:r>
    </w:p>
    <w:p w:rsidR="00000000" w:rsidRDefault="00000000">
      <w:pPr>
        <w:pStyle w:val="DualTxt"/>
      </w:pPr>
      <w:r>
        <w:t>24.</w:t>
      </w:r>
      <w:r>
        <w:tab/>
        <w:t>Что касается намеренного прекращения бер</w:t>
      </w:r>
      <w:r>
        <w:t>е</w:t>
      </w:r>
      <w:r>
        <w:t>менности, то еще с 1985 года законом предусматр</w:t>
      </w:r>
      <w:r>
        <w:t>и</w:t>
      </w:r>
      <w:r>
        <w:t>вается возможность совершения аборта в госуда</w:t>
      </w:r>
      <w:r>
        <w:t>р</w:t>
      </w:r>
      <w:r>
        <w:t>ственных больницах. Число случаев прекращения беременности определяется спросом на эту услугу, и в настоящее время предпринимаются усилия з</w:t>
      </w:r>
      <w:r>
        <w:t>а</w:t>
      </w:r>
      <w:r>
        <w:t>менить использование таких услуг службами пл</w:t>
      </w:r>
      <w:r>
        <w:t>а</w:t>
      </w:r>
      <w:r>
        <w:t>нирования семьи. Соответствующие консультации и пропаганда противозачаточных средств через эти службы и средства массовой информации предн</w:t>
      </w:r>
      <w:r>
        <w:t>а</w:t>
      </w:r>
      <w:r>
        <w:t>значены в первую очередь для уязвимой группы молодых людей в возрасте от 15 до 19 лет с упором на использование презервативов, которые обесп</w:t>
      </w:r>
      <w:r>
        <w:t>е</w:t>
      </w:r>
      <w:r>
        <w:t>чивают также защиту от заболеваний, передаваемых половым путем, и ВИЧ/СПИДа. В рецептурных о</w:t>
      </w:r>
      <w:r>
        <w:t>т</w:t>
      </w:r>
      <w:r>
        <w:t>делах аптек можно также получить посткоитальные противозачаточные таблетки. С 2000 года законод</w:t>
      </w:r>
      <w:r>
        <w:t>а</w:t>
      </w:r>
      <w:r>
        <w:t>тельством предусматривается проведение эпид</w:t>
      </w:r>
      <w:r>
        <w:t>е</w:t>
      </w:r>
      <w:r>
        <w:t>миологических и социологических опросов в связи с использованием абортов.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 xml:space="preserve">Г-жа Муньос-Реписо </w:t>
      </w:r>
      <w:r>
        <w:t>(Испания), отвечая на вопросы об охвате женщин системой образования, подчеркивает, что Испания является относительно молодой демократией. В то же время доля девочек на всех уровнях системы образования значительно возросла. 50 процентов учащихся высших учебных заведений на всех трех циклах обучения в насто</w:t>
      </w:r>
      <w:r>
        <w:t>я</w:t>
      </w:r>
      <w:r>
        <w:t>щее время женщины, тогда как 50 лет назад их доля составляла 15 процентов, а в 1995 году — 40 пр</w:t>
      </w:r>
      <w:r>
        <w:t>о</w:t>
      </w:r>
      <w:r>
        <w:t>центов. Однако на третьем цикле обучения только 40 процентов женщин защитили докторские ди</w:t>
      </w:r>
      <w:r>
        <w:t>с</w:t>
      </w:r>
      <w:r>
        <w:t>сертации, что, по-видимому, объясняется необх</w:t>
      </w:r>
      <w:r>
        <w:t>о</w:t>
      </w:r>
      <w:r>
        <w:t>димостью совмещать учебу с уходом за детьми. Эту проблему можно, по-видимому, решить посредс</w:t>
      </w:r>
      <w:r>
        <w:t>т</w:t>
      </w:r>
      <w:r>
        <w:t>вом увеличения предельного срока подготовки до</w:t>
      </w:r>
      <w:r>
        <w:t>к</w:t>
      </w:r>
      <w:r>
        <w:t>торской диссертации. Что касается интеграции д</w:t>
      </w:r>
      <w:r>
        <w:t>е</w:t>
      </w:r>
      <w:r>
        <w:t>вочек народности рома в систему образования, то никаких ограничений на посещение ими школы или какой-либо сегрегации в системе образования не существует. В то же время, даже и без официальных статистических данных по данному вопросу, и</w:t>
      </w:r>
      <w:r>
        <w:t>з</w:t>
      </w:r>
      <w:r>
        <w:t>вестно, что доля отсева девочек народности рома выше, особенно по достижении ими половой зрел</w:t>
      </w:r>
      <w:r>
        <w:t>о</w:t>
      </w:r>
      <w:r>
        <w:t>сти, что объясняется культурной традицией раннего вступления в брак. Эта проблема в настоящее время изучается министерством образования в сотрудн</w:t>
      </w:r>
      <w:r>
        <w:t>и</w:t>
      </w:r>
      <w:r>
        <w:t>честве с Институтом по делам женщин и неправ</w:t>
      </w:r>
      <w:r>
        <w:t>и</w:t>
      </w:r>
      <w:r>
        <w:t>тельственными организациями, и ряд принятых мер, в том числе система наставничества и бе</w:t>
      </w:r>
      <w:r>
        <w:t>с</w:t>
      </w:r>
      <w:r>
        <w:t>платные завтраки для детей народности рома в н</w:t>
      </w:r>
      <w:r>
        <w:t>а</w:t>
      </w:r>
      <w:r>
        <w:t>чальных школах, дают положительные результаты в плане сокращения отсева этих детей из школы. Что касается подготовки преподавателей, то на начал</w:t>
      </w:r>
      <w:r>
        <w:t>ь</w:t>
      </w:r>
      <w:r>
        <w:t>ном уровне и в ходе повышения их квалификации особое внимание уделяется учету культурных ос</w:t>
      </w:r>
      <w:r>
        <w:t>о</w:t>
      </w:r>
      <w:r>
        <w:t>бенностей детей народн</w:t>
      </w:r>
      <w:r>
        <w:t>о</w:t>
      </w:r>
      <w:r>
        <w:t>сти рома.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 xml:space="preserve">Г-н Фернандес Лопес </w:t>
      </w:r>
      <w:r>
        <w:t>(Испания) говорит, что в конце 2003 года правительство Испании приняло меры по улучшению пенсионного обеспечения пр</w:t>
      </w:r>
      <w:r>
        <w:t>е</w:t>
      </w:r>
      <w:r>
        <w:t>старелых. Так, ретроактивное повышение пенсий затрагивает 1,8 миллиона женщин. Правительство Испании заявило также о своем намерении продо</w:t>
      </w:r>
      <w:r>
        <w:t>л</w:t>
      </w:r>
      <w:r>
        <w:t>жить увеличение размера минимальной пенсии по старости и пенсии вдовам. Предпринимаются также усилия повысить гибкость системы социального страхования, с тем чтобы уровень защиты, обесп</w:t>
      </w:r>
      <w:r>
        <w:t>е</w:t>
      </w:r>
      <w:r>
        <w:t>чиваемый специальными режимами в случаях п</w:t>
      </w:r>
      <w:r>
        <w:t>о</w:t>
      </w:r>
      <w:r>
        <w:t>вышенной представленности женщин, в большей степени соответствовал защите в других областях. Необходимо также устранить ряд препятствий, о</w:t>
      </w:r>
      <w:r>
        <w:t>г</w:t>
      </w:r>
      <w:r>
        <w:t>раничивающих доступ к некоторым программам для женщин, которые занимаются определенной деятельностью или работают не по найму; женщ</w:t>
      </w:r>
      <w:r>
        <w:t>и</w:t>
      </w:r>
      <w:r>
        <w:t>ны в возрасте старше 45 лет, которые впервые раб</w:t>
      </w:r>
      <w:r>
        <w:t>о</w:t>
      </w:r>
      <w:r>
        <w:t>тают не по найму, теперь имеют право на особые льготы. Повышены также пенсии работающих женщин в возрасте старше 65 лет.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 xml:space="preserve">Г-жа Виньюэлас Альварес </w:t>
      </w:r>
      <w:r>
        <w:t>(Испания) гов</w:t>
      </w:r>
      <w:r>
        <w:t>о</w:t>
      </w:r>
      <w:r>
        <w:t>рит, что правительство Испании приняло твердые бюджетные обязательства в отношении создания подлинной системы защиты, которая гарантирует социальное обслуживание всех лиц, находящихся в зависимости от других. Создан государственный фонд для финансирования сети важнейших услуг, предназначенных для удовлетворения их потребн</w:t>
      </w:r>
      <w:r>
        <w:t>о</w:t>
      </w:r>
      <w:r>
        <w:t>стей, и охват этих услуг будет сопоставим с охв</w:t>
      </w:r>
      <w:r>
        <w:t>а</w:t>
      </w:r>
      <w:r>
        <w:t>том, существующим в наиболее богатых странах, граничащих с Испанией. Необходимо обеспечить удовлетворение потребностей всех иждивенцев и их семей. Будет усовершенствована сеть домов по уходу за иждивенцами, а тех, кто нуждается в неп</w:t>
      </w:r>
      <w:r>
        <w:t>о</w:t>
      </w:r>
      <w:r>
        <w:t>стоянном уходе, поместят в отдельные помещения. Тем, кто желает остаться у себя дома, будет предо</w:t>
      </w:r>
      <w:r>
        <w:t>с</w:t>
      </w:r>
      <w:r>
        <w:t>тавлена необходимая помощь, а для лиц, занима</w:t>
      </w:r>
      <w:r>
        <w:t>ю</w:t>
      </w:r>
      <w:r>
        <w:t>щихся оказанием такой помощи, будут организов</w:t>
      </w:r>
      <w:r>
        <w:t>а</w:t>
      </w:r>
      <w:r>
        <w:t>ны учебные программы. Правительство Испании обещало увеличить продолжительность отпуска в связи с выполнением родительских обязанностей, с тем, чтобы отцы могли также брать отпуск продо</w:t>
      </w:r>
      <w:r>
        <w:t>л</w:t>
      </w:r>
      <w:r>
        <w:t>жительностью в 15 рабочих дней, даже если матери полностью используют свой отпуск в связи с ро</w:t>
      </w:r>
      <w:r>
        <w:t>ж</w:t>
      </w:r>
      <w:r>
        <w:t>дением ребенка.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 xml:space="preserve">Г-жа Дуран и Лалагуна </w:t>
      </w:r>
      <w:r>
        <w:t>(Испания) говорит, что правительство Испании уделяет пристальное внимание защите прав ч</w:t>
      </w:r>
      <w:r>
        <w:t>е</w:t>
      </w:r>
      <w:r>
        <w:t>ловека трудящихся-мигрантов и стремится усовершенствовать закон</w:t>
      </w:r>
      <w:r>
        <w:t>о</w:t>
      </w:r>
      <w:r>
        <w:t>дательство на уровне страны и Европейского союза, с тем чтобы мигранты могли полностью интегрир</w:t>
      </w:r>
      <w:r>
        <w:t>о</w:t>
      </w:r>
      <w:r>
        <w:t>ваться в общество и пользовались теми же правами и обязанностями, что и другие граждане Испании. Недавний визит в Испанию Специального докла</w:t>
      </w:r>
      <w:r>
        <w:t>д</w:t>
      </w:r>
      <w:r>
        <w:t>чика Комиссии по правам человека по вопросу о правах мигрантов г-жи Родригес Писарро явился доказательством доброй воли правительства Исп</w:t>
      </w:r>
      <w:r>
        <w:t>а</w:t>
      </w:r>
      <w:r>
        <w:t>нии в этом отношении, и доклад г-жи Писарро и</w:t>
      </w:r>
      <w:r>
        <w:t>с</w:t>
      </w:r>
      <w:r>
        <w:t>пользуется испанскими властями для изучения я</w:t>
      </w:r>
      <w:r>
        <w:t>в</w:t>
      </w:r>
      <w:r>
        <w:t>ления миграции в Испании. Правительство стр</w:t>
      </w:r>
      <w:r>
        <w:t>е</w:t>
      </w:r>
      <w:r>
        <w:t>мится бороться с подпольными мафиями и пред</w:t>
      </w:r>
      <w:r>
        <w:t>у</w:t>
      </w:r>
      <w:r>
        <w:t>сматривает полную интеграцию мигрантов в общ</w:t>
      </w:r>
      <w:r>
        <w:t>е</w:t>
      </w:r>
      <w:r>
        <w:t>ство посредством принятия поправок к законод</w:t>
      </w:r>
      <w:r>
        <w:t>а</w:t>
      </w:r>
      <w:r>
        <w:t>тельству с учетом новых масштабов и характера этого явления, не отказываясь при этом от наци</w:t>
      </w:r>
      <w:r>
        <w:t>о</w:t>
      </w:r>
      <w:r>
        <w:t>нальных и международных обязательств в области прав человека. Испания еще не ратифицировала Международную конвенцию о защите прав всех трудящихся-мигрантов и членов их семей, в час</w:t>
      </w:r>
      <w:r>
        <w:t>т</w:t>
      </w:r>
      <w:r>
        <w:t>ности в силу того, что многие ее положения пр</w:t>
      </w:r>
      <w:r>
        <w:t>и</w:t>
      </w:r>
      <w:r>
        <w:t>сутствуют также в таких документах, как Междун</w:t>
      </w:r>
      <w:r>
        <w:t>а</w:t>
      </w:r>
      <w:r>
        <w:t>родный пакт о гражданских и политических правах, Международный пакт об экономических, социал</w:t>
      </w:r>
      <w:r>
        <w:t>ь</w:t>
      </w:r>
      <w:r>
        <w:t>ных и культурных правах и Международная ко</w:t>
      </w:r>
      <w:r>
        <w:t>н</w:t>
      </w:r>
      <w:r>
        <w:t>венция о ликвидации всех форм расовой дискрим</w:t>
      </w:r>
      <w:r>
        <w:t>и</w:t>
      </w:r>
      <w:r>
        <w:t>нации. Руководствуясь этими документами, Исп</w:t>
      </w:r>
      <w:r>
        <w:t>а</w:t>
      </w:r>
      <w:r>
        <w:t>ния стремится соблюдать права тр</w:t>
      </w:r>
      <w:r>
        <w:t>у</w:t>
      </w:r>
      <w:r>
        <w:t>дящихся-мигрантов, но при этом она намерена должным о</w:t>
      </w:r>
      <w:r>
        <w:t>б</w:t>
      </w:r>
      <w:r>
        <w:t>разом принять к сведению замечания членов Ком</w:t>
      </w:r>
      <w:r>
        <w:t>и</w:t>
      </w:r>
      <w:r>
        <w:t>тета и дополнительно рассмотрит желательность присо</w:t>
      </w:r>
      <w:r>
        <w:t>е</w:t>
      </w:r>
      <w:r>
        <w:t>динения к Конвенции о трудящихся-мигрантах.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 xml:space="preserve">Г-жа Мурильо-де-ла-Вега </w:t>
      </w:r>
      <w:r>
        <w:t>(Испания) говорит, что законодательство Испании о борьбе с насилием, обусловленным половой принадлежностью, пред</w:t>
      </w:r>
      <w:r>
        <w:t>у</w:t>
      </w:r>
      <w:r>
        <w:t>сматривает соответствующий бюджет на эти цели и содержит элементы, которые касаются обучения и подготовки всех лиц, работающих в правоохран</w:t>
      </w:r>
      <w:r>
        <w:t>и</w:t>
      </w:r>
      <w:r>
        <w:t>тельной области. Она представит Комитету копию соответствующего законодательного акта, который должен быть принят в ближайшее время.</w:t>
      </w:r>
    </w:p>
    <w:p w:rsidR="00000000" w:rsidRDefault="00000000">
      <w:pPr>
        <w:pStyle w:val="DualTxt"/>
        <w:rPr>
          <w:i/>
        </w:rPr>
      </w:pPr>
      <w:r>
        <w:rPr>
          <w:i/>
        </w:rPr>
        <w:t>Статьи 15 и 16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 Манало</w:t>
      </w:r>
      <w:r>
        <w:t>, ссылаясь на пункт 1 статьи 15 Конвенции, который гласит, что «государства-участники признают за женщинами равенство с мужчинами перед законом», напоминает о том, что в своих заключительных замечаниях в 1999 году Комитет рекомендовал Испании проводить рассл</w:t>
      </w:r>
      <w:r>
        <w:t>е</w:t>
      </w:r>
      <w:r>
        <w:t>дования и судебное преследование в случаях нас</w:t>
      </w:r>
      <w:r>
        <w:t>и</w:t>
      </w:r>
      <w:r>
        <w:t>лия в отношении женщин с той же решимостью, как и в случае всех других уголовных преступлений. В общей рекомендации №19 Комитета содержится призыв к государствам обеспечить эффективные процедуры рассмотрения жалоб и средства прав</w:t>
      </w:r>
      <w:r>
        <w:t>о</w:t>
      </w:r>
      <w:r>
        <w:t>вой защиты, включая компенсацию. Однако расп</w:t>
      </w:r>
      <w:r>
        <w:t>о</w:t>
      </w:r>
      <w:r>
        <w:t>лагаемая Комитетом достоверная информация ук</w:t>
      </w:r>
      <w:r>
        <w:t>а</w:t>
      </w:r>
      <w:r>
        <w:t>зывает на то, что в Испании существует обстановка социальной безнаказанности в случаях насилия в отношении женщин, особенно когда это насилие не сопровождается гибелью потерпевшей или тяжкими телесными повреждениями. Такая безнаказанность имеет серьезные последствия, особенно когда п</w:t>
      </w:r>
      <w:r>
        <w:t>о</w:t>
      </w:r>
      <w:r>
        <w:t>лиция и органы юстиции не проявляют стремления расследовать подобные случаи, когда в отношении осужденных за такое насилие не применяются с</w:t>
      </w:r>
      <w:r>
        <w:t>о</w:t>
      </w:r>
      <w:r>
        <w:t>ответствующие меры контроля и выносятся наказ</w:t>
      </w:r>
      <w:r>
        <w:t>а</w:t>
      </w:r>
      <w:r>
        <w:t>ния, отсроченные исполнением, и когда не обесп</w:t>
      </w:r>
      <w:r>
        <w:t>е</w:t>
      </w:r>
      <w:r>
        <w:t>чивается эффективная защита и компенсация для жертв такого насилия, которые подают жалобы в соответствующие органы. Она спрашивает, какие конкретные меры намерено принять новое прав</w:t>
      </w:r>
      <w:r>
        <w:t>и</w:t>
      </w:r>
      <w:r>
        <w:t>тельство для решения этой проблемы и в какие ср</w:t>
      </w:r>
      <w:r>
        <w:t>о</w:t>
      </w:r>
      <w:r>
        <w:t>ки.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 xml:space="preserve">Г-жа Гнакаджа </w:t>
      </w:r>
      <w:r>
        <w:t>говорит, что из доклада сл</w:t>
      </w:r>
      <w:r>
        <w:t>е</w:t>
      </w:r>
      <w:r>
        <w:t>дует, что в гражданское право внесены значител</w:t>
      </w:r>
      <w:r>
        <w:t>ь</w:t>
      </w:r>
      <w:r>
        <w:t>ные изменения, одним из которых является пер</w:t>
      </w:r>
      <w:r>
        <w:t>е</w:t>
      </w:r>
      <w:r>
        <w:t>смотр гражданских процессуальных норм, и что эти новые положения предусматривают сохранение р</w:t>
      </w:r>
      <w:r>
        <w:t>а</w:t>
      </w:r>
      <w:r>
        <w:t>нее существовавшей системы. Здесь есть некоторое противоречие, и она просит внести ясность в этот вопрос. Она хотела бы также узнать, единообразно ли применяются законодательные изменения в а</w:t>
      </w:r>
      <w:r>
        <w:t>в</w:t>
      </w:r>
      <w:r>
        <w:t>тономных областях. Цитируя введение к докладу, в котором говорится, что с момента опубликования Конвенция является частью национального прав</w:t>
      </w:r>
      <w:r>
        <w:t>о</w:t>
      </w:r>
      <w:r>
        <w:t>вого уложения в Испании, она спрашивает, были ли случаи, когда обвиняемые или судьи ссылались на Конвенцию в системе гражданского или уголовного правосудия. По вопросу о равенстве каждого перед законом она спрашивает, каков порядок рассмотр</w:t>
      </w:r>
      <w:r>
        <w:t>е</w:t>
      </w:r>
      <w:r>
        <w:t>ния жалоб, подаваемых жертвами сексуального н</w:t>
      </w:r>
      <w:r>
        <w:t>а</w:t>
      </w:r>
      <w:r>
        <w:t>силия, и применяют ли суды такие процедуры с той же оперативностью, как и в случае других тяжких преступлений. Каким образом исполняются реш</w:t>
      </w:r>
      <w:r>
        <w:t>е</w:t>
      </w:r>
      <w:r>
        <w:t>ния и наказания и насколько эффективно выносятся и осуществляются судебные приказы о выплате компенс</w:t>
      </w:r>
      <w:r>
        <w:t>а</w:t>
      </w:r>
      <w:r>
        <w:t>ции?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 xml:space="preserve">Г-жа Комас-д’Архемир Сендра </w:t>
      </w:r>
      <w:r>
        <w:t>(Испания) г</w:t>
      </w:r>
      <w:r>
        <w:t>о</w:t>
      </w:r>
      <w:r>
        <w:t>ворит, что государственные органы ее страны уже на протяжении целого ряда лет пытаются искор</w:t>
      </w:r>
      <w:r>
        <w:t>е</w:t>
      </w:r>
      <w:r>
        <w:t>нить бытовое насилие и насилие, обусловленное половой принадлежностью. В сентябре 2002 года министерство юстиции, министерство труда и соц</w:t>
      </w:r>
      <w:r>
        <w:t>и</w:t>
      </w:r>
      <w:r>
        <w:t>ального обеспечения и Генеральная прокуратура создали Службу наблюдения за бытовым насилием и насилием, обусловленным половой принадлежн</w:t>
      </w:r>
      <w:r>
        <w:t>о</w:t>
      </w:r>
      <w:r>
        <w:t>стью, для проверки выполнения решений, каса</w:t>
      </w:r>
      <w:r>
        <w:t>ю</w:t>
      </w:r>
      <w:r>
        <w:t>щихся этих форм насилия, в судебной системе И</w:t>
      </w:r>
      <w:r>
        <w:t>с</w:t>
      </w:r>
      <w:r>
        <w:t>пании. Служба обеспечивает надзор за отдельными судебными решениями и резолюциями, касающ</w:t>
      </w:r>
      <w:r>
        <w:t>и</w:t>
      </w:r>
      <w:r>
        <w:t>мися защиты жертв такого насилия. Собрана и</w:t>
      </w:r>
      <w:r>
        <w:t>н</w:t>
      </w:r>
      <w:r>
        <w:t>формация по 12 000 таких решений и резолюций, и в настоящее время эта информация анализируется. Сделанные на основании этого выводы будут опу</w:t>
      </w:r>
      <w:r>
        <w:t>б</w:t>
      </w:r>
      <w:r>
        <w:t>ликованы примерно через три месяца, и их копия будет направлена Комитету. В то же время она не согласна с теми, кто утверждает, что лица, сове</w:t>
      </w:r>
      <w:r>
        <w:t>р</w:t>
      </w:r>
      <w:r>
        <w:t>шающие насилие в отношении женщин, пользуются в Испании безнаказанностью. Акты насилия подп</w:t>
      </w:r>
      <w:r>
        <w:t>а</w:t>
      </w:r>
      <w:r>
        <w:t>дают под Уголовный кодекс страны, и представит</w:t>
      </w:r>
      <w:r>
        <w:t>е</w:t>
      </w:r>
      <w:r>
        <w:t>ли исполнительной и судебной власти обеспокоены тем, что судьи слишком часто считают, что дейс</w:t>
      </w:r>
      <w:r>
        <w:t>т</w:t>
      </w:r>
      <w:r>
        <w:t>вия, являющиеся предметом представляемых ж</w:t>
      </w:r>
      <w:r>
        <w:t>а</w:t>
      </w:r>
      <w:r>
        <w:t>лоб, заслуживают незначительного наказания, тогда как наказание должно быть достаточно суровым, чтобы положить конец таким преступлениям. С учетом этого, Испания приняла органический закон №11/2003 от 29 сентября 2003 года о конкретных мерах, касающихся обеспечения защиты потерпе</w:t>
      </w:r>
      <w:r>
        <w:t>в</w:t>
      </w:r>
      <w:r>
        <w:t>ших, борьбы с бытовым насилием и социальной и</w:t>
      </w:r>
      <w:r>
        <w:t>н</w:t>
      </w:r>
      <w:r>
        <w:t>теграции иностранцев. В соответствии с этим зак</w:t>
      </w:r>
      <w:r>
        <w:t>о</w:t>
      </w:r>
      <w:r>
        <w:t>ном любое насилие в семье, любая угроза жизни или совершенная агрессия, даже если это не п</w:t>
      </w:r>
      <w:r>
        <w:t>о</w:t>
      </w:r>
      <w:r>
        <w:t>влекло за собой тяжких телесных повреждений или психологической травмы, считается реальным пр</w:t>
      </w:r>
      <w:r>
        <w:t>е</w:t>
      </w:r>
      <w:r>
        <w:t>ступлением и заслуживает соответствующего нак</w:t>
      </w:r>
      <w:r>
        <w:t>а</w:t>
      </w:r>
      <w:r>
        <w:t>зания. Подлинной социальной проблемой в Исп</w:t>
      </w:r>
      <w:r>
        <w:t>а</w:t>
      </w:r>
      <w:r>
        <w:t>нии является проблема бытового насилия, которое теперь не относится к категории незначительных правонарушений. Испания последовала примеру Европейского союза, в котором бытовое насилие считается уголовно наказуемым деянием, которое подлежит расследованию и наказанию как престу</w:t>
      </w:r>
      <w:r>
        <w:t>п</w:t>
      </w:r>
      <w:r>
        <w:t>ление. Вынесенные наказания подлежат исполн</w:t>
      </w:r>
      <w:r>
        <w:t>е</w:t>
      </w:r>
      <w:r>
        <w:t>нию даже в том случае, если потерпевшие просили о помиловании или отсрочке исполнения приговора в отношении подсудимого. Даже если в отношении правонарушителя, впервые совершившего такой проступок, выносится наказание, предусматрива</w:t>
      </w:r>
      <w:r>
        <w:t>ю</w:t>
      </w:r>
      <w:r>
        <w:t>щее отсроченное тюремное заключение, он все ра</w:t>
      </w:r>
      <w:r>
        <w:t>в</w:t>
      </w:r>
      <w:r>
        <w:t>но должен посещать курсы, призванные не допу</w:t>
      </w:r>
      <w:r>
        <w:t>с</w:t>
      </w:r>
      <w:r>
        <w:t>тить повторения поведения, за которое он наказан. В случае бытового насилия ему может быть запр</w:t>
      </w:r>
      <w:r>
        <w:t>е</w:t>
      </w:r>
      <w:r>
        <w:t>щено приближаться к лицу, ставшему жертвой его насилия.</w:t>
      </w:r>
    </w:p>
    <w:p w:rsidR="00000000" w:rsidRDefault="00000000">
      <w:pPr>
        <w:pStyle w:val="DualTxt"/>
      </w:pPr>
      <w:r>
        <w:t>33.</w:t>
      </w:r>
      <w:r>
        <w:tab/>
        <w:t>В 2003 году парламент Испании единогласно принял закон о защите потерпевших, и впервые пять месяцев осуществления этого закона почти 8 000 потерпевших, сообщив об актах насилия, просили обеспечить их защиту. В трех четвертях этих просьб судьи вынесли приказы об обеспечении защиты. Эти приказы исполняются сотрудниками местных правоохранительных органов, и в насто</w:t>
      </w:r>
      <w:r>
        <w:t>я</w:t>
      </w:r>
      <w:r>
        <w:t>щее время принимаются меры для повышения э</w:t>
      </w:r>
      <w:r>
        <w:t>ф</w:t>
      </w:r>
      <w:r>
        <w:t>фективности координации между судьями, прок</w:t>
      </w:r>
      <w:r>
        <w:t>у</w:t>
      </w:r>
      <w:r>
        <w:t>рорами и местной полицией.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 xml:space="preserve">Г-н Альваро Пахе </w:t>
      </w:r>
      <w:r>
        <w:t>(Испания) говорит, что все автономные области Испании участвовали в подг</w:t>
      </w:r>
      <w:r>
        <w:t>о</w:t>
      </w:r>
      <w:r>
        <w:t>товке ежегодного доклада, который на данный м</w:t>
      </w:r>
      <w:r>
        <w:t>о</w:t>
      </w:r>
      <w:r>
        <w:t>мент завершен, но требует пересмотра и который касается проводимых ими мероприятий по пов</w:t>
      </w:r>
      <w:r>
        <w:t>ы</w:t>
      </w:r>
      <w:r>
        <w:t>шению осведомленности общественности и предо</w:t>
      </w:r>
      <w:r>
        <w:t>т</w:t>
      </w:r>
      <w:r>
        <w:t>вращению насилия в отношении женщин, образов</w:t>
      </w:r>
      <w:r>
        <w:t>а</w:t>
      </w:r>
      <w:r>
        <w:t>ния и профессиональной подготовки, выделенных средств и сбора данных о законодательных и суде</w:t>
      </w:r>
      <w:r>
        <w:t>б</w:t>
      </w:r>
      <w:r>
        <w:t>ных мерах. Окончательный вариант этого доклада, содержащего информацию за период с 2003 года, будет направлен Комитету после того, как он будет завершен.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 Мурильо-де-ла-Вега</w:t>
      </w:r>
      <w:r>
        <w:t xml:space="preserve"> (Испания) выраж</w:t>
      </w:r>
      <w:r>
        <w:t>а</w:t>
      </w:r>
      <w:r>
        <w:t>ет признательность экспертам за их пояснения и отмечает, что их рекомендации будут полезны при выработке б</w:t>
      </w:r>
      <w:r>
        <w:t>у</w:t>
      </w:r>
      <w:r>
        <w:t>дущей политики правительства.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задавать последующие вопросы.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Морваи</w:t>
      </w:r>
      <w:r>
        <w:t xml:space="preserve"> просит представить информ</w:t>
      </w:r>
      <w:r>
        <w:t>а</w:t>
      </w:r>
      <w:r>
        <w:t>цию о планах правительства в отношении его пол</w:t>
      </w:r>
      <w:r>
        <w:t>и</w:t>
      </w:r>
      <w:r>
        <w:t>тики и законов, касающихся проституции. Она в</w:t>
      </w:r>
      <w:r>
        <w:t>ы</w:t>
      </w:r>
      <w:r>
        <w:t>ражает удивление по поводу того, что в докладе н</w:t>
      </w:r>
      <w:r>
        <w:t>и</w:t>
      </w:r>
      <w:r>
        <w:t>чего не говорится о публичных домах, которые л</w:t>
      </w:r>
      <w:r>
        <w:t>е</w:t>
      </w:r>
      <w:r>
        <w:t>гально существуют в Каталонии.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 xml:space="preserve">Г-жа Шин </w:t>
      </w:r>
      <w:r>
        <w:t>спрашивает, предусматривает ли предлагаемый комплекс законов о борьбе с насил</w:t>
      </w:r>
      <w:r>
        <w:t>и</w:t>
      </w:r>
      <w:r>
        <w:t>ем, обусловленным половой принадлежностью, превентивные учебно-разъяснительные программы для мужчин и мальчиков. Она хотела бы также у</w:t>
      </w:r>
      <w:r>
        <w:t>з</w:t>
      </w:r>
      <w:r>
        <w:t>нать, увеличило ли новое правительство бюджет на мероприятия по обеспечению равноправия мужчин и женщин и если да, то насколько.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 xml:space="preserve">Г-жа Белмихуб-Цердани </w:t>
      </w:r>
      <w:r>
        <w:t>отмечает, что с</w:t>
      </w:r>
      <w:r>
        <w:t>о</w:t>
      </w:r>
      <w:r>
        <w:t>гласно пункту 2 статьи 53 Конституции, любой гражданин Испании может обратиться в Констит</w:t>
      </w:r>
      <w:r>
        <w:t>у</w:t>
      </w:r>
      <w:r>
        <w:t>ционный суд с просьбой о предоставлении ему средства защиты ампаро. Испания ратифицировала Факультативный протокол, который дает гражданам право обращаться с индивидуальными жалобами в Комитет. Она спрашивает, является ли обращение гражданина в Конституционный суд с просьбой о предоставлении ему средства защиты ампаро п</w:t>
      </w:r>
      <w:r>
        <w:t>о</w:t>
      </w:r>
      <w:r>
        <w:t>следним внутригосударственным средством прав</w:t>
      </w:r>
      <w:r>
        <w:t>о</w:t>
      </w:r>
      <w:r>
        <w:t>вой защиты для целей Факультати</w:t>
      </w:r>
      <w:r>
        <w:t>в</w:t>
      </w:r>
      <w:r>
        <w:t>ного протокола.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 xml:space="preserve">Г-жа Тавареш да Сильва </w:t>
      </w:r>
      <w:r>
        <w:t>хотела бы узнать, занимается ли Общий секретариат Испании по в</w:t>
      </w:r>
      <w:r>
        <w:t>о</w:t>
      </w:r>
      <w:r>
        <w:t>просам политики обеспечения равных возможн</w:t>
      </w:r>
      <w:r>
        <w:t>о</w:t>
      </w:r>
      <w:r>
        <w:t>стей исключительно проблемами равноправия му</w:t>
      </w:r>
      <w:r>
        <w:t>ж</w:t>
      </w:r>
      <w:r>
        <w:t>чин и женщин или проблемами равноправия в ц</w:t>
      </w:r>
      <w:r>
        <w:t>е</w:t>
      </w:r>
      <w:r>
        <w:t>лом. Она спрашивает, чему уделяется больше вн</w:t>
      </w:r>
      <w:r>
        <w:t>и</w:t>
      </w:r>
      <w:r>
        <w:t>мания – политике или человеку. Она хотела бы у</w:t>
      </w:r>
      <w:r>
        <w:t>з</w:t>
      </w:r>
      <w:r>
        <w:t>нать, имеет ли генеральный секретарь ранг минис</w:t>
      </w:r>
      <w:r>
        <w:t>т</w:t>
      </w:r>
      <w:r>
        <w:t>ра или это просто самая высокая должность в О</w:t>
      </w:r>
      <w:r>
        <w:t>б</w:t>
      </w:r>
      <w:r>
        <w:t>щем секретариате. Она спрашивает как Общий се</w:t>
      </w:r>
      <w:r>
        <w:t>к</w:t>
      </w:r>
      <w:r>
        <w:t>ретариат и Институт по делам женщин координ</w:t>
      </w:r>
      <w:r>
        <w:t>и</w:t>
      </w:r>
      <w:r>
        <w:t>руют осуществление мероприятий по актуализации женской проблематики и контроль за этой деятел</w:t>
      </w:r>
      <w:r>
        <w:t>ь</w:t>
      </w:r>
      <w:r>
        <w:t>ностью. И наконец, она хотела бы узнать, намерено ли правительство пересмотреть свою оговорку в отношении престолонаследия женщины.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 xml:space="preserve">Г-жа Шимонович </w:t>
      </w:r>
      <w:r>
        <w:t>говорит, что правительство должно решить, как следует составлять доклад, и рекомендует обеспечить участие в этом процессе как можно большего числа различных групп. Она хотела бы узнать, был ли этот доклад принят прав</w:t>
      </w:r>
      <w:r>
        <w:t>и</w:t>
      </w:r>
      <w:r>
        <w:t>тельством и представлялся ли он парл</w:t>
      </w:r>
      <w:r>
        <w:t>а</w:t>
      </w:r>
      <w:r>
        <w:t>менту.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 xml:space="preserve">Г-жа Шёпп-Шиллинг </w:t>
      </w:r>
      <w:r>
        <w:t>благодарит делегацию Испании за предоставление информации о разнице в размере заработной платы и хотела бы получить дополнительные сведения о действиях правител</w:t>
      </w:r>
      <w:r>
        <w:t>ь</w:t>
      </w:r>
      <w:r>
        <w:t>ства и профсоюзов. Она просит также делегацию прокомментировать то обстоятельство, что зарабо</w:t>
      </w:r>
      <w:r>
        <w:t>т</w:t>
      </w:r>
      <w:r>
        <w:t>ная плата в секторе услуг ниже, чем в промышле</w:t>
      </w:r>
      <w:r>
        <w:t>н</w:t>
      </w:r>
      <w:r>
        <w:t>ном секторе. Она выражает надежду на то, что в следующем докладе будут содержаться более по</w:t>
      </w:r>
      <w:r>
        <w:t>д</w:t>
      </w:r>
      <w:r>
        <w:t>робные сведения о действиях правительства по обеспечению равного вознаграждения за труд с</w:t>
      </w:r>
      <w:r>
        <w:t>о</w:t>
      </w:r>
      <w:r>
        <w:t>поставимой ценности.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 xml:space="preserve">Г-жа Альварадо Баллестерос </w:t>
      </w:r>
      <w:r>
        <w:t>(Испания) г</w:t>
      </w:r>
      <w:r>
        <w:t>о</w:t>
      </w:r>
      <w:r>
        <w:t>ворит, что согласно законодательству Испании н</w:t>
      </w:r>
      <w:r>
        <w:t>а</w:t>
      </w:r>
      <w:r>
        <w:t>саждение и распространение проституции сутен</w:t>
      </w:r>
      <w:r>
        <w:t>е</w:t>
      </w:r>
      <w:r>
        <w:t>рами является уголовно наказуемым деянием, а з</w:t>
      </w:r>
      <w:r>
        <w:t>а</w:t>
      </w:r>
      <w:r>
        <w:t>нятие проституцией преступлением не является. Проститутки - жертвы, а не преступники. Закон К</w:t>
      </w:r>
      <w:r>
        <w:t>а</w:t>
      </w:r>
      <w:r>
        <w:t>талонии, который упомянула г-жа Морваи, является административным актом, содержащим технич</w:t>
      </w:r>
      <w:r>
        <w:t>е</w:t>
      </w:r>
      <w:r>
        <w:t>ские нормы в отношении помещений, которые м</w:t>
      </w:r>
      <w:r>
        <w:t>о</w:t>
      </w:r>
      <w:r>
        <w:t>гут использоваться для деятельности, связанной с проституцией, и возлагающие ответственность на соблюдение этих норм на местные органы. В этом акте совершенно не затрагивается вопрос о том, я</w:t>
      </w:r>
      <w:r>
        <w:t>в</w:t>
      </w:r>
      <w:r>
        <w:t>ляется ли проституция легальной или нелегальной, он просто исключает возможность заниматься такой деятельностью в частных домах.</w:t>
      </w:r>
    </w:p>
    <w:p w:rsidR="00000000" w:rsidRDefault="00000000">
      <w:pPr>
        <w:pStyle w:val="DualTxt"/>
      </w:pPr>
      <w:r>
        <w:t>44.</w:t>
      </w:r>
      <w:r>
        <w:tab/>
        <w:t>Как ранее отмечала г-жа Мурильо-де-ла-Вега, в Испании, как и в других странах, широко обсу</w:t>
      </w:r>
      <w:r>
        <w:t>ж</w:t>
      </w:r>
      <w:r>
        <w:t>дается вопрос о проституции. Не следует забывать и о связи проституции с организованной престу</w:t>
      </w:r>
      <w:r>
        <w:t>п</w:t>
      </w:r>
      <w:r>
        <w:t>ностью: в статье 2 Протокола о предупреждении и пресечении торговли людьми, особенно женщинами и детьми, и наказании за нее, дополняющего Ко</w:t>
      </w:r>
      <w:r>
        <w:t>н</w:t>
      </w:r>
      <w:r>
        <w:t>венцию Организации Объединенных Наций против транснациональной организованной преступности, перечислены случаи, в которых люди могут сч</w:t>
      </w:r>
      <w:r>
        <w:t>и</w:t>
      </w:r>
      <w:r>
        <w:t>таться жертвами торговли людьми, даже если они и дали свое согласие на это.</w:t>
      </w:r>
    </w:p>
    <w:p w:rsidR="00000000" w:rsidRDefault="00000000">
      <w:pPr>
        <w:pStyle w:val="DualTxt"/>
      </w:pPr>
      <w:r>
        <w:t>45.</w:t>
      </w:r>
      <w:r>
        <w:tab/>
        <w:t>Международная организация уголовной пол</w:t>
      </w:r>
      <w:r>
        <w:t>и</w:t>
      </w:r>
      <w:r>
        <w:t>ции (Интерпол), Европейское полицейское упра</w:t>
      </w:r>
      <w:r>
        <w:t>в</w:t>
      </w:r>
      <w:r>
        <w:t>ление (Европол) и Европейская комиссия осущес</w:t>
      </w:r>
      <w:r>
        <w:t>т</w:t>
      </w:r>
      <w:r>
        <w:t>вляют программы по борьбе с насилием в отнош</w:t>
      </w:r>
      <w:r>
        <w:t>е</w:t>
      </w:r>
      <w:r>
        <w:t>нии женщин, в частности программы ДАФНЕ и СТОП, в рамках которых проводится работа по уничтожению сетей эксплуатации женщин.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 xml:space="preserve">Г-жа Мурильо-де-ла-Вега </w:t>
      </w:r>
      <w:r>
        <w:t>(Испания) говорит, что за период с 1996 по 2002 год бюджетные асси</w:t>
      </w:r>
      <w:r>
        <w:t>г</w:t>
      </w:r>
      <w:r>
        <w:t>нования на мероприятия по обеспечению равнопр</w:t>
      </w:r>
      <w:r>
        <w:t>а</w:t>
      </w:r>
      <w:r>
        <w:t>вия мужчин и женщин возросли на 62 процента. Ассигнования из бюджета на осуществление вс</w:t>
      </w:r>
      <w:r>
        <w:t>е</w:t>
      </w:r>
      <w:r>
        <w:t>объемлющего закона о борьбе с насилием, обусло</w:t>
      </w:r>
      <w:r>
        <w:t>в</w:t>
      </w:r>
      <w:r>
        <w:t>ленным половой принадлежностью, составляют 80 млн. евро.</w:t>
      </w:r>
    </w:p>
    <w:p w:rsidR="00000000" w:rsidRDefault="00000000">
      <w:pPr>
        <w:pStyle w:val="DualTxt"/>
      </w:pPr>
      <w:r>
        <w:t>47.</w:t>
      </w:r>
      <w:r>
        <w:tab/>
        <w:t>На вопрос г-жи Тавареш да Сильва о статусе Общего секретариата по вопросам политики обе</w:t>
      </w:r>
      <w:r>
        <w:t>с</w:t>
      </w:r>
      <w:r>
        <w:t>печения равных возможностей она говорит, что Секретариат существует при министерстве труда и социального обеспечения и занимается только в</w:t>
      </w:r>
      <w:r>
        <w:t>о</w:t>
      </w:r>
      <w:r>
        <w:t>просами равноправия мужчин и женщин, поскольку вопросами семьи и прав инвалидов отдельно зан</w:t>
      </w:r>
      <w:r>
        <w:t>и</w:t>
      </w:r>
      <w:r>
        <w:t>мается Управление госуда</w:t>
      </w:r>
      <w:r>
        <w:t>р</w:t>
      </w:r>
      <w:r>
        <w:t>ственного советника.</w:t>
      </w:r>
    </w:p>
    <w:p w:rsidR="00000000" w:rsidRDefault="00000000">
      <w:pPr>
        <w:pStyle w:val="DualTxt"/>
      </w:pPr>
      <w:r>
        <w:t>48.</w:t>
      </w:r>
      <w:r>
        <w:tab/>
        <w:t>В иерархическом плане создание Общего се</w:t>
      </w:r>
      <w:r>
        <w:t>к</w:t>
      </w:r>
      <w:r>
        <w:t>ретариата несомненно является шагом вперед, но это также достижение женских групп, которые д</w:t>
      </w:r>
      <w:r>
        <w:t>о</w:t>
      </w:r>
      <w:r>
        <w:t>бивались включения их интересов в политическую повестку дня. В ведении Общего секретариата н</w:t>
      </w:r>
      <w:r>
        <w:t>а</w:t>
      </w:r>
      <w:r>
        <w:t>ходится также Институт по делам женщин, который действует независимо, осуществляя намеченную стратегию и поддерживая диалог с гражданским обществом, автономными областями и междун</w:t>
      </w:r>
      <w:r>
        <w:t>а</w:t>
      </w:r>
      <w:r>
        <w:t>родными организациями.</w:t>
      </w:r>
    </w:p>
    <w:p w:rsidR="00000000" w:rsidRDefault="00000000">
      <w:pPr>
        <w:pStyle w:val="DualTxt"/>
      </w:pPr>
      <w:r>
        <w:t>49.</w:t>
      </w:r>
      <w:r>
        <w:tab/>
        <w:t>Различие, отмеченное г-жой Тавареш да Сил</w:t>
      </w:r>
      <w:r>
        <w:t>ь</w:t>
      </w:r>
      <w:r>
        <w:t>ва между чисто показной должностью и действ</w:t>
      </w:r>
      <w:r>
        <w:t>и</w:t>
      </w:r>
      <w:r>
        <w:t>тельно ответственным постом, имеет важное знач</w:t>
      </w:r>
      <w:r>
        <w:t>е</w:t>
      </w:r>
      <w:r>
        <w:t>ние. Если бы ее должность была показной, то она не располагала бы бюджетом и не несла бы отве</w:t>
      </w:r>
      <w:r>
        <w:t>т</w:t>
      </w:r>
      <w:r>
        <w:t>ственности за политику и органы, в частности за Институт по делам женщин. В то же время конце</w:t>
      </w:r>
      <w:r>
        <w:t>п</w:t>
      </w:r>
      <w:r>
        <w:t>ция иерархии связана также с распорядительными полномочиями, и в этой связи важно помнить о расширении прав и возможностей по итогам че</w:t>
      </w:r>
      <w:r>
        <w:t>т</w:t>
      </w:r>
      <w:r>
        <w:t>вертой Всемирной конференции по положению женщин, проходившей в Пекине.</w:t>
      </w:r>
    </w:p>
    <w:p w:rsidR="00000000" w:rsidRDefault="00000000">
      <w:pPr>
        <w:pStyle w:val="DualTxt"/>
      </w:pPr>
      <w:r>
        <w:t>50.</w:t>
      </w:r>
      <w:r>
        <w:tab/>
        <w:t>Периодические доклады, которые Испания г</w:t>
      </w:r>
      <w:r>
        <w:t>о</w:t>
      </w:r>
      <w:r>
        <w:t>товит для Комитета, вовсе не обязательно предста</w:t>
      </w:r>
      <w:r>
        <w:t>в</w:t>
      </w:r>
      <w:r>
        <w:t>лять парламенту, поскольку осуществление полит</w:t>
      </w:r>
      <w:r>
        <w:t>и</w:t>
      </w:r>
      <w:r>
        <w:t>ки является обязанностью министерств страны, т</w:t>
      </w:r>
      <w:r>
        <w:t>о</w:t>
      </w:r>
      <w:r>
        <w:t>гда как парламент занимается законодательными вопросами и обязательствами правительства. М</w:t>
      </w:r>
      <w:r>
        <w:t>и</w:t>
      </w:r>
      <w:r>
        <w:t>нистерства отвечают за все планирование, связа</w:t>
      </w:r>
      <w:r>
        <w:t>н</w:t>
      </w:r>
      <w:r>
        <w:t>ное с реализацией политики по обеспечению ра</w:t>
      </w:r>
      <w:r>
        <w:t>в</w:t>
      </w:r>
      <w:r>
        <w:t>ноправия, особенно за учет в своей деятельности гендерных вопросов. Поэтому в каждом министе</w:t>
      </w:r>
      <w:r>
        <w:t>р</w:t>
      </w:r>
      <w:r>
        <w:t>стве имеется отдел по вопросам равн</w:t>
      </w:r>
      <w:r>
        <w:t>о</w:t>
      </w:r>
      <w:r>
        <w:t>правия.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 xml:space="preserve">Г-н Косас </w:t>
      </w:r>
      <w:r>
        <w:t>(Испания), отвечая на вопрос г-жи Шёпп-Шиллинг, подчеркивает, что в настоящее время проводится обстоятельное исследование в</w:t>
      </w:r>
      <w:r>
        <w:t>о</w:t>
      </w:r>
      <w:r>
        <w:t>проса о разнице в размере заработной платы, что позволит лучше понять характер и масштабы этой проблемы. Хотя дискриминация, возможно, и игр</w:t>
      </w:r>
      <w:r>
        <w:t>а</w:t>
      </w:r>
      <w:r>
        <w:t>ет определенную роль, здесь следует учитывать множество других факторов. Этот вопрос необх</w:t>
      </w:r>
      <w:r>
        <w:t>о</w:t>
      </w:r>
      <w:r>
        <w:t>димо изучить не только правительству, но и асс</w:t>
      </w:r>
      <w:r>
        <w:t>о</w:t>
      </w:r>
      <w:r>
        <w:t>циациям работодателей, профсоюзам и работникам. До получения результатов исследования работод</w:t>
      </w:r>
      <w:r>
        <w:t>а</w:t>
      </w:r>
      <w:r>
        <w:t>тели и работники действуют в рамках коллективных трудовых договоров, предупреждая любую форму дискриминации.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 xml:space="preserve">Г-жа Мурильо-де-ла-Вега </w:t>
      </w:r>
      <w:r>
        <w:t>(Испания), отвечая на вопрос о престолонаследии, говорит, что права, гарантируемые Конституцией Испании, примен</w:t>
      </w:r>
      <w:r>
        <w:t>я</w:t>
      </w:r>
      <w:r>
        <w:t>ются в равной степени, как к мужчинам, так и же</w:t>
      </w:r>
      <w:r>
        <w:t>н</w:t>
      </w:r>
      <w:r>
        <w:t>щинам с момента рождения и что законодательный орган и корона допускают возможность внесения поправки в Конституцию. По вопросу о реабилит</w:t>
      </w:r>
      <w:r>
        <w:t>а</w:t>
      </w:r>
      <w:r>
        <w:t>ции мужчин, которые признаны виновными в с</w:t>
      </w:r>
      <w:r>
        <w:t>о</w:t>
      </w:r>
      <w:r>
        <w:t>вершении насилия в отношении женщин, она поя</w:t>
      </w:r>
      <w:r>
        <w:t>с</w:t>
      </w:r>
      <w:r>
        <w:t>няет, что судьи должны определить тяжесть отве</w:t>
      </w:r>
      <w:r>
        <w:t>т</w:t>
      </w:r>
      <w:r>
        <w:t>ственности и степень понимания мужчиной того физического и морального ущерба, который он причиняет женщине своим поведением. С учетом этих факторов выносятся наказания, которые могут предусматривать в качестве формы реабилитации выполнение определенных общественных работ.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 xml:space="preserve">Г-жа Комас-д’Архемир Сендра </w:t>
      </w:r>
      <w:r>
        <w:t>(Испания), отвечая на вопрос о средствах правовой защиты, говорит, что испанские женщины имеют полную возможность требовать компенсации за ущемление их прав. Они могут отстаивать свои права, гарант</w:t>
      </w:r>
      <w:r>
        <w:t>и</w:t>
      </w:r>
      <w:r>
        <w:t>рованные Конституцией, в конституционных судах, а также подавать жалобы в Комитет в соответствии с Факультативным протоколом к Конвенции, кот</w:t>
      </w:r>
      <w:r>
        <w:t>о</w:t>
      </w:r>
      <w:r>
        <w:t>рый ратифицирован Испанией. Оба этих средства защиты можно использовать одновременно.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 xml:space="preserve">Председатель, </w:t>
      </w:r>
      <w:r>
        <w:t>обобщая состоявшееся обсу</w:t>
      </w:r>
      <w:r>
        <w:t>ж</w:t>
      </w:r>
      <w:r>
        <w:t>дение, поздравляет делегацию правительства Исп</w:t>
      </w:r>
      <w:r>
        <w:t>а</w:t>
      </w:r>
      <w:r>
        <w:t>нии с представлением своего пятого доклада и в</w:t>
      </w:r>
      <w:r>
        <w:t>ы</w:t>
      </w:r>
      <w:r>
        <w:t>ражает признательность за обстоятельные ответы на вопросы, содержащиеся в перечне, и вопросы, заданные предсессионной рабочей группой. Нет сомнения в том, что в стране принимаются меры для обеспечения равной представленности женщин в органах исполнительной власти правительства, как свидетельствует об этом присутствие женщин в составе кабинета. Однако на уровне политических партий и местных органов управления их предста</w:t>
      </w:r>
      <w:r>
        <w:t>в</w:t>
      </w:r>
      <w:r>
        <w:t>ленность иногда оставляет желать лучшего. Выз</w:t>
      </w:r>
      <w:r>
        <w:t>ы</w:t>
      </w:r>
      <w:r>
        <w:t>вают также некоторую обеспокоенность действу</w:t>
      </w:r>
      <w:r>
        <w:t>ю</w:t>
      </w:r>
      <w:r>
        <w:t>щие в автономных областях законы о выборах, к</w:t>
      </w:r>
      <w:r>
        <w:t>о</w:t>
      </w:r>
      <w:r>
        <w:t>торые, как представляется, не обеспечивают раве</w:t>
      </w:r>
      <w:r>
        <w:t>н</w:t>
      </w:r>
      <w:r>
        <w:t>ства мужчин и женщин, как это предусматривается Конвенцией. Она настоятельно призывает прав</w:t>
      </w:r>
      <w:r>
        <w:t>и</w:t>
      </w:r>
      <w:r>
        <w:t>тельство использовать все имеющиеся ресурсы, в том числе выделять государственные средства п</w:t>
      </w:r>
      <w:r>
        <w:t>о</w:t>
      </w:r>
      <w:r>
        <w:t>литическим партиям, для обеспечения избрания женщин на выборные должности и расширения представленности женщин в судебных органах и на дипломатической службе. Несмотря на то, что в высших слоях общества сложилось представление об образцовой роли женщины, фактически в нас</w:t>
      </w:r>
      <w:r>
        <w:t>е</w:t>
      </w:r>
      <w:r>
        <w:t>лении явно сохраняется существенное неравенство, наряду с патриархальными взглядами. Это находит свое отражение в большей безработице среди же</w:t>
      </w:r>
      <w:r>
        <w:t>н</w:t>
      </w:r>
      <w:r>
        <w:t>щин, размере оплаты их труда, которая в среднем на 30 процентов меньше, чем у мужчин, и высокой представленности женщин среди занятых неполный рабочий день и в секторах, не охваченных колле</w:t>
      </w:r>
      <w:r>
        <w:t>к</w:t>
      </w:r>
      <w:r>
        <w:t>тивными трудовыми договорами. Она выражает н</w:t>
      </w:r>
      <w:r>
        <w:t>а</w:t>
      </w:r>
      <w:r>
        <w:t>дежду на то, что в следующем докладе Испании б</w:t>
      </w:r>
      <w:r>
        <w:t>у</w:t>
      </w:r>
      <w:r>
        <w:t>дут приведены данные, отражающие усилия прав</w:t>
      </w:r>
      <w:r>
        <w:t>и</w:t>
      </w:r>
      <w:r>
        <w:t>тельства по искоренению гендерных стереотипов. Необходимо также представить количественные данные об улучшении положения иммигрантов (е</w:t>
      </w:r>
      <w:r>
        <w:t>с</w:t>
      </w:r>
      <w:r>
        <w:t>ли такое улучшение действительно произошло), п</w:t>
      </w:r>
      <w:r>
        <w:t>о</w:t>
      </w:r>
      <w:r>
        <w:t>скольку правительству, как представляется, не уд</w:t>
      </w:r>
      <w:r>
        <w:t>а</w:t>
      </w:r>
      <w:r>
        <w:t>лось оценить влияния своей антидискриминацио</w:t>
      </w:r>
      <w:r>
        <w:t>н</w:t>
      </w:r>
      <w:r>
        <w:t>ной политики на ситуацию этой категории насел</w:t>
      </w:r>
      <w:r>
        <w:t>е</w:t>
      </w:r>
      <w:r>
        <w:t>ния. Как указывает опыт работы Комитета, нево</w:t>
      </w:r>
      <w:r>
        <w:t>з</w:t>
      </w:r>
      <w:r>
        <w:t>можно осуществлять необходимые реформы по и</w:t>
      </w:r>
      <w:r>
        <w:t>с</w:t>
      </w:r>
      <w:r>
        <w:t>коренению дискриминации в отсутствие фактол</w:t>
      </w:r>
      <w:r>
        <w:t>о</w:t>
      </w:r>
      <w:r>
        <w:t>гической информации, которая позволила бы диа</w:t>
      </w:r>
      <w:r>
        <w:t>г</w:t>
      </w:r>
      <w:r>
        <w:t>ностировать проблему. Кроме того, женщины, пр</w:t>
      </w:r>
      <w:r>
        <w:t>и</w:t>
      </w:r>
      <w:r>
        <w:t>надлежащие к меньшинствам, зачастую сталкив</w:t>
      </w:r>
      <w:r>
        <w:t>а</w:t>
      </w:r>
      <w:r>
        <w:t>ются с различными формами дискриминации, и н</w:t>
      </w:r>
      <w:r>
        <w:t>е</w:t>
      </w:r>
      <w:r>
        <w:t>обходимо надлежащим образом изучить их ситу</w:t>
      </w:r>
      <w:r>
        <w:t>а</w:t>
      </w:r>
      <w:r>
        <w:t>цию. Нет ничего дискриминационного в уделении повышенного внимания этническим и гендерным аспектам в данном контексте. Что касается насилия в отношении женщин, то новый органический з</w:t>
      </w:r>
      <w:r>
        <w:t>а</w:t>
      </w:r>
      <w:r>
        <w:t>кон, к сожалению, направлен только на борьбу с бытовым насилием. Поскольку все виды насилия охвачены Уголовным кодексом, на всех их должно распространяться действие этого закона.</w:t>
      </w:r>
    </w:p>
    <w:p w:rsidR="00000000" w:rsidRDefault="00000000">
      <w:pPr>
        <w:pStyle w:val="DualTxt"/>
      </w:pPr>
      <w:r>
        <w:t>55.</w:t>
      </w:r>
      <w:r>
        <w:tab/>
        <w:t>В заключение она поздравляет Испанию в св</w:t>
      </w:r>
      <w:r>
        <w:t>я</w:t>
      </w:r>
      <w:r>
        <w:t>зи с ратификацией ею Факультативного протокола к Конвенции и настоятельно призывает ее также р</w:t>
      </w:r>
      <w:r>
        <w:t>а</w:t>
      </w:r>
      <w:r>
        <w:t>тифицировать поправку к пункту 1 статьи 20.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Заседание закрывается в 17 ч. 40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NO&gt;&gt;N0441546R&lt;&lt;ODS JOB NO&gt;&gt;</w:t>
      </w:r>
    </w:p>
    <w:p w:rsidR="00000000" w:rsidRDefault="00000000">
      <w:pPr>
        <w:pStyle w:val="CommentText"/>
      </w:pPr>
      <w:r>
        <w:t>&lt;&lt;ODS DOC SYMBOL1&gt;&gt;CEDAW/C/SR.650&lt;&lt;ODS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04-41546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*0441546*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/C/SR.650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29 March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65574F"/>
    <w:multiLevelType w:val="multilevel"/>
    <w:tmpl w:val="FB44FC14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C81B3C"/>
    <w:multiLevelType w:val="multilevel"/>
    <w:tmpl w:val="0966CB0C"/>
    <w:lvl w:ilvl="0">
      <w:start w:val="4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13C7857"/>
    <w:multiLevelType w:val="multilevel"/>
    <w:tmpl w:val="32C07F46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1F378B3"/>
    <w:multiLevelType w:val="multilevel"/>
    <w:tmpl w:val="E5BCE27C"/>
    <w:lvl w:ilvl="0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30A3B45"/>
    <w:multiLevelType w:val="multilevel"/>
    <w:tmpl w:val="15D4AA9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5D02713"/>
    <w:multiLevelType w:val="multilevel"/>
    <w:tmpl w:val="8F507918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B556DF"/>
    <w:multiLevelType w:val="multilevel"/>
    <w:tmpl w:val="619E62D0"/>
    <w:lvl w:ilvl="0">
      <w:start w:val="3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E2C71DB"/>
    <w:multiLevelType w:val="multilevel"/>
    <w:tmpl w:val="0FAC7DC8"/>
    <w:lvl w:ilvl="0">
      <w:start w:val="4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13A0C26"/>
    <w:multiLevelType w:val="multilevel"/>
    <w:tmpl w:val="85684986"/>
    <w:lvl w:ilvl="0">
      <w:start w:val="3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41C1F28"/>
    <w:multiLevelType w:val="multilevel"/>
    <w:tmpl w:val="DE982B8C"/>
    <w:lvl w:ilvl="0">
      <w:start w:val="42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9266BDD"/>
    <w:multiLevelType w:val="multilevel"/>
    <w:tmpl w:val="B52E1E70"/>
    <w:lvl w:ilvl="0">
      <w:start w:val="3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C43246"/>
    <w:multiLevelType w:val="multilevel"/>
    <w:tmpl w:val="CD444554"/>
    <w:lvl w:ilvl="0">
      <w:start w:val="1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D0D4166"/>
    <w:multiLevelType w:val="multilevel"/>
    <w:tmpl w:val="8E000026"/>
    <w:lvl w:ilvl="0">
      <w:start w:val="5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D6F5225"/>
    <w:multiLevelType w:val="multilevel"/>
    <w:tmpl w:val="B54A7E4A"/>
    <w:lvl w:ilvl="0">
      <w:start w:val="2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DF9176A"/>
    <w:multiLevelType w:val="multilevel"/>
    <w:tmpl w:val="335480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E37664D"/>
    <w:multiLevelType w:val="multilevel"/>
    <w:tmpl w:val="4BA4216E"/>
    <w:lvl w:ilvl="0">
      <w:start w:val="1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F80198F"/>
    <w:multiLevelType w:val="multilevel"/>
    <w:tmpl w:val="FEE8A386"/>
    <w:lvl w:ilvl="0">
      <w:start w:val="4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0A92A54"/>
    <w:multiLevelType w:val="multilevel"/>
    <w:tmpl w:val="4D1E0AEC"/>
    <w:lvl w:ilvl="0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2CC1FE4"/>
    <w:multiLevelType w:val="multilevel"/>
    <w:tmpl w:val="2A72A7AC"/>
    <w:lvl w:ilvl="0">
      <w:start w:val="4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4602CE8"/>
    <w:multiLevelType w:val="multilevel"/>
    <w:tmpl w:val="EA242350"/>
    <w:lvl w:ilvl="0">
      <w:start w:val="2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5137AE9"/>
    <w:multiLevelType w:val="multilevel"/>
    <w:tmpl w:val="923ED4B8"/>
    <w:lvl w:ilvl="0">
      <w:start w:val="3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27">
    <w:nsid w:val="301844D0"/>
    <w:multiLevelType w:val="multilevel"/>
    <w:tmpl w:val="2274420C"/>
    <w:lvl w:ilvl="0">
      <w:start w:val="1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0E5727E"/>
    <w:multiLevelType w:val="multilevel"/>
    <w:tmpl w:val="ACF6D93C"/>
    <w:lvl w:ilvl="0">
      <w:start w:val="2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4072189"/>
    <w:multiLevelType w:val="multilevel"/>
    <w:tmpl w:val="B866CCD0"/>
    <w:lvl w:ilvl="0">
      <w:start w:val="2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125ABF"/>
    <w:multiLevelType w:val="multilevel"/>
    <w:tmpl w:val="EC5ACF2E"/>
    <w:lvl w:ilvl="0">
      <w:start w:val="4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32">
    <w:nsid w:val="37E17AEE"/>
    <w:multiLevelType w:val="multilevel"/>
    <w:tmpl w:val="6B169A14"/>
    <w:lvl w:ilvl="0">
      <w:start w:val="2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A1209DA"/>
    <w:multiLevelType w:val="multilevel"/>
    <w:tmpl w:val="5714FBEA"/>
    <w:lvl w:ilvl="0">
      <w:start w:val="3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CB80DE3"/>
    <w:multiLevelType w:val="multilevel"/>
    <w:tmpl w:val="26A28A8E"/>
    <w:lvl w:ilvl="0">
      <w:start w:val="4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0997B01"/>
    <w:multiLevelType w:val="multilevel"/>
    <w:tmpl w:val="99FE40CE"/>
    <w:lvl w:ilvl="0">
      <w:start w:val="1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0CB6427"/>
    <w:multiLevelType w:val="multilevel"/>
    <w:tmpl w:val="2D72EDEE"/>
    <w:lvl w:ilvl="0">
      <w:start w:val="2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42BE2CA1"/>
    <w:multiLevelType w:val="multilevel"/>
    <w:tmpl w:val="7EA86D60"/>
    <w:lvl w:ilvl="0">
      <w:start w:val="5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3363ED4"/>
    <w:multiLevelType w:val="multilevel"/>
    <w:tmpl w:val="7E589E9A"/>
    <w:lvl w:ilvl="0">
      <w:start w:val="3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5CE2D30"/>
    <w:multiLevelType w:val="multilevel"/>
    <w:tmpl w:val="70A01DC6"/>
    <w:lvl w:ilvl="0">
      <w:start w:val="2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6097D4C"/>
    <w:multiLevelType w:val="multilevel"/>
    <w:tmpl w:val="D234D408"/>
    <w:lvl w:ilvl="0">
      <w:start w:val="2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4B123695"/>
    <w:multiLevelType w:val="multilevel"/>
    <w:tmpl w:val="871E06B8"/>
    <w:lvl w:ilvl="0">
      <w:start w:val="1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D4342EF"/>
    <w:multiLevelType w:val="multilevel"/>
    <w:tmpl w:val="DB387A3E"/>
    <w:lvl w:ilvl="0">
      <w:start w:val="5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DFB5314"/>
    <w:multiLevelType w:val="multilevel"/>
    <w:tmpl w:val="EAD69802"/>
    <w:lvl w:ilvl="0">
      <w:start w:val="3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2E302FB"/>
    <w:multiLevelType w:val="multilevel"/>
    <w:tmpl w:val="24D43440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B1E6519"/>
    <w:multiLevelType w:val="multilevel"/>
    <w:tmpl w:val="8AD20338"/>
    <w:lvl w:ilvl="0">
      <w:start w:val="3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E2B56B4"/>
    <w:multiLevelType w:val="multilevel"/>
    <w:tmpl w:val="84841A72"/>
    <w:lvl w:ilvl="0">
      <w:start w:val="1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AF3BE5"/>
    <w:multiLevelType w:val="multilevel"/>
    <w:tmpl w:val="B1E06A5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49">
    <w:nsid w:val="60200865"/>
    <w:multiLevelType w:val="multilevel"/>
    <w:tmpl w:val="2B0A835C"/>
    <w:lvl w:ilvl="0">
      <w:start w:val="5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1FC458A"/>
    <w:multiLevelType w:val="multilevel"/>
    <w:tmpl w:val="59548046"/>
    <w:lvl w:ilvl="0">
      <w:start w:val="2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3CD78F5"/>
    <w:multiLevelType w:val="multilevel"/>
    <w:tmpl w:val="93DCF68A"/>
    <w:lvl w:ilvl="0">
      <w:start w:val="4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DD47E8"/>
    <w:multiLevelType w:val="multilevel"/>
    <w:tmpl w:val="2A80F36E"/>
    <w:lvl w:ilvl="0">
      <w:start w:val="5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6F3A40EB"/>
    <w:multiLevelType w:val="multilevel"/>
    <w:tmpl w:val="F502DEC2"/>
    <w:lvl w:ilvl="0">
      <w:start w:val="1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0943E16"/>
    <w:multiLevelType w:val="multilevel"/>
    <w:tmpl w:val="6004002A"/>
    <w:lvl w:ilvl="0">
      <w:start w:val="4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0A41D5A"/>
    <w:multiLevelType w:val="multilevel"/>
    <w:tmpl w:val="F516F7DA"/>
    <w:lvl w:ilvl="0">
      <w:start w:val="1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23F2326"/>
    <w:multiLevelType w:val="multilevel"/>
    <w:tmpl w:val="CE2C0C9A"/>
    <w:lvl w:ilvl="0">
      <w:start w:val="2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32E02E2"/>
    <w:multiLevelType w:val="multilevel"/>
    <w:tmpl w:val="1968154E"/>
    <w:lvl w:ilvl="0">
      <w:start w:val="50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5701656"/>
    <w:multiLevelType w:val="multilevel"/>
    <w:tmpl w:val="A32C3882"/>
    <w:lvl w:ilvl="0">
      <w:start w:val="3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5AA43E2"/>
    <w:multiLevelType w:val="multilevel"/>
    <w:tmpl w:val="4574029A"/>
    <w:lvl w:ilvl="0">
      <w:start w:val="36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6C128B4"/>
    <w:multiLevelType w:val="multilevel"/>
    <w:tmpl w:val="25628980"/>
    <w:lvl w:ilvl="0">
      <w:start w:val="4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7FC43A7"/>
    <w:multiLevelType w:val="multilevel"/>
    <w:tmpl w:val="00E0F028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7F1F2E69"/>
    <w:multiLevelType w:val="multilevel"/>
    <w:tmpl w:val="306A97F8"/>
    <w:lvl w:ilvl="0">
      <w:start w:val="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F64058E"/>
    <w:multiLevelType w:val="multilevel"/>
    <w:tmpl w:val="858CB6EE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48"/>
  </w:num>
  <w:num w:numId="13">
    <w:abstractNumId w:val="26"/>
  </w:num>
  <w:num w:numId="14">
    <w:abstractNumId w:val="47"/>
  </w:num>
  <w:num w:numId="15">
    <w:abstractNumId w:val="9"/>
  </w:num>
  <w:num w:numId="16">
    <w:abstractNumId w:val="61"/>
  </w:num>
  <w:num w:numId="17">
    <w:abstractNumId w:val="10"/>
  </w:num>
  <w:num w:numId="18">
    <w:abstractNumId w:val="63"/>
  </w:num>
  <w:num w:numId="19">
    <w:abstractNumId w:val="7"/>
  </w:num>
  <w:num w:numId="20">
    <w:abstractNumId w:val="8"/>
  </w:num>
  <w:num w:numId="21">
    <w:abstractNumId w:val="19"/>
  </w:num>
  <w:num w:numId="22">
    <w:abstractNumId w:val="62"/>
  </w:num>
  <w:num w:numId="23">
    <w:abstractNumId w:val="22"/>
  </w:num>
  <w:num w:numId="24">
    <w:abstractNumId w:val="35"/>
  </w:num>
  <w:num w:numId="25">
    <w:abstractNumId w:val="5"/>
  </w:num>
  <w:num w:numId="26">
    <w:abstractNumId w:val="44"/>
  </w:num>
  <w:num w:numId="27">
    <w:abstractNumId w:val="20"/>
  </w:num>
  <w:num w:numId="28">
    <w:abstractNumId w:val="46"/>
  </w:num>
  <w:num w:numId="29">
    <w:abstractNumId w:val="27"/>
  </w:num>
  <w:num w:numId="30">
    <w:abstractNumId w:val="16"/>
  </w:num>
  <w:num w:numId="31">
    <w:abstractNumId w:val="53"/>
  </w:num>
  <w:num w:numId="32">
    <w:abstractNumId w:val="55"/>
  </w:num>
  <w:num w:numId="33">
    <w:abstractNumId w:val="41"/>
  </w:num>
  <w:num w:numId="34">
    <w:abstractNumId w:val="24"/>
  </w:num>
  <w:num w:numId="35">
    <w:abstractNumId w:val="40"/>
  </w:num>
  <w:num w:numId="36">
    <w:abstractNumId w:val="32"/>
  </w:num>
  <w:num w:numId="37">
    <w:abstractNumId w:val="28"/>
  </w:num>
  <w:num w:numId="38">
    <w:abstractNumId w:val="29"/>
  </w:num>
  <w:num w:numId="39">
    <w:abstractNumId w:val="50"/>
  </w:num>
  <w:num w:numId="40">
    <w:abstractNumId w:val="39"/>
  </w:num>
  <w:num w:numId="41">
    <w:abstractNumId w:val="56"/>
  </w:num>
  <w:num w:numId="42">
    <w:abstractNumId w:val="36"/>
  </w:num>
  <w:num w:numId="43">
    <w:abstractNumId w:val="18"/>
  </w:num>
  <w:num w:numId="44">
    <w:abstractNumId w:val="38"/>
  </w:num>
  <w:num w:numId="45">
    <w:abstractNumId w:val="58"/>
  </w:num>
  <w:num w:numId="46">
    <w:abstractNumId w:val="33"/>
  </w:num>
  <w:num w:numId="47">
    <w:abstractNumId w:val="13"/>
  </w:num>
  <w:num w:numId="48">
    <w:abstractNumId w:val="25"/>
  </w:num>
  <w:num w:numId="49">
    <w:abstractNumId w:val="11"/>
  </w:num>
  <w:num w:numId="50">
    <w:abstractNumId w:val="59"/>
  </w:num>
  <w:num w:numId="51">
    <w:abstractNumId w:val="43"/>
  </w:num>
  <w:num w:numId="52">
    <w:abstractNumId w:val="45"/>
  </w:num>
  <w:num w:numId="53">
    <w:abstractNumId w:val="15"/>
  </w:num>
  <w:num w:numId="54">
    <w:abstractNumId w:val="12"/>
  </w:num>
  <w:num w:numId="55">
    <w:abstractNumId w:val="23"/>
  </w:num>
  <w:num w:numId="56">
    <w:abstractNumId w:val="14"/>
  </w:num>
  <w:num w:numId="57">
    <w:abstractNumId w:val="60"/>
  </w:num>
  <w:num w:numId="58">
    <w:abstractNumId w:val="6"/>
  </w:num>
  <w:num w:numId="59">
    <w:abstractNumId w:val="21"/>
  </w:num>
  <w:num w:numId="60">
    <w:abstractNumId w:val="51"/>
  </w:num>
  <w:num w:numId="61">
    <w:abstractNumId w:val="54"/>
  </w:num>
  <w:num w:numId="62">
    <w:abstractNumId w:val="30"/>
  </w:num>
  <w:num w:numId="63">
    <w:abstractNumId w:val="34"/>
  </w:num>
  <w:num w:numId="64">
    <w:abstractNumId w:val="57"/>
  </w:num>
  <w:num w:numId="65">
    <w:abstractNumId w:val="17"/>
  </w:num>
  <w:num w:numId="66">
    <w:abstractNumId w:val="49"/>
  </w:num>
  <w:num w:numId="67">
    <w:abstractNumId w:val="42"/>
  </w:num>
  <w:num w:numId="68">
    <w:abstractNumId w:val="52"/>
  </w:num>
  <w:num w:numId="6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9/03/2005 8:17::22"/>
    <w:docVar w:name="DocCategory" w:val="SROthers"/>
    <w:docVar w:name="DocType" w:val="Final"/>
    <w:docVar w:name="JobNo" w:val="0441546R"/>
    <w:docVar w:name="OandT" w:val=" "/>
    <w:docVar w:name="Symbol1" w:val="CEDAW/C/SR.65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  <w:lang w:val="ru-RU" w:eastAsia="ru-RU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  <w:lang w:val="ru-RU" w:eastAsia="ru-RU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6044</Words>
  <Characters>34451</Characters>
  <Application>Microsoft Office Word</Application>
  <DocSecurity>4</DocSecurity>
  <Lines>287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42308</CharactersWithSpaces>
  <SharedDoc>false</SharedDoc>
  <HLinks>
    <vt:vector size="6" baseType="variant">
      <vt:variant>
        <vt:i4>4522087</vt:i4>
      </vt:variant>
      <vt:variant>
        <vt:i4>84824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Russian_text_proc</dc:creator>
  <cp:keywords/>
  <dc:description/>
  <cp:lastModifiedBy>Tatiana.Panichkina</cp:lastModifiedBy>
  <cp:revision>3</cp:revision>
  <cp:lastPrinted>2005-03-29T06:41:00Z</cp:lastPrinted>
  <dcterms:created xsi:type="dcterms:W3CDTF">2005-04-06T12:14:00Z</dcterms:created>
  <dcterms:modified xsi:type="dcterms:W3CDTF">2005-04-06T12:35:00Z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0441546</vt:lpwstr>
  </property>
  <property fmtid="{D5CDD505-2E9C-101B-9397-08002B2CF9AE}" pid="3" name="Symbol1">
    <vt:lpwstr>CEDAW/C/SR.650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