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A27" w:rsidRPr="00124FE1" w:rsidRDefault="002E5A27" w:rsidP="002E5A27">
      <w:pPr>
        <w:spacing w:line="60" w:lineRule="exact"/>
        <w:sectPr w:rsidR="002E5A27" w:rsidRPr="00124FE1" w:rsidSect="002E5A2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124FE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4-5Size =1Lang = C"/>
            <w10:wrap anchorx="page" anchory="page"/>
          </v:shape>
        </w:pict>
      </w:r>
      <w:commentRangeEnd w:id="0"/>
      <w:r w:rsidRPr="00124FE1">
        <w:rPr>
          <w:rStyle w:val="CommentReference"/>
        </w:rPr>
        <w:commentReference w:id="0"/>
      </w:r>
    </w:p>
    <w:p w:rsidR="002E5A27" w:rsidRPr="00124FE1" w:rsidRDefault="002E5A27" w:rsidP="002E5A27">
      <w:pPr>
        <w:spacing w:line="60" w:lineRule="exact"/>
      </w:pPr>
    </w:p>
    <w:p w:rsidR="005A2A2C" w:rsidRPr="00124FE1" w:rsidRDefault="005A2A2C" w:rsidP="005A2A2C">
      <w:pPr>
        <w:pStyle w:val="SingleTxt"/>
        <w:spacing w:after="360"/>
        <w:ind w:left="0"/>
        <w:rPr>
          <w:rFonts w:ascii="SimHei" w:eastAsia="SimHei" w:hint="eastAsia"/>
          <w:sz w:val="24"/>
          <w:szCs w:val="24"/>
        </w:rPr>
      </w:pPr>
      <w:r w:rsidRPr="00124FE1">
        <w:rPr>
          <w:rFonts w:ascii="SimHei" w:eastAsia="SimHei" w:hint="eastAsia"/>
          <w:sz w:val="24"/>
          <w:szCs w:val="24"/>
        </w:rPr>
        <w:t>消除对妇女歧视委员会</w:t>
      </w:r>
    </w:p>
    <w:p w:rsidR="005A2A2C" w:rsidRPr="00124FE1" w:rsidRDefault="005A2A2C" w:rsidP="005A2A2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pPr>
      <w:r w:rsidRPr="00124FE1">
        <w:tab/>
      </w:r>
      <w:r w:rsidRPr="00124FE1">
        <w:tab/>
      </w:r>
      <w:r w:rsidRPr="00124FE1">
        <w:rPr>
          <w:rFonts w:hint="eastAsia"/>
        </w:rPr>
        <w:t>与印度第四和第五次合并定期报告有关的议题和问题清单</w:t>
      </w:r>
      <w:r w:rsidRPr="00124FE1">
        <w:rPr>
          <w:rFonts w:ascii="Times New Roman"/>
          <w:vertAlign w:val="superscript"/>
        </w:rPr>
        <w:t>*</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124FE1">
        <w:rPr>
          <w:rFonts w:hint="eastAsia"/>
        </w:rPr>
        <w:tab/>
      </w:r>
      <w:r w:rsidRPr="00124FE1">
        <w:rPr>
          <w:rFonts w:hint="eastAsia"/>
        </w:rPr>
        <w:tab/>
        <w:t>例外报告的后续行动</w:t>
      </w:r>
    </w:p>
    <w:p w:rsidR="005A2A2C" w:rsidRPr="00124FE1" w:rsidRDefault="005A2A2C" w:rsidP="005A2A2C">
      <w:pPr>
        <w:framePr w:w="9792" w:h="432" w:hSpace="180" w:wrap="around" w:hAnchor="page" w:x="1210" w:yAlign="bottom"/>
        <w:spacing w:line="100" w:lineRule="exact"/>
        <w:rPr>
          <w:sz w:val="10"/>
        </w:rPr>
      </w:pPr>
    </w:p>
    <w:p w:rsidR="005A2A2C" w:rsidRPr="00124FE1" w:rsidRDefault="005A2A2C" w:rsidP="005A2A2C">
      <w:pPr>
        <w:framePr w:w="9792" w:h="432" w:hSpace="180" w:wrap="around" w:hAnchor="page" w:x="1210" w:yAlign="bottom"/>
        <w:spacing w:line="60" w:lineRule="exact"/>
        <w:rPr>
          <w:sz w:val="6"/>
        </w:rPr>
      </w:pPr>
      <w:r w:rsidRPr="00124FE1">
        <w:rPr>
          <w:noProof/>
          <w:sz w:val="6"/>
        </w:rPr>
        <w:pict>
          <v:line id="_x0000_s1027" style="position:absolute;left:0;text-align:left;z-index:2;mso-position-horizontal-relative:page" from="108pt,-1pt" to="180pt,-1pt" strokeweight=".25pt">
            <w10:wrap anchorx="page"/>
          </v:line>
        </w:pict>
      </w:r>
    </w:p>
    <w:p w:rsidR="005A2A2C" w:rsidRPr="00124FE1" w:rsidRDefault="005A2A2C" w:rsidP="005A2A2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124FE1">
        <w:rPr>
          <w:rFonts w:hint="eastAsia"/>
          <w:sz w:val="18"/>
        </w:rPr>
        <w:tab/>
      </w:r>
      <w:r w:rsidRPr="00124FE1">
        <w:rPr>
          <w:rFonts w:ascii="Times New Roman"/>
          <w:szCs w:val="21"/>
          <w:vertAlign w:val="superscript"/>
        </w:rPr>
        <w:t>*</w:t>
      </w:r>
      <w:r w:rsidRPr="00124FE1">
        <w:rPr>
          <w:rFonts w:hint="eastAsia"/>
          <w:sz w:val="18"/>
        </w:rPr>
        <w:tab/>
        <w:t>第五十八届会议会前工作组通过，会议时间从2013年10月21日至25日。</w:t>
      </w:r>
    </w:p>
    <w:p w:rsidR="005A2A2C" w:rsidRPr="00124FE1" w:rsidRDefault="005A2A2C" w:rsidP="005A2A2C">
      <w:pPr>
        <w:pStyle w:val="SingleTxt"/>
        <w:rPr>
          <w:rFonts w:hint="eastAsia"/>
        </w:rPr>
      </w:pPr>
      <w:r w:rsidRPr="00124FE1">
        <w:rPr>
          <w:rFonts w:hint="eastAsia"/>
        </w:rPr>
        <w:t>1.</w:t>
      </w:r>
      <w:r w:rsidRPr="00124FE1">
        <w:rPr>
          <w:rFonts w:hint="eastAsia"/>
        </w:rPr>
        <w:tab/>
      </w:r>
      <w:r w:rsidRPr="00124FE1">
        <w:rPr>
          <w:rFonts w:hint="eastAsia"/>
          <w:spacing w:val="-4"/>
        </w:rPr>
        <w:t>在2010年10月4日至22日举行的第四十七届会议上，委员会审议了缔约国关于2002年在古吉拉特发生的族群暴力对妇女影响的例外报告(</w:t>
      </w:r>
      <w:hyperlink r:id="rId14" w:history="1">
        <w:r w:rsidRPr="00124FE1">
          <w:rPr>
            <w:rStyle w:val="Hyperlink"/>
            <w:rFonts w:hint="eastAsia"/>
            <w:spacing w:val="-4"/>
            <w:u w:val="none"/>
          </w:rPr>
          <w:t>CEDAW/C/IND/SP.1</w:t>
        </w:r>
      </w:hyperlink>
      <w:r w:rsidRPr="00124FE1">
        <w:rPr>
          <w:rFonts w:hint="eastAsia"/>
          <w:spacing w:val="-4"/>
        </w:rPr>
        <w:t>)。</w:t>
      </w:r>
      <w:r w:rsidRPr="00124FE1">
        <w:rPr>
          <w:rFonts w:hint="eastAsia"/>
        </w:rPr>
        <w:t>在其结论意见(</w:t>
      </w:r>
      <w:hyperlink r:id="rId15" w:history="1">
        <w:r w:rsidRPr="00124FE1">
          <w:rPr>
            <w:rStyle w:val="Hyperlink"/>
            <w:rFonts w:hint="eastAsia"/>
            <w:u w:val="none"/>
          </w:rPr>
          <w:t>CEDAW/C/IND/CO/SP.1</w:t>
        </w:r>
      </w:hyperlink>
      <w:r w:rsidRPr="00124FE1">
        <w:rPr>
          <w:rFonts w:hint="eastAsia"/>
        </w:rPr>
        <w:t>)中，委员会对族群暴力期间普遍存在的暴力侵害妇女行为，尤其是性暴力表示关切。请按照委员会先前的要求(同上，第38段)提供资料，说明为执行上述结论意见所载建议采取的措施，因为第四和第五次合并定期报告未涉及那些建议。</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族群暴力</w:t>
      </w:r>
    </w:p>
    <w:p w:rsidR="005A2A2C" w:rsidRPr="00124FE1" w:rsidRDefault="005A2A2C" w:rsidP="005A2A2C">
      <w:pPr>
        <w:pStyle w:val="SingleTxt"/>
        <w:rPr>
          <w:rFonts w:hint="eastAsia"/>
        </w:rPr>
      </w:pPr>
      <w:r w:rsidRPr="00124FE1">
        <w:rPr>
          <w:rFonts w:hint="eastAsia"/>
        </w:rPr>
        <w:t>2.</w:t>
      </w:r>
      <w:r w:rsidRPr="00124FE1">
        <w:rPr>
          <w:rFonts w:hint="eastAsia"/>
        </w:rPr>
        <w:tab/>
      </w:r>
      <w:r w:rsidRPr="00124FE1">
        <w:rPr>
          <w:rFonts w:hint="eastAsia"/>
          <w:spacing w:val="-2"/>
        </w:rPr>
        <w:t>请按照委员会在先前结论意见中的建议(</w:t>
      </w:r>
      <w:hyperlink r:id="rId16" w:history="1">
        <w:r w:rsidRPr="00124FE1">
          <w:rPr>
            <w:rStyle w:val="Hyperlink"/>
            <w:rFonts w:hint="eastAsia"/>
            <w:spacing w:val="-2"/>
            <w:u w:val="none"/>
          </w:rPr>
          <w:t>CEDAW/C/IND/CO/3</w:t>
        </w:r>
      </w:hyperlink>
      <w:r w:rsidRPr="00124FE1">
        <w:rPr>
          <w:rFonts w:hint="eastAsia"/>
          <w:spacing w:val="-2"/>
        </w:rPr>
        <w:t>，第25段)提供资料，说明《族群暴力(预防、控制和受害人康复)法案》的状况，以及是否进行了修正。在缔约国族群暴力背景下，请说明为保护妇女和女孩，特别是属于宗教或文化少数群体的妇女和女孩免遭恣意攻击及防止再次发生族群暴力采取的措施。请提供资料，说明为族群暴力妇女受害者提供的赔偿方案。请说明是否在印度奥里萨邦坎达马县等发生过族群暴力的区域开展了和解进程，以及妇女是否参加其中。</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宪法和法律框架</w:t>
      </w:r>
    </w:p>
    <w:p w:rsidR="005A2A2C" w:rsidRPr="00124FE1" w:rsidRDefault="005A2A2C" w:rsidP="005A2A2C">
      <w:pPr>
        <w:pStyle w:val="SingleTxt"/>
        <w:rPr>
          <w:rFonts w:hint="eastAsia"/>
        </w:rPr>
      </w:pPr>
      <w:r w:rsidRPr="00124FE1">
        <w:rPr>
          <w:rFonts w:hint="eastAsia"/>
        </w:rPr>
        <w:t>3.</w:t>
      </w:r>
      <w:r w:rsidRPr="00124FE1">
        <w:rPr>
          <w:rFonts w:hint="eastAsia"/>
        </w:rPr>
        <w:tab/>
        <w:t>鉴于《宪法》界定了中央政府和各邦政府在保健和教育、社会保障以及结婚和离婚等领域的专属或并行管辖权(</w:t>
      </w:r>
      <w:hyperlink r:id="rId17" w:history="1">
        <w:r w:rsidRPr="00124FE1">
          <w:rPr>
            <w:rStyle w:val="Hyperlink"/>
            <w:rFonts w:hint="eastAsia"/>
            <w:u w:val="none"/>
          </w:rPr>
          <w:t>CEDAW/C/IND/4-5/Add.1</w:t>
        </w:r>
      </w:hyperlink>
      <w:r w:rsidRPr="00124FE1">
        <w:rPr>
          <w:rFonts w:hint="eastAsia"/>
        </w:rPr>
        <w:t>，第16段)，请提供资料说明为保证《公约》在缔约国全境内得到连贯一致的执行采取的措施。还请说明采取了哪些措施，以确保《公约》在缔约国《宪法》赋予特殊地位的查谟和克什米尔邦得到连贯一致的执行(同上)，并确保该邦执行中央政府颁布的有关妇女权利的法律。</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法律投诉机制</w:t>
      </w:r>
    </w:p>
    <w:p w:rsidR="005A2A2C" w:rsidRPr="00124FE1" w:rsidRDefault="005A2A2C" w:rsidP="00BB6F96">
      <w:pPr>
        <w:pStyle w:val="SingleTxt"/>
        <w:spacing w:line="328" w:lineRule="exact"/>
        <w:rPr>
          <w:rFonts w:hint="eastAsia"/>
        </w:rPr>
      </w:pPr>
      <w:r w:rsidRPr="00124FE1">
        <w:rPr>
          <w:rFonts w:hint="eastAsia"/>
        </w:rPr>
        <w:t>4.</w:t>
      </w:r>
      <w:r w:rsidRPr="00124FE1">
        <w:rPr>
          <w:rFonts w:hint="eastAsia"/>
        </w:rPr>
        <w:tab/>
        <w:t>请提供资料，说明为消除妇女在获得司法救助方面遭遇的多重障碍采取的措施，例如执法人员和司法机构对性别暴力妇女受害者所持的负面陈规定型观念和偏见，以及猖獗的腐败现象。请提供进一步资料，说明缔约国正常运作的性犯罪家庭法院和速审法院数目、人力和财政资源情况及其地域分布。请说明是否就处理暴力侵害妇女行为的能力方面，对速审法院和普通法院的专门知识及效率进行了比较评估。还请说明已立案的侵犯妇女权利案件，特别是暴力侵害妇女案件的数目，以及对此类违法行为犯罪人实施的调查、起诉和判决数目。</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提高妇女地位国家机构</w:t>
      </w:r>
    </w:p>
    <w:p w:rsidR="005A2A2C" w:rsidRPr="00124FE1" w:rsidRDefault="005A2A2C" w:rsidP="005A2A2C">
      <w:pPr>
        <w:pStyle w:val="SingleTxt"/>
        <w:rPr>
          <w:rFonts w:hint="eastAsia"/>
        </w:rPr>
      </w:pPr>
      <w:r w:rsidRPr="00124FE1">
        <w:rPr>
          <w:rFonts w:hint="eastAsia"/>
        </w:rPr>
        <w:t>5.</w:t>
      </w:r>
      <w:r w:rsidRPr="00124FE1">
        <w:rPr>
          <w:rFonts w:hint="eastAsia"/>
        </w:rPr>
        <w:tab/>
        <w:t>报告提到设立</w:t>
      </w:r>
      <w:r w:rsidR="00BB6F96" w:rsidRPr="00124FE1">
        <w:rPr>
          <w:rFonts w:hint="eastAsia"/>
        </w:rPr>
        <w:t>全</w:t>
      </w:r>
      <w:r w:rsidRPr="00124FE1">
        <w:rPr>
          <w:rFonts w:hint="eastAsia"/>
        </w:rPr>
        <w:t>国增强妇女权能</w:t>
      </w:r>
      <w:r w:rsidR="00BB6F96" w:rsidRPr="00124FE1">
        <w:rPr>
          <w:rFonts w:hint="eastAsia"/>
        </w:rPr>
        <w:t>特派团</w:t>
      </w:r>
      <w:r w:rsidRPr="00124FE1">
        <w:rPr>
          <w:rFonts w:hint="eastAsia"/>
        </w:rPr>
        <w:t>(2010-2015)。请提供详细资料，说明</w:t>
      </w:r>
      <w:r w:rsidR="00BB6F96" w:rsidRPr="00124FE1">
        <w:rPr>
          <w:rFonts w:hint="eastAsia"/>
        </w:rPr>
        <w:t>该特派团</w:t>
      </w:r>
      <w:r w:rsidRPr="00124FE1">
        <w:rPr>
          <w:rFonts w:hint="eastAsia"/>
        </w:rPr>
        <w:t>在缔约国的执行情况，包括成绩和挑战，以及采用的监测和评价机制。还请提供资料，说明妇女与儿童发展部采取了哪些行动，以确保中央和地方各级各部委及部门之间开展有效协调，从而整合与增强妇女权能有关的各项计划和方案(第14段)。</w:t>
      </w:r>
      <w:r w:rsidR="00BB6F96" w:rsidRPr="00124FE1">
        <w:rPr>
          <w:rStyle w:val="FootnoteReference"/>
        </w:rPr>
        <w:footnoteReference w:id="1"/>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国家人权机构</w:t>
      </w:r>
    </w:p>
    <w:p w:rsidR="005A2A2C" w:rsidRPr="00124FE1" w:rsidRDefault="005A2A2C" w:rsidP="00BB6F96">
      <w:pPr>
        <w:pStyle w:val="SingleTxt"/>
        <w:spacing w:line="328" w:lineRule="exact"/>
        <w:rPr>
          <w:rFonts w:hint="eastAsia"/>
        </w:rPr>
      </w:pPr>
      <w:r w:rsidRPr="00124FE1">
        <w:rPr>
          <w:rFonts w:hint="eastAsia"/>
        </w:rPr>
        <w:t>6.</w:t>
      </w:r>
      <w:r w:rsidRPr="00124FE1">
        <w:rPr>
          <w:rFonts w:hint="eastAsia"/>
        </w:rPr>
        <w:tab/>
      </w:r>
      <w:r w:rsidRPr="00124FE1">
        <w:rPr>
          <w:rFonts w:hint="eastAsia"/>
          <w:spacing w:val="-4"/>
        </w:rPr>
        <w:t>报告称，国家妇女委员会的任务是促进和保护缔约国妇女的权利(</w:t>
      </w:r>
      <w:hyperlink r:id="rId18" w:history="1">
        <w:r w:rsidRPr="00124FE1">
          <w:rPr>
            <w:rStyle w:val="Hyperlink"/>
            <w:rFonts w:hint="eastAsia"/>
            <w:spacing w:val="-4"/>
            <w:u w:val="none"/>
          </w:rPr>
          <w:t>CEDAW/C/IND/</w:t>
        </w:r>
        <w:r w:rsidR="00BB6F96" w:rsidRPr="00124FE1">
          <w:rPr>
            <w:rStyle w:val="Hyperlink"/>
            <w:rFonts w:hint="eastAsia"/>
            <w:spacing w:val="-4"/>
            <w:u w:val="none"/>
          </w:rPr>
          <w:t xml:space="preserve"> </w:t>
        </w:r>
        <w:r w:rsidRPr="00124FE1">
          <w:rPr>
            <w:rStyle w:val="Hyperlink"/>
            <w:rFonts w:hint="eastAsia"/>
            <w:spacing w:val="-4"/>
            <w:u w:val="none"/>
          </w:rPr>
          <w:t>4-5/Add.1</w:t>
        </w:r>
      </w:hyperlink>
      <w:r w:rsidRPr="00124FE1">
        <w:rPr>
          <w:rFonts w:hint="eastAsia"/>
          <w:spacing w:val="-4"/>
        </w:rPr>
        <w:t>，</w:t>
      </w:r>
      <w:r w:rsidRPr="00124FE1">
        <w:rPr>
          <w:rFonts w:hint="eastAsia"/>
        </w:rPr>
        <w:t>第37段)。请提供详细资料,说明国家妇女委员会的任务规定、组成及人力和财政资源情况。还请提供资料，说明国家妇女委员会的个人投诉程序，处理了多少起投诉以及委员们在其调查中是否利用了《公约》。鉴于国家妇女委员会及邦一级妇女事务委员会是根据不同法规建立的，还请提供资料，说明为确保各项妇女权利在所有各邦的管辖权内受到保护采取的措施，并说明邦一级委员会与国家妇女委员会之间的合作程度。请提供资料，说明全国人权委员会与国家妇女委员会的任务和行动关联性，以及两者间合作程度。</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暂行特别措施</w:t>
      </w:r>
    </w:p>
    <w:p w:rsidR="005A2A2C" w:rsidRPr="00124FE1" w:rsidRDefault="005A2A2C" w:rsidP="005A2A2C">
      <w:pPr>
        <w:pStyle w:val="SingleTxt"/>
        <w:rPr>
          <w:rFonts w:hint="eastAsia"/>
        </w:rPr>
      </w:pPr>
      <w:r w:rsidRPr="00124FE1">
        <w:rPr>
          <w:rFonts w:hint="eastAsia"/>
        </w:rPr>
        <w:t>7.</w:t>
      </w:r>
      <w:r w:rsidRPr="00124FE1">
        <w:rPr>
          <w:rFonts w:hint="eastAsia"/>
        </w:rPr>
        <w:tab/>
        <w:t>得到的资料表明，缔约国未充分理解暂行特别措施的性质和范围(第22</w:t>
      </w:r>
      <w:r w:rsidR="00E05127">
        <w:t>-</w:t>
      </w:r>
      <w:r w:rsidRPr="00124FE1">
        <w:rPr>
          <w:rFonts w:hint="eastAsia"/>
        </w:rPr>
        <w:t>24段)。请提供资料，说明按照委员会关于暂行特别措施的第25号一般性建议可采取的暂行特别措施，以便在《公约》涵盖的所有领域内加速实现男女事实上的平等，特别是在教育、就业和妇女参与政治与公共生活领域。</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陈规定型观念和有害做法</w:t>
      </w:r>
    </w:p>
    <w:p w:rsidR="005A2A2C" w:rsidRPr="00124FE1" w:rsidRDefault="005A2A2C" w:rsidP="005A2A2C">
      <w:pPr>
        <w:pStyle w:val="SingleTxt"/>
        <w:rPr>
          <w:rFonts w:hint="eastAsia"/>
        </w:rPr>
      </w:pPr>
      <w:r w:rsidRPr="00124FE1">
        <w:rPr>
          <w:rFonts w:hint="eastAsia"/>
        </w:rPr>
        <w:t>8.</w:t>
      </w:r>
      <w:r w:rsidRPr="00124FE1">
        <w:rPr>
          <w:rFonts w:hint="eastAsia"/>
        </w:rPr>
        <w:tab/>
      </w:r>
      <w:r w:rsidRPr="00124FE1">
        <w:rPr>
          <w:rFonts w:hint="eastAsia"/>
          <w:spacing w:val="4"/>
        </w:rPr>
        <w:t>报告称已采取各种措施应对缔约国社会内有关男女角色的有害做法及性别陈规定型观念(第25段)。报告还称，国家妇女委员会已研究关于禁止嫁妆、童婚、针对胎儿性别进行选择性人工流产、殉夫自焚、寺庙舞女祭奠、猎巫、被浇酸液及所谓“名誉杀人”等侵害妇女和女孩的有害做法的各项法律效力(</w:t>
      </w:r>
      <w:hyperlink r:id="rId19" w:history="1">
        <w:r w:rsidRPr="00124FE1">
          <w:rPr>
            <w:rStyle w:val="Hyperlink"/>
            <w:rFonts w:hint="eastAsia"/>
            <w:spacing w:val="4"/>
            <w:u w:val="none"/>
          </w:rPr>
          <w:t>CEDAW/C/IND/4-5/Add.1</w:t>
        </w:r>
      </w:hyperlink>
      <w:r w:rsidRPr="00124FE1">
        <w:rPr>
          <w:rFonts w:hint="eastAsia"/>
          <w:spacing w:val="4"/>
        </w:rPr>
        <w:t>，</w:t>
      </w:r>
      <w:r w:rsidRPr="00124FE1">
        <w:rPr>
          <w:rFonts w:hint="eastAsia"/>
        </w:rPr>
        <w:t>第38段)。请提供资料，说明上述研究结果，并提供上述法律和其他措施的具体例子</w:t>
      </w:r>
      <w:r w:rsidR="00BB6F96" w:rsidRPr="00124FE1">
        <w:rPr>
          <w:rFonts w:hint="eastAsia"/>
        </w:rPr>
        <w:t>，</w:t>
      </w:r>
      <w:r w:rsidRPr="00124FE1">
        <w:rPr>
          <w:rFonts w:hint="eastAsia"/>
        </w:rPr>
        <w:t>以及在消除侵害妇女和女孩的有害做法方面取得的成果。还请提供资料，说明采取了哪些措施以改变描述妇女社会从属地位的性别陈规定型观念和文化信仰，包括教科书和媒体中的上述描述。</w:t>
      </w:r>
    </w:p>
    <w:p w:rsidR="005A2A2C" w:rsidRPr="00124FE1" w:rsidRDefault="005A2A2C" w:rsidP="00BB6F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tab/>
      </w:r>
      <w:r w:rsidR="00BB6F96" w:rsidRPr="00124FE1">
        <w:rPr>
          <w:rFonts w:hint="eastAsia"/>
        </w:rPr>
        <w:tab/>
      </w:r>
      <w:r w:rsidRPr="00124FE1">
        <w:rPr>
          <w:rFonts w:hint="eastAsia"/>
        </w:rPr>
        <w:t>暴力侵害妇女行为</w:t>
      </w:r>
    </w:p>
    <w:p w:rsidR="005A2A2C" w:rsidRPr="00124FE1" w:rsidRDefault="005A2A2C" w:rsidP="00BB6F96">
      <w:pPr>
        <w:pStyle w:val="SingleTxt"/>
        <w:spacing w:line="326" w:lineRule="exact"/>
        <w:rPr>
          <w:rFonts w:hint="eastAsia"/>
        </w:rPr>
      </w:pPr>
      <w:r w:rsidRPr="00124FE1">
        <w:rPr>
          <w:rFonts w:hint="eastAsia"/>
        </w:rPr>
        <w:t>9.</w:t>
      </w:r>
      <w:r w:rsidRPr="00124FE1">
        <w:rPr>
          <w:rFonts w:hint="eastAsia"/>
        </w:rPr>
        <w:tab/>
        <w:t>鉴于缔约国境内暴力侵害妇女的行为极为普遍，请根据委员会先前结论意见中的建议(</w:t>
      </w:r>
      <w:hyperlink r:id="rId20" w:history="1">
        <w:r w:rsidRPr="00124FE1">
          <w:rPr>
            <w:rStyle w:val="Hyperlink"/>
            <w:rFonts w:hint="eastAsia"/>
            <w:u w:val="none"/>
          </w:rPr>
          <w:t>CEDAW/C/IND/CO/3</w:t>
        </w:r>
      </w:hyperlink>
      <w:r w:rsidRPr="00124FE1">
        <w:rPr>
          <w:rFonts w:hint="eastAsia"/>
        </w:rPr>
        <w:t>，第21段)提供资料，说明为在私人和公共领域全面消除暴力侵害妇女和女孩行为所采取或设想的措施。还请提供详细资料，说明为全面落实</w:t>
      </w:r>
      <w:proofErr w:type="spellStart"/>
      <w:r w:rsidRPr="00124FE1">
        <w:rPr>
          <w:rFonts w:hint="eastAsia"/>
        </w:rPr>
        <w:t>Verma</w:t>
      </w:r>
      <w:proofErr w:type="spellEnd"/>
      <w:r w:rsidRPr="00124FE1">
        <w:rPr>
          <w:rFonts w:hint="eastAsia"/>
        </w:rPr>
        <w:t>法官领导的刑法修正委员会的建议采取的</w:t>
      </w:r>
      <w:r w:rsidR="00BB6F96" w:rsidRPr="00124FE1">
        <w:rPr>
          <w:rFonts w:hint="eastAsia"/>
        </w:rPr>
        <w:t>立</w:t>
      </w:r>
      <w:r w:rsidRPr="00124FE1">
        <w:rPr>
          <w:rFonts w:hint="eastAsia"/>
        </w:rPr>
        <w:t>法及其他措施，上述委员会是为应对2012年12月16日1名23岁妇女在公交车上遭到轮奸事件而成立的。请按照委员会在先前结论意见中的建议(同上，第23段)提供资料，说明采取了哪些措施扩大《刑法》中的强奸定义，以列入婚内强奸。请提供进一步资料，说明除了为面临危险的妇女建立暂住房屋外，还采取了哪些其他措施以充分满足暴力行为妇女受害者的需要(第31段)。</w:t>
      </w:r>
    </w:p>
    <w:p w:rsidR="005A2A2C" w:rsidRPr="00124FE1" w:rsidRDefault="005A2A2C" w:rsidP="005A2A2C">
      <w:pPr>
        <w:pStyle w:val="SingleTxt"/>
        <w:rPr>
          <w:rFonts w:hint="eastAsia"/>
        </w:rPr>
      </w:pPr>
      <w:r w:rsidRPr="00124FE1">
        <w:rPr>
          <w:rFonts w:hint="eastAsia"/>
        </w:rPr>
        <w:t>10.</w:t>
      </w:r>
      <w:r w:rsidRPr="00124FE1">
        <w:rPr>
          <w:rFonts w:hint="eastAsia"/>
        </w:rPr>
        <w:tab/>
      </w:r>
      <w:r w:rsidRPr="00124FE1">
        <w:rPr>
          <w:rFonts w:hint="eastAsia"/>
          <w:spacing w:val="-4"/>
        </w:rPr>
        <w:t>请提供资料，说明采取了哪些措施以防止和保护妇女和女孩在缔约国所谓“动乱地区”的军事行动期间免遭包括性暴力在内的暴力侵害，特别是在查谟和克什米尔及东北各邦。还请说明，在1 429宗指控军事和准军事部队实施侵犯人权行为的立案投诉中，有多少宗涉及包括性暴力在内的暴力侵害妇女行为，并提供资料说明裁决上述投诉中的1 332宗为不实投诉的基础(</w:t>
      </w:r>
      <w:hyperlink r:id="rId21" w:history="1">
        <w:r w:rsidRPr="00124FE1">
          <w:rPr>
            <w:rStyle w:val="Hyperlink"/>
            <w:rFonts w:hint="eastAsia"/>
            <w:spacing w:val="-4"/>
            <w:u w:val="none"/>
          </w:rPr>
          <w:t>CEDAW/C/IND/4-5/Add.1</w:t>
        </w:r>
      </w:hyperlink>
      <w:r w:rsidRPr="00124FE1">
        <w:rPr>
          <w:rFonts w:hint="eastAsia"/>
          <w:spacing w:val="-4"/>
        </w:rPr>
        <w:t>，</w:t>
      </w:r>
      <w:r w:rsidRPr="00124FE1">
        <w:rPr>
          <w:rFonts w:hint="eastAsia"/>
        </w:rPr>
        <w:t>第65段)。请提供资料，说明为废除《武装部队特别权力法》(1958</w:t>
      </w:r>
      <w:r w:rsidR="00216C6B" w:rsidRPr="00124FE1">
        <w:rPr>
          <w:rFonts w:hint="eastAsia"/>
        </w:rPr>
        <w:t>年</w:t>
      </w:r>
      <w:r w:rsidRPr="00124FE1">
        <w:rPr>
          <w:rFonts w:hint="eastAsia"/>
        </w:rPr>
        <w:t>)采取的措施，该法的解释和执行已造成对侵犯人权行为有罪不罚的现象。</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贩运妇女和利用妇女卖淫营利</w:t>
      </w:r>
    </w:p>
    <w:p w:rsidR="005A2A2C" w:rsidRPr="00124FE1" w:rsidRDefault="005A2A2C" w:rsidP="005A2A2C">
      <w:pPr>
        <w:pStyle w:val="SingleTxt"/>
        <w:rPr>
          <w:rFonts w:hint="eastAsia"/>
        </w:rPr>
      </w:pPr>
      <w:r w:rsidRPr="00124FE1">
        <w:rPr>
          <w:rFonts w:hint="eastAsia"/>
        </w:rPr>
        <w:t>11.</w:t>
      </w:r>
      <w:r w:rsidRPr="00124FE1">
        <w:rPr>
          <w:rFonts w:hint="eastAsia"/>
        </w:rPr>
        <w:tab/>
      </w:r>
      <w:r w:rsidRPr="00124FE1">
        <w:rPr>
          <w:rFonts w:hint="eastAsia"/>
          <w:spacing w:val="-4"/>
        </w:rPr>
        <w:t>报告指出，《宪法》第23条禁止贩运人口，而且各项立法体现了解决这一现象的法律框架(第29段)。请说明缔约国是否设想根据国际标准制定关于贩运人口问题的全面立法</w:t>
      </w:r>
      <w:r w:rsidRPr="00124FE1">
        <w:rPr>
          <w:rFonts w:hint="eastAsia"/>
          <w:spacing w:val="-40"/>
        </w:rPr>
        <w:t>。</w:t>
      </w:r>
      <w:r w:rsidRPr="00124FE1">
        <w:rPr>
          <w:rFonts w:hint="eastAsia"/>
          <w:spacing w:val="-4"/>
        </w:rPr>
        <w:t>还请提供资料，说明</w:t>
      </w:r>
      <w:r w:rsidR="00216C6B" w:rsidRPr="00124FE1">
        <w:rPr>
          <w:rFonts w:hint="eastAsia"/>
          <w:spacing w:val="-4"/>
        </w:rPr>
        <w:t>缔约国国内外</w:t>
      </w:r>
      <w:r w:rsidRPr="00124FE1">
        <w:rPr>
          <w:rFonts w:hint="eastAsia"/>
          <w:spacing w:val="-4"/>
        </w:rPr>
        <w:t>贩运妇女和女孩的猖獗程度，以及发生这种贩运妇女行为的原因(例如性剥削</w:t>
      </w:r>
      <w:r w:rsidRPr="00124FE1">
        <w:rPr>
          <w:rFonts w:hint="eastAsia"/>
          <w:spacing w:val="-40"/>
        </w:rPr>
        <w:t>、</w:t>
      </w:r>
      <w:r w:rsidRPr="00124FE1">
        <w:rPr>
          <w:rFonts w:hint="eastAsia"/>
          <w:spacing w:val="-4"/>
        </w:rPr>
        <w:t>劳动力剥削、奴役、器官摘除)。还请提供资料,说明分别于2006年和2007年推出的打击人口贩运股及“</w:t>
      </w:r>
      <w:proofErr w:type="spellStart"/>
      <w:r w:rsidRPr="00124FE1">
        <w:rPr>
          <w:rFonts w:hint="eastAsia"/>
          <w:spacing w:val="-4"/>
        </w:rPr>
        <w:t>Ujjawala</w:t>
      </w:r>
      <w:proofErr w:type="spellEnd"/>
      <w:r w:rsidRPr="00124FE1">
        <w:rPr>
          <w:rFonts w:hint="eastAsia"/>
          <w:spacing w:val="-4"/>
        </w:rPr>
        <w:t>”计划的任务规定和成绩(第30段)</w:t>
      </w:r>
      <w:r w:rsidRPr="00124FE1">
        <w:rPr>
          <w:rFonts w:hint="eastAsia"/>
          <w:spacing w:val="-40"/>
        </w:rPr>
        <w:t>。</w:t>
      </w:r>
      <w:r w:rsidRPr="00124FE1">
        <w:rPr>
          <w:rFonts w:hint="eastAsia"/>
          <w:spacing w:val="-4"/>
        </w:rPr>
        <w:t>请提供资料</w:t>
      </w:r>
      <w:r w:rsidRPr="00124FE1">
        <w:rPr>
          <w:rFonts w:hint="eastAsia"/>
          <w:spacing w:val="-40"/>
        </w:rPr>
        <w:t>，</w:t>
      </w:r>
      <w:r w:rsidRPr="00124FE1">
        <w:rPr>
          <w:rFonts w:hint="eastAsia"/>
          <w:spacing w:val="-4"/>
        </w:rPr>
        <w:t>说明全国人权委员会制订的</w:t>
      </w:r>
      <w:r w:rsidRPr="00124FE1">
        <w:rPr>
          <w:rFonts w:hint="eastAsia"/>
          <w:spacing w:val="-40"/>
        </w:rPr>
        <w:t>、</w:t>
      </w:r>
      <w:r w:rsidRPr="00124FE1">
        <w:rPr>
          <w:rFonts w:hint="eastAsia"/>
          <w:spacing w:val="-4"/>
        </w:rPr>
        <w:t>将儿童和妇女作为特别重点的防止和打击贩运人口综合行动计划的情况(</w:t>
      </w:r>
      <w:hyperlink r:id="rId22" w:history="1">
        <w:r w:rsidRPr="00124FE1">
          <w:rPr>
            <w:rStyle w:val="Hyperlink"/>
            <w:rFonts w:hint="eastAsia"/>
            <w:spacing w:val="-4"/>
            <w:u w:val="none"/>
          </w:rPr>
          <w:t>CEDAW/C/IND/4-5/Add.1</w:t>
        </w:r>
      </w:hyperlink>
      <w:r w:rsidRPr="00124FE1">
        <w:rPr>
          <w:rFonts w:hint="eastAsia"/>
          <w:spacing w:val="-4"/>
        </w:rPr>
        <w:t>，第41段)。请提供资料，说明缔约国境内利用妇女卖淫营利的情况，包括是否将卖淫定为刑事犯罪，以及为保障从事卖淫活动妇女的权利采取的措施。</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参与政治和公共生活</w:t>
      </w:r>
    </w:p>
    <w:p w:rsidR="005A2A2C" w:rsidRPr="00124FE1" w:rsidRDefault="005A2A2C" w:rsidP="005A2A2C">
      <w:pPr>
        <w:pStyle w:val="SingleTxt"/>
        <w:rPr>
          <w:rFonts w:hint="eastAsia"/>
        </w:rPr>
      </w:pPr>
      <w:r w:rsidRPr="00124FE1">
        <w:rPr>
          <w:rFonts w:hint="eastAsia"/>
        </w:rPr>
        <w:t>12.</w:t>
      </w:r>
      <w:r w:rsidRPr="00124FE1">
        <w:rPr>
          <w:rFonts w:hint="eastAsia"/>
        </w:rPr>
        <w:tab/>
        <w:t>请提供资料，说明旨在确保议会及各邦立法机构内有33%的妇女配额的《宪法(第108次修正)法案》状况(第34段)。还请提供资料，说明《妇女(职位保留)法案》(2012</w:t>
      </w:r>
      <w:r w:rsidR="00216C6B" w:rsidRPr="00124FE1">
        <w:rPr>
          <w:rFonts w:hint="eastAsia"/>
        </w:rPr>
        <w:t>年</w:t>
      </w:r>
      <w:r w:rsidRPr="00124FE1">
        <w:rPr>
          <w:rFonts w:hint="eastAsia"/>
        </w:rPr>
        <w:t>)的状况，该法案旨在将公共部门所有任命和职位的33</w:t>
      </w:r>
      <w:r w:rsidR="00E05127">
        <w:t>%</w:t>
      </w:r>
      <w:r w:rsidRPr="00124FE1">
        <w:rPr>
          <w:rFonts w:hint="eastAsia"/>
        </w:rPr>
        <w:t>保留给妇女。请提供资料，说明为解决该国某些区域的妇女在参与政治与公共生活时面临的诸如所谓“两个孩子规范”等障碍而采取的措施。请提供资料，说明为增加最高法院、高等法院和刑事法院女法官的人数采取的措施。还请提供最新资料，说明2012年9月最高法院关于全国人权委员会的妇女委员任命人数裁决的执行情</w:t>
      </w:r>
      <w:bookmarkStart w:id="1" w:name="TmpSave"/>
      <w:bookmarkEnd w:id="1"/>
      <w:r w:rsidRPr="00124FE1">
        <w:rPr>
          <w:rFonts w:hint="eastAsia"/>
        </w:rPr>
        <w:t>况。</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教育</w:t>
      </w:r>
    </w:p>
    <w:p w:rsidR="005A2A2C" w:rsidRPr="00124FE1" w:rsidRDefault="005A2A2C" w:rsidP="00BB6F96">
      <w:pPr>
        <w:pStyle w:val="SingleTxt"/>
        <w:spacing w:line="326" w:lineRule="exact"/>
        <w:rPr>
          <w:rFonts w:hint="eastAsia"/>
        </w:rPr>
      </w:pPr>
      <w:r w:rsidRPr="00124FE1">
        <w:rPr>
          <w:rFonts w:hint="eastAsia"/>
        </w:rPr>
        <w:t>13.</w:t>
      </w:r>
      <w:r w:rsidRPr="00124FE1">
        <w:rPr>
          <w:rFonts w:hint="eastAsia"/>
        </w:rPr>
        <w:tab/>
      </w:r>
      <w:r w:rsidRPr="00124FE1">
        <w:rPr>
          <w:rFonts w:hint="eastAsia"/>
          <w:spacing w:val="-4"/>
        </w:rPr>
        <w:t>请提供详细资料，说明《儿童免费义务教育权利法》(2009</w:t>
      </w:r>
      <w:r w:rsidR="00216C6B" w:rsidRPr="00124FE1">
        <w:rPr>
          <w:rFonts w:hint="eastAsia"/>
          <w:spacing w:val="-4"/>
        </w:rPr>
        <w:t>年</w:t>
      </w:r>
      <w:r w:rsidRPr="00124FE1">
        <w:rPr>
          <w:rFonts w:hint="eastAsia"/>
          <w:spacing w:val="-4"/>
        </w:rPr>
        <w:t>)所载、旨在保障女孩有受教育机会的各项条款情况，并说明其在该国各地的执行情况(第10段)。还请提供资料，说明通过女孩初等教育国家方案等现有方案，在缩小在册种姓和在册部落内小学性别差距方面的成绩和挑战(第48段)。请说明采取了哪些行动，以落实负责编写印度穆斯林族群社会、经济和教育状况报告的高级别委员会(萨哈尔委员会)提出的有关为穆斯林女孩提供受教育机会的各项建议(</w:t>
      </w:r>
      <w:hyperlink r:id="rId23" w:history="1">
        <w:r w:rsidRPr="00124FE1">
          <w:rPr>
            <w:rStyle w:val="Hyperlink"/>
            <w:rFonts w:hint="eastAsia"/>
            <w:spacing w:val="-4"/>
            <w:u w:val="none"/>
          </w:rPr>
          <w:t>CEDAW/C/IND/CO/3</w:t>
        </w:r>
      </w:hyperlink>
      <w:r w:rsidRPr="00124FE1">
        <w:rPr>
          <w:rFonts w:hint="eastAsia"/>
          <w:spacing w:val="-4"/>
        </w:rPr>
        <w:t>，第33段)。</w:t>
      </w:r>
      <w:r w:rsidRPr="00124FE1">
        <w:rPr>
          <w:rFonts w:hint="eastAsia"/>
        </w:rPr>
        <w:t>请提供资料，说明旨在使中等教育对所有青少年而言可用、便利和负担得起的各项现有方案(第51-52段)如何纳入性别平等观点，并考虑到少女在清洁卫生设施等方面的特殊需要，从而提高女孩入学率并防止其辍学。请说明为确保穆斯林女孩及属于在册种姓和在册部落的女孩有接受中等和高等教育机会而设想或实行的措施。还请说明为鼓励年轻妇女报考大学非传统教育领域所实行的措施(第57段)。</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就业</w:t>
      </w:r>
    </w:p>
    <w:p w:rsidR="005A2A2C" w:rsidRPr="00124FE1" w:rsidRDefault="005A2A2C" w:rsidP="00BB6F96">
      <w:pPr>
        <w:pStyle w:val="SingleTxt"/>
        <w:spacing w:line="326" w:lineRule="exact"/>
        <w:rPr>
          <w:rFonts w:hint="eastAsia"/>
        </w:rPr>
      </w:pPr>
      <w:r w:rsidRPr="00124FE1">
        <w:rPr>
          <w:rFonts w:hint="eastAsia"/>
        </w:rPr>
        <w:t>14.</w:t>
      </w:r>
      <w:r w:rsidRPr="00124FE1">
        <w:rPr>
          <w:rFonts w:hint="eastAsia"/>
        </w:rPr>
        <w:tab/>
        <w:t>妇女参与有酬工作的程度仍然极低，在劳动队伍中的比例为26%(第63段)。请提供资料，说明为鼓励和协助妇女进入公共和私营部门有酬工作岗位所采取的具体措施。还请提供资料，说明采取了哪些措施，以有效解决城市和农村地区从事临时和正式工作的男女工资差异，包括确保遵守2009年《支付薪酬(提名)规定》(第67段)。请提供资料，说明《无组织工人社会保障法》(2008</w:t>
      </w:r>
      <w:r w:rsidR="00216C6B" w:rsidRPr="00124FE1">
        <w:rPr>
          <w:rFonts w:hint="eastAsia"/>
        </w:rPr>
        <w:t>年</w:t>
      </w:r>
      <w:r w:rsidRPr="00124FE1">
        <w:rPr>
          <w:rFonts w:hint="eastAsia"/>
        </w:rPr>
        <w:t>)的执行情况，具体说明为在非正式部门工作的妇女拟订的社会保障计划(第64段)。请提供详细资料，说明《打击在工作场所对妇女的性骚扰(预防、禁止和矫正)法》(2013</w:t>
      </w:r>
      <w:r w:rsidR="00216C6B" w:rsidRPr="00124FE1">
        <w:rPr>
          <w:rFonts w:hint="eastAsia"/>
        </w:rPr>
        <w:t>年</w:t>
      </w:r>
      <w:r w:rsidRPr="00124FE1">
        <w:rPr>
          <w:rFonts w:hint="eastAsia"/>
        </w:rPr>
        <w:t>)规定的</w:t>
      </w:r>
      <w:r w:rsidR="00216C6B" w:rsidRPr="00124FE1">
        <w:rPr>
          <w:rFonts w:hint="eastAsia"/>
        </w:rPr>
        <w:t>纠</w:t>
      </w:r>
      <w:r w:rsidRPr="00124FE1">
        <w:rPr>
          <w:rFonts w:hint="eastAsia"/>
        </w:rPr>
        <w:t>正机制和赔偿措施，以及该法律的执行状况。</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保健</w:t>
      </w:r>
    </w:p>
    <w:p w:rsidR="005A2A2C" w:rsidRPr="00124FE1" w:rsidRDefault="005A2A2C" w:rsidP="00BB6F96">
      <w:pPr>
        <w:pStyle w:val="SingleTxt"/>
        <w:spacing w:line="326" w:lineRule="exact"/>
        <w:rPr>
          <w:rFonts w:hint="eastAsia"/>
        </w:rPr>
      </w:pPr>
      <w:r w:rsidRPr="00124FE1">
        <w:rPr>
          <w:rFonts w:hint="eastAsia"/>
        </w:rPr>
        <w:t>15.</w:t>
      </w:r>
      <w:r w:rsidRPr="00124FE1">
        <w:rPr>
          <w:rFonts w:hint="eastAsia"/>
        </w:rPr>
        <w:tab/>
        <w:t>据报告称(第76和78段)</w:t>
      </w:r>
      <w:r w:rsidR="00E05127">
        <w:rPr>
          <w:rFonts w:hint="eastAsia"/>
        </w:rPr>
        <w:t>，缔约国已通过</w:t>
      </w:r>
      <w:r w:rsidR="00216C6B" w:rsidRPr="00124FE1">
        <w:rPr>
          <w:rFonts w:hint="eastAsia"/>
        </w:rPr>
        <w:t>全</w:t>
      </w:r>
      <w:r w:rsidRPr="00124FE1">
        <w:rPr>
          <w:rFonts w:hint="eastAsia"/>
        </w:rPr>
        <w:t>国</w:t>
      </w:r>
      <w:r w:rsidR="00216C6B" w:rsidRPr="00124FE1">
        <w:rPr>
          <w:rFonts w:hint="eastAsia"/>
        </w:rPr>
        <w:t>乡村保健特派团</w:t>
      </w:r>
      <w:r w:rsidRPr="00124FE1">
        <w:rPr>
          <w:rFonts w:hint="eastAsia"/>
        </w:rPr>
        <w:t>等方案，旨在改善保健服务的获取和质量，尤其是面向妇女和女孩等弱势群体。请说明是否为生活在贫穷城市地区的妇女和女孩实行了类似举措。请提供资料，说明这些方案在为妇女和女孩提供适当和负担得起的保健服务，包括性保健和生殖保健服务方面产生的影响。请说明这些方案对改善妇女和女孩总体健康状况产生的影响，特别是在减少营养不良和贫血高发率方面。还请说明为确保妇女和女孩粮食安全采取的措施。鉴于不安全堕胎导致较高的产妇死亡率，请提供资料，说明为减少不安全堕胎操作数量采取的措施。还请提供资料，说明为减轻针对胎儿性别进行选择性人工流产导致的缔约国女孩比率恶化所采取措施的成果(第77段)。请提供资料，说明对不遵守2003年修订的《受孕前和产前诊断技术(禁止性别选择)法》的保健专业人员实施的制裁措施。</w:t>
      </w:r>
    </w:p>
    <w:p w:rsidR="005A2A2C" w:rsidRPr="00124FE1" w:rsidRDefault="005A2A2C" w:rsidP="00BB6F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农村妇女</w:t>
      </w:r>
    </w:p>
    <w:p w:rsidR="005A2A2C" w:rsidRPr="00124FE1" w:rsidRDefault="005A2A2C" w:rsidP="00BB6F96">
      <w:pPr>
        <w:pStyle w:val="SingleTxt"/>
        <w:spacing w:line="326" w:lineRule="exact"/>
        <w:rPr>
          <w:rFonts w:hint="eastAsia"/>
        </w:rPr>
      </w:pPr>
      <w:r w:rsidRPr="00124FE1">
        <w:rPr>
          <w:rFonts w:hint="eastAsia"/>
        </w:rPr>
        <w:t>16.</w:t>
      </w:r>
      <w:r w:rsidRPr="00124FE1">
        <w:rPr>
          <w:rFonts w:hint="eastAsia"/>
        </w:rPr>
        <w:tab/>
        <w:t>请按照以前的要求(</w:t>
      </w:r>
      <w:hyperlink r:id="rId24" w:history="1">
        <w:r w:rsidRPr="00124FE1">
          <w:rPr>
            <w:rStyle w:val="Hyperlink"/>
            <w:rFonts w:hint="eastAsia"/>
            <w:u w:val="none"/>
          </w:rPr>
          <w:t>CEDAW/C/IND/CO/3</w:t>
        </w:r>
      </w:hyperlink>
      <w:r w:rsidRPr="00124FE1">
        <w:rPr>
          <w:rFonts w:hint="eastAsia"/>
        </w:rPr>
        <w:t>，第37段)提供资料,说明《国家农村就业保障法》(2005</w:t>
      </w:r>
      <w:r w:rsidR="00216C6B" w:rsidRPr="00124FE1">
        <w:rPr>
          <w:rFonts w:hint="eastAsia"/>
        </w:rPr>
        <w:t>年</w:t>
      </w:r>
      <w:r w:rsidRPr="00124FE1">
        <w:rPr>
          <w:rFonts w:hint="eastAsia"/>
        </w:rPr>
        <w:t>)的情况。报告称，《国家农业政策》和《国家农民政策》(2007</w:t>
      </w:r>
      <w:r w:rsidR="00216C6B" w:rsidRPr="00124FE1">
        <w:rPr>
          <w:rFonts w:hint="eastAsia"/>
        </w:rPr>
        <w:t>年</w:t>
      </w:r>
      <w:r w:rsidRPr="00124FE1">
        <w:rPr>
          <w:rFonts w:hint="eastAsia"/>
        </w:rPr>
        <w:t>)纳入了性别平等观点(第89段)。请提供资料，说明上述政策如何保障农村地区妇女拥有土地的权利。还请提供资料，说明各项政策及其他措施对改善包括女户主在内的农村地区妇女总体状况产生的影响。</w:t>
      </w:r>
    </w:p>
    <w:p w:rsidR="005A2A2C" w:rsidRPr="00124FE1" w:rsidRDefault="005A2A2C" w:rsidP="00BB6F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弱势妇女群体</w:t>
      </w:r>
    </w:p>
    <w:p w:rsidR="005A2A2C" w:rsidRPr="00124FE1" w:rsidRDefault="005A2A2C" w:rsidP="00BB6F96">
      <w:pPr>
        <w:pStyle w:val="SingleTxt"/>
        <w:spacing w:after="120"/>
        <w:rPr>
          <w:rFonts w:hint="eastAsia"/>
        </w:rPr>
      </w:pPr>
      <w:r w:rsidRPr="00124FE1">
        <w:rPr>
          <w:rFonts w:hint="eastAsia"/>
        </w:rPr>
        <w:t>17.</w:t>
      </w:r>
      <w:r w:rsidRPr="00124FE1">
        <w:rPr>
          <w:rFonts w:hint="eastAsia"/>
        </w:rPr>
        <w:tab/>
        <w:t>请提供详细资料，说明缔约国采取了哪些步骤，以通过法律、政策和支助服务来处理一切形式暴力侵害贱民妇女的行为(</w:t>
      </w:r>
      <w:hyperlink r:id="rId25" w:history="1">
        <w:r w:rsidRPr="00124FE1">
          <w:rPr>
            <w:rStyle w:val="Hyperlink"/>
            <w:rFonts w:hint="eastAsia"/>
            <w:u w:val="none"/>
          </w:rPr>
          <w:t>CEDAW/C/IND/4-5/Add.1</w:t>
        </w:r>
      </w:hyperlink>
      <w:r w:rsidRPr="00124FE1">
        <w:rPr>
          <w:rFonts w:hint="eastAsia"/>
        </w:rPr>
        <w:t>，第60段)。还请提供资料，说明为确保有效执行《在册种姓和在册部落预防暴行法》(1989</w:t>
      </w:r>
      <w:r w:rsidR="00216C6B" w:rsidRPr="00124FE1">
        <w:rPr>
          <w:rFonts w:hint="eastAsia"/>
        </w:rPr>
        <w:t>年</w:t>
      </w:r>
      <w:r w:rsidRPr="00124FE1">
        <w:rPr>
          <w:rFonts w:hint="eastAsia"/>
        </w:rPr>
        <w:t>)采取的措施。还请提供资料，说明《禁止雇用人工掏粪工及其康复法》(2012</w:t>
      </w:r>
      <w:r w:rsidR="00216C6B" w:rsidRPr="00124FE1">
        <w:rPr>
          <w:rFonts w:hint="eastAsia"/>
        </w:rPr>
        <w:t>年</w:t>
      </w:r>
      <w:r w:rsidRPr="00124FE1">
        <w:rPr>
          <w:rFonts w:hint="eastAsia"/>
        </w:rPr>
        <w:t>)的状况</w:t>
      </w:r>
      <w:r w:rsidR="00216C6B" w:rsidRPr="00124FE1">
        <w:rPr>
          <w:rFonts w:hint="eastAsia"/>
        </w:rPr>
        <w:t>，</w:t>
      </w:r>
      <w:r w:rsidRPr="00124FE1">
        <w:rPr>
          <w:rFonts w:hint="eastAsia"/>
        </w:rPr>
        <w:t>以及为消除让贱民妇女进行人工掏粪的做法所实行的措施。</w:t>
      </w:r>
    </w:p>
    <w:p w:rsidR="005A2A2C" w:rsidRPr="00124FE1" w:rsidRDefault="005A2A2C" w:rsidP="00BB6F96">
      <w:pPr>
        <w:pStyle w:val="SingleTxt"/>
        <w:spacing w:after="120"/>
        <w:rPr>
          <w:rFonts w:hint="eastAsia"/>
        </w:rPr>
      </w:pPr>
      <w:r w:rsidRPr="00124FE1">
        <w:rPr>
          <w:rFonts w:hint="eastAsia"/>
        </w:rPr>
        <w:t>18.</w:t>
      </w:r>
      <w:r w:rsidRPr="00124FE1">
        <w:rPr>
          <w:rFonts w:hint="eastAsia"/>
        </w:rPr>
        <w:tab/>
        <w:t>请提供详细资料，说明采取了哪些具体措施，以确保属于宗教少数群体的妇女不会遭受多种形式歧视并有机会享有教育、保健服务、就业和住房。请提供资料，说明采取了哪些措施，以全面执行萨哈尔委员会关于穆斯林妇女和女孩问题的各项建议。</w:t>
      </w:r>
    </w:p>
    <w:p w:rsidR="005A2A2C" w:rsidRPr="00124FE1" w:rsidRDefault="005A2A2C" w:rsidP="00BB6F96">
      <w:pPr>
        <w:pStyle w:val="SingleTxt"/>
        <w:spacing w:after="120"/>
        <w:rPr>
          <w:rFonts w:hint="eastAsia"/>
        </w:rPr>
      </w:pPr>
      <w:r w:rsidRPr="00124FE1">
        <w:rPr>
          <w:rFonts w:hint="eastAsia"/>
        </w:rPr>
        <w:t>19.</w:t>
      </w:r>
      <w:r w:rsidRPr="00124FE1">
        <w:rPr>
          <w:rFonts w:hint="eastAsia"/>
        </w:rPr>
        <w:tab/>
        <w:t>请提供资料，说明缔约国如何将残疾妇女和女孩以及老年妇女的具体需要纳入旨在促进和保护《公约》涵盖的所有领域内妇女权利的各项政策和方案。请提供资料，说明采取了哪些措施以防止和保护残疾妇女和女孩免遭暴力，尤其是在机构、社区和家庭内的性暴力。</w:t>
      </w:r>
    </w:p>
    <w:p w:rsidR="005A2A2C" w:rsidRPr="00124FE1" w:rsidRDefault="005A2A2C" w:rsidP="00BB6F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逃难和寻求庇护的妇女</w:t>
      </w:r>
    </w:p>
    <w:p w:rsidR="005A2A2C" w:rsidRPr="00124FE1" w:rsidRDefault="005A2A2C" w:rsidP="00BB6F96">
      <w:pPr>
        <w:pStyle w:val="SingleTxt"/>
        <w:spacing w:after="120"/>
        <w:rPr>
          <w:rFonts w:hint="eastAsia"/>
        </w:rPr>
      </w:pPr>
      <w:r w:rsidRPr="00124FE1">
        <w:rPr>
          <w:rFonts w:hint="eastAsia"/>
        </w:rPr>
        <w:t>20.</w:t>
      </w:r>
      <w:r w:rsidRPr="00124FE1">
        <w:rPr>
          <w:rFonts w:hint="eastAsia"/>
        </w:rPr>
        <w:tab/>
        <w:t>请提供按性别分列的最新数据，说明缔约国境内逃难和寻求庇护者人数。请提供资料，说明缔约国境内逃难和寻求庇护妇女的境况，以及为满足上述每个妇女群体具体需要采取的针对性措施。还请提供资料，说明为依照《公约》消除对上述妇女群体的歧视采取的措施。请说明缔约国是否打算通过一项国家难民法。</w:t>
      </w:r>
    </w:p>
    <w:p w:rsidR="005A2A2C" w:rsidRPr="00124FE1" w:rsidRDefault="005A2A2C" w:rsidP="00BB6F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婚姻与家庭关系</w:t>
      </w:r>
    </w:p>
    <w:p w:rsidR="005A2A2C" w:rsidRPr="00124FE1" w:rsidRDefault="005A2A2C" w:rsidP="005A2A2C">
      <w:pPr>
        <w:pStyle w:val="SingleTxt"/>
        <w:rPr>
          <w:rFonts w:hint="eastAsia"/>
        </w:rPr>
      </w:pPr>
      <w:r w:rsidRPr="00124FE1">
        <w:rPr>
          <w:rFonts w:hint="eastAsia"/>
        </w:rPr>
        <w:t>21.</w:t>
      </w:r>
      <w:r w:rsidRPr="00124FE1">
        <w:rPr>
          <w:rFonts w:hint="eastAsia"/>
        </w:rPr>
        <w:tab/>
        <w:t>请提供资料，说明是否强制要求所有宗教团体进行婚姻登记。作为报告所述内容(第5-6段)的补充，还请提供资料说明《印度教继承(修正)法》(2005</w:t>
      </w:r>
      <w:r w:rsidR="00216C6B" w:rsidRPr="00124FE1">
        <w:rPr>
          <w:rFonts w:hint="eastAsia"/>
        </w:rPr>
        <w:t>年</w:t>
      </w:r>
      <w:r w:rsidRPr="00124FE1">
        <w:rPr>
          <w:rFonts w:hint="eastAsia"/>
        </w:rPr>
        <w:t>)及《属人(修正)法》(2010</w:t>
      </w:r>
      <w:r w:rsidR="00216C6B" w:rsidRPr="00124FE1">
        <w:rPr>
          <w:rFonts w:hint="eastAsia"/>
        </w:rPr>
        <w:t>年</w:t>
      </w:r>
      <w:r w:rsidRPr="00124FE1">
        <w:rPr>
          <w:rFonts w:hint="eastAsia"/>
        </w:rPr>
        <w:t>)的各项规定和执行情况。请提供资料，说明有效执行旨在确保童婚无效的《禁止童婚法》(2006</w:t>
      </w:r>
      <w:r w:rsidR="00216C6B" w:rsidRPr="00124FE1">
        <w:rPr>
          <w:rFonts w:hint="eastAsia"/>
        </w:rPr>
        <w:t>年</w:t>
      </w:r>
      <w:r w:rsidRPr="00124FE1">
        <w:rPr>
          <w:rFonts w:hint="eastAsia"/>
        </w:rPr>
        <w:t>)面临的障碍，以及在各邦管辖权内如何克服这些障碍。考虑到根深蒂固的重男轻女态度及缔约国对童婚的“社会接受性”(</w:t>
      </w:r>
      <w:hyperlink r:id="rId26" w:history="1">
        <w:r w:rsidRPr="00124FE1">
          <w:rPr>
            <w:rStyle w:val="Hyperlink"/>
            <w:rFonts w:hint="eastAsia"/>
            <w:u w:val="none"/>
          </w:rPr>
          <w:t>CEDAW/C/IND/CO/3</w:t>
        </w:r>
      </w:hyperlink>
      <w:r w:rsidRPr="00124FE1">
        <w:rPr>
          <w:rFonts w:hint="eastAsia"/>
        </w:rPr>
        <w:t>，第56段)，请解释缔约国如何确保有效执行《禁止童婚法》(2006</w:t>
      </w:r>
      <w:r w:rsidR="00216C6B" w:rsidRPr="00124FE1">
        <w:rPr>
          <w:rFonts w:hint="eastAsia"/>
        </w:rPr>
        <w:t>年</w:t>
      </w:r>
      <w:r w:rsidRPr="00124FE1">
        <w:rPr>
          <w:rFonts w:hint="eastAsia"/>
        </w:rPr>
        <w:t>)。</w:t>
      </w:r>
    </w:p>
    <w:p w:rsidR="005A2A2C" w:rsidRPr="00124FE1" w:rsidRDefault="005A2A2C" w:rsidP="005A2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24FE1">
        <w:rPr>
          <w:rFonts w:hint="eastAsia"/>
        </w:rPr>
        <w:tab/>
      </w:r>
      <w:r w:rsidRPr="00124FE1">
        <w:rPr>
          <w:rFonts w:hint="eastAsia"/>
        </w:rPr>
        <w:tab/>
        <w:t>关于《公约任择议定书》及《公约》第二十条第一款修正案</w:t>
      </w:r>
    </w:p>
    <w:p w:rsidR="00EA31C3" w:rsidRPr="00124FE1" w:rsidRDefault="005A2A2C" w:rsidP="005A2A2C">
      <w:pPr>
        <w:pStyle w:val="SingleTxt"/>
        <w:rPr>
          <w:rFonts w:hint="eastAsia"/>
        </w:rPr>
      </w:pPr>
      <w:r w:rsidRPr="00124FE1">
        <w:rPr>
          <w:rFonts w:hint="eastAsia"/>
        </w:rPr>
        <w:t>22.</w:t>
      </w:r>
      <w:r w:rsidRPr="00124FE1">
        <w:rPr>
          <w:rFonts w:hint="eastAsia"/>
        </w:rPr>
        <w:tab/>
        <w:t>请说明在批准《公约任择议定书》及接受《公约》第二十</w:t>
      </w:r>
      <w:r w:rsidR="00E05127">
        <w:rPr>
          <w:rFonts w:hint="eastAsia"/>
        </w:rPr>
        <w:t>条</w:t>
      </w:r>
      <w:r w:rsidRPr="00124FE1">
        <w:rPr>
          <w:rFonts w:hint="eastAsia"/>
        </w:rPr>
        <w:t>第一款修正案方面取得的任何进展。</w:t>
      </w:r>
    </w:p>
    <w:p w:rsidR="005A2A2C" w:rsidRPr="00124FE1" w:rsidRDefault="00BB6F96" w:rsidP="00BB6F96">
      <w:pPr>
        <w:pStyle w:val="SingleTxt"/>
        <w:spacing w:after="0" w:line="240" w:lineRule="auto"/>
        <w:rPr>
          <w:rFonts w:hint="eastAsia"/>
          <w:sz w:val="20"/>
        </w:rPr>
      </w:pPr>
      <w:r w:rsidRPr="00124FE1">
        <w:rPr>
          <w:rFonts w:hint="eastAsia"/>
          <w:noProof/>
          <w:sz w:val="20"/>
        </w:rPr>
        <w:pict>
          <v:line id="_x0000_s1028" style="position:absolute;left:0;text-align:left;z-index:3;mso-position-horizontal:center" from="0,30pt" to="1in,30pt" strokeweight=".25pt"/>
        </w:pict>
      </w:r>
    </w:p>
    <w:p w:rsidR="005A2A2C" w:rsidRPr="00124FE1" w:rsidRDefault="005A2A2C" w:rsidP="005A2A2C">
      <w:pPr>
        <w:pStyle w:val="SingleTxt"/>
        <w:rPr>
          <w:rFonts w:hint="eastAsia"/>
        </w:rPr>
      </w:pPr>
    </w:p>
    <w:p w:rsidR="005A2A2C" w:rsidRPr="00124FE1" w:rsidRDefault="005A2A2C" w:rsidP="005A2A2C">
      <w:pPr>
        <w:pStyle w:val="SingleTxt"/>
        <w:rPr>
          <w:rFonts w:hint="eastAsia"/>
        </w:rPr>
      </w:pPr>
    </w:p>
    <w:sectPr w:rsidR="005A2A2C" w:rsidRPr="00124FE1" w:rsidSect="002E5A2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20T17:27:00Z" w:initials="Start">
    <w:p w:rsidR="00E05127" w:rsidRDefault="00E0512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NO&gt;&gt;N1353275C&lt;&lt;ODS JOB NO&gt;&gt;</w:t>
      </w:r>
    </w:p>
    <w:p w:rsidR="00E05127" w:rsidRDefault="00E05127">
      <w:pPr>
        <w:pStyle w:val="CommentText"/>
      </w:pPr>
      <w:r>
        <w:t>&lt;&lt;ODS DOC SYMBOL1&gt;&gt;CEDAW/C/IND/Q/4-5&lt;&lt;ODS DOC SYMBOL1&gt;&gt;</w:t>
      </w:r>
    </w:p>
    <w:p w:rsidR="00E05127" w:rsidRDefault="00E0512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127" w:rsidRDefault="00E05127">
      <w:r>
        <w:separator/>
      </w:r>
    </w:p>
  </w:endnote>
  <w:endnote w:type="continuationSeparator" w:id="0">
    <w:p w:rsidR="00E05127" w:rsidRDefault="00E051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05127" w:rsidTr="002E5A27">
      <w:tblPrEx>
        <w:tblCellMar>
          <w:top w:w="0" w:type="dxa"/>
          <w:bottom w:w="0" w:type="dxa"/>
        </w:tblCellMar>
      </w:tblPrEx>
      <w:tc>
        <w:tcPr>
          <w:tcW w:w="5033" w:type="dxa"/>
          <w:shd w:val="clear" w:color="auto" w:fill="auto"/>
        </w:tcPr>
        <w:p w:rsidR="00E05127" w:rsidRPr="002E5A27" w:rsidRDefault="00E05127" w:rsidP="002E5A27">
          <w:pPr>
            <w:pStyle w:val="Footer"/>
            <w:jc w:val="right"/>
            <w:rPr>
              <w:b w:val="0"/>
              <w:w w:val="103"/>
              <w:sz w:val="14"/>
            </w:rPr>
          </w:pPr>
          <w:fldSimple w:instr=" DOCVARIABLE &quot;FooterJN&quot; \* MERGEFORMAT ">
            <w:r>
              <w:rPr>
                <w:b w:val="0"/>
                <w:w w:val="103"/>
                <w:sz w:val="14"/>
              </w:rPr>
              <w:t>13-53275 (C)</w:t>
            </w:r>
          </w:fldSimple>
        </w:p>
      </w:tc>
      <w:tc>
        <w:tcPr>
          <w:tcW w:w="5033" w:type="dxa"/>
          <w:shd w:val="clear" w:color="auto" w:fill="auto"/>
        </w:tcPr>
        <w:p w:rsidR="00E05127" w:rsidRPr="002E5A27" w:rsidRDefault="00E05127" w:rsidP="002E5A27">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6</w:t>
            </w:r>
          </w:fldSimple>
        </w:p>
      </w:tc>
    </w:tr>
  </w:tbl>
  <w:p w:rsidR="00E05127" w:rsidRPr="002E5A27" w:rsidRDefault="00E05127" w:rsidP="002E5A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05127" w:rsidTr="002E5A27">
      <w:tblPrEx>
        <w:tblCellMar>
          <w:top w:w="0" w:type="dxa"/>
          <w:bottom w:w="0" w:type="dxa"/>
        </w:tblCellMar>
      </w:tblPrEx>
      <w:tc>
        <w:tcPr>
          <w:tcW w:w="5033" w:type="dxa"/>
          <w:shd w:val="clear" w:color="auto" w:fill="auto"/>
        </w:tcPr>
        <w:p w:rsidR="00E05127" w:rsidRPr="002E5A27" w:rsidRDefault="00E05127" w:rsidP="002E5A27">
          <w:pPr>
            <w:pStyle w:val="Footer"/>
            <w:jc w:val="right"/>
          </w:pPr>
          <w:fldSimple w:instr=" PAGE  \* Arabic  \* MERGEFORMAT ">
            <w:r>
              <w:t>3</w:t>
            </w:r>
          </w:fldSimple>
          <w:r>
            <w:t>/</w:t>
          </w:r>
          <w:fldSimple w:instr=" NUMPAGES  \* Arabic  \* MERGEFORMAT ">
            <w:r>
              <w:t>6</w:t>
            </w:r>
          </w:fldSimple>
        </w:p>
      </w:tc>
      <w:tc>
        <w:tcPr>
          <w:tcW w:w="5033" w:type="dxa"/>
          <w:shd w:val="clear" w:color="auto" w:fill="auto"/>
        </w:tcPr>
        <w:p w:rsidR="00E05127" w:rsidRPr="002E5A27" w:rsidRDefault="00E05127" w:rsidP="002E5A27">
          <w:pPr>
            <w:pStyle w:val="Footer"/>
            <w:jc w:val="left"/>
            <w:rPr>
              <w:b w:val="0"/>
              <w:w w:val="103"/>
              <w:sz w:val="14"/>
            </w:rPr>
          </w:pPr>
          <w:fldSimple w:instr=" DOCVARIABLE &quot;FooterJN&quot; \* MERGEFORMAT ">
            <w:r>
              <w:rPr>
                <w:b w:val="0"/>
                <w:w w:val="103"/>
                <w:sz w:val="14"/>
              </w:rPr>
              <w:t>13-53275 (C)</w:t>
            </w:r>
          </w:fldSimple>
        </w:p>
      </w:tc>
    </w:tr>
  </w:tbl>
  <w:p w:rsidR="00E05127" w:rsidRPr="002E5A27" w:rsidRDefault="00E05127" w:rsidP="002E5A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05127" w:rsidTr="002E5A27">
      <w:tblPrEx>
        <w:tblCellMar>
          <w:top w:w="0" w:type="dxa"/>
          <w:bottom w:w="0" w:type="dxa"/>
        </w:tblCellMar>
      </w:tblPrEx>
      <w:tc>
        <w:tcPr>
          <w:tcW w:w="5033" w:type="dxa"/>
        </w:tcPr>
        <w:p w:rsidR="00E05127" w:rsidRDefault="00E05127" w:rsidP="002E5A27">
          <w:pPr>
            <w:pStyle w:val="Footer"/>
            <w:rPr>
              <w:b w:val="0"/>
              <w:sz w:val="21"/>
            </w:rPr>
          </w:pPr>
          <w:fldSimple w:instr=" DOCVARIABLE &quot;jobn&quot; \* MERGEFORMAT ">
            <w:r>
              <w:rPr>
                <w:b w:val="0"/>
                <w:sz w:val="21"/>
              </w:rPr>
              <w:t>13-53275 (C)</w:t>
            </w:r>
          </w:fldSimple>
          <w:r>
            <w:rPr>
              <w:b w:val="0"/>
              <w:sz w:val="21"/>
            </w:rPr>
            <w:t xml:space="preserve">    201113    2</w:t>
          </w:r>
          <w:r>
            <w:rPr>
              <w:rFonts w:hint="eastAsia"/>
              <w:b w:val="0"/>
              <w:sz w:val="21"/>
            </w:rPr>
            <w:t>7</w:t>
          </w:r>
          <w:r>
            <w:rPr>
              <w:b w:val="0"/>
              <w:sz w:val="21"/>
            </w:rPr>
            <w:t>1113</w:t>
          </w:r>
        </w:p>
        <w:p w:rsidR="00E05127" w:rsidRPr="002E5A27" w:rsidRDefault="00E05127" w:rsidP="002E5A27">
          <w:pPr>
            <w:spacing w:before="80" w:line="210" w:lineRule="exact"/>
            <w:rPr>
              <w:rFonts w:ascii="Barcode 3 of 9 by request" w:hAnsi="Barcode 3 of 9 by request"/>
              <w:sz w:val="24"/>
            </w:rPr>
          </w:pPr>
          <w:r>
            <w:rPr>
              <w:rFonts w:ascii="Barcode 3 of 9 by request" w:hAnsi="Barcode 3 of 9 by request" w:hint="eastAsia"/>
              <w:sz w:val="24"/>
            </w:rPr>
            <w:t>*1353275*</w:t>
          </w:r>
        </w:p>
      </w:tc>
      <w:tc>
        <w:tcPr>
          <w:tcW w:w="3686" w:type="dxa"/>
        </w:tcPr>
        <w:p w:rsidR="00E05127" w:rsidRDefault="00E05127" w:rsidP="002E5A27">
          <w:pPr>
            <w:pStyle w:val="Footer"/>
            <w:jc w:val="right"/>
            <w:rPr>
              <w:b w:val="0"/>
              <w:sz w:val="21"/>
            </w:rPr>
          </w:pPr>
          <w:r w:rsidRPr="002E5A2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05127" w:rsidRPr="002E5A27" w:rsidRDefault="00E05127" w:rsidP="002E5A2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127" w:rsidRPr="00BB6F96" w:rsidRDefault="00E05127" w:rsidP="00BB6F96">
      <w:pPr>
        <w:pStyle w:val="Footer"/>
        <w:spacing w:after="80"/>
        <w:ind w:left="792"/>
        <w:rPr>
          <w:sz w:val="16"/>
        </w:rPr>
      </w:pPr>
      <w:r w:rsidRPr="00BB6F96">
        <w:rPr>
          <w:sz w:val="16"/>
        </w:rPr>
        <w:t>__________________</w:t>
      </w:r>
    </w:p>
  </w:footnote>
  <w:footnote w:type="continuationSeparator" w:id="0">
    <w:p w:rsidR="00E05127" w:rsidRPr="00BB6F96" w:rsidRDefault="00E05127" w:rsidP="00BB6F96">
      <w:pPr>
        <w:pStyle w:val="Footer"/>
        <w:spacing w:after="80"/>
        <w:ind w:left="792"/>
        <w:rPr>
          <w:sz w:val="16"/>
        </w:rPr>
      </w:pPr>
      <w:r w:rsidRPr="00BB6F96">
        <w:rPr>
          <w:sz w:val="16"/>
        </w:rPr>
        <w:t>__________________</w:t>
      </w:r>
    </w:p>
  </w:footnote>
  <w:footnote w:id="1">
    <w:p w:rsidR="00E05127" w:rsidRPr="00BB6F96" w:rsidRDefault="00E05127" w:rsidP="00BB6F9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B6F96">
        <w:rPr>
          <w:rFonts w:hint="eastAsia"/>
        </w:rPr>
        <w:t>除非另行说明，段落编号是指缔约国第四和第五次合并定期报告(CEDAW/C/IND/4-5)。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05127" w:rsidTr="002E5A27">
      <w:tblPrEx>
        <w:tblCellMar>
          <w:top w:w="0" w:type="dxa"/>
          <w:bottom w:w="0" w:type="dxa"/>
        </w:tblCellMar>
      </w:tblPrEx>
      <w:trPr>
        <w:trHeight w:hRule="exact" w:val="864"/>
      </w:trPr>
      <w:tc>
        <w:tcPr>
          <w:tcW w:w="4838" w:type="dxa"/>
          <w:shd w:val="clear" w:color="auto" w:fill="auto"/>
          <w:vAlign w:val="bottom"/>
        </w:tcPr>
        <w:p w:rsidR="00E05127" w:rsidRPr="002E5A27" w:rsidRDefault="00E05127" w:rsidP="002E5A27">
          <w:pPr>
            <w:pStyle w:val="Header"/>
            <w:spacing w:after="80"/>
            <w:jc w:val="left"/>
            <w:rPr>
              <w:b/>
              <w:sz w:val="17"/>
            </w:rPr>
          </w:pPr>
          <w:fldSimple w:instr=" DOCVARIABLE &quot;sss1&quot; \* MERGEFORMAT ">
            <w:r>
              <w:rPr>
                <w:b/>
                <w:sz w:val="17"/>
              </w:rPr>
              <w:t>CEDAW/C/IND/Q/4-5</w:t>
            </w:r>
          </w:fldSimple>
        </w:p>
      </w:tc>
      <w:tc>
        <w:tcPr>
          <w:tcW w:w="5033" w:type="dxa"/>
          <w:shd w:val="clear" w:color="auto" w:fill="auto"/>
          <w:vAlign w:val="bottom"/>
        </w:tcPr>
        <w:p w:rsidR="00E05127" w:rsidRDefault="00E05127" w:rsidP="002E5A27">
          <w:pPr>
            <w:pStyle w:val="Header"/>
          </w:pPr>
        </w:p>
      </w:tc>
    </w:tr>
  </w:tbl>
  <w:p w:rsidR="00E05127" w:rsidRPr="002E5A27" w:rsidRDefault="00E05127" w:rsidP="002E5A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05127" w:rsidTr="002E5A27">
      <w:tblPrEx>
        <w:tblCellMar>
          <w:top w:w="0" w:type="dxa"/>
          <w:bottom w:w="0" w:type="dxa"/>
        </w:tblCellMar>
      </w:tblPrEx>
      <w:trPr>
        <w:trHeight w:hRule="exact" w:val="864"/>
      </w:trPr>
      <w:tc>
        <w:tcPr>
          <w:tcW w:w="4838" w:type="dxa"/>
          <w:shd w:val="clear" w:color="auto" w:fill="auto"/>
          <w:vAlign w:val="bottom"/>
        </w:tcPr>
        <w:p w:rsidR="00E05127" w:rsidRDefault="00E05127" w:rsidP="002E5A27">
          <w:pPr>
            <w:pStyle w:val="Header"/>
          </w:pPr>
        </w:p>
      </w:tc>
      <w:tc>
        <w:tcPr>
          <w:tcW w:w="5033" w:type="dxa"/>
          <w:shd w:val="clear" w:color="auto" w:fill="auto"/>
          <w:vAlign w:val="bottom"/>
        </w:tcPr>
        <w:p w:rsidR="00E05127" w:rsidRPr="002E5A27" w:rsidRDefault="00E05127" w:rsidP="002E5A27">
          <w:pPr>
            <w:pStyle w:val="Header"/>
            <w:spacing w:after="80"/>
            <w:jc w:val="right"/>
            <w:rPr>
              <w:b/>
              <w:sz w:val="17"/>
            </w:rPr>
          </w:pPr>
          <w:fldSimple w:instr=" DOCVARIABLE &quot;sss1&quot; \* MERGEFORMAT ">
            <w:r>
              <w:rPr>
                <w:b/>
                <w:sz w:val="17"/>
              </w:rPr>
              <w:t>CEDAW/C/IND/Q/4-5</w:t>
            </w:r>
          </w:fldSimple>
        </w:p>
      </w:tc>
    </w:tr>
  </w:tbl>
  <w:p w:rsidR="00E05127" w:rsidRPr="002E5A27" w:rsidRDefault="00E05127" w:rsidP="002E5A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05127" w:rsidTr="002E5A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5127" w:rsidRDefault="00E05127" w:rsidP="002E5A27">
          <w:pPr>
            <w:pStyle w:val="Header"/>
            <w:spacing w:after="120"/>
          </w:pPr>
        </w:p>
      </w:tc>
      <w:tc>
        <w:tcPr>
          <w:tcW w:w="1872" w:type="dxa"/>
          <w:tcBorders>
            <w:bottom w:val="single" w:sz="4" w:space="0" w:color="auto"/>
          </w:tcBorders>
          <w:shd w:val="clear" w:color="auto" w:fill="auto"/>
          <w:vAlign w:val="bottom"/>
        </w:tcPr>
        <w:p w:rsidR="00E05127" w:rsidRPr="002E5A27" w:rsidRDefault="00E05127" w:rsidP="002E5A2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05127" w:rsidRDefault="00E05127" w:rsidP="002E5A27">
          <w:pPr>
            <w:pStyle w:val="Header"/>
            <w:spacing w:after="120"/>
          </w:pPr>
        </w:p>
      </w:tc>
      <w:tc>
        <w:tcPr>
          <w:tcW w:w="6523" w:type="dxa"/>
          <w:gridSpan w:val="3"/>
          <w:tcBorders>
            <w:bottom w:val="single" w:sz="4" w:space="0" w:color="auto"/>
          </w:tcBorders>
          <w:shd w:val="clear" w:color="auto" w:fill="auto"/>
          <w:vAlign w:val="bottom"/>
        </w:tcPr>
        <w:p w:rsidR="00E05127" w:rsidRPr="002E5A27" w:rsidRDefault="00E05127" w:rsidP="002E5A27">
          <w:pPr>
            <w:spacing w:after="80" w:line="240" w:lineRule="auto"/>
            <w:jc w:val="right"/>
            <w:rPr>
              <w:rFonts w:ascii="Times New Roman"/>
              <w:position w:val="-4"/>
            </w:rPr>
          </w:pPr>
          <w:r>
            <w:rPr>
              <w:rFonts w:ascii="Times New Roman"/>
              <w:position w:val="-4"/>
              <w:sz w:val="40"/>
            </w:rPr>
            <w:t>CEDAW</w:t>
          </w:r>
          <w:r>
            <w:rPr>
              <w:rFonts w:ascii="Times New Roman"/>
              <w:position w:val="-4"/>
            </w:rPr>
            <w:t>/C/IND/Q/4-5</w:t>
          </w:r>
        </w:p>
      </w:tc>
    </w:tr>
    <w:tr w:rsidR="00E05127" w:rsidRPr="002E5A27" w:rsidTr="002E5A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5127" w:rsidRDefault="00E05127" w:rsidP="002E5A2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05127" w:rsidRPr="002E5A27" w:rsidRDefault="00E05127" w:rsidP="002E5A27">
          <w:pPr>
            <w:pStyle w:val="Header"/>
            <w:spacing w:before="109"/>
            <w:ind w:left="-72"/>
          </w:pPr>
        </w:p>
      </w:tc>
      <w:tc>
        <w:tcPr>
          <w:tcW w:w="5227" w:type="dxa"/>
          <w:gridSpan w:val="3"/>
          <w:tcBorders>
            <w:top w:val="single" w:sz="4" w:space="0" w:color="auto"/>
            <w:bottom w:val="single" w:sz="12" w:space="0" w:color="auto"/>
          </w:tcBorders>
          <w:shd w:val="clear" w:color="auto" w:fill="auto"/>
        </w:tcPr>
        <w:p w:rsidR="00E05127" w:rsidRPr="002E5A27" w:rsidRDefault="00E05127" w:rsidP="002E5A2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05127" w:rsidRPr="002E5A27" w:rsidRDefault="00E05127" w:rsidP="002E5A27">
          <w:pPr>
            <w:pStyle w:val="Header"/>
            <w:spacing w:before="109"/>
          </w:pPr>
        </w:p>
      </w:tc>
      <w:tc>
        <w:tcPr>
          <w:tcW w:w="3180" w:type="dxa"/>
          <w:gridSpan w:val="2"/>
          <w:tcBorders>
            <w:top w:val="single" w:sz="4" w:space="0" w:color="auto"/>
            <w:bottom w:val="single" w:sz="12" w:space="0" w:color="auto"/>
          </w:tcBorders>
          <w:shd w:val="clear" w:color="auto" w:fill="auto"/>
        </w:tcPr>
        <w:p w:rsidR="00E05127" w:rsidRDefault="00E05127" w:rsidP="002E5A27">
          <w:pPr>
            <w:spacing w:before="240" w:line="240" w:lineRule="exact"/>
            <w:rPr>
              <w:rFonts w:ascii="Times New Roman"/>
            </w:rPr>
          </w:pPr>
          <w:r>
            <w:rPr>
              <w:rFonts w:ascii="Times New Roman"/>
            </w:rPr>
            <w:t>Distr.: General</w:t>
          </w:r>
        </w:p>
        <w:p w:rsidR="00E05127" w:rsidRDefault="00E05127" w:rsidP="002E5A27">
          <w:pPr>
            <w:spacing w:line="240" w:lineRule="exact"/>
            <w:rPr>
              <w:rFonts w:ascii="Times New Roman"/>
            </w:rPr>
          </w:pPr>
          <w:r>
            <w:rPr>
              <w:rFonts w:ascii="Times New Roman"/>
            </w:rPr>
            <w:t>28 October 2013</w:t>
          </w:r>
        </w:p>
        <w:p w:rsidR="00E05127" w:rsidRDefault="00E05127" w:rsidP="002E5A27">
          <w:pPr>
            <w:spacing w:line="240" w:lineRule="exact"/>
            <w:rPr>
              <w:rFonts w:ascii="Times New Roman"/>
            </w:rPr>
          </w:pPr>
          <w:r>
            <w:rPr>
              <w:rFonts w:ascii="Times New Roman"/>
            </w:rPr>
            <w:t>Chinese</w:t>
          </w:r>
        </w:p>
        <w:p w:rsidR="00E05127" w:rsidRPr="002E5A27" w:rsidRDefault="00E05127" w:rsidP="002E5A27">
          <w:pPr>
            <w:spacing w:line="240" w:lineRule="exact"/>
            <w:rPr>
              <w:rFonts w:ascii="Times New Roman"/>
            </w:rPr>
          </w:pPr>
          <w:r>
            <w:rPr>
              <w:rFonts w:ascii="Times New Roman"/>
            </w:rPr>
            <w:t>Original: English</w:t>
          </w:r>
        </w:p>
      </w:tc>
    </w:tr>
  </w:tbl>
  <w:p w:rsidR="00E05127" w:rsidRPr="002E5A27" w:rsidRDefault="00E05127" w:rsidP="002E5A2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proofState w:spelling="clean" w:grammar="clean"/>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5*"/>
    <w:docVar w:name="CreationDt" w:val="20/11/2013 16:32:57"/>
    <w:docVar w:name="DocCategory" w:val="Doc"/>
    <w:docVar w:name="DocType" w:val="Final"/>
    <w:docVar w:name="FooterJN" w:val="13-53275 (C)"/>
    <w:docVar w:name="jobn" w:val="13-53275 (C)"/>
    <w:docVar w:name="jobnDT" w:val="13-53275 (C)   201113"/>
    <w:docVar w:name="jobnDTDT" w:val="13-53275 (C)   201113   201113"/>
    <w:docVar w:name="JobNo" w:val="1353275C"/>
    <w:docVar w:name="OandT" w:val="sheng"/>
    <w:docVar w:name="sss1" w:val="CEDAW/C/IND/Q/4-5"/>
    <w:docVar w:name="sss2" w:val="-"/>
    <w:docVar w:name="Symbol1" w:val="CEDAW/C/IND/Q/4-5"/>
    <w:docVar w:name="Symbol2" w:val="-"/>
  </w:docVars>
  <w:rsids>
    <w:rsidRoot w:val="00ED1078"/>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212F9"/>
    <w:rsid w:val="00121328"/>
    <w:rsid w:val="00124FE1"/>
    <w:rsid w:val="0012708E"/>
    <w:rsid w:val="00130EE5"/>
    <w:rsid w:val="001329F7"/>
    <w:rsid w:val="00141322"/>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017C"/>
    <w:rsid w:val="00203760"/>
    <w:rsid w:val="00207135"/>
    <w:rsid w:val="002145EA"/>
    <w:rsid w:val="00216C6B"/>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5A27"/>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322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52CE5"/>
    <w:rsid w:val="005541E4"/>
    <w:rsid w:val="00554F60"/>
    <w:rsid w:val="00562B21"/>
    <w:rsid w:val="00562FE7"/>
    <w:rsid w:val="0057094A"/>
    <w:rsid w:val="00570BD4"/>
    <w:rsid w:val="0057450D"/>
    <w:rsid w:val="0058302A"/>
    <w:rsid w:val="005A175A"/>
    <w:rsid w:val="005A2A2C"/>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524B"/>
    <w:rsid w:val="00757193"/>
    <w:rsid w:val="00761190"/>
    <w:rsid w:val="00776537"/>
    <w:rsid w:val="00783A25"/>
    <w:rsid w:val="007843DB"/>
    <w:rsid w:val="00786D56"/>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72E47"/>
    <w:rsid w:val="00A750A5"/>
    <w:rsid w:val="00A778F1"/>
    <w:rsid w:val="00A8481B"/>
    <w:rsid w:val="00A90956"/>
    <w:rsid w:val="00A95404"/>
    <w:rsid w:val="00A968C5"/>
    <w:rsid w:val="00AA3C28"/>
    <w:rsid w:val="00AA759D"/>
    <w:rsid w:val="00AB2753"/>
    <w:rsid w:val="00AB2786"/>
    <w:rsid w:val="00AC550F"/>
    <w:rsid w:val="00AD4308"/>
    <w:rsid w:val="00AF2A33"/>
    <w:rsid w:val="00B014C7"/>
    <w:rsid w:val="00B03EFA"/>
    <w:rsid w:val="00B171E7"/>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B6332"/>
    <w:rsid w:val="00BB6F96"/>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05127"/>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D1078"/>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IND/4" TargetMode="External"/><Relationship Id="rId26" Type="http://schemas.openxmlformats.org/officeDocument/2006/relationships/hyperlink" Target="http://undocs.org/ch/CEDAW/C/IND/CO/3" TargetMode="External"/><Relationship Id="rId3" Type="http://schemas.openxmlformats.org/officeDocument/2006/relationships/webSettings" Target="webSettings.xml"/><Relationship Id="rId21" Type="http://schemas.openxmlformats.org/officeDocument/2006/relationships/hyperlink" Target="http://undocs.org/ch/CEDAW/C/IND/4"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IND/4" TargetMode="External"/><Relationship Id="rId25" Type="http://schemas.openxmlformats.org/officeDocument/2006/relationships/hyperlink" Target="http://undocs.org/ch/CEDAW/C/IND/4" TargetMode="External"/><Relationship Id="rId2" Type="http://schemas.openxmlformats.org/officeDocument/2006/relationships/settings" Target="settings.xml"/><Relationship Id="rId16" Type="http://schemas.openxmlformats.org/officeDocument/2006/relationships/hyperlink" Target="http://undocs.org/ch/CEDAW/C/IND/CO/3" TargetMode="External"/><Relationship Id="rId20" Type="http://schemas.openxmlformats.org/officeDocument/2006/relationships/hyperlink" Target="http://undocs.org/ch/CEDAW/C/IND/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h/CEDAW/C/IND/CO/3" TargetMode="External"/><Relationship Id="rId5" Type="http://schemas.openxmlformats.org/officeDocument/2006/relationships/endnotes" Target="endnotes.xml"/><Relationship Id="rId15" Type="http://schemas.openxmlformats.org/officeDocument/2006/relationships/hyperlink" Target="http://undocs.org/ch/CEDAW/C/IND/CO/SP.1" TargetMode="External"/><Relationship Id="rId23" Type="http://schemas.openxmlformats.org/officeDocument/2006/relationships/hyperlink" Target="http://undocs.org/ch/CEDAW/C/IND/CO/3" TargetMode="Externa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h/CEDAW/C/IND/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IND/SP.1" TargetMode="External"/><Relationship Id="rId22" Type="http://schemas.openxmlformats.org/officeDocument/2006/relationships/hyperlink" Target="http://undocs.org/ch/CEDAW/C/IND/4"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6</Pages>
  <Words>905</Words>
  <Characters>5163</Characters>
  <Application>Microsoft Office Outlook</Application>
  <DocSecurity>4</DocSecurity>
  <Lines>43</Lines>
  <Paragraphs>12</Paragraphs>
  <ScaleCrop>false</ScaleCrop>
  <Company>United Nations</Company>
  <LinksUpToDate>false</LinksUpToDate>
  <CharactersWithSpaces>6056</CharactersWithSpaces>
  <SharedDoc>false</SharedDoc>
  <HLinks>
    <vt:vector size="78" baseType="variant">
      <vt:variant>
        <vt:i4>1048597</vt:i4>
      </vt:variant>
      <vt:variant>
        <vt:i4>36</vt:i4>
      </vt:variant>
      <vt:variant>
        <vt:i4>0</vt:i4>
      </vt:variant>
      <vt:variant>
        <vt:i4>5</vt:i4>
      </vt:variant>
      <vt:variant>
        <vt:lpwstr>http://undocs.org/ch/CEDAW/C/IND/CO/3</vt:lpwstr>
      </vt:variant>
      <vt:variant>
        <vt:lpwstr/>
      </vt:variant>
      <vt:variant>
        <vt:i4>6815866</vt:i4>
      </vt:variant>
      <vt:variant>
        <vt:i4>33</vt:i4>
      </vt:variant>
      <vt:variant>
        <vt:i4>0</vt:i4>
      </vt:variant>
      <vt:variant>
        <vt:i4>5</vt:i4>
      </vt:variant>
      <vt:variant>
        <vt:lpwstr>http://undocs.org/ch/CEDAW/C/IND/4</vt:lpwstr>
      </vt:variant>
      <vt:variant>
        <vt:lpwstr/>
      </vt:variant>
      <vt:variant>
        <vt:i4>1048597</vt:i4>
      </vt:variant>
      <vt:variant>
        <vt:i4>30</vt:i4>
      </vt:variant>
      <vt:variant>
        <vt:i4>0</vt:i4>
      </vt:variant>
      <vt:variant>
        <vt:i4>5</vt:i4>
      </vt:variant>
      <vt:variant>
        <vt:lpwstr>http://undocs.org/ch/CEDAW/C/IND/CO/3</vt:lpwstr>
      </vt:variant>
      <vt:variant>
        <vt:lpwstr/>
      </vt:variant>
      <vt:variant>
        <vt:i4>1048597</vt:i4>
      </vt:variant>
      <vt:variant>
        <vt:i4>27</vt:i4>
      </vt:variant>
      <vt:variant>
        <vt:i4>0</vt:i4>
      </vt:variant>
      <vt:variant>
        <vt:i4>5</vt:i4>
      </vt:variant>
      <vt:variant>
        <vt:lpwstr>http://undocs.org/ch/CEDAW/C/IND/CO/3</vt:lpwstr>
      </vt:variant>
      <vt:variant>
        <vt:lpwstr/>
      </vt:variant>
      <vt:variant>
        <vt:i4>6815866</vt:i4>
      </vt:variant>
      <vt:variant>
        <vt:i4>24</vt:i4>
      </vt:variant>
      <vt:variant>
        <vt:i4>0</vt:i4>
      </vt:variant>
      <vt:variant>
        <vt:i4>5</vt:i4>
      </vt:variant>
      <vt:variant>
        <vt:lpwstr>http://undocs.org/ch/CEDAW/C/IND/4</vt:lpwstr>
      </vt:variant>
      <vt:variant>
        <vt:lpwstr/>
      </vt:variant>
      <vt:variant>
        <vt:i4>6815866</vt:i4>
      </vt:variant>
      <vt:variant>
        <vt:i4>21</vt:i4>
      </vt:variant>
      <vt:variant>
        <vt:i4>0</vt:i4>
      </vt:variant>
      <vt:variant>
        <vt:i4>5</vt:i4>
      </vt:variant>
      <vt:variant>
        <vt:lpwstr>http://undocs.org/ch/CEDAW/C/IND/4</vt:lpwstr>
      </vt:variant>
      <vt:variant>
        <vt:lpwstr/>
      </vt:variant>
      <vt:variant>
        <vt:i4>1048597</vt:i4>
      </vt:variant>
      <vt:variant>
        <vt:i4>18</vt:i4>
      </vt:variant>
      <vt:variant>
        <vt:i4>0</vt:i4>
      </vt:variant>
      <vt:variant>
        <vt:i4>5</vt:i4>
      </vt:variant>
      <vt:variant>
        <vt:lpwstr>http://undocs.org/ch/CEDAW/C/IND/CO/3</vt:lpwstr>
      </vt:variant>
      <vt:variant>
        <vt:lpwstr/>
      </vt:variant>
      <vt:variant>
        <vt:i4>6815866</vt:i4>
      </vt:variant>
      <vt:variant>
        <vt:i4>15</vt:i4>
      </vt:variant>
      <vt:variant>
        <vt:i4>0</vt:i4>
      </vt:variant>
      <vt:variant>
        <vt:i4>5</vt:i4>
      </vt:variant>
      <vt:variant>
        <vt:lpwstr>http://undocs.org/ch/CEDAW/C/IND/4</vt:lpwstr>
      </vt:variant>
      <vt:variant>
        <vt:lpwstr/>
      </vt:variant>
      <vt:variant>
        <vt:i4>6815866</vt:i4>
      </vt:variant>
      <vt:variant>
        <vt:i4>12</vt:i4>
      </vt:variant>
      <vt:variant>
        <vt:i4>0</vt:i4>
      </vt:variant>
      <vt:variant>
        <vt:i4>5</vt:i4>
      </vt:variant>
      <vt:variant>
        <vt:lpwstr>http://undocs.org/ch/CEDAW/C/IND/4</vt:lpwstr>
      </vt:variant>
      <vt:variant>
        <vt:lpwstr/>
      </vt:variant>
      <vt:variant>
        <vt:i4>6815866</vt:i4>
      </vt:variant>
      <vt:variant>
        <vt:i4>9</vt:i4>
      </vt:variant>
      <vt:variant>
        <vt:i4>0</vt:i4>
      </vt:variant>
      <vt:variant>
        <vt:i4>5</vt:i4>
      </vt:variant>
      <vt:variant>
        <vt:lpwstr>http://undocs.org/ch/CEDAW/C/IND/4</vt:lpwstr>
      </vt:variant>
      <vt:variant>
        <vt:lpwstr/>
      </vt:variant>
      <vt:variant>
        <vt:i4>1048597</vt:i4>
      </vt:variant>
      <vt:variant>
        <vt:i4>6</vt:i4>
      </vt:variant>
      <vt:variant>
        <vt:i4>0</vt:i4>
      </vt:variant>
      <vt:variant>
        <vt:i4>5</vt:i4>
      </vt:variant>
      <vt:variant>
        <vt:lpwstr>http://undocs.org/ch/CEDAW/C/IND/CO/3</vt:lpwstr>
      </vt:variant>
      <vt:variant>
        <vt:lpwstr/>
      </vt:variant>
      <vt:variant>
        <vt:i4>5308488</vt:i4>
      </vt:variant>
      <vt:variant>
        <vt:i4>3</vt:i4>
      </vt:variant>
      <vt:variant>
        <vt:i4>0</vt:i4>
      </vt:variant>
      <vt:variant>
        <vt:i4>5</vt:i4>
      </vt:variant>
      <vt:variant>
        <vt:lpwstr>http://undocs.org/ch/CEDAW/C/IND/CO/SP.1</vt:lpwstr>
      </vt:variant>
      <vt:variant>
        <vt:lpwstr/>
      </vt:variant>
      <vt:variant>
        <vt:i4>65546</vt:i4>
      </vt:variant>
      <vt:variant>
        <vt:i4>0</vt:i4>
      </vt:variant>
      <vt:variant>
        <vt:i4>0</vt:i4>
      </vt:variant>
      <vt:variant>
        <vt:i4>5</vt:i4>
      </vt:variant>
      <vt:variant>
        <vt:lpwstr>http://undocs.org/ch/CEDAW/C/IND/SP.1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User</cp:lastModifiedBy>
  <cp:revision>10</cp:revision>
  <cp:lastPrinted>2013-11-20T15:27:00Z</cp:lastPrinted>
  <dcterms:created xsi:type="dcterms:W3CDTF">2013-11-20T14:32:00Z</dcterms:created>
  <dcterms:modified xsi:type="dcterms:W3CDTF">2013-11-21T08:15:00Z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1353275</vt:lpwstr>
  </property>
  <property fmtid="{D5CDD505-2E9C-101B-9397-08002B2CF9AE}" pid="3" name="Symbol1">
    <vt:lpwstr>CEDAW/C/IND/Q/4-5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