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F03" w:rsidRPr="00E47EF9" w:rsidRDefault="00322F03" w:rsidP="00322F03">
      <w:pPr>
        <w:spacing w:line="240" w:lineRule="auto"/>
        <w:rPr>
          <w:sz w:val="2"/>
        </w:rPr>
        <w:sectPr w:rsidR="00322F03" w:rsidRPr="00E47EF9" w:rsidSect="00E47E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E47EF9">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Pr="00E47EF9">
        <w:rPr>
          <w:rStyle w:val="CommentReference"/>
          <w:sz w:val="2"/>
        </w:rPr>
        <w:commentReference w:id="0"/>
      </w:r>
    </w:p>
    <w:p w:rsidR="00E47EF9" w:rsidRDefault="00E47EF9" w:rsidP="00E47EF9">
      <w:pPr>
        <w:pStyle w:val="H1"/>
        <w:tabs>
          <w:tab w:val="clear" w:pos="1742"/>
        </w:tabs>
        <w:ind w:left="0" w:right="0"/>
      </w:pPr>
      <w:r>
        <w:tab/>
        <w:t xml:space="preserve">Committee on the Elimination of Discrimination </w:t>
      </w:r>
      <w:r w:rsidR="00061739">
        <w:br/>
      </w:r>
      <w:r>
        <w:t>against Women</w:t>
      </w:r>
    </w:p>
    <w:p w:rsidR="00E47EF9" w:rsidRDefault="00E47EF9" w:rsidP="00E47EF9">
      <w:pPr>
        <w:pStyle w:val="H23"/>
        <w:ind w:left="0" w:firstLine="0"/>
      </w:pPr>
      <w:r>
        <w:tab/>
        <w:t>Pre-sessional working group</w:t>
      </w:r>
    </w:p>
    <w:p w:rsidR="00E47EF9" w:rsidRDefault="00E47EF9" w:rsidP="00E47EF9">
      <w:pPr>
        <w:pStyle w:val="H23"/>
        <w:tabs>
          <w:tab w:val="clear" w:pos="1742"/>
        </w:tabs>
        <w:ind w:left="0" w:right="0"/>
      </w:pPr>
      <w:r>
        <w:tab/>
      </w:r>
      <w:r>
        <w:tab/>
        <w:t>Fifty-eighth session</w:t>
      </w:r>
    </w:p>
    <w:p w:rsidR="00E47EF9" w:rsidRDefault="00E47EF9" w:rsidP="00E47EF9">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21-25 October 2013</w:t>
      </w:r>
    </w:p>
    <w:p w:rsidR="00E47EF9" w:rsidRPr="00E47EF9" w:rsidRDefault="00E47EF9" w:rsidP="00E47EF9">
      <w:pPr>
        <w:pStyle w:val="SingleTxt"/>
        <w:spacing w:after="0" w:line="120" w:lineRule="exact"/>
        <w:rPr>
          <w:sz w:val="10"/>
        </w:rPr>
      </w:pPr>
    </w:p>
    <w:p w:rsidR="00E47EF9" w:rsidRPr="00E47EF9" w:rsidRDefault="00E47EF9" w:rsidP="00E47EF9">
      <w:pPr>
        <w:pStyle w:val="SingleTxt"/>
        <w:spacing w:after="0" w:line="120" w:lineRule="exact"/>
        <w:rPr>
          <w:sz w:val="10"/>
        </w:rPr>
      </w:pPr>
    </w:p>
    <w:p w:rsidR="00E47EF9" w:rsidRPr="00E47EF9" w:rsidRDefault="00E47EF9" w:rsidP="00E47EF9">
      <w:pPr>
        <w:pStyle w:val="SingleTxt"/>
        <w:spacing w:after="0" w:line="120" w:lineRule="exact"/>
        <w:rPr>
          <w:sz w:val="10"/>
        </w:rPr>
      </w:pPr>
    </w:p>
    <w:p w:rsidR="00E47EF9" w:rsidRDefault="00E47EF9" w:rsidP="00E47EF9">
      <w:pPr>
        <w:pStyle w:val="HCh"/>
        <w:ind w:left="1267" w:right="1260" w:hanging="1267"/>
      </w:pPr>
      <w:r>
        <w:tab/>
      </w:r>
      <w:r>
        <w:tab/>
        <w:t>Consideration of reports submitted by States parties under article 18 of the Convention on the Elimination of All Forms of Discrimination against Women</w:t>
      </w:r>
    </w:p>
    <w:p w:rsidR="00E47EF9" w:rsidRPr="00E47EF9" w:rsidRDefault="00E47EF9" w:rsidP="00E47EF9">
      <w:pPr>
        <w:pStyle w:val="SingleTxt"/>
        <w:spacing w:after="0" w:line="120" w:lineRule="exact"/>
        <w:rPr>
          <w:sz w:val="10"/>
        </w:rPr>
      </w:pPr>
    </w:p>
    <w:p w:rsidR="00E47EF9" w:rsidRPr="00E47EF9" w:rsidRDefault="00E47EF9" w:rsidP="00E47EF9">
      <w:pPr>
        <w:pStyle w:val="SingleTxt"/>
        <w:spacing w:after="0" w:line="120" w:lineRule="exact"/>
        <w:rPr>
          <w:sz w:val="10"/>
        </w:rPr>
      </w:pPr>
    </w:p>
    <w:p w:rsidR="00E47EF9" w:rsidRDefault="00E47EF9" w:rsidP="00E47EF9">
      <w:pPr>
        <w:pStyle w:val="H1"/>
        <w:ind w:right="1260"/>
      </w:pPr>
      <w:r>
        <w:tab/>
      </w:r>
      <w:r>
        <w:tab/>
        <w:t>Report of the pre-sessional working group</w:t>
      </w:r>
    </w:p>
    <w:p w:rsidR="00E47EF9" w:rsidRPr="00E47EF9" w:rsidRDefault="00E47EF9" w:rsidP="00E47EF9">
      <w:pPr>
        <w:pStyle w:val="SingleTxt"/>
        <w:spacing w:after="0" w:line="120" w:lineRule="exact"/>
        <w:rPr>
          <w:sz w:val="10"/>
        </w:rPr>
      </w:pPr>
    </w:p>
    <w:p w:rsidR="00E47EF9" w:rsidRPr="00E47EF9" w:rsidRDefault="00E47EF9" w:rsidP="00E47EF9">
      <w:pPr>
        <w:pStyle w:val="SingleTxt"/>
        <w:spacing w:after="0" w:line="120" w:lineRule="exact"/>
        <w:rPr>
          <w:sz w:val="10"/>
        </w:rPr>
      </w:pPr>
    </w:p>
    <w:p w:rsidR="00E47EF9" w:rsidRDefault="00E47EF9" w:rsidP="00E47EF9">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E47EF9" w:rsidRDefault="00E47EF9" w:rsidP="00E47EF9">
      <w:pPr>
        <w:pStyle w:val="SingleTxt"/>
      </w:pPr>
      <w:r>
        <w:t>2.</w:t>
      </w:r>
      <w:r>
        <w:tab/>
        <w:t>The Committee decided that the pre-sessional working group for the fifty-eighth session of the Committee would meet from 21 to 25 October 2013, immediately after the fifty-sixth session, in order to ensure that sufficient time would be available to States parties to submit their written replies to the lists of issues and questions, as well as to ensure their timely translation.</w:t>
      </w:r>
    </w:p>
    <w:p w:rsidR="00E47EF9" w:rsidRDefault="00E47EF9" w:rsidP="00E47EF9">
      <w:pPr>
        <w:pStyle w:val="SingleTxt"/>
      </w:pPr>
      <w:r>
        <w:t>3.</w:t>
      </w:r>
      <w:r>
        <w:tab/>
        <w:t>The following experts were designated as members of the pre-sessional working group:</w:t>
      </w:r>
    </w:p>
    <w:p w:rsidR="00E47EF9" w:rsidRDefault="00E47EF9" w:rsidP="00061739">
      <w:pPr>
        <w:pStyle w:val="SingleTxt"/>
        <w:spacing w:after="0"/>
      </w:pPr>
      <w:r>
        <w:tab/>
        <w:t>Ms. Noor Al-Jehani</w:t>
      </w:r>
    </w:p>
    <w:p w:rsidR="00E47EF9" w:rsidRDefault="00E47EF9" w:rsidP="00061739">
      <w:pPr>
        <w:pStyle w:val="SingleTxt"/>
        <w:spacing w:after="0"/>
      </w:pPr>
      <w:r>
        <w:tab/>
        <w:t>Ms. Nicole Ameline</w:t>
      </w:r>
    </w:p>
    <w:p w:rsidR="00E47EF9" w:rsidRDefault="00E47EF9" w:rsidP="00061739">
      <w:pPr>
        <w:pStyle w:val="SingleTxt"/>
        <w:spacing w:after="0"/>
      </w:pPr>
      <w:r>
        <w:tab/>
        <w:t>Ms. Barbara Bailey</w:t>
      </w:r>
    </w:p>
    <w:p w:rsidR="00E47EF9" w:rsidRDefault="00E47EF9" w:rsidP="00061739">
      <w:pPr>
        <w:pStyle w:val="SingleTxt"/>
        <w:spacing w:after="0"/>
      </w:pPr>
      <w:r>
        <w:tab/>
        <w:t>Ms. Náela Gabr</w:t>
      </w:r>
    </w:p>
    <w:p w:rsidR="00E47EF9" w:rsidRDefault="00E47EF9" w:rsidP="00E47EF9">
      <w:pPr>
        <w:pStyle w:val="SingleTxt"/>
      </w:pPr>
      <w:r>
        <w:tab/>
        <w:t>Ms. Violeta Neubauer</w:t>
      </w:r>
    </w:p>
    <w:p w:rsidR="00E47EF9" w:rsidRDefault="00E47EF9" w:rsidP="00E47EF9">
      <w:pPr>
        <w:pStyle w:val="SingleTxt"/>
      </w:pPr>
      <w:r>
        <w:t>4.</w:t>
      </w:r>
      <w:r>
        <w:tab/>
        <w:t>The pre-sessional working group elected Ms. Ameline as its Chair.</w:t>
      </w:r>
    </w:p>
    <w:p w:rsidR="00E47EF9" w:rsidRDefault="00E47EF9" w:rsidP="00E47EF9">
      <w:pPr>
        <w:pStyle w:val="SingleTxt"/>
      </w:pPr>
      <w:r>
        <w:t>5.</w:t>
      </w:r>
      <w:r>
        <w:tab/>
        <w:t xml:space="preserve">The pre-sessional working group prepared lists of issues and questions with regard to the reports of the </w:t>
      </w:r>
      <w:smartTag w:uri="urn:schemas-microsoft-com:office:smarttags" w:element="country-region">
        <w:r>
          <w:t>Central African Republic</w:t>
        </w:r>
      </w:smartTag>
      <w:r>
        <w:t xml:space="preserve">, </w:t>
      </w:r>
      <w:smartTag w:uri="urn:schemas-microsoft-com:office:smarttags" w:element="country-region">
        <w:r>
          <w:t>Georgia</w:t>
        </w:r>
      </w:smartTag>
      <w:r>
        <w:t xml:space="preserve">, </w:t>
      </w:r>
      <w:smartTag w:uri="urn:schemas-microsoft-com:office:smarttags" w:element="country-region">
        <w:r>
          <w:t>India</w:t>
        </w:r>
      </w:smartTag>
      <w:r>
        <w:t xml:space="preserve">, </w:t>
      </w:r>
      <w:smartTag w:uri="urn:schemas-microsoft-com:office:smarttags" w:element="country-region">
        <w:r>
          <w:t>Lithuania</w:t>
        </w:r>
      </w:smartTag>
      <w:r>
        <w:t xml:space="preserve">, </w:t>
      </w:r>
      <w:smartTag w:uri="urn:schemas-microsoft-com:office:smarttags" w:element="country-region">
        <w:r>
          <w:t>Mauritania</w:t>
        </w:r>
      </w:smartTag>
      <w:r>
        <w:t xml:space="preserve">, </w:t>
      </w:r>
      <w:smartTag w:uri="urn:schemas-microsoft-com:office:smarttags" w:element="country-region">
        <w:r>
          <w:t>Peru</w:t>
        </w:r>
      </w:smartTag>
      <w:r>
        <w:t xml:space="preserve">, </w:t>
      </w:r>
      <w:smartTag w:uri="urn:schemas-microsoft-com:office:smarttags" w:element="country-region">
        <w:r>
          <w:t>Swaziland</w:t>
        </w:r>
      </w:smartTag>
      <w:r>
        <w:t xml:space="preserve"> and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In that regard, the </w:t>
      </w:r>
      <w:r w:rsidR="00061739">
        <w:t>pre</w:t>
      </w:r>
      <w:r w:rsidR="00061739">
        <w:noBreakHyphen/>
      </w:r>
      <w:r>
        <w:t xml:space="preserve">sessional working group was guided by Committee decision </w:t>
      </w:r>
      <w:r w:rsidRPr="00205E1B">
        <w:t>49/</w:t>
      </w:r>
      <w:r w:rsidRPr="00205E1B">
        <w:t>I</w:t>
      </w:r>
      <w:r w:rsidRPr="00205E1B">
        <w:t>X</w:t>
      </w:r>
      <w:r>
        <w:t>, according to which the Committee decided to limit the lists of issues and questions to 20</w:t>
      </w:r>
      <w:r w:rsidR="00061739">
        <w:t>  </w:t>
      </w:r>
      <w:r>
        <w:t>questions. In practice and exceptionally, some lists of issues and questions contain a maximum of 22 questions.</w:t>
      </w:r>
    </w:p>
    <w:p w:rsidR="00E47EF9" w:rsidRDefault="00E47EF9" w:rsidP="00E47EF9">
      <w:pPr>
        <w:pStyle w:val="SingleTxt"/>
      </w:pPr>
      <w:r>
        <w:t>6.</w:t>
      </w:r>
      <w:r>
        <w:tab/>
        <w:t xml:space="preserve">To assist in the preparation of the lists of issues and questions, the </w:t>
      </w:r>
      <w:r w:rsidR="00061739">
        <w:t>pre</w:t>
      </w:r>
      <w:r w:rsidR="00061739">
        <w:noBreakHyphen/>
      </w:r>
      <w:r>
        <w:t>sessional working group had before it the reports of the States parties listed above, as well as the core documents of most of those States parties; the general recommendations adopted by the Committee; background information and draft lists of issues and questions prepared by the secretariat, based on an analytical comparison of current reports of States parties and the discussion of the Committee on earlier reports; and other pertinent information, including concluding observations of the Committee and other treaty bodies, if relevant. In preparing the lists of issues and questions for periodic reports, the pre-sessional working group paid particular attention to the States parties</w:t>
      </w:r>
      <w:r w:rsidR="00A94468">
        <w:t>’</w:t>
      </w:r>
      <w:r>
        <w:t xml:space="preserve"> follow-up to the concluding observations of the Committee on its previous reports.</w:t>
      </w:r>
    </w:p>
    <w:p w:rsidR="00E47EF9" w:rsidRDefault="00E47EF9" w:rsidP="00E47EF9">
      <w:pPr>
        <w:pStyle w:val="SingleTxt"/>
      </w:pPr>
      <w:r>
        <w:t>7.</w:t>
      </w:r>
      <w:r>
        <w:tab/>
        <w:t>The pre-sessional working group benefited from written and oral information submitted by entities and specialized agencies of the United Nations system and non-governmental organizations.</w:t>
      </w:r>
    </w:p>
    <w:p w:rsidR="00E47EF9" w:rsidRDefault="00E47EF9" w:rsidP="00E47EF9">
      <w:pPr>
        <w:pStyle w:val="SingleTxt"/>
      </w:pPr>
      <w:r>
        <w:t>8.</w:t>
      </w:r>
      <w:r>
        <w:tab/>
        <w:t>The lists of issues and questions adopted by the pre-sessional working group were transmitted to the States parties concerned and are contained in the following documents:</w:t>
      </w:r>
    </w:p>
    <w:p w:rsidR="00E47EF9" w:rsidRDefault="00E47EF9" w:rsidP="00E47EF9">
      <w:pPr>
        <w:pStyle w:val="SingleTxt"/>
      </w:pPr>
      <w:r>
        <w:tab/>
        <w:t>(a)</w:t>
      </w:r>
      <w:r>
        <w:tab/>
        <w:t xml:space="preserve">List of issues and questions in relation to the combined initial and second to fifth periodic reports of the </w:t>
      </w:r>
      <w:smartTag w:uri="urn:schemas-microsoft-com:office:smarttags" w:element="place">
        <w:smartTag w:uri="urn:schemas-microsoft-com:office:smarttags" w:element="country-region">
          <w:r>
            <w:t>Central African Republic</w:t>
          </w:r>
        </w:smartTag>
      </w:smartTag>
      <w:r>
        <w:t xml:space="preserve"> (</w:t>
      </w:r>
      <w:hyperlink r:id="rId14" w:history="1">
        <w:r w:rsidRPr="00E47EF9">
          <w:rPr>
            <w:rStyle w:val="Hyperlink"/>
          </w:rPr>
          <w:t>CEDAW/C/CAF/Q/1-5</w:t>
        </w:r>
      </w:hyperlink>
      <w:r>
        <w:t>);</w:t>
      </w:r>
    </w:p>
    <w:p w:rsidR="00E47EF9" w:rsidRDefault="00E47EF9" w:rsidP="00E47EF9">
      <w:pPr>
        <w:pStyle w:val="SingleTxt"/>
      </w:pPr>
      <w:r>
        <w:tab/>
        <w:t>(b)</w:t>
      </w:r>
      <w:r>
        <w:tab/>
        <w:t xml:space="preserve">List of issues and questions in relation to the combined fourth and fifth periodic reports of </w:t>
      </w:r>
      <w:smartTag w:uri="urn:schemas-microsoft-com:office:smarttags" w:element="place">
        <w:smartTag w:uri="urn:schemas-microsoft-com:office:smarttags" w:element="country-region">
          <w:r>
            <w:t>Georgia</w:t>
          </w:r>
        </w:smartTag>
      </w:smartTag>
      <w:r>
        <w:t xml:space="preserve"> (</w:t>
      </w:r>
      <w:hyperlink r:id="rId15" w:history="1">
        <w:r w:rsidRPr="00E47EF9">
          <w:rPr>
            <w:rStyle w:val="Hyperlink"/>
          </w:rPr>
          <w:t>CEDAW/C/GEO/Q/4-5</w:t>
        </w:r>
      </w:hyperlink>
      <w:r>
        <w:t>);</w:t>
      </w:r>
    </w:p>
    <w:p w:rsidR="00E47EF9" w:rsidRDefault="00E47EF9" w:rsidP="00E47EF9">
      <w:pPr>
        <w:pStyle w:val="SingleTxt"/>
      </w:pPr>
      <w:r>
        <w:tab/>
        <w:t>(c)</w:t>
      </w:r>
      <w:r>
        <w:tab/>
        <w:t xml:space="preserve">List of issues and questions in relation to the combined fourth and fifth periodic reports of </w:t>
      </w:r>
      <w:smartTag w:uri="urn:schemas-microsoft-com:office:smarttags" w:element="place">
        <w:smartTag w:uri="urn:schemas-microsoft-com:office:smarttags" w:element="country-region">
          <w:r>
            <w:t>India</w:t>
          </w:r>
        </w:smartTag>
      </w:smartTag>
      <w:r>
        <w:t xml:space="preserve"> (</w:t>
      </w:r>
      <w:hyperlink r:id="rId16" w:history="1">
        <w:r w:rsidRPr="00E47EF9">
          <w:rPr>
            <w:rStyle w:val="Hyperlink"/>
          </w:rPr>
          <w:t>CEDAW/C/IND/Q/4-5</w:t>
        </w:r>
      </w:hyperlink>
      <w:r>
        <w:t>);</w:t>
      </w:r>
    </w:p>
    <w:p w:rsidR="00E47EF9" w:rsidRDefault="00E47EF9" w:rsidP="00E47EF9">
      <w:pPr>
        <w:pStyle w:val="SingleTxt"/>
      </w:pPr>
      <w:r>
        <w:tab/>
        <w:t>(d)</w:t>
      </w:r>
      <w:r>
        <w:tab/>
        <w:t xml:space="preserve">List of issues and questions in relation to the fifth periodic report of </w:t>
      </w:r>
      <w:smartTag w:uri="urn:schemas-microsoft-com:office:smarttags" w:element="place">
        <w:smartTag w:uri="urn:schemas-microsoft-com:office:smarttags" w:element="country-region">
          <w:r>
            <w:t>Lithuania</w:t>
          </w:r>
        </w:smartTag>
      </w:smartTag>
      <w:r>
        <w:t xml:space="preserve"> (</w:t>
      </w:r>
      <w:hyperlink r:id="rId17" w:history="1">
        <w:r w:rsidRPr="00E47EF9">
          <w:rPr>
            <w:rStyle w:val="Hyperlink"/>
          </w:rPr>
          <w:t>CEDAW/C/LTU/Q/5</w:t>
        </w:r>
      </w:hyperlink>
      <w:r>
        <w:t>);</w:t>
      </w:r>
    </w:p>
    <w:p w:rsidR="00E47EF9" w:rsidRDefault="00E47EF9" w:rsidP="00E47EF9">
      <w:pPr>
        <w:pStyle w:val="SingleTxt"/>
      </w:pPr>
      <w:r>
        <w:tab/>
        <w:t>(e)</w:t>
      </w:r>
      <w:r>
        <w:tab/>
        <w:t xml:space="preserve">List of issues and questions in relation to the combined second and third periodic reports of </w:t>
      </w:r>
      <w:smartTag w:uri="urn:schemas-microsoft-com:office:smarttags" w:element="place">
        <w:smartTag w:uri="urn:schemas-microsoft-com:office:smarttags" w:element="country-region">
          <w:r>
            <w:t>Mauritania</w:t>
          </w:r>
        </w:smartTag>
      </w:smartTag>
      <w:r>
        <w:t xml:space="preserve"> (</w:t>
      </w:r>
      <w:hyperlink r:id="rId18" w:history="1">
        <w:r w:rsidRPr="00E47EF9">
          <w:rPr>
            <w:rStyle w:val="Hyperlink"/>
          </w:rPr>
          <w:t>CEDAW/C/MRT/Q/2-3</w:t>
        </w:r>
      </w:hyperlink>
      <w:r>
        <w:t>);</w:t>
      </w:r>
    </w:p>
    <w:p w:rsidR="00E47EF9" w:rsidRDefault="00E47EF9" w:rsidP="00E47EF9">
      <w:pPr>
        <w:pStyle w:val="SingleTxt"/>
      </w:pPr>
      <w:r>
        <w:tab/>
        <w:t>(f)</w:t>
      </w:r>
      <w:r>
        <w:tab/>
        <w:t xml:space="preserve">List of issues and questions in relation to the combined seventh and eighth periodic reports of </w:t>
      </w:r>
      <w:smartTag w:uri="urn:schemas-microsoft-com:office:smarttags" w:element="place">
        <w:smartTag w:uri="urn:schemas-microsoft-com:office:smarttags" w:element="country-region">
          <w:r>
            <w:t>Peru</w:t>
          </w:r>
        </w:smartTag>
      </w:smartTag>
      <w:r>
        <w:t xml:space="preserve"> (</w:t>
      </w:r>
      <w:hyperlink r:id="rId19" w:history="1">
        <w:r w:rsidRPr="00E47EF9">
          <w:rPr>
            <w:rStyle w:val="Hyperlink"/>
          </w:rPr>
          <w:t>CEDAW/C/PER/Q/7-8</w:t>
        </w:r>
      </w:hyperlink>
      <w:r>
        <w:t>);</w:t>
      </w:r>
    </w:p>
    <w:p w:rsidR="00E47EF9" w:rsidRDefault="00E47EF9" w:rsidP="00E47EF9">
      <w:pPr>
        <w:pStyle w:val="SingleTxt"/>
      </w:pPr>
      <w:r>
        <w:tab/>
        <w:t>(g)</w:t>
      </w:r>
      <w:r>
        <w:tab/>
        <w:t xml:space="preserve">List of issues and questions in relation to the combined initial and second periodic reports of </w:t>
      </w:r>
      <w:smartTag w:uri="urn:schemas-microsoft-com:office:smarttags" w:element="place">
        <w:smartTag w:uri="urn:schemas-microsoft-com:office:smarttags" w:element="country-region">
          <w:r>
            <w:t>Swaziland</w:t>
          </w:r>
        </w:smartTag>
      </w:smartTag>
      <w:r>
        <w:t xml:space="preserve"> (</w:t>
      </w:r>
      <w:hyperlink r:id="rId20" w:history="1">
        <w:r w:rsidRPr="00E47EF9">
          <w:rPr>
            <w:rStyle w:val="Hyperlink"/>
          </w:rPr>
          <w:t>CEDAW/C/SWZ/Q/1-2</w:t>
        </w:r>
      </w:hyperlink>
      <w:r>
        <w:t>);</w:t>
      </w:r>
    </w:p>
    <w:p w:rsidR="00E47EF9" w:rsidRDefault="00E47EF9" w:rsidP="00E47EF9">
      <w:pPr>
        <w:pStyle w:val="SingleTxt"/>
      </w:pPr>
      <w:r>
        <w:tab/>
        <w:t>(h)</w:t>
      </w:r>
      <w:r>
        <w:tab/>
        <w:t xml:space="preserve">List of issues and questions in relation to the second periodic report of the </w:t>
      </w:r>
      <w:smartTag w:uri="urn:schemas-microsoft-com:office:smarttags" w:element="place">
        <w:smartTag w:uri="urn:schemas-microsoft-com:office:smarttags" w:element="PlaceName">
          <w:r>
            <w:t>Syrian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t xml:space="preserve"> (</w:t>
      </w:r>
      <w:hyperlink r:id="rId21" w:history="1">
        <w:r w:rsidRPr="00E47EF9">
          <w:rPr>
            <w:rStyle w:val="Hyperlink"/>
          </w:rPr>
          <w:t>CEDAW/C/SYR/Q/2</w:t>
        </w:r>
      </w:hyperlink>
      <w:r>
        <w:t>).</w:t>
      </w:r>
    </w:p>
    <w:p w:rsidR="00546F5D" w:rsidRPr="00E47EF9" w:rsidRDefault="00061739" w:rsidP="00E47EF9">
      <w:pPr>
        <w:pStyle w:val="SingleTxt"/>
      </w:pPr>
      <w:r>
        <w:rPr>
          <w:noProof/>
          <w:w w:val="100"/>
          <w:lang w:val="en-US"/>
        </w:rPr>
        <w:pict>
          <v:line id="_x0000_s1028" style="position:absolute;left:0;text-align:left;z-index:2" from="210.2pt,156pt" to="282.2pt,156pt" strokeweight=".25pt"/>
        </w:pict>
      </w:r>
      <w:r w:rsidR="00E47EF9">
        <w:t>9.</w:t>
      </w:r>
      <w:r w:rsidR="00E47EF9">
        <w:tab/>
        <w:t xml:space="preserve">In accordance with Committee decisions </w:t>
      </w:r>
      <w:r w:rsidR="00E47EF9" w:rsidRPr="002B6775">
        <w:t>22/</w:t>
      </w:r>
      <w:r w:rsidR="00E47EF9" w:rsidRPr="002B6775">
        <w:t>I</w:t>
      </w:r>
      <w:r w:rsidR="00E47EF9" w:rsidRPr="002B6775">
        <w:t>V</w:t>
      </w:r>
      <w:r w:rsidR="00E47EF9">
        <w:t>, 25/II and 31/III, the lists of issues and questions focused on themes addressed by the Convention on the Elimination of All Forms of Discrimination against Women. These themes included the constitutional and legislative framework; women, peace and security, where applicable; national machinery for the advancement of women; stereotypes and harmful practices; violence against women, including domestic violence; trafficking in women and exploitation of prostitution; participation of women in decision-making;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sectPr w:rsidR="00546F5D" w:rsidRPr="00E47EF9" w:rsidSect="00E47EF9">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31T16:37:00Z" w:initials="Start">
    <w:p w:rsidR="00D05560" w:rsidRDefault="00D055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NO&gt;&gt;N1353333E&lt;&lt;ODS JOB NO&gt;&gt;</w:t>
      </w:r>
    </w:p>
    <w:p w:rsidR="00D05560" w:rsidRDefault="00D05560">
      <w:pPr>
        <w:pStyle w:val="CommentText"/>
      </w:pPr>
      <w:r>
        <w:t>&lt;&lt;ODS DOC SYMBOL1&gt;&gt;CEDAW/C/PSWG/58/1&lt;&lt;ODS DOC SYMBOL1&gt;&gt;</w:t>
      </w:r>
    </w:p>
    <w:p w:rsidR="00D05560" w:rsidRDefault="00D0556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DF8" w:rsidRDefault="009A3DF8">
      <w:r>
        <w:separator/>
      </w:r>
    </w:p>
  </w:endnote>
  <w:endnote w:type="continuationSeparator" w:id="0">
    <w:p w:rsidR="009A3DF8" w:rsidRDefault="009A3D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5560" w:rsidTr="00322F03">
      <w:tblPrEx>
        <w:tblCellMar>
          <w:top w:w="0" w:type="dxa"/>
          <w:bottom w:w="0" w:type="dxa"/>
        </w:tblCellMar>
      </w:tblPrEx>
      <w:tc>
        <w:tcPr>
          <w:tcW w:w="5033" w:type="dxa"/>
          <w:shd w:val="clear" w:color="auto" w:fill="auto"/>
        </w:tcPr>
        <w:p w:rsidR="00D05560" w:rsidRPr="00322F03" w:rsidRDefault="00D05560" w:rsidP="00322F03">
          <w:pPr>
            <w:pStyle w:val="Footer"/>
            <w:jc w:val="right"/>
            <w:rPr>
              <w:b w:val="0"/>
              <w:w w:val="103"/>
              <w:sz w:val="14"/>
            </w:rPr>
          </w:pPr>
          <w:fldSimple w:instr=" DOCVARIABLE &quot;FooterJN&quot; \* MERGEFORMAT ">
            <w:r>
              <w:rPr>
                <w:b w:val="0"/>
                <w:w w:val="103"/>
                <w:sz w:val="14"/>
              </w:rPr>
              <w:t>13-53333</w:t>
            </w:r>
          </w:fldSimple>
        </w:p>
      </w:tc>
      <w:tc>
        <w:tcPr>
          <w:tcW w:w="5033" w:type="dxa"/>
          <w:shd w:val="clear" w:color="auto" w:fill="auto"/>
        </w:tcPr>
        <w:p w:rsidR="00D05560" w:rsidRPr="00322F03" w:rsidRDefault="00D05560" w:rsidP="00322F03">
          <w:pPr>
            <w:pStyle w:val="Footer"/>
            <w:rPr>
              <w:w w:val="103"/>
            </w:rPr>
          </w:pPr>
          <w:r>
            <w:rPr>
              <w:w w:val="103"/>
            </w:rPr>
            <w:fldChar w:fldCharType="begin"/>
          </w:r>
          <w:r>
            <w:rPr>
              <w:w w:val="103"/>
            </w:rPr>
            <w:instrText xml:space="preserve"> PAGE  \* Arabic  \* MERGEFORMAT </w:instrText>
          </w:r>
          <w:r>
            <w:rPr>
              <w:w w:val="103"/>
            </w:rPr>
            <w:fldChar w:fldCharType="separate"/>
          </w:r>
          <w:r w:rsidR="00C93C7E">
            <w:rPr>
              <w:w w:val="103"/>
            </w:rPr>
            <w:t>2</w:t>
          </w:r>
          <w:r>
            <w:rPr>
              <w:w w:val="103"/>
            </w:rPr>
            <w:fldChar w:fldCharType="end"/>
          </w:r>
          <w:r>
            <w:rPr>
              <w:w w:val="103"/>
            </w:rPr>
            <w:t>/</w:t>
          </w:r>
          <w:fldSimple w:instr=" NUMPAGES  \* Arabic  \* MERGEFORMAT ">
            <w:r w:rsidR="0073240B">
              <w:rPr>
                <w:w w:val="103"/>
              </w:rPr>
              <w:t>2</w:t>
            </w:r>
          </w:fldSimple>
        </w:p>
      </w:tc>
    </w:tr>
  </w:tbl>
  <w:p w:rsidR="00D05560" w:rsidRPr="00322F03" w:rsidRDefault="00D05560" w:rsidP="00322F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5560" w:rsidTr="00322F03">
      <w:tblPrEx>
        <w:tblCellMar>
          <w:top w:w="0" w:type="dxa"/>
          <w:bottom w:w="0" w:type="dxa"/>
        </w:tblCellMar>
      </w:tblPrEx>
      <w:tc>
        <w:tcPr>
          <w:tcW w:w="5033" w:type="dxa"/>
          <w:shd w:val="clear" w:color="auto" w:fill="auto"/>
        </w:tcPr>
        <w:p w:rsidR="00D05560" w:rsidRPr="00322F03" w:rsidRDefault="00D05560" w:rsidP="00322F0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2</w:t>
            </w:r>
          </w:fldSimple>
        </w:p>
      </w:tc>
      <w:tc>
        <w:tcPr>
          <w:tcW w:w="5033" w:type="dxa"/>
          <w:shd w:val="clear" w:color="auto" w:fill="auto"/>
        </w:tcPr>
        <w:p w:rsidR="00D05560" w:rsidRPr="00322F03" w:rsidRDefault="00D05560" w:rsidP="00322F03">
          <w:pPr>
            <w:pStyle w:val="Footer"/>
            <w:rPr>
              <w:b w:val="0"/>
              <w:w w:val="103"/>
              <w:sz w:val="14"/>
            </w:rPr>
          </w:pPr>
          <w:fldSimple w:instr=" DOCVARIABLE &quot;FooterJN&quot; \* MERGEFORMAT ">
            <w:r>
              <w:rPr>
                <w:b w:val="0"/>
                <w:w w:val="103"/>
                <w:sz w:val="14"/>
              </w:rPr>
              <w:t>13-53333</w:t>
            </w:r>
          </w:fldSimple>
        </w:p>
      </w:tc>
    </w:tr>
  </w:tbl>
  <w:p w:rsidR="00D05560" w:rsidRPr="00322F03" w:rsidRDefault="00D05560" w:rsidP="00322F0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05560" w:rsidTr="00322F03">
      <w:tblPrEx>
        <w:tblCellMar>
          <w:top w:w="0" w:type="dxa"/>
          <w:bottom w:w="0" w:type="dxa"/>
        </w:tblCellMar>
      </w:tblPrEx>
      <w:tc>
        <w:tcPr>
          <w:tcW w:w="5033" w:type="dxa"/>
        </w:tcPr>
        <w:p w:rsidR="00D05560" w:rsidRDefault="00D05560" w:rsidP="00322F03">
          <w:pPr>
            <w:pStyle w:val="Footer"/>
            <w:rPr>
              <w:b w:val="0"/>
              <w:sz w:val="20"/>
            </w:rPr>
          </w:pPr>
          <w:r>
            <w:rPr>
              <w:b w:val="0"/>
              <w:sz w:val="20"/>
            </w:rPr>
            <w:t>13-53333 (E)    011113</w:t>
          </w:r>
        </w:p>
        <w:p w:rsidR="00D05560" w:rsidRPr="00322F03" w:rsidRDefault="00D05560" w:rsidP="00322F0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*1353333*</w:t>
          </w:r>
        </w:p>
      </w:tc>
      <w:tc>
        <w:tcPr>
          <w:tcW w:w="3686" w:type="dxa"/>
        </w:tcPr>
        <w:p w:rsidR="00D05560" w:rsidRDefault="00D05560" w:rsidP="00322F03">
          <w:pPr>
            <w:pStyle w:val="Footer"/>
            <w:jc w:val="right"/>
            <w:rPr>
              <w:b w:val="0"/>
              <w:sz w:val="20"/>
            </w:rPr>
          </w:pPr>
          <w:r w:rsidRPr="00322F0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05560" w:rsidRPr="00322F03" w:rsidRDefault="00D05560" w:rsidP="00322F0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DF8" w:rsidRDefault="009A3DF8">
      <w:r>
        <w:separator/>
      </w:r>
    </w:p>
  </w:footnote>
  <w:footnote w:type="continuationSeparator" w:id="0">
    <w:p w:rsidR="009A3DF8" w:rsidRDefault="009A3D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5560" w:rsidTr="00322F03">
      <w:tblPrEx>
        <w:tblCellMar>
          <w:top w:w="0" w:type="dxa"/>
          <w:bottom w:w="0" w:type="dxa"/>
        </w:tblCellMar>
      </w:tblPrEx>
      <w:trPr>
        <w:trHeight w:hRule="exact" w:val="864"/>
      </w:trPr>
      <w:tc>
        <w:tcPr>
          <w:tcW w:w="4838" w:type="dxa"/>
          <w:shd w:val="clear" w:color="auto" w:fill="auto"/>
          <w:vAlign w:val="bottom"/>
        </w:tcPr>
        <w:p w:rsidR="00D05560" w:rsidRPr="00322F03" w:rsidRDefault="00D05560" w:rsidP="00322F03">
          <w:pPr>
            <w:pStyle w:val="Header"/>
            <w:spacing w:after="80"/>
            <w:rPr>
              <w:b/>
            </w:rPr>
          </w:pPr>
          <w:fldSimple w:instr=" DOCVARIABLE &quot;sss1&quot; \* MERGEFORMAT ">
            <w:r>
              <w:rPr>
                <w:b/>
              </w:rPr>
              <w:t>CEDAW/C/PSWG/58/1</w:t>
            </w:r>
          </w:fldSimple>
        </w:p>
      </w:tc>
      <w:tc>
        <w:tcPr>
          <w:tcW w:w="5033" w:type="dxa"/>
          <w:shd w:val="clear" w:color="auto" w:fill="auto"/>
          <w:vAlign w:val="bottom"/>
        </w:tcPr>
        <w:p w:rsidR="00D05560" w:rsidRDefault="00D05560" w:rsidP="00322F03">
          <w:pPr>
            <w:pStyle w:val="Header"/>
          </w:pPr>
        </w:p>
      </w:tc>
    </w:tr>
  </w:tbl>
  <w:p w:rsidR="00D05560" w:rsidRPr="00322F03" w:rsidRDefault="00D05560" w:rsidP="00322F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5560" w:rsidTr="00322F03">
      <w:tblPrEx>
        <w:tblCellMar>
          <w:top w:w="0" w:type="dxa"/>
          <w:bottom w:w="0" w:type="dxa"/>
        </w:tblCellMar>
      </w:tblPrEx>
      <w:trPr>
        <w:trHeight w:hRule="exact" w:val="864"/>
      </w:trPr>
      <w:tc>
        <w:tcPr>
          <w:tcW w:w="4838" w:type="dxa"/>
          <w:shd w:val="clear" w:color="auto" w:fill="auto"/>
          <w:vAlign w:val="bottom"/>
        </w:tcPr>
        <w:p w:rsidR="00D05560" w:rsidRDefault="00D05560" w:rsidP="00322F03">
          <w:pPr>
            <w:pStyle w:val="Header"/>
          </w:pPr>
        </w:p>
      </w:tc>
      <w:tc>
        <w:tcPr>
          <w:tcW w:w="5033" w:type="dxa"/>
          <w:shd w:val="clear" w:color="auto" w:fill="auto"/>
          <w:vAlign w:val="bottom"/>
        </w:tcPr>
        <w:p w:rsidR="00D05560" w:rsidRPr="00322F03" w:rsidRDefault="00D05560" w:rsidP="00322F03">
          <w:pPr>
            <w:pStyle w:val="Header"/>
            <w:spacing w:after="80"/>
            <w:jc w:val="right"/>
            <w:rPr>
              <w:b/>
            </w:rPr>
          </w:pPr>
          <w:fldSimple w:instr=" DOCVARIABLE &quot;sss1&quot; \* MERGEFORMAT ">
            <w:r>
              <w:rPr>
                <w:b/>
              </w:rPr>
              <w:t>CEDAW/C/PSWG/58/1</w:t>
            </w:r>
          </w:fldSimple>
        </w:p>
      </w:tc>
    </w:tr>
  </w:tbl>
  <w:p w:rsidR="00D05560" w:rsidRPr="00322F03" w:rsidRDefault="00D05560" w:rsidP="00322F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D05560" w:rsidTr="00322F0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05560" w:rsidRDefault="00D05560" w:rsidP="00322F03">
          <w:pPr>
            <w:pStyle w:val="Header"/>
            <w:spacing w:after="120"/>
          </w:pPr>
        </w:p>
      </w:tc>
      <w:tc>
        <w:tcPr>
          <w:tcW w:w="1872" w:type="dxa"/>
          <w:tcBorders>
            <w:bottom w:val="single" w:sz="4" w:space="0" w:color="auto"/>
          </w:tcBorders>
          <w:shd w:val="clear" w:color="auto" w:fill="auto"/>
          <w:vAlign w:val="bottom"/>
        </w:tcPr>
        <w:p w:rsidR="00D05560" w:rsidRPr="00322F03" w:rsidRDefault="00D05560" w:rsidP="00322F0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05560" w:rsidRDefault="00D05560" w:rsidP="00322F03">
          <w:pPr>
            <w:pStyle w:val="Header"/>
            <w:spacing w:after="120"/>
          </w:pPr>
        </w:p>
      </w:tc>
      <w:tc>
        <w:tcPr>
          <w:tcW w:w="6523" w:type="dxa"/>
          <w:gridSpan w:val="4"/>
          <w:tcBorders>
            <w:bottom w:val="single" w:sz="4" w:space="0" w:color="auto"/>
          </w:tcBorders>
          <w:shd w:val="clear" w:color="auto" w:fill="auto"/>
          <w:vAlign w:val="bottom"/>
        </w:tcPr>
        <w:p w:rsidR="00D05560" w:rsidRPr="00322F03" w:rsidRDefault="00D05560" w:rsidP="00322F03">
          <w:pPr>
            <w:spacing w:after="80" w:line="240" w:lineRule="auto"/>
            <w:jc w:val="right"/>
            <w:rPr>
              <w:position w:val="-4"/>
            </w:rPr>
          </w:pPr>
          <w:r>
            <w:rPr>
              <w:position w:val="-4"/>
              <w:sz w:val="40"/>
            </w:rPr>
            <w:t>CEDAW</w:t>
          </w:r>
          <w:r>
            <w:rPr>
              <w:position w:val="-4"/>
            </w:rPr>
            <w:t>/C/PSWG/58/1</w:t>
          </w:r>
        </w:p>
      </w:tc>
    </w:tr>
    <w:tr w:rsidR="00D05560" w:rsidRPr="00322F03" w:rsidTr="00061739">
      <w:tblPrEx>
        <w:tblCellMar>
          <w:top w:w="0" w:type="dxa"/>
          <w:bottom w:w="0" w:type="dxa"/>
        </w:tblCellMar>
      </w:tblPrEx>
      <w:trPr>
        <w:gridAfter w:val="1"/>
        <w:wAfter w:w="28" w:type="dxa"/>
        <w:trHeight w:hRule="exact" w:val="2743"/>
      </w:trPr>
      <w:tc>
        <w:tcPr>
          <w:tcW w:w="1267" w:type="dxa"/>
          <w:tcBorders>
            <w:top w:val="single" w:sz="4" w:space="0" w:color="auto"/>
            <w:bottom w:val="single" w:sz="12" w:space="0" w:color="auto"/>
          </w:tcBorders>
          <w:shd w:val="clear" w:color="auto" w:fill="auto"/>
        </w:tcPr>
        <w:p w:rsidR="00D05560" w:rsidRDefault="00D05560" w:rsidP="00322F0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05560" w:rsidRPr="00322F03" w:rsidRDefault="00D05560" w:rsidP="00322F03">
          <w:pPr>
            <w:pStyle w:val="Header"/>
            <w:spacing w:before="109"/>
          </w:pPr>
        </w:p>
      </w:tc>
      <w:tc>
        <w:tcPr>
          <w:tcW w:w="5227" w:type="dxa"/>
          <w:gridSpan w:val="3"/>
          <w:tcBorders>
            <w:top w:val="single" w:sz="4" w:space="0" w:color="auto"/>
            <w:bottom w:val="single" w:sz="12" w:space="0" w:color="auto"/>
          </w:tcBorders>
          <w:shd w:val="clear" w:color="auto" w:fill="auto"/>
        </w:tcPr>
        <w:p w:rsidR="00D05560" w:rsidRPr="00322F03" w:rsidRDefault="00D05560" w:rsidP="00322F0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05560" w:rsidRPr="00322F03" w:rsidRDefault="00D05560" w:rsidP="00322F03">
          <w:pPr>
            <w:pStyle w:val="Header"/>
            <w:spacing w:before="109"/>
          </w:pPr>
        </w:p>
      </w:tc>
      <w:tc>
        <w:tcPr>
          <w:tcW w:w="3140" w:type="dxa"/>
          <w:tcBorders>
            <w:top w:val="single" w:sz="4" w:space="0" w:color="auto"/>
            <w:bottom w:val="single" w:sz="12" w:space="0" w:color="auto"/>
          </w:tcBorders>
          <w:shd w:val="clear" w:color="auto" w:fill="auto"/>
        </w:tcPr>
        <w:p w:rsidR="00D05560" w:rsidRDefault="00D05560" w:rsidP="00322F03">
          <w:pPr>
            <w:spacing w:before="240"/>
          </w:pPr>
          <w:r>
            <w:t>Distr.: General</w:t>
          </w:r>
        </w:p>
        <w:p w:rsidR="00D05560" w:rsidRDefault="00D05560" w:rsidP="00322F03">
          <w:r>
            <w:t>28 October 2013</w:t>
          </w:r>
        </w:p>
        <w:p w:rsidR="00D05560" w:rsidRDefault="00D05560" w:rsidP="00322F03"/>
        <w:p w:rsidR="00D05560" w:rsidRPr="00322F03" w:rsidRDefault="00D05560" w:rsidP="00322F03">
          <w:r>
            <w:t>Original: English</w:t>
          </w:r>
        </w:p>
      </w:tc>
    </w:tr>
  </w:tbl>
  <w:p w:rsidR="00D05560" w:rsidRPr="00322F03" w:rsidRDefault="00D05560" w:rsidP="00322F0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33*"/>
    <w:docVar w:name="CreationDt" w:val="31/10/2013 4:37: PM"/>
    <w:docVar w:name="DocCategory" w:val="Doc"/>
    <w:docVar w:name="DocType" w:val="Final"/>
    <w:docVar w:name="FooterJN" w:val="13-53333"/>
    <w:docVar w:name="jobn" w:val="13-53333 (E)"/>
    <w:docVar w:name="jobnDT" w:val="13-53333 (E)   311013"/>
    <w:docVar w:name="jobnDTDT" w:val="13-53333 (E)   311013   311013"/>
    <w:docVar w:name="JobNo" w:val="1353333E"/>
    <w:docVar w:name="OandT" w:val="LM"/>
    <w:docVar w:name="sss1" w:val="CEDAW/C/PSWG/58/1"/>
    <w:docVar w:name="sss2" w:val="-"/>
    <w:docVar w:name="Symbol1" w:val="CEDAW/C/PSWG/58/1"/>
    <w:docVar w:name="Symbol2" w:val="-"/>
  </w:docVars>
  <w:rsids>
    <w:rsidRoot w:val="004F7C64"/>
    <w:rsid w:val="000243C1"/>
    <w:rsid w:val="000265E3"/>
    <w:rsid w:val="00060FB4"/>
    <w:rsid w:val="00061739"/>
    <w:rsid w:val="00062E0F"/>
    <w:rsid w:val="00073B00"/>
    <w:rsid w:val="000930EA"/>
    <w:rsid w:val="000E7174"/>
    <w:rsid w:val="00107D5F"/>
    <w:rsid w:val="0011565A"/>
    <w:rsid w:val="001208CF"/>
    <w:rsid w:val="001505B6"/>
    <w:rsid w:val="001653FB"/>
    <w:rsid w:val="001745C0"/>
    <w:rsid w:val="00182B15"/>
    <w:rsid w:val="00184193"/>
    <w:rsid w:val="001917A6"/>
    <w:rsid w:val="0019245C"/>
    <w:rsid w:val="00192845"/>
    <w:rsid w:val="001A077F"/>
    <w:rsid w:val="001C266D"/>
    <w:rsid w:val="001D7216"/>
    <w:rsid w:val="001E077C"/>
    <w:rsid w:val="001F5FE7"/>
    <w:rsid w:val="00205E1B"/>
    <w:rsid w:val="002141E3"/>
    <w:rsid w:val="00232F19"/>
    <w:rsid w:val="00236DA6"/>
    <w:rsid w:val="002508E9"/>
    <w:rsid w:val="00274B66"/>
    <w:rsid w:val="00275106"/>
    <w:rsid w:val="002B6775"/>
    <w:rsid w:val="002D4228"/>
    <w:rsid w:val="002F6BD8"/>
    <w:rsid w:val="00303242"/>
    <w:rsid w:val="00314F83"/>
    <w:rsid w:val="00316A87"/>
    <w:rsid w:val="00322F03"/>
    <w:rsid w:val="00326A29"/>
    <w:rsid w:val="00332088"/>
    <w:rsid w:val="003466DC"/>
    <w:rsid w:val="00347DD3"/>
    <w:rsid w:val="003769DF"/>
    <w:rsid w:val="003928D1"/>
    <w:rsid w:val="0039513F"/>
    <w:rsid w:val="003B0DE7"/>
    <w:rsid w:val="003C43F7"/>
    <w:rsid w:val="003E0D98"/>
    <w:rsid w:val="00401E19"/>
    <w:rsid w:val="0041500E"/>
    <w:rsid w:val="00441580"/>
    <w:rsid w:val="00441EF4"/>
    <w:rsid w:val="0045397A"/>
    <w:rsid w:val="00470246"/>
    <w:rsid w:val="004774B3"/>
    <w:rsid w:val="00477F9F"/>
    <w:rsid w:val="004831A5"/>
    <w:rsid w:val="00487F69"/>
    <w:rsid w:val="00497BF5"/>
    <w:rsid w:val="004A06AE"/>
    <w:rsid w:val="004C7E05"/>
    <w:rsid w:val="004D0839"/>
    <w:rsid w:val="004D7A08"/>
    <w:rsid w:val="004F269C"/>
    <w:rsid w:val="004F4AA8"/>
    <w:rsid w:val="004F7C64"/>
    <w:rsid w:val="00502499"/>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94DAB"/>
    <w:rsid w:val="00696C4F"/>
    <w:rsid w:val="006A012D"/>
    <w:rsid w:val="006A33A3"/>
    <w:rsid w:val="006A45EA"/>
    <w:rsid w:val="006B6EDE"/>
    <w:rsid w:val="006D766E"/>
    <w:rsid w:val="006F40EA"/>
    <w:rsid w:val="00724074"/>
    <w:rsid w:val="0073240B"/>
    <w:rsid w:val="007417DD"/>
    <w:rsid w:val="0074669F"/>
    <w:rsid w:val="007608D8"/>
    <w:rsid w:val="007669B0"/>
    <w:rsid w:val="00780021"/>
    <w:rsid w:val="0079386A"/>
    <w:rsid w:val="00795305"/>
    <w:rsid w:val="00795FFB"/>
    <w:rsid w:val="007A5254"/>
    <w:rsid w:val="007A60B2"/>
    <w:rsid w:val="007B3AC6"/>
    <w:rsid w:val="007B6885"/>
    <w:rsid w:val="007D586B"/>
    <w:rsid w:val="007E5210"/>
    <w:rsid w:val="007F23CE"/>
    <w:rsid w:val="007F3C8D"/>
    <w:rsid w:val="00837F18"/>
    <w:rsid w:val="0084786F"/>
    <w:rsid w:val="00852178"/>
    <w:rsid w:val="0085451D"/>
    <w:rsid w:val="008640BE"/>
    <w:rsid w:val="008642D7"/>
    <w:rsid w:val="0086531E"/>
    <w:rsid w:val="00865C17"/>
    <w:rsid w:val="00885F41"/>
    <w:rsid w:val="008A7B66"/>
    <w:rsid w:val="008B026E"/>
    <w:rsid w:val="008C3E90"/>
    <w:rsid w:val="008C4CE3"/>
    <w:rsid w:val="008D2798"/>
    <w:rsid w:val="00902F4F"/>
    <w:rsid w:val="00920276"/>
    <w:rsid w:val="0092264E"/>
    <w:rsid w:val="00941EDA"/>
    <w:rsid w:val="009517DE"/>
    <w:rsid w:val="00956D53"/>
    <w:rsid w:val="00961D71"/>
    <w:rsid w:val="00961E03"/>
    <w:rsid w:val="00974BAF"/>
    <w:rsid w:val="00993D85"/>
    <w:rsid w:val="009946BE"/>
    <w:rsid w:val="009A3DF8"/>
    <w:rsid w:val="009C219D"/>
    <w:rsid w:val="009C4614"/>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94468"/>
    <w:rsid w:val="00AA4BEA"/>
    <w:rsid w:val="00AA5215"/>
    <w:rsid w:val="00AD3C33"/>
    <w:rsid w:val="00AD4C00"/>
    <w:rsid w:val="00AE6470"/>
    <w:rsid w:val="00AF6C82"/>
    <w:rsid w:val="00B10B5D"/>
    <w:rsid w:val="00B150ED"/>
    <w:rsid w:val="00B27C06"/>
    <w:rsid w:val="00B72250"/>
    <w:rsid w:val="00B81452"/>
    <w:rsid w:val="00BD0908"/>
    <w:rsid w:val="00BD0DCE"/>
    <w:rsid w:val="00BD2782"/>
    <w:rsid w:val="00BF472E"/>
    <w:rsid w:val="00BF7DFA"/>
    <w:rsid w:val="00C20B4C"/>
    <w:rsid w:val="00C2494E"/>
    <w:rsid w:val="00C24D28"/>
    <w:rsid w:val="00C307BD"/>
    <w:rsid w:val="00C4446E"/>
    <w:rsid w:val="00C819A4"/>
    <w:rsid w:val="00C93C7E"/>
    <w:rsid w:val="00CC1C6D"/>
    <w:rsid w:val="00CC5B87"/>
    <w:rsid w:val="00CD362B"/>
    <w:rsid w:val="00CE1B29"/>
    <w:rsid w:val="00D05560"/>
    <w:rsid w:val="00D074BA"/>
    <w:rsid w:val="00D151CD"/>
    <w:rsid w:val="00D379B4"/>
    <w:rsid w:val="00D43BD4"/>
    <w:rsid w:val="00DA2FC4"/>
    <w:rsid w:val="00DA54A8"/>
    <w:rsid w:val="00DB630B"/>
    <w:rsid w:val="00E02BE4"/>
    <w:rsid w:val="00E05A3F"/>
    <w:rsid w:val="00E05FB1"/>
    <w:rsid w:val="00E34A2A"/>
    <w:rsid w:val="00E35AF0"/>
    <w:rsid w:val="00E47EF9"/>
    <w:rsid w:val="00E5289B"/>
    <w:rsid w:val="00E64F8A"/>
    <w:rsid w:val="00E67750"/>
    <w:rsid w:val="00E677E7"/>
    <w:rsid w:val="00E763F4"/>
    <w:rsid w:val="00E76523"/>
    <w:rsid w:val="00E836AF"/>
    <w:rsid w:val="00E94566"/>
    <w:rsid w:val="00EA63A7"/>
    <w:rsid w:val="00EB7684"/>
    <w:rsid w:val="00EF31CF"/>
    <w:rsid w:val="00EF478C"/>
    <w:rsid w:val="00EF63BE"/>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322F03"/>
  </w:style>
  <w:style w:type="paragraph" w:styleId="CommentSubject">
    <w:name w:val="annotation subject"/>
    <w:basedOn w:val="CommentText"/>
    <w:next w:val="CommentText"/>
    <w:semiHidden/>
    <w:rsid w:val="00322F03"/>
    <w:rPr>
      <w:b/>
      <w:bCs/>
    </w:rPr>
  </w:style>
  <w:style w:type="character" w:styleId="Hyperlink">
    <w:name w:val="Hyperlink"/>
    <w:basedOn w:val="DefaultParagraphFont"/>
    <w:rsid w:val="00E47EF9"/>
    <w:rPr>
      <w:color w:val="0000FF"/>
      <w:u w:val="none"/>
    </w:rPr>
  </w:style>
  <w:style w:type="character" w:styleId="FollowedHyperlink">
    <w:name w:val="FollowedHyperlink"/>
    <w:basedOn w:val="DefaultParagraphFont"/>
    <w:rsid w:val="00E47EF9"/>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MRT/Q/2" TargetMode="External"/><Relationship Id="rId3" Type="http://schemas.openxmlformats.org/officeDocument/2006/relationships/webSettings" Target="webSettings.xml"/><Relationship Id="rId21" Type="http://schemas.openxmlformats.org/officeDocument/2006/relationships/hyperlink" Target="http://undocs.org/CEDAW/C/SYR/Q/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LTU/Q/5" TargetMode="External"/><Relationship Id="rId2" Type="http://schemas.openxmlformats.org/officeDocument/2006/relationships/settings" Target="settings.xml"/><Relationship Id="rId16" Type="http://schemas.openxmlformats.org/officeDocument/2006/relationships/hyperlink" Target="http://undocs.org/CEDAW/C/IND/Q/4" TargetMode="External"/><Relationship Id="rId20" Type="http://schemas.openxmlformats.org/officeDocument/2006/relationships/hyperlink" Target="http://undocs.org/CEDAW/C/SWZ/Q/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GEO/Q/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PER/Q/7"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CAF/Q/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795</Words>
  <Characters>4533</Characters>
  <Application>Microsoft Office Outlook</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5318</CharactersWithSpaces>
  <SharedDoc>false</SharedDoc>
  <HLinks>
    <vt:vector size="48" baseType="variant">
      <vt:variant>
        <vt:i4>5701648</vt:i4>
      </vt:variant>
      <vt:variant>
        <vt:i4>21</vt:i4>
      </vt:variant>
      <vt:variant>
        <vt:i4>0</vt:i4>
      </vt:variant>
      <vt:variant>
        <vt:i4>5</vt:i4>
      </vt:variant>
      <vt:variant>
        <vt:lpwstr>http://undocs.org/CEDAW/C/SYR/Q/2</vt:lpwstr>
      </vt:variant>
      <vt:variant>
        <vt:lpwstr/>
      </vt:variant>
      <vt:variant>
        <vt:i4>5832728</vt:i4>
      </vt:variant>
      <vt:variant>
        <vt:i4>18</vt:i4>
      </vt:variant>
      <vt:variant>
        <vt:i4>0</vt:i4>
      </vt:variant>
      <vt:variant>
        <vt:i4>5</vt:i4>
      </vt:variant>
      <vt:variant>
        <vt:lpwstr>http://undocs.org/CEDAW/C/SWZ/Q/1</vt:lpwstr>
      </vt:variant>
      <vt:variant>
        <vt:lpwstr/>
      </vt:variant>
      <vt:variant>
        <vt:i4>4915219</vt:i4>
      </vt:variant>
      <vt:variant>
        <vt:i4>15</vt:i4>
      </vt:variant>
      <vt:variant>
        <vt:i4>0</vt:i4>
      </vt:variant>
      <vt:variant>
        <vt:i4>5</vt:i4>
      </vt:variant>
      <vt:variant>
        <vt:lpwstr>http://undocs.org/CEDAW/C/PER/Q/7</vt:lpwstr>
      </vt:variant>
      <vt:variant>
        <vt:lpwstr/>
      </vt:variant>
      <vt:variant>
        <vt:i4>6029320</vt:i4>
      </vt:variant>
      <vt:variant>
        <vt:i4>12</vt:i4>
      </vt:variant>
      <vt:variant>
        <vt:i4>0</vt:i4>
      </vt:variant>
      <vt:variant>
        <vt:i4>5</vt:i4>
      </vt:variant>
      <vt:variant>
        <vt:lpwstr>http://undocs.org/CEDAW/C/MRT/Q/2</vt:lpwstr>
      </vt:variant>
      <vt:variant>
        <vt:lpwstr/>
      </vt:variant>
      <vt:variant>
        <vt:i4>5898248</vt:i4>
      </vt:variant>
      <vt:variant>
        <vt:i4>9</vt:i4>
      </vt:variant>
      <vt:variant>
        <vt:i4>0</vt:i4>
      </vt:variant>
      <vt:variant>
        <vt:i4>5</vt:i4>
      </vt:variant>
      <vt:variant>
        <vt:lpwstr>http://undocs.org/CEDAW/C/LTU/Q/5</vt:lpwstr>
      </vt:variant>
      <vt:variant>
        <vt:lpwstr/>
      </vt:variant>
      <vt:variant>
        <vt:i4>4194332</vt:i4>
      </vt:variant>
      <vt:variant>
        <vt:i4>6</vt:i4>
      </vt:variant>
      <vt:variant>
        <vt:i4>0</vt:i4>
      </vt:variant>
      <vt:variant>
        <vt:i4>5</vt:i4>
      </vt:variant>
      <vt:variant>
        <vt:lpwstr>http://undocs.org/CEDAW/C/IND/Q/4</vt:lpwstr>
      </vt:variant>
      <vt:variant>
        <vt:lpwstr/>
      </vt:variant>
      <vt:variant>
        <vt:i4>4915225</vt:i4>
      </vt:variant>
      <vt:variant>
        <vt:i4>3</vt:i4>
      </vt:variant>
      <vt:variant>
        <vt:i4>0</vt:i4>
      </vt:variant>
      <vt:variant>
        <vt:i4>5</vt:i4>
      </vt:variant>
      <vt:variant>
        <vt:lpwstr>http://undocs.org/CEDAW/C/GEO/Q/4</vt:lpwstr>
      </vt:variant>
      <vt:variant>
        <vt:lpwstr/>
      </vt:variant>
      <vt:variant>
        <vt:i4>5177364</vt:i4>
      </vt:variant>
      <vt:variant>
        <vt:i4>0</vt:i4>
      </vt:variant>
      <vt:variant>
        <vt:i4>0</vt:i4>
      </vt:variant>
      <vt:variant>
        <vt:i4>5</vt:i4>
      </vt:variant>
      <vt:variant>
        <vt:lpwstr>http://undocs.org/CEDAW/C/CAF/Q/1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14</cp:revision>
  <cp:lastPrinted>2013-11-01T12:29:00Z</cp:lastPrinted>
  <dcterms:created xsi:type="dcterms:W3CDTF">2013-11-01T12:18:00Z</dcterms:created>
  <dcterms:modified xsi:type="dcterms:W3CDTF">2013-11-01T13:13:00Z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1353333</vt:lpwstr>
  </property>
  <property fmtid="{D5CDD505-2E9C-101B-9397-08002B2CF9AE}" pid="3" name="Symbol1">
    <vt:lpwstr>CEDAW/C/PSWG/58/1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 pp FINAL</vt:lpwstr>
  </property>
  <property fmtid="{D5CDD505-2E9C-101B-9397-08002B2CF9AE}" pid="8" name="Operator">
    <vt:lpwstr>ts (F)</vt:lpwstr>
  </property>
</Properties>
</file>