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F73" w:rsidRDefault="00BF6F73" w:rsidP="00BF6F73">
      <w:pPr>
        <w:spacing w:line="240" w:lineRule="auto"/>
        <w:jc w:val="left"/>
        <w:rPr>
          <w:szCs w:val="6"/>
        </w:rPr>
        <w:sectPr w:rsidR="00BF6F73" w:rsidSect="00BF6F7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B2269" w:rsidRPr="000B2269" w:rsidRDefault="000B2269" w:rsidP="000B2269">
      <w:pPr>
        <w:pStyle w:val="SingleTxt"/>
        <w:spacing w:after="0" w:line="120" w:lineRule="exact"/>
        <w:rPr>
          <w:rFonts w:hint="cs"/>
          <w:sz w:val="10"/>
          <w:rtl/>
        </w:rPr>
      </w:pPr>
    </w:p>
    <w:p w:rsidR="000B2269" w:rsidRPr="000B2269" w:rsidRDefault="000B2269" w:rsidP="000B226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0B2269">
        <w:rPr>
          <w:rtl/>
        </w:rPr>
        <w:t>اللجنة المعنية بالقضاء على التمييز ضد المرأة</w:t>
      </w:r>
    </w:p>
    <w:p w:rsidR="000B2269" w:rsidRPr="000B2269" w:rsidRDefault="000B2269" w:rsidP="000B226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0B2269">
        <w:rPr>
          <w:rtl/>
        </w:rPr>
        <w:t>الفريق العامل لما قبل الدورة</w:t>
      </w:r>
      <w:r w:rsidRPr="000B2269">
        <w:t xml:space="preserve"> </w:t>
      </w:r>
    </w:p>
    <w:p w:rsidR="000B2269" w:rsidRPr="000B2269" w:rsidRDefault="000B2269" w:rsidP="000B226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 xml:space="preserve">الدورة </w:t>
      </w:r>
      <w:r>
        <w:rPr>
          <w:rtl/>
        </w:rPr>
        <w:t>الخامسة والثلاث</w:t>
      </w:r>
      <w:r>
        <w:rPr>
          <w:rFonts w:hint="cs"/>
          <w:rtl/>
        </w:rPr>
        <w:t>ون</w:t>
      </w:r>
    </w:p>
    <w:p w:rsidR="000B2269" w:rsidRPr="000B2269" w:rsidRDefault="000B2269" w:rsidP="000B2269">
      <w:pPr>
        <w:tabs>
          <w:tab w:val="left" w:pos="662"/>
          <w:tab w:val="left" w:pos="1267"/>
          <w:tab w:val="left" w:pos="1987"/>
          <w:tab w:val="left" w:pos="2650"/>
        </w:tabs>
        <w:rPr>
          <w:rtl/>
        </w:rPr>
      </w:pPr>
      <w:r w:rsidRPr="000B2269">
        <w:rPr>
          <w:rtl/>
        </w:rPr>
        <w:t>15 أيار/مايو</w:t>
      </w:r>
      <w:r w:rsidR="00021EB0">
        <w:rPr>
          <w:rFonts w:hint="cs"/>
          <w:rtl/>
        </w:rPr>
        <w:t xml:space="preserve"> </w:t>
      </w:r>
      <w:r w:rsidRPr="000B2269">
        <w:rPr>
          <w:rtl/>
        </w:rPr>
        <w:t>-</w:t>
      </w:r>
      <w:r w:rsidR="00021EB0">
        <w:rPr>
          <w:rFonts w:hint="cs"/>
          <w:rtl/>
        </w:rPr>
        <w:t xml:space="preserve"> </w:t>
      </w:r>
      <w:r w:rsidRPr="000B2269">
        <w:rPr>
          <w:rtl/>
        </w:rPr>
        <w:t>2 حزيران/يونيه 2006</w:t>
      </w:r>
    </w:p>
    <w:p w:rsidR="000B2269" w:rsidRDefault="000B2269" w:rsidP="000B2269">
      <w:pPr>
        <w:pStyle w:val="SingleTxt"/>
        <w:spacing w:after="0" w:line="120" w:lineRule="exact"/>
        <w:rPr>
          <w:rFonts w:hint="cs"/>
          <w:b/>
          <w:bCs/>
          <w:sz w:val="10"/>
          <w:rtl/>
        </w:rPr>
      </w:pPr>
    </w:p>
    <w:p w:rsidR="000B2269" w:rsidRPr="000B2269" w:rsidRDefault="000B2269" w:rsidP="000B2269">
      <w:pPr>
        <w:pStyle w:val="SingleTxt"/>
        <w:spacing w:after="0" w:line="120" w:lineRule="exact"/>
        <w:rPr>
          <w:rFonts w:hint="cs"/>
          <w:b/>
          <w:bCs/>
          <w:sz w:val="10"/>
        </w:rPr>
      </w:pPr>
    </w:p>
    <w:p w:rsidR="000B2269" w:rsidRPr="000B2269" w:rsidRDefault="000B2269" w:rsidP="000B226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0B2269">
        <w:tab/>
      </w:r>
      <w:r w:rsidRPr="000B2269">
        <w:tab/>
      </w:r>
      <w:r w:rsidRPr="000B2269">
        <w:rPr>
          <w:rtl/>
        </w:rPr>
        <w:t>قائمة القضايا والأسئلة المطروحة فيما يتعلق بالنظر في التقارير الدورية</w:t>
      </w:r>
    </w:p>
    <w:p w:rsidR="000B2269" w:rsidRPr="000B2269" w:rsidRDefault="000B2269" w:rsidP="000B2269">
      <w:pPr>
        <w:pStyle w:val="SingleTxt"/>
        <w:spacing w:after="0" w:line="120" w:lineRule="exact"/>
        <w:rPr>
          <w:rFonts w:hint="cs"/>
          <w:b/>
          <w:bCs/>
          <w:sz w:val="10"/>
        </w:rPr>
      </w:pPr>
    </w:p>
    <w:p w:rsidR="000B2269" w:rsidRPr="000B2269" w:rsidRDefault="000B2269" w:rsidP="000B22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rsidRPr="000B2269">
        <w:tab/>
      </w:r>
      <w:r w:rsidRPr="000B2269">
        <w:rPr>
          <w:rtl/>
        </w:rPr>
        <w:t>ملاوي</w:t>
      </w:r>
    </w:p>
    <w:p w:rsidR="000B2269" w:rsidRPr="000B2269" w:rsidRDefault="000B2269" w:rsidP="007B2891">
      <w:pPr>
        <w:pStyle w:val="SingleTxt"/>
        <w:spacing w:line="360" w:lineRule="exact"/>
        <w:rPr>
          <w:rtl/>
        </w:rPr>
      </w:pPr>
      <w:r w:rsidRPr="000B2269">
        <w:tab/>
      </w:r>
      <w:r w:rsidRPr="000B2269">
        <w:rPr>
          <w:rtl/>
        </w:rPr>
        <w:t>نظر الفريق العامل لما قبل الدورة في التقرير الدوري الموحد الثاني والثالث والرابع والخامس لملاوي (</w:t>
      </w:r>
      <w:r w:rsidRPr="000B2269">
        <w:t>CEDAW/C/MW/2-5</w:t>
      </w:r>
      <w:r w:rsidRPr="000B2269">
        <w:rPr>
          <w:rtl/>
        </w:rPr>
        <w:t>).</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الدستور والتشريعات وحالة الاتفاقية</w:t>
      </w:r>
    </w:p>
    <w:p w:rsidR="000B2269" w:rsidRPr="000B2269" w:rsidRDefault="000B2269" w:rsidP="007B2891">
      <w:pPr>
        <w:pStyle w:val="SingleTxt"/>
        <w:spacing w:line="360" w:lineRule="exact"/>
        <w:rPr>
          <w:rtl/>
        </w:rPr>
      </w:pPr>
      <w:r w:rsidRPr="000B2269">
        <w:rPr>
          <w:rFonts w:hint="cs"/>
          <w:rtl/>
        </w:rPr>
        <w:t>1</w:t>
      </w:r>
      <w:r>
        <w:rPr>
          <w:rFonts w:hint="cs"/>
          <w:rtl/>
        </w:rPr>
        <w:t xml:space="preserve"> </w:t>
      </w:r>
      <w:r w:rsidRPr="000B2269">
        <w:rPr>
          <w:rFonts w:hint="cs"/>
          <w:rtl/>
        </w:rPr>
        <w:t>-</w:t>
      </w:r>
      <w:r w:rsidRPr="000B2269">
        <w:tab/>
      </w:r>
      <w:r w:rsidRPr="000B2269">
        <w:rPr>
          <w:rtl/>
        </w:rPr>
        <w:t>حسب التقرير، يتضمن الدستور حكماً يتعلق بعدم التمييز، رغم عدم وجود أي تعريف تشريعي أو قضائي إضافي لهذا الحكم.</w:t>
      </w:r>
      <w:r w:rsidRPr="000B2269">
        <w:t xml:space="preserve"> </w:t>
      </w:r>
      <w:r w:rsidRPr="000B2269">
        <w:rPr>
          <w:rtl/>
        </w:rPr>
        <w:t>ويشير التقرير أيضاً إلى أن عملية إصلاح قانوني جارية قد تؤدي إلى وضع معايير واضحة للقضاء على أشكال التمييز ضد المرأة (انظر الفقرة 1-5).</w:t>
      </w:r>
      <w:r w:rsidRPr="000B2269">
        <w:t xml:space="preserve"> </w:t>
      </w:r>
      <w:r w:rsidRPr="000B2269">
        <w:rPr>
          <w:rtl/>
        </w:rPr>
        <w:t>يرجى وصف نطاق عملية الإصلاح القانوني وما إذا كانت تهدف إلى استعراض كل القوانين للتأكد من امتثالها لأحكام الاتفاقية، وكذلك إدراج تعريف للتمييز وفقاً للمادة 1 من الاتفاقية في التشريعات الملائمة.</w:t>
      </w:r>
      <w:r w:rsidRPr="000B2269">
        <w:t xml:space="preserve"> </w:t>
      </w:r>
      <w:r w:rsidRPr="000B2269">
        <w:rPr>
          <w:rtl/>
        </w:rPr>
        <w:t>ويرجى أيضاً إيضاح أثر هذا الإصلاح على القانون العرفي، خاصة على جوانب من قبيل تعدد الزوجات وأشكال العنف ضد المرأة (انظر الفقرة 1-4-2).</w:t>
      </w:r>
    </w:p>
    <w:p w:rsidR="000B2269" w:rsidRPr="000B2269" w:rsidRDefault="000B2269" w:rsidP="007B2891">
      <w:pPr>
        <w:pStyle w:val="SingleTxt"/>
        <w:spacing w:line="360" w:lineRule="exact"/>
        <w:rPr>
          <w:rtl/>
        </w:rPr>
      </w:pPr>
      <w:r w:rsidRPr="000B2269">
        <w:rPr>
          <w:rFonts w:hint="cs"/>
          <w:rtl/>
        </w:rPr>
        <w:t>2</w:t>
      </w:r>
      <w:r>
        <w:rPr>
          <w:rFonts w:hint="cs"/>
          <w:rtl/>
        </w:rPr>
        <w:t xml:space="preserve"> </w:t>
      </w:r>
      <w:r w:rsidRPr="000B2269">
        <w:rPr>
          <w:rFonts w:hint="cs"/>
          <w:rtl/>
        </w:rPr>
        <w:t>-</w:t>
      </w:r>
      <w:r w:rsidRPr="000B2269">
        <w:tab/>
      </w:r>
      <w:r w:rsidRPr="000B2269">
        <w:rPr>
          <w:rtl/>
        </w:rPr>
        <w:t>وفي سنة 1991، سحبت ملاوي تحفظاتها على أحكام الاتفاقية فيما يتعلق بالأعراف والممارسات التقليدية.</w:t>
      </w:r>
      <w:r w:rsidRPr="000B2269">
        <w:t xml:space="preserve"> </w:t>
      </w:r>
      <w:r w:rsidRPr="000B2269">
        <w:rPr>
          <w:rtl/>
        </w:rPr>
        <w:t>غير أنه، رغم مقتضيات الدستور، لم يصدر أي قانون للقضاء على الممارسات الثقافية الضارة (الفقرة 6-6-1).</w:t>
      </w:r>
      <w:r w:rsidRPr="000B2269">
        <w:t xml:space="preserve"> </w:t>
      </w:r>
      <w:r w:rsidRPr="000B2269">
        <w:rPr>
          <w:rtl/>
        </w:rPr>
        <w:t>يرجى تحديد العوائق التي تحول دون اعتماد تشريعات</w:t>
      </w:r>
      <w:r>
        <w:rPr>
          <w:rFonts w:hint="cs"/>
          <w:rtl/>
        </w:rPr>
        <w:t xml:space="preserve"> بهذا الصدد</w:t>
      </w:r>
      <w:r w:rsidRPr="000B2269">
        <w:rPr>
          <w:rtl/>
        </w:rPr>
        <w:t xml:space="preserve"> والجهود المبذولة لتجاوزها.</w:t>
      </w:r>
    </w:p>
    <w:p w:rsidR="00CD3849" w:rsidRDefault="000B2269" w:rsidP="007B2891">
      <w:pPr>
        <w:pStyle w:val="SingleTxt"/>
        <w:spacing w:line="360" w:lineRule="exact"/>
        <w:rPr>
          <w:rFonts w:hint="cs"/>
          <w:rtl/>
        </w:rPr>
      </w:pPr>
      <w:r w:rsidRPr="000B2269">
        <w:rPr>
          <w:rFonts w:hint="cs"/>
          <w:rtl/>
        </w:rPr>
        <w:t>3</w:t>
      </w:r>
      <w:r w:rsidR="00021EB0">
        <w:rPr>
          <w:rFonts w:hint="cs"/>
          <w:rtl/>
        </w:rPr>
        <w:t xml:space="preserve"> </w:t>
      </w:r>
      <w:r w:rsidRPr="000B2269">
        <w:rPr>
          <w:rFonts w:hint="cs"/>
          <w:rtl/>
        </w:rPr>
        <w:t>-</w:t>
      </w:r>
      <w:r w:rsidRPr="000B2269">
        <w:tab/>
      </w:r>
      <w:r w:rsidRPr="000B2269">
        <w:rPr>
          <w:rtl/>
        </w:rPr>
        <w:t xml:space="preserve">ويشير التقرير إلى أن الدستور يسمح بزواج </w:t>
      </w:r>
      <w:r>
        <w:rPr>
          <w:rtl/>
        </w:rPr>
        <w:t>الأطفال وأن هذا الحكم يتناقض مع</w:t>
      </w:r>
      <w:r>
        <w:rPr>
          <w:rFonts w:hint="cs"/>
          <w:rtl/>
        </w:rPr>
        <w:t> </w:t>
      </w:r>
      <w:r w:rsidRPr="000B2269">
        <w:rPr>
          <w:rtl/>
        </w:rPr>
        <w:t>المادة 19 من قانون الزواج الذي ينص على 21 عاماً كسن أدنى للزواج (الفقرة 16-3-2).</w:t>
      </w:r>
      <w:r w:rsidRPr="000B2269">
        <w:t xml:space="preserve"> </w:t>
      </w:r>
      <w:r w:rsidRPr="000B2269">
        <w:rPr>
          <w:rtl/>
        </w:rPr>
        <w:t>ما هي التدابير المقررة لضمان الامتثال لقانون الزواج؟</w:t>
      </w:r>
    </w:p>
    <w:p w:rsidR="000B2269" w:rsidRPr="000B2269" w:rsidRDefault="000B2269" w:rsidP="007B2891">
      <w:pPr>
        <w:pStyle w:val="SingleTxt"/>
        <w:spacing w:line="360" w:lineRule="exact"/>
        <w:rPr>
          <w:rtl/>
        </w:rPr>
      </w:pPr>
      <w:r w:rsidRPr="000B2269">
        <w:rPr>
          <w:rFonts w:hint="cs"/>
          <w:rtl/>
        </w:rPr>
        <w:t>4</w:t>
      </w:r>
      <w:r>
        <w:rPr>
          <w:rFonts w:hint="cs"/>
          <w:rtl/>
        </w:rPr>
        <w:t xml:space="preserve"> </w:t>
      </w:r>
      <w:r w:rsidRPr="000B2269">
        <w:rPr>
          <w:rFonts w:hint="cs"/>
          <w:rtl/>
        </w:rPr>
        <w:t>-</w:t>
      </w:r>
      <w:r w:rsidRPr="000B2269">
        <w:tab/>
      </w:r>
      <w:r w:rsidRPr="000B2269">
        <w:rPr>
          <w:rtl/>
        </w:rPr>
        <w:t>يشير التقرير إلى أن قضاة المحكمة العليا يتخذون قراراتهم على أساس الآراء التقليدية العرفية بدلاً من الممارسة الدولية لحقوق الإنسان وأن للملاويين ثقة أكبر في العدالة التقليدية (الفقرة 2-6-8).</w:t>
      </w:r>
      <w:r w:rsidRPr="000B2269">
        <w:t xml:space="preserve"> </w:t>
      </w:r>
      <w:r w:rsidRPr="000B2269">
        <w:rPr>
          <w:rtl/>
        </w:rPr>
        <w:t>يرجى ذكر التدابير التي يجري اتخاذها للتوعية بالمساواة بين الجنسين وبحقوق الإنسان للمرأة بين أعضاء السلطة القضائية ووجهاء القرى ورؤسائها.</w:t>
      </w:r>
    </w:p>
    <w:p w:rsidR="000B2269" w:rsidRPr="000B2269" w:rsidRDefault="000B2269" w:rsidP="007B2891">
      <w:pPr>
        <w:pStyle w:val="SingleTxt"/>
        <w:spacing w:line="360" w:lineRule="exact"/>
        <w:rPr>
          <w:rtl/>
        </w:rPr>
      </w:pPr>
      <w:r w:rsidRPr="000B2269">
        <w:rPr>
          <w:rFonts w:hint="cs"/>
          <w:rtl/>
        </w:rPr>
        <w:t>5</w:t>
      </w:r>
      <w:r>
        <w:rPr>
          <w:rFonts w:hint="cs"/>
          <w:rtl/>
        </w:rPr>
        <w:t xml:space="preserve"> </w:t>
      </w:r>
      <w:r w:rsidRPr="000B2269">
        <w:rPr>
          <w:rFonts w:hint="cs"/>
          <w:rtl/>
        </w:rPr>
        <w:t>-</w:t>
      </w:r>
      <w:r w:rsidRPr="000B2269">
        <w:tab/>
      </w:r>
      <w:r w:rsidRPr="000B2269">
        <w:rPr>
          <w:rtl/>
        </w:rPr>
        <w:t>ويشير التقرير إلى أن جهوداً تُبذل في الوقت الحاضر لوضع قانون للمساواة بين الجنسين (الفقرة 6-5).</w:t>
      </w:r>
      <w:r w:rsidRPr="000B2269">
        <w:t xml:space="preserve"> </w:t>
      </w:r>
      <w:r w:rsidRPr="000B2269">
        <w:rPr>
          <w:rtl/>
        </w:rPr>
        <w:t>يرجى تقديم المزيد من المعلومات بشأن محتوى هذا القانون وحالته والجدول الزمني لاعتماده.</w:t>
      </w:r>
    </w:p>
    <w:p w:rsidR="000B2269" w:rsidRPr="000B2269" w:rsidRDefault="000B2269" w:rsidP="007B2891">
      <w:pPr>
        <w:pStyle w:val="SingleTxt"/>
        <w:spacing w:line="360" w:lineRule="exact"/>
        <w:rPr>
          <w:rtl/>
        </w:rPr>
      </w:pPr>
      <w:r w:rsidRPr="000B2269">
        <w:rPr>
          <w:rFonts w:hint="cs"/>
          <w:rtl/>
        </w:rPr>
        <w:t>6</w:t>
      </w:r>
      <w:r>
        <w:rPr>
          <w:rFonts w:hint="cs"/>
          <w:rtl/>
        </w:rPr>
        <w:t xml:space="preserve"> </w:t>
      </w:r>
      <w:r w:rsidRPr="000B2269">
        <w:rPr>
          <w:rFonts w:hint="cs"/>
          <w:rtl/>
        </w:rPr>
        <w:t>-</w:t>
      </w:r>
      <w:r w:rsidRPr="000B2269">
        <w:tab/>
      </w:r>
      <w:r>
        <w:rPr>
          <w:rtl/>
        </w:rPr>
        <w:t>ووفقا</w:t>
      </w:r>
      <w:r w:rsidRPr="000B2269">
        <w:rPr>
          <w:rtl/>
        </w:rPr>
        <w:t xml:space="preserve"> للتقرير، بدأت السياسة الجنسانية الوطنية في سنة 2000 و</w:t>
      </w:r>
      <w:r>
        <w:rPr>
          <w:rFonts w:hint="cs"/>
          <w:rtl/>
        </w:rPr>
        <w:t>أصبح</w:t>
      </w:r>
      <w:r w:rsidRPr="000B2269">
        <w:rPr>
          <w:rtl/>
        </w:rPr>
        <w:t xml:space="preserve"> تنفيذها في المرحلة النهائية (الفقرة 2-5-3).</w:t>
      </w:r>
      <w:r w:rsidRPr="000B2269">
        <w:t xml:space="preserve"> </w:t>
      </w:r>
      <w:r w:rsidRPr="000B2269">
        <w:rPr>
          <w:rtl/>
        </w:rPr>
        <w:t xml:space="preserve">يرجى تقديم معلومات عن أثر هذه السياسة وتحديد العوائق </w:t>
      </w:r>
      <w:r>
        <w:rPr>
          <w:rFonts w:hint="cs"/>
          <w:rtl/>
        </w:rPr>
        <w:t xml:space="preserve">القائمة </w:t>
      </w:r>
      <w:r w:rsidRPr="000B2269">
        <w:rPr>
          <w:rtl/>
        </w:rPr>
        <w:t>في</w:t>
      </w:r>
      <w:r>
        <w:rPr>
          <w:rFonts w:hint="cs"/>
          <w:rtl/>
        </w:rPr>
        <w:t xml:space="preserve"> طريق</w:t>
      </w:r>
      <w:r w:rsidRPr="000B2269">
        <w:rPr>
          <w:rtl/>
        </w:rPr>
        <w:t xml:space="preserve"> تنفيذها الفعال والخطوات المتخذة لتجاوزها.</w:t>
      </w:r>
      <w:r w:rsidRPr="000B2269">
        <w:t xml:space="preserve"> </w:t>
      </w:r>
      <w:r w:rsidRPr="000B2269">
        <w:rPr>
          <w:rtl/>
        </w:rPr>
        <w:t>في إجابتكم، يرجى إيضاح ما إذا كان سيتم اعتماد سياسة جنسانية وطنية جديدة وتنفيذها.</w:t>
      </w:r>
    </w:p>
    <w:p w:rsidR="000B2269" w:rsidRPr="000B2269" w:rsidRDefault="000B2269" w:rsidP="007B2891">
      <w:pPr>
        <w:pStyle w:val="SingleTxt"/>
        <w:spacing w:line="360" w:lineRule="exact"/>
        <w:rPr>
          <w:rtl/>
        </w:rPr>
      </w:pPr>
      <w:r w:rsidRPr="000B2269">
        <w:rPr>
          <w:rFonts w:hint="cs"/>
          <w:rtl/>
        </w:rPr>
        <w:t>7</w:t>
      </w:r>
      <w:r>
        <w:rPr>
          <w:rFonts w:hint="cs"/>
          <w:rtl/>
        </w:rPr>
        <w:t xml:space="preserve"> </w:t>
      </w:r>
      <w:r w:rsidRPr="000B2269">
        <w:rPr>
          <w:rFonts w:hint="cs"/>
          <w:rtl/>
        </w:rPr>
        <w:t>-</w:t>
      </w:r>
      <w:r w:rsidRPr="000B2269">
        <w:tab/>
      </w:r>
      <w:r w:rsidRPr="000B2269">
        <w:rPr>
          <w:rtl/>
        </w:rPr>
        <w:t>ويُشار في التقرير إلى أن الأداة الرابعة لتحقيق المساواة بين الجنسين هي ورقة استراتيجية الحد من الفقر (الفقرة 2-5-4).</w:t>
      </w:r>
      <w:r w:rsidRPr="000B2269">
        <w:t xml:space="preserve"> </w:t>
      </w:r>
      <w:r w:rsidRPr="000B2269">
        <w:rPr>
          <w:rtl/>
        </w:rPr>
        <w:t>يرجى بيان ما إذا كانت ورقة استراتيجية الحد من الفقر تعكس الاتفاقية والأهداف الإنمائية للألفية ووصف الطريقة التي تعكس بها الورقة أولويات المرأة.</w:t>
      </w:r>
      <w:r w:rsidRPr="000B2269">
        <w:t xml:space="preserve"> </w:t>
      </w:r>
      <w:r w:rsidRPr="000B2269">
        <w:rPr>
          <w:rtl/>
        </w:rPr>
        <w:t>في إجابتكم، يرجى إدراج المعلومات المتعلقة بالآليات القائمة لرصد وتقييم تنفيذ البرامج والسياسات التي ت</w:t>
      </w:r>
      <w:r>
        <w:rPr>
          <w:rFonts w:hint="cs"/>
          <w:rtl/>
        </w:rPr>
        <w:t>تعلق</w:t>
      </w:r>
      <w:r w:rsidRPr="000B2269">
        <w:rPr>
          <w:rtl/>
        </w:rPr>
        <w:t xml:space="preserve"> </w:t>
      </w:r>
      <w:r>
        <w:rPr>
          <w:rFonts w:hint="cs"/>
          <w:rtl/>
        </w:rPr>
        <w:t>ب</w:t>
      </w:r>
      <w:r w:rsidRPr="000B2269">
        <w:rPr>
          <w:rtl/>
        </w:rPr>
        <w:t>المرأة.</w:t>
      </w:r>
    </w:p>
    <w:p w:rsidR="007B2891" w:rsidRPr="007B2891" w:rsidRDefault="007B2891" w:rsidP="007B2891">
      <w:pPr>
        <w:pStyle w:val="SingleTxt"/>
        <w:spacing w:after="0" w:line="120" w:lineRule="exact"/>
        <w:rPr>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الآلية الوطنية للنهوض بالمرأة</w:t>
      </w:r>
    </w:p>
    <w:p w:rsidR="000B2269" w:rsidRPr="000B2269" w:rsidRDefault="000B2269" w:rsidP="007B2891">
      <w:pPr>
        <w:pStyle w:val="SingleTxt"/>
        <w:spacing w:line="360" w:lineRule="exact"/>
        <w:rPr>
          <w:rFonts w:hint="cs"/>
          <w:rtl/>
        </w:rPr>
      </w:pPr>
      <w:r w:rsidRPr="000B2269">
        <w:rPr>
          <w:rFonts w:hint="cs"/>
          <w:rtl/>
        </w:rPr>
        <w:t>8</w:t>
      </w:r>
      <w:r>
        <w:rPr>
          <w:rFonts w:hint="cs"/>
          <w:rtl/>
        </w:rPr>
        <w:t xml:space="preserve"> </w:t>
      </w:r>
      <w:r w:rsidRPr="000B2269">
        <w:rPr>
          <w:rFonts w:hint="cs"/>
          <w:rtl/>
        </w:rPr>
        <w:t>-</w:t>
      </w:r>
      <w:r w:rsidRPr="000B2269">
        <w:tab/>
      </w:r>
      <w:r w:rsidRPr="000B2269">
        <w:rPr>
          <w:rtl/>
        </w:rPr>
        <w:t xml:space="preserve">يشير التقرير </w:t>
      </w:r>
      <w:r>
        <w:rPr>
          <w:rFonts w:hint="cs"/>
          <w:rtl/>
        </w:rPr>
        <w:t>إل</w:t>
      </w:r>
      <w:r w:rsidRPr="000B2269">
        <w:rPr>
          <w:rtl/>
        </w:rPr>
        <w:t>ى أن وزارة الشؤون الجنسانية والخدمات المجتمعية وزارة تنفيذية ولا تملك أي سلطات قسرية بدلاً من كونها وزارة مركزية (الفقرة 2-5-6) وأنها تواجه عدة مشاكل في القدرات، بما فيها سوء التمويل (الفقرة 4-4-9).</w:t>
      </w:r>
      <w:r w:rsidRPr="000B2269">
        <w:t xml:space="preserve"> </w:t>
      </w:r>
      <w:r w:rsidRPr="000B2269">
        <w:rPr>
          <w:rtl/>
        </w:rPr>
        <w:t xml:space="preserve">يرجى تقديم معلومات بشأن الجهود المبذولة والتدابير المتخذة لتحسين وضع الوزارة وكذلك </w:t>
      </w:r>
      <w:r>
        <w:rPr>
          <w:rFonts w:hint="cs"/>
          <w:rtl/>
        </w:rPr>
        <w:t>بشأن توافر</w:t>
      </w:r>
      <w:r w:rsidRPr="000B2269">
        <w:rPr>
          <w:rtl/>
        </w:rPr>
        <w:t xml:space="preserve"> الموارد البشرية والمالية </w:t>
      </w:r>
      <w:r>
        <w:rPr>
          <w:rFonts w:hint="cs"/>
          <w:rtl/>
        </w:rPr>
        <w:t>لتؤدي وظيفتها بفعالية</w:t>
      </w:r>
      <w:r w:rsidRPr="000B2269">
        <w:rPr>
          <w:rtl/>
        </w:rPr>
        <w:t>.</w:t>
      </w:r>
    </w:p>
    <w:p w:rsidR="000B2269" w:rsidRPr="000B2269" w:rsidRDefault="000B2269" w:rsidP="007B2891">
      <w:pPr>
        <w:pStyle w:val="SingleTxt"/>
        <w:spacing w:line="360" w:lineRule="exact"/>
        <w:rPr>
          <w:rtl/>
        </w:rPr>
      </w:pPr>
      <w:r w:rsidRPr="000B2269">
        <w:rPr>
          <w:rFonts w:hint="cs"/>
          <w:rtl/>
        </w:rPr>
        <w:t>9</w:t>
      </w:r>
      <w:r>
        <w:rPr>
          <w:rFonts w:hint="cs"/>
          <w:rtl/>
        </w:rPr>
        <w:t xml:space="preserve"> </w:t>
      </w:r>
      <w:r w:rsidRPr="000B2269">
        <w:rPr>
          <w:rFonts w:hint="cs"/>
          <w:rtl/>
        </w:rPr>
        <w:t>-</w:t>
      </w:r>
      <w:r w:rsidRPr="000B2269">
        <w:tab/>
      </w:r>
      <w:r w:rsidRPr="000B2269">
        <w:rPr>
          <w:rtl/>
        </w:rPr>
        <w:t xml:space="preserve">ويشير التقرير إلى أن </w:t>
      </w:r>
      <w:r>
        <w:rPr>
          <w:rFonts w:hint="cs"/>
          <w:rtl/>
        </w:rPr>
        <w:t xml:space="preserve">هناك لجنة لحقوق المرأة تابعة </w:t>
      </w:r>
      <w:r>
        <w:rPr>
          <w:rtl/>
        </w:rPr>
        <w:t>للجنة حقوق الإنسان</w:t>
      </w:r>
      <w:r w:rsidRPr="000B2269">
        <w:rPr>
          <w:rtl/>
        </w:rPr>
        <w:t>، ولكنها تعاني من نقص التمويل و</w:t>
      </w:r>
      <w:r w:rsidR="00F96B34">
        <w:rPr>
          <w:rFonts w:hint="cs"/>
          <w:rtl/>
        </w:rPr>
        <w:t xml:space="preserve">أن </w:t>
      </w:r>
      <w:r w:rsidRPr="000B2269">
        <w:rPr>
          <w:rtl/>
        </w:rPr>
        <w:t xml:space="preserve">خطة اللجنة للعام 2001 لا </w:t>
      </w:r>
      <w:r>
        <w:rPr>
          <w:rFonts w:hint="cs"/>
          <w:rtl/>
        </w:rPr>
        <w:t>ت</w:t>
      </w:r>
      <w:r w:rsidRPr="000B2269">
        <w:rPr>
          <w:rtl/>
        </w:rPr>
        <w:t>نص على تنفيذ محدد لمعايير المساواة الدولية للمرأة (الفقرة 2-6-5).</w:t>
      </w:r>
      <w:r w:rsidRPr="000B2269">
        <w:t xml:space="preserve"> </w:t>
      </w:r>
      <w:r w:rsidRPr="000B2269">
        <w:rPr>
          <w:rtl/>
        </w:rPr>
        <w:t>وعلاوة على ذلك، تعاني اللجنة الوطنية للرعاية الجنسانية</w:t>
      </w:r>
      <w:r w:rsidRPr="000B2269">
        <w:t xml:space="preserve"> </w:t>
      </w:r>
      <w:r w:rsidRPr="000B2269">
        <w:rPr>
          <w:rtl/>
        </w:rPr>
        <w:t>من انعدام الدعم المؤسسي.</w:t>
      </w:r>
      <w:r w:rsidRPr="000B2269">
        <w:t xml:space="preserve"> </w:t>
      </w:r>
      <w:r w:rsidRPr="000B2269">
        <w:rPr>
          <w:rtl/>
        </w:rPr>
        <w:t xml:space="preserve">يرجى تقديم معلومات بشأن الجهود المبذولة لدعم </w:t>
      </w:r>
      <w:r>
        <w:rPr>
          <w:rFonts w:hint="cs"/>
          <w:rtl/>
        </w:rPr>
        <w:t>أجهزة</w:t>
      </w:r>
      <w:r w:rsidRPr="000B2269">
        <w:rPr>
          <w:rtl/>
        </w:rPr>
        <w:t xml:space="preserve"> حقوق الإنسان و</w:t>
      </w:r>
      <w:r>
        <w:rPr>
          <w:rFonts w:hint="cs"/>
          <w:rtl/>
        </w:rPr>
        <w:t>أجهزة</w:t>
      </w:r>
      <w:r w:rsidRPr="000B2269">
        <w:rPr>
          <w:rtl/>
        </w:rPr>
        <w:t xml:space="preserve"> حقوق المرأة سياسياً ومالياً.</w:t>
      </w: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القوالب النمطية</w:t>
      </w:r>
    </w:p>
    <w:p w:rsidR="000B2269" w:rsidRPr="000B2269" w:rsidRDefault="000B2269" w:rsidP="007B2891">
      <w:pPr>
        <w:pStyle w:val="SingleTxt"/>
        <w:spacing w:line="360" w:lineRule="exact"/>
        <w:rPr>
          <w:rtl/>
        </w:rPr>
      </w:pPr>
      <w:r w:rsidRPr="000B2269">
        <w:rPr>
          <w:rFonts w:hint="cs"/>
          <w:rtl/>
        </w:rPr>
        <w:t>10</w:t>
      </w:r>
      <w:r>
        <w:rPr>
          <w:rFonts w:hint="cs"/>
          <w:rtl/>
        </w:rPr>
        <w:t xml:space="preserve"> </w:t>
      </w:r>
      <w:r w:rsidRPr="000B2269">
        <w:rPr>
          <w:rFonts w:hint="cs"/>
          <w:rtl/>
        </w:rPr>
        <w:t>-</w:t>
      </w:r>
      <w:r w:rsidRPr="000B2269">
        <w:tab/>
      </w:r>
      <w:r w:rsidRPr="000B2269">
        <w:rPr>
          <w:rtl/>
        </w:rPr>
        <w:t>يرجى تقديم معلومات بشأن أثر المبادرات المذكورة في المادة 5-4 لتغيير الأنماط الاجتماعية والثقافية الضارة والسلبية، وكذلك بشأن التدابير الجديدة المتخذة للقضاء على القوالب النمطية.</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العنف ضد المرأة</w:t>
      </w:r>
    </w:p>
    <w:p w:rsidR="000B2269" w:rsidRPr="00F73F2E" w:rsidRDefault="000B2269" w:rsidP="007B2891">
      <w:pPr>
        <w:pStyle w:val="SingleTxt"/>
        <w:spacing w:line="360" w:lineRule="exact"/>
        <w:rPr>
          <w:w w:val="99"/>
          <w:rtl/>
        </w:rPr>
      </w:pPr>
      <w:r w:rsidRPr="00F73F2E">
        <w:rPr>
          <w:rFonts w:hint="cs"/>
          <w:w w:val="99"/>
          <w:rtl/>
        </w:rPr>
        <w:t>11 -</w:t>
      </w:r>
      <w:r w:rsidRPr="00F73F2E">
        <w:rPr>
          <w:w w:val="99"/>
        </w:rPr>
        <w:tab/>
      </w:r>
      <w:r w:rsidRPr="00F73F2E">
        <w:rPr>
          <w:w w:val="99"/>
          <w:rtl/>
        </w:rPr>
        <w:t>حسب التقرير، تعمل الحكومة حالياً، بالتعاون مع أصحاب المصلحة، لوضع مشروع قانون يتعلق بالعنف المنزلي يسعى كذلك إلى تجريم الاغتصاب في إطار الزواج وغيره من جنايات العنف الجنسي (الفقرة 6-5-3).</w:t>
      </w:r>
      <w:r w:rsidRPr="00F73F2E">
        <w:rPr>
          <w:w w:val="99"/>
        </w:rPr>
        <w:t xml:space="preserve"> </w:t>
      </w:r>
      <w:r w:rsidRPr="00F73F2E">
        <w:rPr>
          <w:w w:val="99"/>
          <w:rtl/>
        </w:rPr>
        <w:t>يرجى تقديم المزيد من التفاصيل بشأن محتوى مشروع القانون، بما في ذلك الجزاءات المنصوص عليها للجناة، وذكر حالته والجدول الزمني لاعتماده.</w:t>
      </w:r>
      <w:r w:rsidRPr="00F73F2E">
        <w:rPr>
          <w:w w:val="99"/>
        </w:rPr>
        <w:t xml:space="preserve"> </w:t>
      </w:r>
    </w:p>
    <w:p w:rsidR="000B2269" w:rsidRPr="000B2269" w:rsidRDefault="000B2269" w:rsidP="007B2891">
      <w:pPr>
        <w:pStyle w:val="SingleTxt"/>
        <w:spacing w:line="360" w:lineRule="exact"/>
        <w:rPr>
          <w:rtl/>
        </w:rPr>
      </w:pPr>
      <w:r w:rsidRPr="000B2269">
        <w:rPr>
          <w:rFonts w:hint="cs"/>
          <w:rtl/>
        </w:rPr>
        <w:t>12</w:t>
      </w:r>
      <w:r>
        <w:rPr>
          <w:rFonts w:hint="cs"/>
          <w:rtl/>
        </w:rPr>
        <w:t xml:space="preserve"> </w:t>
      </w:r>
      <w:r w:rsidRPr="000B2269">
        <w:rPr>
          <w:rFonts w:hint="cs"/>
          <w:rtl/>
        </w:rPr>
        <w:t>-</w:t>
      </w:r>
      <w:r w:rsidRPr="000B2269">
        <w:tab/>
      </w:r>
      <w:r w:rsidRPr="000B2269">
        <w:rPr>
          <w:rtl/>
        </w:rPr>
        <w:t>وفي ضوء استمرار أشكال كثيرة من العنف ضد المرأة (معددة في المادة 6-6، والاستغلال الجنسي للفتيات في المدارس، الفقرة 6-5-2)، يرجى بيان ما إذا كانت الحكومة تعتزم اعتماد خطة شاملة، أو استراتيجية لمكافحة جميع أشكال العنف ضد النساء والفتيات، بما فيها جمع البيانات المتعلقة بالعنف ضد المرأة بشكل منهجي.</w:t>
      </w:r>
      <w:r w:rsidRPr="000B2269">
        <w:t xml:space="preserve"> </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الاتجار بالمرأة واستغلالها في البغاء</w:t>
      </w:r>
    </w:p>
    <w:p w:rsidR="000B2269" w:rsidRPr="000B2269" w:rsidRDefault="000B2269" w:rsidP="007B2891">
      <w:pPr>
        <w:pStyle w:val="SingleTxt"/>
        <w:spacing w:line="360" w:lineRule="exact"/>
        <w:rPr>
          <w:rtl/>
        </w:rPr>
      </w:pPr>
      <w:r w:rsidRPr="000B2269">
        <w:rPr>
          <w:rFonts w:hint="cs"/>
          <w:rtl/>
        </w:rPr>
        <w:t>13</w:t>
      </w:r>
      <w:r>
        <w:rPr>
          <w:rFonts w:hint="cs"/>
          <w:rtl/>
        </w:rPr>
        <w:t xml:space="preserve"> </w:t>
      </w:r>
      <w:r w:rsidRPr="000B2269">
        <w:rPr>
          <w:rFonts w:hint="cs"/>
          <w:rtl/>
        </w:rPr>
        <w:t>-</w:t>
      </w:r>
      <w:r w:rsidRPr="000B2269">
        <w:tab/>
      </w:r>
      <w:r w:rsidRPr="000B2269">
        <w:rPr>
          <w:rtl/>
        </w:rPr>
        <w:t xml:space="preserve">يفيد التقرير بأنه لم يتأت البت في </w:t>
      </w:r>
      <w:r>
        <w:rPr>
          <w:rFonts w:hint="cs"/>
          <w:rtl/>
        </w:rPr>
        <w:t>قضايا</w:t>
      </w:r>
      <w:r w:rsidRPr="000B2269">
        <w:rPr>
          <w:rtl/>
        </w:rPr>
        <w:t xml:space="preserve"> الاتجار المقدمة </w:t>
      </w:r>
      <w:r>
        <w:rPr>
          <w:rFonts w:hint="cs"/>
          <w:rtl/>
        </w:rPr>
        <w:t>إلى ا</w:t>
      </w:r>
      <w:r w:rsidRPr="000B2269">
        <w:rPr>
          <w:rtl/>
        </w:rPr>
        <w:t>لمحكمة بسبب انعدام الأساس القانوني للمقاضاة وأن قانوناً جديداً للتصدي للاتجار قد عُرض على البرلمان (الفقرة 6-3-3).</w:t>
      </w:r>
      <w:r w:rsidRPr="000B2269">
        <w:t xml:space="preserve"> </w:t>
      </w:r>
      <w:r w:rsidRPr="000B2269">
        <w:rPr>
          <w:rtl/>
        </w:rPr>
        <w:t xml:space="preserve">يرجى تقديم معلومات بشأن محتوى القانون المقترح، بما في ذلك بشأن الجزاءات ضد مرتكبي الاتجار، وحالته وجدوله الزمني، وكذلك بشأن أي خطط </w:t>
      </w:r>
      <w:r>
        <w:rPr>
          <w:rFonts w:hint="cs"/>
          <w:rtl/>
        </w:rPr>
        <w:t>لوضع</w:t>
      </w:r>
      <w:r w:rsidRPr="000B2269">
        <w:rPr>
          <w:rtl/>
        </w:rPr>
        <w:t xml:space="preserve"> استراتيجية شاملة لمكافحة الاتجار بالمرأة.</w:t>
      </w:r>
      <w:r w:rsidRPr="000B2269">
        <w:t xml:space="preserve"> </w:t>
      </w:r>
    </w:p>
    <w:p w:rsidR="000B2269" w:rsidRPr="000B2269" w:rsidRDefault="000B2269" w:rsidP="007B2891">
      <w:pPr>
        <w:pStyle w:val="SingleTxt"/>
        <w:spacing w:line="360" w:lineRule="exact"/>
        <w:rPr>
          <w:rtl/>
        </w:rPr>
      </w:pPr>
      <w:r w:rsidRPr="000B2269">
        <w:rPr>
          <w:rFonts w:hint="cs"/>
          <w:rtl/>
        </w:rPr>
        <w:t>14</w:t>
      </w:r>
      <w:r>
        <w:rPr>
          <w:rFonts w:hint="cs"/>
          <w:rtl/>
        </w:rPr>
        <w:t xml:space="preserve"> </w:t>
      </w:r>
      <w:r w:rsidRPr="000B2269">
        <w:rPr>
          <w:rFonts w:hint="cs"/>
          <w:rtl/>
        </w:rPr>
        <w:t>-</w:t>
      </w:r>
      <w:r w:rsidRPr="000B2269">
        <w:tab/>
      </w:r>
      <w:r w:rsidRPr="000B2269">
        <w:rPr>
          <w:rtl/>
        </w:rPr>
        <w:t>ويشير التقرير إلى أنه، رغم أن البغاء ليس مجرَّماً، فإن العاملات في الجنس التجاري يتعرضن لسوء المعاملة، وحتى للاغتصاب، ولا يحصلن على الحماية الكاملة والمتساوية بموجب القانون (الفقرتان 6-4-4 و 6-4-5).</w:t>
      </w:r>
      <w:r w:rsidRPr="000B2269">
        <w:t xml:space="preserve"> </w:t>
      </w:r>
      <w:r w:rsidRPr="000B2269">
        <w:rPr>
          <w:rtl/>
        </w:rPr>
        <w:t>يرجى ذكر التدابير التي يجري اتخاذها لحماية هذه المجموعة من النساء.</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الحياة السياسية والعامة</w:t>
      </w:r>
    </w:p>
    <w:p w:rsidR="000B2269" w:rsidRPr="000B2269" w:rsidRDefault="000B2269" w:rsidP="007B2891">
      <w:pPr>
        <w:pStyle w:val="SingleTxt"/>
        <w:spacing w:line="360" w:lineRule="exact"/>
        <w:rPr>
          <w:rtl/>
        </w:rPr>
      </w:pPr>
      <w:r w:rsidRPr="000B2269">
        <w:rPr>
          <w:rFonts w:hint="cs"/>
          <w:rtl/>
        </w:rPr>
        <w:t>15</w:t>
      </w:r>
      <w:r>
        <w:rPr>
          <w:rFonts w:hint="cs"/>
          <w:rtl/>
        </w:rPr>
        <w:t xml:space="preserve"> </w:t>
      </w:r>
      <w:r w:rsidRPr="000B2269">
        <w:rPr>
          <w:rFonts w:hint="cs"/>
          <w:rtl/>
        </w:rPr>
        <w:t>-</w:t>
      </w:r>
      <w:r w:rsidRPr="000B2269">
        <w:tab/>
      </w:r>
      <w:r w:rsidRPr="000B2269">
        <w:rPr>
          <w:rtl/>
        </w:rPr>
        <w:t xml:space="preserve">رغم توقيع الحكومة لإعلان الجماعة الإنمائية للجنوب الأفريقي المتعلق بنوع الجنس والتنمية، الذي ينص على أن المرأة يجب أن تشغل 30 في المائة من مراكز صنع القرار، فإن الحكومة لم تحدد حصصاً </w:t>
      </w:r>
      <w:r>
        <w:rPr>
          <w:rFonts w:hint="cs"/>
          <w:rtl/>
        </w:rPr>
        <w:t>ل</w:t>
      </w:r>
      <w:r w:rsidRPr="000B2269">
        <w:rPr>
          <w:rtl/>
        </w:rPr>
        <w:t xml:space="preserve">لتعجيل </w:t>
      </w:r>
      <w:r>
        <w:rPr>
          <w:rFonts w:hint="cs"/>
          <w:rtl/>
        </w:rPr>
        <w:t xml:space="preserve">في </w:t>
      </w:r>
      <w:r w:rsidRPr="000B2269">
        <w:rPr>
          <w:rtl/>
        </w:rPr>
        <w:t>هذه التدابير.</w:t>
      </w:r>
      <w:r w:rsidRPr="000B2269">
        <w:t xml:space="preserve"> </w:t>
      </w:r>
      <w:r w:rsidRPr="000B2269">
        <w:rPr>
          <w:rtl/>
        </w:rPr>
        <w:t xml:space="preserve">ما هي </w:t>
      </w:r>
      <w:r w:rsidR="00021EB0">
        <w:rPr>
          <w:rtl/>
        </w:rPr>
        <w:t>النوايا المستقبلية للحكومة فيما</w:t>
      </w:r>
      <w:r w:rsidR="00021EB0">
        <w:rPr>
          <w:rFonts w:hint="cs"/>
          <w:rtl/>
        </w:rPr>
        <w:t> </w:t>
      </w:r>
      <w:r w:rsidRPr="000B2269">
        <w:rPr>
          <w:rtl/>
        </w:rPr>
        <w:t xml:space="preserve">يتعلق بالتدابير الخاصة المؤقتة وفقاً </w:t>
      </w:r>
      <w:r>
        <w:rPr>
          <w:rFonts w:hint="cs"/>
          <w:rtl/>
        </w:rPr>
        <w:t xml:space="preserve">للفقرة 1 من المادة 4 </w:t>
      </w:r>
      <w:r w:rsidRPr="000B2269">
        <w:rPr>
          <w:rtl/>
        </w:rPr>
        <w:t>من الاتفاقية والتوصية العامة 25؟</w:t>
      </w:r>
    </w:p>
    <w:p w:rsidR="000B2269" w:rsidRPr="000B2269" w:rsidRDefault="000B2269" w:rsidP="007B2891">
      <w:pPr>
        <w:pStyle w:val="SingleTxt"/>
        <w:spacing w:line="360" w:lineRule="exact"/>
        <w:rPr>
          <w:rtl/>
        </w:rPr>
      </w:pPr>
      <w:r w:rsidRPr="000B2269">
        <w:rPr>
          <w:rFonts w:hint="cs"/>
          <w:rtl/>
        </w:rPr>
        <w:t>16</w:t>
      </w:r>
      <w:r>
        <w:rPr>
          <w:rFonts w:hint="cs"/>
          <w:rtl/>
        </w:rPr>
        <w:t xml:space="preserve"> </w:t>
      </w:r>
      <w:r w:rsidRPr="000B2269">
        <w:rPr>
          <w:rFonts w:hint="cs"/>
          <w:rtl/>
        </w:rPr>
        <w:t>-</w:t>
      </w:r>
      <w:r w:rsidRPr="000B2269">
        <w:tab/>
      </w:r>
      <w:r w:rsidRPr="000B2269">
        <w:rPr>
          <w:rtl/>
        </w:rPr>
        <w:t xml:space="preserve">ما هي التدابير المتخذة لزيادة عدد النساء </w:t>
      </w:r>
      <w:r>
        <w:rPr>
          <w:rFonts w:hint="cs"/>
          <w:rtl/>
        </w:rPr>
        <w:t>في</w:t>
      </w:r>
      <w:r w:rsidRPr="000B2269">
        <w:rPr>
          <w:rtl/>
        </w:rPr>
        <w:t xml:space="preserve"> جميع مستويات السلك الدبلوماسي، وكذلك على الصعيد الدولي؟</w:t>
      </w:r>
    </w:p>
    <w:p w:rsidR="007B2891" w:rsidRPr="007B2891" w:rsidRDefault="007B2891" w:rsidP="007B2891">
      <w:pPr>
        <w:pStyle w:val="SingleTxt"/>
        <w:spacing w:after="0" w:line="120" w:lineRule="exact"/>
        <w:rPr>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الجنسية</w:t>
      </w:r>
    </w:p>
    <w:p w:rsidR="000B2269" w:rsidRPr="000B2269" w:rsidRDefault="000B2269" w:rsidP="007B2891">
      <w:pPr>
        <w:pStyle w:val="SingleTxt"/>
        <w:spacing w:line="360" w:lineRule="exact"/>
        <w:rPr>
          <w:rtl/>
        </w:rPr>
      </w:pPr>
      <w:r w:rsidRPr="000B2269">
        <w:rPr>
          <w:rFonts w:hint="cs"/>
          <w:rtl/>
        </w:rPr>
        <w:t>17</w:t>
      </w:r>
      <w:r>
        <w:rPr>
          <w:rFonts w:hint="cs"/>
          <w:rtl/>
        </w:rPr>
        <w:t xml:space="preserve"> </w:t>
      </w:r>
      <w:r w:rsidRPr="000B2269">
        <w:rPr>
          <w:rFonts w:hint="cs"/>
          <w:rtl/>
        </w:rPr>
        <w:t>-</w:t>
      </w:r>
      <w:r w:rsidRPr="000B2269">
        <w:tab/>
      </w:r>
      <w:r w:rsidRPr="000B2269">
        <w:rPr>
          <w:rtl/>
        </w:rPr>
        <w:t>يحتوي قانون الجنسية وقانون الهجرة على أحكام تتعارض مع المادة 9 من الاتفاقية، وكذلك مع دستور ملاوي.</w:t>
      </w:r>
      <w:r w:rsidRPr="000B2269">
        <w:t xml:space="preserve"> </w:t>
      </w:r>
      <w:r w:rsidRPr="000B2269">
        <w:rPr>
          <w:rtl/>
        </w:rPr>
        <w:t>كيف تتوخى الحكومة تعديل هذا التناقض؟</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التعليم</w:t>
      </w:r>
    </w:p>
    <w:p w:rsidR="000B2269" w:rsidRPr="000B2269" w:rsidRDefault="000B2269" w:rsidP="007B2891">
      <w:pPr>
        <w:pStyle w:val="SingleTxt"/>
        <w:spacing w:line="360" w:lineRule="exact"/>
        <w:rPr>
          <w:rtl/>
        </w:rPr>
      </w:pPr>
      <w:r w:rsidRPr="000B2269">
        <w:rPr>
          <w:rFonts w:hint="cs"/>
          <w:rtl/>
        </w:rPr>
        <w:t>18</w:t>
      </w:r>
      <w:r>
        <w:rPr>
          <w:rFonts w:hint="cs"/>
          <w:rtl/>
        </w:rPr>
        <w:t xml:space="preserve"> </w:t>
      </w:r>
      <w:r w:rsidRPr="000B2269">
        <w:rPr>
          <w:rFonts w:hint="cs"/>
          <w:rtl/>
        </w:rPr>
        <w:t>-</w:t>
      </w:r>
      <w:r w:rsidRPr="000B2269">
        <w:tab/>
      </w:r>
      <w:r w:rsidRPr="000B2269">
        <w:rPr>
          <w:rtl/>
        </w:rPr>
        <w:t>يقر هذا التقرير باستمرار</w:t>
      </w:r>
      <w:r w:rsidR="00F96B34">
        <w:rPr>
          <w:rFonts w:hint="cs"/>
          <w:rtl/>
        </w:rPr>
        <w:t xml:space="preserve"> حالات التفاو</w:t>
      </w:r>
      <w:r>
        <w:rPr>
          <w:rFonts w:hint="cs"/>
          <w:rtl/>
        </w:rPr>
        <w:t xml:space="preserve">ت الجنساني </w:t>
      </w:r>
      <w:r w:rsidRPr="000B2269">
        <w:rPr>
          <w:rtl/>
        </w:rPr>
        <w:t xml:space="preserve">في التعليم </w:t>
      </w:r>
      <w:r>
        <w:rPr>
          <w:rFonts w:hint="cs"/>
          <w:rtl/>
        </w:rPr>
        <w:t>من حيث</w:t>
      </w:r>
      <w:r w:rsidRPr="000B2269">
        <w:rPr>
          <w:rtl/>
        </w:rPr>
        <w:t xml:space="preserve"> الالتحاق والاستبقاء والأداء والتحصيل (الفقرة 10-7، الاستنتاج) وبأن </w:t>
      </w:r>
      <w:r w:rsidR="00F73F2E">
        <w:rPr>
          <w:rFonts w:hint="cs"/>
          <w:rtl/>
        </w:rPr>
        <w:t>”</w:t>
      </w:r>
      <w:r w:rsidRPr="000B2269">
        <w:rPr>
          <w:rtl/>
        </w:rPr>
        <w:t>الأمل يكمن في تنفي</w:t>
      </w:r>
      <w:r w:rsidR="00F73F2E">
        <w:rPr>
          <w:rtl/>
        </w:rPr>
        <w:t>ذ ورقة استراتيجية الحد من الفقر</w:t>
      </w:r>
      <w:r w:rsidR="00F73F2E">
        <w:rPr>
          <w:rFonts w:hint="cs"/>
          <w:rtl/>
        </w:rPr>
        <w:t>“</w:t>
      </w:r>
      <w:r w:rsidRPr="000B2269">
        <w:rPr>
          <w:rtl/>
        </w:rPr>
        <w:t>.</w:t>
      </w:r>
      <w:r w:rsidRPr="000B2269">
        <w:t xml:space="preserve"> </w:t>
      </w:r>
      <w:r w:rsidRPr="000B2269">
        <w:rPr>
          <w:rtl/>
        </w:rPr>
        <w:t>يرجى إيضاح ما إذا كانت هناك تدابير محددة مدرجة في ورقة الاستراتيجية لمعا</w:t>
      </w:r>
      <w:r w:rsidR="00021EB0">
        <w:rPr>
          <w:rtl/>
        </w:rPr>
        <w:t>لجة المشاكل التي تواجهها التلمي</w:t>
      </w:r>
      <w:r w:rsidR="00021EB0">
        <w:rPr>
          <w:rFonts w:hint="cs"/>
          <w:rtl/>
        </w:rPr>
        <w:t>ذ</w:t>
      </w:r>
      <w:r w:rsidRPr="000B2269">
        <w:rPr>
          <w:rtl/>
        </w:rPr>
        <w:t xml:space="preserve">ات والوارد ذكرها في الفقرة </w:t>
      </w:r>
      <w:r w:rsidR="00F96B34">
        <w:rPr>
          <w:rFonts w:hint="cs"/>
          <w:rtl/>
        </w:rPr>
        <w:t>10-</w:t>
      </w:r>
      <w:r w:rsidR="00021EB0">
        <w:rPr>
          <w:rFonts w:hint="cs"/>
          <w:rtl/>
        </w:rPr>
        <w:t>6-</w:t>
      </w:r>
      <w:r w:rsidRPr="000B2269">
        <w:rPr>
          <w:rtl/>
        </w:rPr>
        <w:t>2، للتشجيع على التحاقهن بالمدارس واستبقائهن فيها.</w:t>
      </w:r>
    </w:p>
    <w:p w:rsidR="000B2269" w:rsidRPr="000B2269" w:rsidRDefault="000B2269" w:rsidP="007B2891">
      <w:pPr>
        <w:pStyle w:val="SingleTxt"/>
        <w:spacing w:line="360" w:lineRule="exact"/>
        <w:rPr>
          <w:rtl/>
        </w:rPr>
      </w:pPr>
      <w:r w:rsidRPr="000B2269">
        <w:rPr>
          <w:rFonts w:hint="cs"/>
          <w:rtl/>
        </w:rPr>
        <w:t>19</w:t>
      </w:r>
      <w:r>
        <w:rPr>
          <w:rFonts w:hint="cs"/>
          <w:rtl/>
        </w:rPr>
        <w:t xml:space="preserve"> </w:t>
      </w:r>
      <w:r w:rsidRPr="000B2269">
        <w:rPr>
          <w:rFonts w:hint="cs"/>
          <w:rtl/>
        </w:rPr>
        <w:t>-</w:t>
      </w:r>
      <w:r w:rsidRPr="000B2269">
        <w:tab/>
      </w:r>
      <w:r w:rsidRPr="000B2269">
        <w:rPr>
          <w:rtl/>
        </w:rPr>
        <w:t>يشير التقرير إلى أنه رغم أن الحكومة اتخذت في سن</w:t>
      </w:r>
      <w:bookmarkStart w:id="1" w:name="TmpSave"/>
      <w:bookmarkEnd w:id="1"/>
      <w:r w:rsidRPr="000B2269">
        <w:rPr>
          <w:rtl/>
        </w:rPr>
        <w:t>ة 1992مبادرة للعمل بمنهاج دراسي ملائم من المنظور الجنساني لدمج الوعي بالمسائل الجنسانية في المدرسة الابتدائية ومناهج تدريب المعلمين، فإن معظم المعلمين لم يتلقوا بعد تدريباً (الفقرة 10-4-1).</w:t>
      </w:r>
      <w:r w:rsidRPr="000B2269">
        <w:t xml:space="preserve"> </w:t>
      </w:r>
      <w:r w:rsidRPr="000B2269">
        <w:rPr>
          <w:rtl/>
        </w:rPr>
        <w:t>يرجى تحديد العوائق التي حالت دون تدريب المعلمين والتدابير المقررة لتجاوزها.</w:t>
      </w:r>
    </w:p>
    <w:p w:rsidR="000B2269" w:rsidRPr="000B2269" w:rsidRDefault="000B2269" w:rsidP="007B2891">
      <w:pPr>
        <w:pStyle w:val="SingleTxt"/>
        <w:spacing w:line="360" w:lineRule="exact"/>
        <w:rPr>
          <w:rtl/>
        </w:rPr>
      </w:pPr>
      <w:r w:rsidRPr="000B2269">
        <w:rPr>
          <w:rFonts w:hint="cs"/>
          <w:rtl/>
        </w:rPr>
        <w:t>20</w:t>
      </w:r>
      <w:r>
        <w:rPr>
          <w:rFonts w:hint="cs"/>
          <w:rtl/>
        </w:rPr>
        <w:t xml:space="preserve"> </w:t>
      </w:r>
      <w:r w:rsidRPr="000B2269">
        <w:rPr>
          <w:rFonts w:hint="cs"/>
          <w:rtl/>
        </w:rPr>
        <w:t>-</w:t>
      </w:r>
      <w:r w:rsidRPr="000B2269">
        <w:tab/>
      </w:r>
      <w:r w:rsidRPr="000B2269">
        <w:rPr>
          <w:rtl/>
        </w:rPr>
        <w:t xml:space="preserve">يرجى تقديم معلومات بشأن </w:t>
      </w:r>
      <w:r>
        <w:rPr>
          <w:rFonts w:hint="cs"/>
          <w:rtl/>
        </w:rPr>
        <w:t>خطط</w:t>
      </w:r>
      <w:r w:rsidRPr="000B2269">
        <w:rPr>
          <w:rtl/>
        </w:rPr>
        <w:t xml:space="preserve"> الحكومة لاعتماد سياسات لضمان التكافؤ بين الجنسين في </w:t>
      </w:r>
      <w:r>
        <w:rPr>
          <w:rFonts w:hint="cs"/>
          <w:rtl/>
        </w:rPr>
        <w:t>تعيين</w:t>
      </w:r>
      <w:r w:rsidRPr="000B2269">
        <w:rPr>
          <w:rtl/>
        </w:rPr>
        <w:t xml:space="preserve"> المتدربين والتعيين في وظائف المؤسسات التدريبية على جميع المستويات.</w:t>
      </w:r>
      <w:r w:rsidRPr="000B2269">
        <w:t xml:space="preserve"> </w:t>
      </w:r>
    </w:p>
    <w:p w:rsidR="007B2891" w:rsidRPr="007B2891" w:rsidRDefault="007B2891" w:rsidP="007B2891">
      <w:pPr>
        <w:pStyle w:val="SingleTxt"/>
        <w:spacing w:after="0" w:line="120" w:lineRule="exact"/>
        <w:rPr>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العمالة</w:t>
      </w:r>
    </w:p>
    <w:p w:rsidR="000B2269" w:rsidRPr="000B2269" w:rsidRDefault="000B2269" w:rsidP="007B2891">
      <w:pPr>
        <w:pStyle w:val="SingleTxt"/>
        <w:spacing w:line="360" w:lineRule="exact"/>
        <w:rPr>
          <w:rtl/>
        </w:rPr>
      </w:pPr>
      <w:r w:rsidRPr="000B2269">
        <w:rPr>
          <w:rFonts w:hint="cs"/>
          <w:rtl/>
        </w:rPr>
        <w:t>21</w:t>
      </w:r>
      <w:r>
        <w:rPr>
          <w:rFonts w:hint="cs"/>
          <w:rtl/>
        </w:rPr>
        <w:t xml:space="preserve"> </w:t>
      </w:r>
      <w:r w:rsidRPr="000B2269">
        <w:rPr>
          <w:rFonts w:hint="cs"/>
          <w:rtl/>
        </w:rPr>
        <w:t>-</w:t>
      </w:r>
      <w:r w:rsidRPr="000B2269">
        <w:tab/>
      </w:r>
      <w:r w:rsidRPr="000B2269">
        <w:rPr>
          <w:rtl/>
        </w:rPr>
        <w:t>يرجى تقديم معلومات عن مدى وشروط عمل المرأة في القطاع غير الرسمي.</w:t>
      </w:r>
      <w:r w:rsidRPr="000B2269">
        <w:t xml:space="preserve"> </w:t>
      </w:r>
      <w:r w:rsidRPr="000B2269">
        <w:rPr>
          <w:rtl/>
        </w:rPr>
        <w:t>ويرجى كذلك وصف التدابير القائمة لدعم التمكين الاقتصادي لهذه المجموعة من النساء.</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الصحة</w:t>
      </w:r>
    </w:p>
    <w:p w:rsidR="000B2269" w:rsidRPr="000B2269" w:rsidRDefault="000B2269" w:rsidP="007B2891">
      <w:pPr>
        <w:pStyle w:val="SingleTxt"/>
        <w:spacing w:line="360" w:lineRule="exact"/>
        <w:rPr>
          <w:rtl/>
        </w:rPr>
      </w:pPr>
      <w:r w:rsidRPr="000B2269">
        <w:rPr>
          <w:rFonts w:hint="cs"/>
          <w:rtl/>
        </w:rPr>
        <w:t>22</w:t>
      </w:r>
      <w:r>
        <w:rPr>
          <w:rFonts w:hint="cs"/>
          <w:rtl/>
        </w:rPr>
        <w:t xml:space="preserve"> </w:t>
      </w:r>
      <w:r w:rsidRPr="000B2269">
        <w:rPr>
          <w:rFonts w:hint="cs"/>
          <w:rtl/>
        </w:rPr>
        <w:t>-</w:t>
      </w:r>
      <w:r w:rsidRPr="000B2269">
        <w:tab/>
      </w:r>
      <w:r>
        <w:rPr>
          <w:rFonts w:hint="cs"/>
          <w:rtl/>
        </w:rPr>
        <w:t>يورد التقرير أنه</w:t>
      </w:r>
      <w:r w:rsidRPr="000B2269">
        <w:rPr>
          <w:rtl/>
        </w:rPr>
        <w:t xml:space="preserve">، </w:t>
      </w:r>
      <w:r w:rsidR="00F73F2E">
        <w:rPr>
          <w:rFonts w:hint="cs"/>
          <w:rtl/>
        </w:rPr>
        <w:t>”</w:t>
      </w:r>
      <w:r w:rsidRPr="000B2269">
        <w:rPr>
          <w:rtl/>
        </w:rPr>
        <w:t>بالإضافة إلى قصور المرافق الصحية، تواجه المرأة في ملاوي مشاكل تحول دون وصولها إلى المرافق والخدمات وا</w:t>
      </w:r>
      <w:r>
        <w:rPr>
          <w:rFonts w:hint="cs"/>
          <w:rtl/>
        </w:rPr>
        <w:t>لبضائع</w:t>
      </w:r>
      <w:r w:rsidRPr="000B2269">
        <w:rPr>
          <w:rtl/>
        </w:rPr>
        <w:t xml:space="preserve"> الصحية (...) ويزداد هذا الأمر صعوبة من جراء سوء شبكة النقل، والافتقار إلى الموارد</w:t>
      </w:r>
      <w:r w:rsidR="00F73F2E">
        <w:rPr>
          <w:rFonts w:hint="cs"/>
          <w:rtl/>
        </w:rPr>
        <w:t>“</w:t>
      </w:r>
      <w:r w:rsidRPr="000B2269">
        <w:rPr>
          <w:rtl/>
        </w:rPr>
        <w:t xml:space="preserve"> (الفقرة 12-3-3).</w:t>
      </w:r>
      <w:r w:rsidRPr="000B2269">
        <w:t xml:space="preserve"> </w:t>
      </w:r>
      <w:r w:rsidRPr="000B2269">
        <w:rPr>
          <w:rtl/>
        </w:rPr>
        <w:t>ويشير التقرير أيضاً إلى أن التمييز شائع في نظام الرعاية الصحية ضد الفقر</w:t>
      </w:r>
      <w:r>
        <w:rPr>
          <w:rtl/>
        </w:rPr>
        <w:t>اء وخاصة النساء منهم (الفقرة</w:t>
      </w:r>
      <w:r w:rsidR="00F96B34">
        <w:rPr>
          <w:rFonts w:hint="cs"/>
          <w:rtl/>
        </w:rPr>
        <w:t xml:space="preserve"> 12-4-1). </w:t>
      </w:r>
      <w:r w:rsidRPr="000B2269">
        <w:rPr>
          <w:rtl/>
        </w:rPr>
        <w:t>ي</w:t>
      </w:r>
      <w:r w:rsidR="00F96B34">
        <w:rPr>
          <w:rFonts w:hint="cs"/>
          <w:rtl/>
        </w:rPr>
        <w:t>ُ</w:t>
      </w:r>
      <w:r w:rsidRPr="000B2269">
        <w:rPr>
          <w:rtl/>
        </w:rPr>
        <w:t xml:space="preserve">رجى بيان التدابير المقررة لتجاوز </w:t>
      </w:r>
      <w:r w:rsidR="00F96B34">
        <w:rPr>
          <w:rtl/>
        </w:rPr>
        <w:t>مشاكل وصول المرأة إلى الصحة بما</w:t>
      </w:r>
      <w:r w:rsidR="00F96B34">
        <w:rPr>
          <w:rFonts w:hint="cs"/>
          <w:rtl/>
        </w:rPr>
        <w:t> </w:t>
      </w:r>
      <w:r w:rsidRPr="000B2269">
        <w:rPr>
          <w:rtl/>
        </w:rPr>
        <w:t xml:space="preserve">في ذلك تدريب </w:t>
      </w:r>
      <w:r>
        <w:rPr>
          <w:rFonts w:hint="cs"/>
          <w:rtl/>
        </w:rPr>
        <w:t>موظفي الخدمات الصحية</w:t>
      </w:r>
      <w:r w:rsidR="004569B5">
        <w:rPr>
          <w:rFonts w:hint="cs"/>
          <w:rtl/>
        </w:rPr>
        <w:t xml:space="preserve"> وتدابير </w:t>
      </w:r>
      <w:r w:rsidRPr="000B2269">
        <w:rPr>
          <w:rtl/>
        </w:rPr>
        <w:t>القضاء على جميع أشكال التمييز ضد المرأة في النظام الصحي.</w:t>
      </w:r>
    </w:p>
    <w:p w:rsidR="000B2269" w:rsidRPr="000B2269" w:rsidRDefault="000B2269" w:rsidP="007B2891">
      <w:pPr>
        <w:pStyle w:val="SingleTxt"/>
        <w:spacing w:line="360" w:lineRule="exact"/>
        <w:rPr>
          <w:rtl/>
        </w:rPr>
      </w:pPr>
      <w:r w:rsidRPr="000B2269">
        <w:rPr>
          <w:rFonts w:hint="cs"/>
          <w:rtl/>
        </w:rPr>
        <w:t>23</w:t>
      </w:r>
      <w:r w:rsidR="004569B5">
        <w:rPr>
          <w:rFonts w:hint="cs"/>
          <w:rtl/>
        </w:rPr>
        <w:t xml:space="preserve"> </w:t>
      </w:r>
      <w:r w:rsidRPr="000B2269">
        <w:rPr>
          <w:rFonts w:hint="cs"/>
          <w:rtl/>
        </w:rPr>
        <w:t>-</w:t>
      </w:r>
      <w:r w:rsidRPr="000B2269">
        <w:tab/>
      </w:r>
      <w:r w:rsidRPr="000B2269">
        <w:rPr>
          <w:rtl/>
        </w:rPr>
        <w:t>حسب الإحصاءات الواردة في التقرير، ارتفع معدل وفيات الأم</w:t>
      </w:r>
      <w:r w:rsidR="004569B5">
        <w:rPr>
          <w:rFonts w:hint="cs"/>
          <w:rtl/>
        </w:rPr>
        <w:t>ّهات</w:t>
      </w:r>
      <w:r w:rsidRPr="000B2269">
        <w:rPr>
          <w:rtl/>
        </w:rPr>
        <w:t xml:space="preserve"> من 620 وفاة </w:t>
      </w:r>
      <w:r w:rsidR="004569B5">
        <w:rPr>
          <w:rFonts w:hint="cs"/>
          <w:rtl/>
        </w:rPr>
        <w:t>ل</w:t>
      </w:r>
      <w:r w:rsidRPr="000B2269">
        <w:rPr>
          <w:rtl/>
        </w:rPr>
        <w:t xml:space="preserve">كل 000 100 ولادة عام 1987 إلى 120 1 </w:t>
      </w:r>
      <w:r w:rsidR="004569B5">
        <w:rPr>
          <w:rFonts w:hint="cs"/>
          <w:rtl/>
        </w:rPr>
        <w:t xml:space="preserve">وفاة </w:t>
      </w:r>
      <w:r w:rsidRPr="000B2269">
        <w:rPr>
          <w:rtl/>
        </w:rPr>
        <w:t>عام 2000 (الفقرة 12-13-1).</w:t>
      </w:r>
      <w:r w:rsidRPr="000B2269">
        <w:t xml:space="preserve"> </w:t>
      </w:r>
      <w:r w:rsidRPr="000B2269">
        <w:rPr>
          <w:rtl/>
        </w:rPr>
        <w:t>يرجى تقديم بيانات أحدث، إن كانت متيسرة، وتقديم معلومات عن أسباب هذا الارتفاع والتدابير المتخذة لدفع هذا التدهور في الاتجاه المعاكس.</w:t>
      </w:r>
    </w:p>
    <w:p w:rsidR="000B2269" w:rsidRPr="000B2269" w:rsidRDefault="000B2269" w:rsidP="007B2891">
      <w:pPr>
        <w:pStyle w:val="SingleTxt"/>
        <w:spacing w:line="360" w:lineRule="exact"/>
        <w:rPr>
          <w:rtl/>
        </w:rPr>
      </w:pPr>
      <w:r w:rsidRPr="000B2269">
        <w:rPr>
          <w:rFonts w:hint="cs"/>
          <w:rtl/>
        </w:rPr>
        <w:t>24</w:t>
      </w:r>
      <w:r w:rsidR="004569B5">
        <w:rPr>
          <w:rFonts w:hint="cs"/>
          <w:rtl/>
        </w:rPr>
        <w:t xml:space="preserve"> </w:t>
      </w:r>
      <w:r w:rsidRPr="000B2269">
        <w:rPr>
          <w:rFonts w:hint="cs"/>
          <w:rtl/>
        </w:rPr>
        <w:t>-</w:t>
      </w:r>
      <w:r w:rsidRPr="000B2269">
        <w:tab/>
      </w:r>
      <w:r w:rsidRPr="000B2269">
        <w:rPr>
          <w:rtl/>
        </w:rPr>
        <w:t xml:space="preserve">ويشير التقرير إلى أن معدل انتشار حالات العدوى الجديدة </w:t>
      </w:r>
      <w:r w:rsidR="004569B5">
        <w:rPr>
          <w:rFonts w:hint="cs"/>
          <w:rtl/>
        </w:rPr>
        <w:t>ب</w:t>
      </w:r>
      <w:r w:rsidRPr="000B2269">
        <w:rPr>
          <w:rtl/>
        </w:rPr>
        <w:t xml:space="preserve">فيروس نقص المناعة البشرية بين الشابات في </w:t>
      </w:r>
      <w:r w:rsidR="004569B5">
        <w:rPr>
          <w:rFonts w:hint="cs"/>
          <w:rtl/>
        </w:rPr>
        <w:t>الفئة</w:t>
      </w:r>
      <w:r w:rsidRPr="000B2269">
        <w:rPr>
          <w:rtl/>
        </w:rPr>
        <w:t xml:space="preserve"> العمرية </w:t>
      </w:r>
      <w:r w:rsidR="004569B5">
        <w:rPr>
          <w:rFonts w:hint="cs"/>
          <w:rtl/>
        </w:rPr>
        <w:t>التي تتراوح</w:t>
      </w:r>
      <w:r w:rsidRPr="000B2269">
        <w:rPr>
          <w:rtl/>
        </w:rPr>
        <w:t xml:space="preserve"> بين 15 و 24 عاماً يزيد </w:t>
      </w:r>
      <w:r w:rsidR="004569B5">
        <w:rPr>
          <w:rFonts w:hint="cs"/>
          <w:rtl/>
        </w:rPr>
        <w:t xml:space="preserve">بـ 4 أو 6 مرّات عن معدل انتشارها بين الرجال </w:t>
      </w:r>
      <w:r w:rsidRPr="000B2269">
        <w:rPr>
          <w:rtl/>
        </w:rPr>
        <w:t>في نفس المجموعة العمرية (الفقرة 12-14-1).</w:t>
      </w:r>
      <w:r w:rsidRPr="000B2269">
        <w:t xml:space="preserve"> </w:t>
      </w:r>
      <w:r w:rsidRPr="000B2269">
        <w:rPr>
          <w:rtl/>
        </w:rPr>
        <w:t xml:space="preserve">ويشير التقرير علاوة على ذلك إلى أن </w:t>
      </w:r>
      <w:r w:rsidR="004569B5">
        <w:rPr>
          <w:rFonts w:hint="cs"/>
          <w:rtl/>
        </w:rPr>
        <w:t>معرفة ا</w:t>
      </w:r>
      <w:r w:rsidRPr="000B2269">
        <w:rPr>
          <w:rtl/>
        </w:rPr>
        <w:t>لمرأة بشأن الفيروس والإيدز</w:t>
      </w:r>
      <w:r w:rsidR="004569B5">
        <w:rPr>
          <w:rFonts w:hint="cs"/>
          <w:rtl/>
        </w:rPr>
        <w:t xml:space="preserve"> أقل</w:t>
      </w:r>
      <w:r w:rsidRPr="000B2269">
        <w:rPr>
          <w:rtl/>
        </w:rPr>
        <w:t xml:space="preserve"> (الفقرة 12-14-4) وأن المرأة المصابة بالفيروس تتحمل الوصمة بشكل غير متناسب بالمقارنة مع الرجل (الفقرة 12-14-10).</w:t>
      </w:r>
      <w:r w:rsidRPr="000B2269">
        <w:t xml:space="preserve"> </w:t>
      </w:r>
      <w:r w:rsidRPr="000B2269">
        <w:rPr>
          <w:rtl/>
        </w:rPr>
        <w:t>يرجى بيان ما إذا كان يتوخى اعتماد خطة شاملة لمكافحة الفيروس/الإيدز، بما في ذلك أي تدابير محددة لتجاوز المشاكل التي تواجهها المرأة في هذا الصدد.</w:t>
      </w:r>
      <w:r w:rsidRPr="000B2269">
        <w:t xml:space="preserve"> </w:t>
      </w:r>
    </w:p>
    <w:p w:rsidR="000B2269" w:rsidRPr="000B2269" w:rsidRDefault="000B2269" w:rsidP="007B2891">
      <w:pPr>
        <w:pStyle w:val="SingleTxt"/>
        <w:spacing w:line="360" w:lineRule="exact"/>
        <w:rPr>
          <w:rtl/>
        </w:rPr>
      </w:pPr>
      <w:r w:rsidRPr="000B2269">
        <w:rPr>
          <w:rFonts w:hint="cs"/>
          <w:rtl/>
        </w:rPr>
        <w:t>25</w:t>
      </w:r>
      <w:r w:rsidR="004569B5">
        <w:rPr>
          <w:rFonts w:hint="cs"/>
          <w:rtl/>
        </w:rPr>
        <w:t xml:space="preserve"> </w:t>
      </w:r>
      <w:r w:rsidRPr="000B2269">
        <w:rPr>
          <w:rFonts w:hint="cs"/>
          <w:rtl/>
        </w:rPr>
        <w:t>-</w:t>
      </w:r>
      <w:r w:rsidRPr="000B2269">
        <w:tab/>
      </w:r>
      <w:r w:rsidRPr="000B2269">
        <w:rPr>
          <w:rtl/>
        </w:rPr>
        <w:t xml:space="preserve">يرجى تقديم معلومات عن مستويات سوء تغذية النساء والفتيات حسب </w:t>
      </w:r>
      <w:r w:rsidR="004569B5">
        <w:rPr>
          <w:rFonts w:hint="cs"/>
          <w:rtl/>
        </w:rPr>
        <w:t>الفئات</w:t>
      </w:r>
      <w:r w:rsidRPr="000B2269">
        <w:rPr>
          <w:rtl/>
        </w:rPr>
        <w:t xml:space="preserve"> العمرية وبيان ما إذا كانت هناك خطط لتنفيذ برامج محددة لمعالجة هذه المشكلة.</w:t>
      </w:r>
      <w:r w:rsidRPr="000B2269">
        <w:t xml:space="preserve"> </w:t>
      </w:r>
      <w:r w:rsidRPr="000B2269">
        <w:rPr>
          <w:rtl/>
        </w:rPr>
        <w:t>ويرجى أن تدرجوا في إجابتكم معلومات عن أثر الأزمة الغذائية الحالية والجفاف على صحة النساء والفتيات، والجهود المبذولة لتخفيف هذا الأثر.</w:t>
      </w:r>
    </w:p>
    <w:p w:rsidR="007B2891" w:rsidRPr="007B2891" w:rsidRDefault="007B2891" w:rsidP="007B2891">
      <w:pPr>
        <w:pStyle w:val="SingleTxt"/>
        <w:spacing w:after="0" w:line="120" w:lineRule="exact"/>
        <w:rPr>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المرأة الريفية والاقتصاد</w:t>
      </w:r>
    </w:p>
    <w:p w:rsidR="000B2269" w:rsidRPr="000B2269" w:rsidRDefault="000B2269" w:rsidP="007B2891">
      <w:pPr>
        <w:pStyle w:val="SingleTxt"/>
        <w:spacing w:line="360" w:lineRule="exact"/>
        <w:rPr>
          <w:rtl/>
        </w:rPr>
      </w:pPr>
      <w:r w:rsidRPr="000B2269">
        <w:rPr>
          <w:rFonts w:hint="cs"/>
          <w:rtl/>
        </w:rPr>
        <w:t>26</w:t>
      </w:r>
      <w:r w:rsidR="004569B5">
        <w:rPr>
          <w:rFonts w:hint="cs"/>
          <w:rtl/>
        </w:rPr>
        <w:t xml:space="preserve"> </w:t>
      </w:r>
      <w:r w:rsidRPr="000B2269">
        <w:rPr>
          <w:rFonts w:hint="cs"/>
          <w:rtl/>
        </w:rPr>
        <w:t>-</w:t>
      </w:r>
      <w:r w:rsidRPr="000B2269">
        <w:tab/>
      </w:r>
      <w:r w:rsidRPr="000B2269">
        <w:rPr>
          <w:rtl/>
        </w:rPr>
        <w:t>يبين التقرير أن الفقر أكثر انتشاراً بين النساء والأطفال في المناطق الريفية (الفقرة 14-2-2).</w:t>
      </w:r>
      <w:r w:rsidRPr="000B2269">
        <w:t xml:space="preserve"> </w:t>
      </w:r>
      <w:r w:rsidRPr="000B2269">
        <w:rPr>
          <w:rtl/>
        </w:rPr>
        <w:t>يرجى بيان ما إذا كانت ورقة استراتيجية الحد من الفقر تنطوي على برامج للمرأة الريفية وإلى أي مدى كانت المرأة الريفية قادرة على المشاركة في وضع ورقة الاستراتيجية.</w:t>
      </w:r>
    </w:p>
    <w:p w:rsidR="000B2269" w:rsidRPr="000B2269" w:rsidRDefault="000B2269" w:rsidP="007B2891">
      <w:pPr>
        <w:pStyle w:val="SingleTxt"/>
        <w:spacing w:line="360" w:lineRule="exact"/>
        <w:rPr>
          <w:rtl/>
        </w:rPr>
      </w:pPr>
      <w:r w:rsidRPr="000B2269">
        <w:rPr>
          <w:rFonts w:hint="cs"/>
          <w:rtl/>
        </w:rPr>
        <w:t>27</w:t>
      </w:r>
      <w:r w:rsidR="004569B5">
        <w:rPr>
          <w:rFonts w:hint="cs"/>
          <w:rtl/>
        </w:rPr>
        <w:t xml:space="preserve"> </w:t>
      </w:r>
      <w:r w:rsidRPr="000B2269">
        <w:rPr>
          <w:rFonts w:hint="cs"/>
          <w:rtl/>
        </w:rPr>
        <w:t>-</w:t>
      </w:r>
      <w:r w:rsidRPr="000B2269">
        <w:tab/>
      </w:r>
      <w:r w:rsidRPr="000B2269">
        <w:rPr>
          <w:rtl/>
        </w:rPr>
        <w:t>بالنظر إلى الجفاف الحالي والأزمة الغذائية الناتجة عنه، يرجى بيان التدابير المتخذة لمساعدة النساء المتضررات بالأزمة على نحو غير متناسب.</w:t>
      </w:r>
      <w:r w:rsidRPr="000B2269">
        <w:t xml:space="preserve"> </w:t>
      </w:r>
      <w:r w:rsidRPr="000B2269">
        <w:rPr>
          <w:rtl/>
        </w:rPr>
        <w:t>وعلى الخصوص، يرجى وصف التدابير القائمة لضمان الوصول المتساوي للمرأة إلى الإغاثة الفورية وكذلك جهود التنمية الريفية المستدامة الطويلة الأجل.</w:t>
      </w:r>
      <w:r w:rsidRPr="000B2269">
        <w:t xml:space="preserve"> </w:t>
      </w:r>
    </w:p>
    <w:p w:rsidR="000B2269" w:rsidRPr="000B2269" w:rsidRDefault="000B2269" w:rsidP="007B2891">
      <w:pPr>
        <w:pStyle w:val="SingleTxt"/>
        <w:spacing w:line="360" w:lineRule="exact"/>
        <w:rPr>
          <w:rtl/>
        </w:rPr>
      </w:pPr>
      <w:r w:rsidRPr="000B2269">
        <w:rPr>
          <w:rFonts w:hint="cs"/>
          <w:rtl/>
        </w:rPr>
        <w:t>28</w:t>
      </w:r>
      <w:r w:rsidR="004569B5">
        <w:rPr>
          <w:rFonts w:hint="cs"/>
          <w:rtl/>
        </w:rPr>
        <w:t xml:space="preserve"> </w:t>
      </w:r>
      <w:r w:rsidRPr="000B2269">
        <w:rPr>
          <w:rFonts w:hint="cs"/>
          <w:rtl/>
        </w:rPr>
        <w:t>-</w:t>
      </w:r>
      <w:r w:rsidRPr="000B2269">
        <w:tab/>
      </w:r>
      <w:r w:rsidRPr="000B2269">
        <w:rPr>
          <w:rtl/>
        </w:rPr>
        <w:t xml:space="preserve">ومن الواضح من التقرير أنه، رغم حالات التقدم القانوني في وصول المرأة إلى الأراضي والقروض، فإن المرأة لا تزال تواجه عوائق أخرى (مثلاً، عوامل الإنتاج توجد بشكل أساسي في أيدي الرجل، وانعدام عزة النفس، وانعدام قروض </w:t>
      </w:r>
      <w:r w:rsidR="00A767E0">
        <w:rPr>
          <w:rFonts w:hint="cs"/>
          <w:rtl/>
        </w:rPr>
        <w:t>و</w:t>
      </w:r>
      <w:r w:rsidR="004569B5">
        <w:rPr>
          <w:rFonts w:hint="cs"/>
          <w:rtl/>
        </w:rPr>
        <w:t>وجود معاملات في مجال القروض و</w:t>
      </w:r>
      <w:r w:rsidRPr="000B2269">
        <w:rPr>
          <w:rtl/>
        </w:rPr>
        <w:t xml:space="preserve">الأراضي </w:t>
      </w:r>
      <w:r w:rsidR="004569B5">
        <w:rPr>
          <w:rFonts w:hint="cs"/>
          <w:rtl/>
        </w:rPr>
        <w:t xml:space="preserve">تكون </w:t>
      </w:r>
      <w:r w:rsidR="00F73F2E">
        <w:rPr>
          <w:rFonts w:hint="cs"/>
          <w:rtl/>
        </w:rPr>
        <w:t>”</w:t>
      </w:r>
      <w:r w:rsidRPr="000B2269">
        <w:rPr>
          <w:rtl/>
        </w:rPr>
        <w:t>ملائمة للمرأة</w:t>
      </w:r>
      <w:r w:rsidR="00F73F2E">
        <w:rPr>
          <w:rFonts w:hint="cs"/>
          <w:rtl/>
        </w:rPr>
        <w:t>“</w:t>
      </w:r>
      <w:r w:rsidRPr="000B2269">
        <w:rPr>
          <w:rtl/>
        </w:rPr>
        <w:t xml:space="preserve"> وانخفاض مستويات محو الأمية).</w:t>
      </w:r>
      <w:r w:rsidRPr="000B2269">
        <w:t xml:space="preserve"> </w:t>
      </w:r>
      <w:r w:rsidRPr="000B2269">
        <w:rPr>
          <w:rtl/>
        </w:rPr>
        <w:t>يرجى ذكر التدابير التي يجري اتخاذها لتجاوز هذه العوائق.</w:t>
      </w:r>
    </w:p>
    <w:p w:rsidR="000B2269" w:rsidRPr="004B7218" w:rsidRDefault="000B2269" w:rsidP="007B2891">
      <w:pPr>
        <w:pStyle w:val="SingleTxt"/>
        <w:spacing w:line="360" w:lineRule="exact"/>
        <w:rPr>
          <w:rtl/>
        </w:rPr>
      </w:pPr>
      <w:r w:rsidRPr="004B7218">
        <w:rPr>
          <w:rFonts w:hint="cs"/>
          <w:rtl/>
        </w:rPr>
        <w:t>29</w:t>
      </w:r>
      <w:r w:rsidR="004569B5" w:rsidRPr="004B7218">
        <w:rPr>
          <w:rFonts w:hint="cs"/>
          <w:rtl/>
        </w:rPr>
        <w:t xml:space="preserve"> </w:t>
      </w:r>
      <w:r w:rsidRPr="004B7218">
        <w:rPr>
          <w:rFonts w:hint="cs"/>
          <w:rtl/>
        </w:rPr>
        <w:t>-</w:t>
      </w:r>
      <w:r w:rsidRPr="004B7218">
        <w:tab/>
      </w:r>
      <w:r w:rsidRPr="004B7218">
        <w:rPr>
          <w:rtl/>
        </w:rPr>
        <w:t>ويفيد التقرير بأن التجريد من الملكية لا يزال مشكلة كبيرة.</w:t>
      </w:r>
      <w:r w:rsidRPr="004B7218">
        <w:t xml:space="preserve"> </w:t>
      </w:r>
      <w:r w:rsidRPr="004B7218">
        <w:rPr>
          <w:rtl/>
        </w:rPr>
        <w:t>يرجى وصف الجهود المبذولة لتجاوز هذه المشكلة، بما فيها التدابير المتخذة للتنفيذ الفعال لقانون الوصايا والإرث المعدل.</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الزواج والعلاقات الأسرية</w:t>
      </w:r>
    </w:p>
    <w:p w:rsidR="000B2269" w:rsidRPr="000B2269" w:rsidRDefault="000B2269" w:rsidP="007B2891">
      <w:pPr>
        <w:pStyle w:val="SingleTxt"/>
        <w:spacing w:line="360" w:lineRule="exact"/>
        <w:rPr>
          <w:rtl/>
        </w:rPr>
      </w:pPr>
      <w:r w:rsidRPr="000B2269">
        <w:rPr>
          <w:rFonts w:hint="cs"/>
          <w:rtl/>
        </w:rPr>
        <w:t>30</w:t>
      </w:r>
      <w:r w:rsidR="004569B5">
        <w:rPr>
          <w:rFonts w:hint="cs"/>
          <w:rtl/>
        </w:rPr>
        <w:t xml:space="preserve"> </w:t>
      </w:r>
      <w:r w:rsidRPr="000B2269">
        <w:rPr>
          <w:rFonts w:hint="cs"/>
          <w:rtl/>
        </w:rPr>
        <w:t>-</w:t>
      </w:r>
      <w:r w:rsidRPr="000B2269">
        <w:tab/>
      </w:r>
      <w:r w:rsidRPr="000B2269">
        <w:rPr>
          <w:rtl/>
        </w:rPr>
        <w:t>يشير التقرير إلى أن نظام ملاوي يوفر نظماً متنوعة للزواج، مما ينشئ تمييزاً في إعطاء الحقوق للمرأة.</w:t>
      </w:r>
      <w:r w:rsidRPr="000B2269">
        <w:t xml:space="preserve"> </w:t>
      </w:r>
      <w:r w:rsidRPr="000B2269">
        <w:rPr>
          <w:rtl/>
        </w:rPr>
        <w:t>يرجى بيان ما هي الخطوات التي اتخذت لضمان مراعاة حقوق المرأة في أشكال الزواج المختلفة.</w:t>
      </w:r>
      <w:r w:rsidRPr="000B2269">
        <w:t xml:space="preserve"> </w:t>
      </w:r>
    </w:p>
    <w:p w:rsidR="007B2891" w:rsidRPr="007B2891" w:rsidRDefault="007B2891" w:rsidP="007B2891">
      <w:pPr>
        <w:pStyle w:val="SingleTxt"/>
        <w:spacing w:after="0" w:line="120" w:lineRule="exact"/>
        <w:rPr>
          <w:rFonts w:hint="cs"/>
          <w:sz w:val="10"/>
          <w:rtl/>
        </w:rPr>
      </w:pPr>
    </w:p>
    <w:p w:rsidR="000B2269" w:rsidRPr="000B2269" w:rsidRDefault="000B2269" w:rsidP="007B28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sidRPr="000B2269">
        <w:tab/>
      </w:r>
      <w:r w:rsidRPr="000B2269">
        <w:tab/>
      </w:r>
      <w:r w:rsidRPr="000B2269">
        <w:rPr>
          <w:rtl/>
        </w:rPr>
        <w:t>البروتوكول الاختياري</w:t>
      </w:r>
    </w:p>
    <w:p w:rsidR="004569B5" w:rsidRPr="004569B5" w:rsidRDefault="00F73F2E" w:rsidP="007B2891">
      <w:pPr>
        <w:pStyle w:val="SingleTxt"/>
        <w:spacing w:line="360" w:lineRule="exact"/>
        <w:rPr>
          <w:rFonts w:hint="cs"/>
          <w:rtl/>
        </w:rPr>
      </w:pPr>
      <w:r>
        <w:rPr>
          <w:rFonts w:hint="cs"/>
          <w:noProof/>
          <w:w w:val="100"/>
          <w:rtl/>
        </w:rPr>
        <w:pict>
          <v:line id="_x0000_s1026" style="position:absolute;left:0;text-align:left;z-index:1" from="226.6pt,138.4pt" to="298.6pt,138.4pt" strokeweight=".25pt">
            <w10:wrap anchorx="page"/>
          </v:line>
        </w:pict>
      </w:r>
      <w:r w:rsidR="000B2269" w:rsidRPr="000B2269">
        <w:rPr>
          <w:rFonts w:hint="cs"/>
          <w:rtl/>
        </w:rPr>
        <w:t>31</w:t>
      </w:r>
      <w:r w:rsidR="004569B5">
        <w:rPr>
          <w:rFonts w:hint="cs"/>
          <w:rtl/>
        </w:rPr>
        <w:t xml:space="preserve"> </w:t>
      </w:r>
      <w:r w:rsidR="000B2269" w:rsidRPr="000B2269">
        <w:rPr>
          <w:rFonts w:hint="cs"/>
          <w:rtl/>
        </w:rPr>
        <w:t>-</w:t>
      </w:r>
      <w:r w:rsidR="000B2269" w:rsidRPr="000B2269">
        <w:tab/>
      </w:r>
      <w:r w:rsidR="000B2269" w:rsidRPr="000B2269">
        <w:rPr>
          <w:rtl/>
        </w:rPr>
        <w:t>تؤوي ملاوي عدداً من اللاجئين.</w:t>
      </w:r>
      <w:r w:rsidR="000B2269" w:rsidRPr="000B2269">
        <w:t xml:space="preserve"> </w:t>
      </w:r>
      <w:r w:rsidR="000B2269" w:rsidRPr="000B2269">
        <w:rPr>
          <w:rtl/>
        </w:rPr>
        <w:t>يرجى تقديم معلومات بشأن حالة اللاجئات.</w:t>
      </w:r>
      <w:r w:rsidR="000B2269" w:rsidRPr="000B2269">
        <w:t xml:space="preserve"> </w:t>
      </w:r>
      <w:r w:rsidR="000B2269" w:rsidRPr="000B2269">
        <w:rPr>
          <w:rtl/>
        </w:rPr>
        <w:t>وعلى الخصوص، يرجى بيان ما إذا كانت الحكومة تحقق في حالات الاتجار باللاجئات وتهريبهن.</w:t>
      </w:r>
      <w:r w:rsidR="000B2269" w:rsidRPr="000B2269">
        <w:t xml:space="preserve"> </w:t>
      </w:r>
      <w:r w:rsidR="000B2269" w:rsidRPr="000B2269">
        <w:rPr>
          <w:rtl/>
        </w:rPr>
        <w:t xml:space="preserve">ويرجى كذلك بيان ما إذا كان للاجئات </w:t>
      </w:r>
      <w:r w:rsidR="004569B5">
        <w:rPr>
          <w:rFonts w:hint="cs"/>
          <w:rtl/>
        </w:rPr>
        <w:t xml:space="preserve">حق </w:t>
      </w:r>
      <w:r w:rsidR="000B2269" w:rsidRPr="000B2269">
        <w:rPr>
          <w:rtl/>
        </w:rPr>
        <w:t>الوصول بالتساوي إلى المحاكم الوطنية لمعالجة ادعاءات العنف الجنسي أو القائم على أساس نوع الجنس.</w:t>
      </w:r>
      <w:r w:rsidR="000B2269" w:rsidRPr="000B2269">
        <w:t xml:space="preserve"> </w:t>
      </w:r>
      <w:r w:rsidR="000B2269" w:rsidRPr="000B2269">
        <w:rPr>
          <w:rtl/>
        </w:rPr>
        <w:t>ويرجى أيضاً بيان ما إذا كانت الحكومة تتوخى رفع تحفظاتها على اتفاقية 1951 وتعديل قانون اللاجئين الحالي للسماح للاجئين، وبخاصة النساء منهم، بالاندماج تماماً واختتام عملية الاندماج القانوني بالتجنس في ملاوي.</w:t>
      </w:r>
    </w:p>
    <w:sectPr w:rsidR="004569B5" w:rsidRPr="004569B5" w:rsidSect="00BF6F7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13:25:00Z" w:initials="Start">
    <w:p w:rsidR="00D00E0C" w:rsidRDefault="00D00E0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NO&gt;&gt;N0624237A&lt;&lt;ODS JOB NO</w:t>
      </w:r>
      <w:r>
        <w:rPr>
          <w:rtl/>
        </w:rPr>
        <w:t>&gt;&gt;</w:t>
      </w:r>
    </w:p>
    <w:p w:rsidR="00D00E0C" w:rsidRDefault="00D00E0C">
      <w:pPr>
        <w:pStyle w:val="CommentText"/>
        <w:rPr>
          <w:rtl/>
        </w:rPr>
      </w:pPr>
      <w:r>
        <w:rPr>
          <w:rtl/>
        </w:rPr>
        <w:t>&lt;&lt;</w:t>
      </w:r>
      <w:r>
        <w:t>ODS DOC SYMBOL1&gt;&gt;CEDAW/C/MWI/Q/5&lt;&lt;ODS DOC SYMBOL1</w:t>
      </w:r>
      <w:r>
        <w:rPr>
          <w:rtl/>
        </w:rPr>
        <w:t>&gt;&gt;</w:t>
      </w:r>
    </w:p>
    <w:p w:rsidR="00D00E0C" w:rsidRDefault="00D00E0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E0C" w:rsidRDefault="00D00E0C" w:rsidP="00BF6F73">
      <w:pPr>
        <w:pStyle w:val="SingleTxt"/>
      </w:pPr>
      <w:r>
        <w:separator/>
      </w:r>
    </w:p>
  </w:endnote>
  <w:endnote w:type="continuationSeparator" w:id="0">
    <w:p w:rsidR="00D00E0C" w:rsidRDefault="00D00E0C" w:rsidP="00BF6F73">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0E0C">
      <w:tblPrEx>
        <w:tblCellMar>
          <w:top w:w="0" w:type="dxa"/>
          <w:bottom w:w="0" w:type="dxa"/>
        </w:tblCellMar>
      </w:tblPrEx>
      <w:tc>
        <w:tcPr>
          <w:tcW w:w="5033" w:type="dxa"/>
          <w:shd w:val="clear" w:color="auto" w:fill="auto"/>
        </w:tcPr>
        <w:p w:rsidR="00D00E0C" w:rsidRPr="00BF6F73" w:rsidRDefault="00D00E0C" w:rsidP="00BF6F73">
          <w:pPr>
            <w:pStyle w:val="Footer"/>
            <w:jc w:val="right"/>
            <w:rPr>
              <w:w w:val="103"/>
            </w:rPr>
          </w:pPr>
          <w:r>
            <w:rPr>
              <w:w w:val="103"/>
            </w:rPr>
            <w:fldChar w:fldCharType="begin"/>
          </w:r>
          <w:r>
            <w:rPr>
              <w:w w:val="103"/>
            </w:rPr>
            <w:instrText xml:space="preserve"> PAGE  \* MERGEFORMAT </w:instrText>
          </w:r>
          <w:r>
            <w:rPr>
              <w:w w:val="103"/>
            </w:rPr>
            <w:fldChar w:fldCharType="separate"/>
          </w:r>
          <w:r w:rsidR="00DC4125">
            <w:rPr>
              <w:w w:val="103"/>
            </w:rPr>
            <w:t>4</w:t>
          </w:r>
          <w:r>
            <w:rPr>
              <w:w w:val="103"/>
            </w:rPr>
            <w:fldChar w:fldCharType="end"/>
          </w:r>
        </w:p>
      </w:tc>
      <w:tc>
        <w:tcPr>
          <w:tcW w:w="5033" w:type="dxa"/>
          <w:shd w:val="clear" w:color="auto" w:fill="auto"/>
        </w:tcPr>
        <w:p w:rsidR="00D00E0C" w:rsidRPr="00BF6F73" w:rsidRDefault="00D00E0C" w:rsidP="00BF6F7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06-24237</w:t>
          </w:r>
          <w:r>
            <w:rPr>
              <w:b w:val="0"/>
              <w:w w:val="103"/>
            </w:rPr>
            <w:fldChar w:fldCharType="end"/>
          </w:r>
        </w:p>
      </w:tc>
    </w:tr>
  </w:tbl>
  <w:p w:rsidR="00D00E0C" w:rsidRPr="00BF6F73" w:rsidRDefault="00D00E0C" w:rsidP="00BF6F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0E0C">
      <w:tblPrEx>
        <w:tblCellMar>
          <w:top w:w="0" w:type="dxa"/>
          <w:bottom w:w="0" w:type="dxa"/>
        </w:tblCellMar>
      </w:tblPrEx>
      <w:tc>
        <w:tcPr>
          <w:tcW w:w="5033" w:type="dxa"/>
          <w:shd w:val="clear" w:color="auto" w:fill="auto"/>
        </w:tcPr>
        <w:p w:rsidR="00D00E0C" w:rsidRPr="00BF6F73" w:rsidRDefault="00D00E0C" w:rsidP="00BF6F7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06-24237</w:t>
          </w:r>
          <w:r>
            <w:rPr>
              <w:b w:val="0"/>
              <w:w w:val="103"/>
            </w:rPr>
            <w:fldChar w:fldCharType="end"/>
          </w:r>
        </w:p>
      </w:tc>
      <w:tc>
        <w:tcPr>
          <w:tcW w:w="5033" w:type="dxa"/>
          <w:shd w:val="clear" w:color="auto" w:fill="auto"/>
        </w:tcPr>
        <w:p w:rsidR="00D00E0C" w:rsidRPr="00BF6F73" w:rsidRDefault="00D00E0C" w:rsidP="00BF6F73">
          <w:pPr>
            <w:pStyle w:val="Footer"/>
            <w:rPr>
              <w:w w:val="103"/>
            </w:rPr>
          </w:pPr>
          <w:r>
            <w:rPr>
              <w:w w:val="103"/>
            </w:rPr>
            <w:fldChar w:fldCharType="begin"/>
          </w:r>
          <w:r>
            <w:rPr>
              <w:w w:val="103"/>
            </w:rPr>
            <w:instrText xml:space="preserve"> PAGE  \* MERGEFORMAT </w:instrText>
          </w:r>
          <w:r>
            <w:rPr>
              <w:w w:val="103"/>
            </w:rPr>
            <w:fldChar w:fldCharType="separate"/>
          </w:r>
          <w:r w:rsidR="00DC4125">
            <w:rPr>
              <w:w w:val="103"/>
            </w:rPr>
            <w:t>3</w:t>
          </w:r>
          <w:r>
            <w:rPr>
              <w:w w:val="103"/>
            </w:rPr>
            <w:fldChar w:fldCharType="end"/>
          </w:r>
        </w:p>
      </w:tc>
    </w:tr>
  </w:tbl>
  <w:p w:rsidR="00D00E0C" w:rsidRPr="00BF6F73" w:rsidRDefault="00D00E0C" w:rsidP="00BF6F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E0C" w:rsidRDefault="00D00E0C">
    <w:pPr>
      <w:pStyle w:val="Footer"/>
    </w:pPr>
  </w:p>
  <w:p w:rsidR="00D00E0C" w:rsidRDefault="00D00E0C" w:rsidP="00BF6F73">
    <w:pPr>
      <w:pStyle w:val="Footer"/>
      <w:jc w:val="right"/>
      <w:rPr>
        <w:rFonts w:cs="Times New Roman"/>
        <w:b w:val="0"/>
        <w:w w:val="103"/>
        <w:sz w:val="20"/>
      </w:rPr>
    </w:pPr>
    <w:r>
      <w:rPr>
        <w:rFonts w:cs="Times New Roman"/>
        <w:b w:val="0"/>
        <w:w w:val="103"/>
        <w:sz w:val="20"/>
      </w:rPr>
      <w:t xml:space="preserve">060306    060306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06-24237 (A)</w:t>
    </w:r>
    <w:r>
      <w:rPr>
        <w:rFonts w:cs="Times New Roman"/>
        <w:b w:val="0"/>
        <w:w w:val="103"/>
        <w:sz w:val="20"/>
      </w:rPr>
      <w:fldChar w:fldCharType="end"/>
    </w:r>
  </w:p>
  <w:p w:rsidR="00D00E0C" w:rsidRPr="00BF6F73" w:rsidRDefault="00D00E0C" w:rsidP="00BF6F7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*0624237*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E0C" w:rsidRDefault="00D00E0C" w:rsidP="00BF6F73">
      <w:pPr>
        <w:pStyle w:val="SingleTxt"/>
      </w:pPr>
      <w:r>
        <w:separator/>
      </w:r>
    </w:p>
  </w:footnote>
  <w:footnote w:type="continuationSeparator" w:id="0">
    <w:p w:rsidR="00D00E0C" w:rsidRDefault="00D00E0C" w:rsidP="00BF6F73">
      <w:pPr>
        <w:pStyle w:val="SingleTx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D00E0C">
      <w:tblPrEx>
        <w:tblCellMar>
          <w:top w:w="0" w:type="dxa"/>
          <w:bottom w:w="0" w:type="dxa"/>
        </w:tblCellMar>
      </w:tblPrEx>
      <w:trPr>
        <w:trHeight w:hRule="exact" w:val="864"/>
        <w:jc w:val="center"/>
      </w:trPr>
      <w:tc>
        <w:tcPr>
          <w:tcW w:w="5033" w:type="dxa"/>
          <w:shd w:val="clear" w:color="auto" w:fill="auto"/>
          <w:vAlign w:val="bottom"/>
        </w:tcPr>
        <w:p w:rsidR="00D00E0C" w:rsidRDefault="00D00E0C" w:rsidP="00BF6F73">
          <w:pPr>
            <w:pStyle w:val="Header"/>
            <w:bidi/>
            <w:jc w:val="right"/>
          </w:pPr>
        </w:p>
      </w:tc>
      <w:tc>
        <w:tcPr>
          <w:tcW w:w="5033" w:type="dxa"/>
          <w:shd w:val="clear" w:color="auto" w:fill="auto"/>
          <w:vAlign w:val="bottom"/>
        </w:tcPr>
        <w:p w:rsidR="00D00E0C" w:rsidRPr="00BF6F73" w:rsidRDefault="00D00E0C" w:rsidP="00BF6F7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CEDAW/C/MWI/Q/5</w:t>
          </w:r>
          <w:r>
            <w:rPr>
              <w:w w:val="103"/>
            </w:rPr>
            <w:fldChar w:fldCharType="end"/>
          </w:r>
        </w:p>
      </w:tc>
    </w:tr>
  </w:tbl>
  <w:p w:rsidR="00D00E0C" w:rsidRPr="00BF6F73" w:rsidRDefault="00D00E0C" w:rsidP="00BF6F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D00E0C">
      <w:tblPrEx>
        <w:tblCellMar>
          <w:top w:w="0" w:type="dxa"/>
          <w:bottom w:w="0" w:type="dxa"/>
        </w:tblCellMar>
      </w:tblPrEx>
      <w:trPr>
        <w:trHeight w:hRule="exact" w:val="864"/>
        <w:jc w:val="center"/>
      </w:trPr>
      <w:tc>
        <w:tcPr>
          <w:tcW w:w="5033" w:type="dxa"/>
          <w:shd w:val="clear" w:color="auto" w:fill="auto"/>
          <w:vAlign w:val="bottom"/>
        </w:tcPr>
        <w:p w:rsidR="00D00E0C" w:rsidRPr="00BF6F73" w:rsidRDefault="00D00E0C" w:rsidP="00BF6F7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CEDAW/C/MWI/Q/5</w:t>
          </w:r>
          <w:r>
            <w:rPr>
              <w:w w:val="103"/>
              <w:rtl/>
            </w:rPr>
            <w:fldChar w:fldCharType="end"/>
          </w:r>
        </w:p>
      </w:tc>
      <w:tc>
        <w:tcPr>
          <w:tcW w:w="5033" w:type="dxa"/>
          <w:shd w:val="clear" w:color="auto" w:fill="auto"/>
          <w:vAlign w:val="bottom"/>
        </w:tcPr>
        <w:p w:rsidR="00D00E0C" w:rsidRDefault="00D00E0C" w:rsidP="00BF6F73">
          <w:pPr>
            <w:pStyle w:val="Header"/>
          </w:pPr>
        </w:p>
      </w:tc>
    </w:tr>
  </w:tbl>
  <w:p w:rsidR="00D00E0C" w:rsidRPr="00BF6F73" w:rsidRDefault="00D00E0C" w:rsidP="00BF6F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00E0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00E0C" w:rsidRDefault="00D00E0C" w:rsidP="00BF6F73">
          <w:pPr>
            <w:pStyle w:val="Header"/>
            <w:spacing w:after="120"/>
          </w:pPr>
        </w:p>
      </w:tc>
      <w:tc>
        <w:tcPr>
          <w:tcW w:w="1786" w:type="dxa"/>
          <w:tcBorders>
            <w:bottom w:val="single" w:sz="4" w:space="0" w:color="auto"/>
          </w:tcBorders>
          <w:shd w:val="clear" w:color="auto" w:fill="auto"/>
          <w:vAlign w:val="bottom"/>
        </w:tcPr>
        <w:p w:rsidR="00D00E0C" w:rsidRPr="00BF6F73" w:rsidRDefault="00D00E0C" w:rsidP="00BF6F7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00E0C" w:rsidRDefault="00D00E0C" w:rsidP="00BF6F73">
          <w:pPr>
            <w:pStyle w:val="Header"/>
            <w:spacing w:after="120"/>
          </w:pPr>
        </w:p>
      </w:tc>
      <w:tc>
        <w:tcPr>
          <w:tcW w:w="6523" w:type="dxa"/>
          <w:gridSpan w:val="3"/>
          <w:tcBorders>
            <w:bottom w:val="single" w:sz="4" w:space="0" w:color="auto"/>
          </w:tcBorders>
          <w:shd w:val="clear" w:color="auto" w:fill="auto"/>
          <w:vAlign w:val="bottom"/>
        </w:tcPr>
        <w:p w:rsidR="00D00E0C" w:rsidRPr="00BF6F73" w:rsidRDefault="00D00E0C" w:rsidP="00BF6F73">
          <w:pPr>
            <w:spacing w:line="380" w:lineRule="exact"/>
            <w:jc w:val="right"/>
          </w:pPr>
          <w:r>
            <w:rPr>
              <w:sz w:val="40"/>
            </w:rPr>
            <w:t>CEDAW</w:t>
          </w:r>
          <w:r>
            <w:t>/C/MWI/Q/5</w:t>
          </w:r>
        </w:p>
      </w:tc>
    </w:tr>
    <w:tr w:rsidR="00D00E0C" w:rsidRPr="00BF6F7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00E0C" w:rsidRDefault="00D00E0C" w:rsidP="00BF6F7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0E0C" w:rsidRPr="00BF6F73" w:rsidRDefault="00D00E0C" w:rsidP="00BF6F73">
          <w:pPr>
            <w:pStyle w:val="Header"/>
            <w:spacing w:before="109"/>
            <w:jc w:val="right"/>
          </w:pPr>
        </w:p>
      </w:tc>
      <w:tc>
        <w:tcPr>
          <w:tcW w:w="5227" w:type="dxa"/>
          <w:gridSpan w:val="3"/>
          <w:tcBorders>
            <w:top w:val="single" w:sz="4" w:space="0" w:color="auto"/>
            <w:bottom w:val="single" w:sz="12" w:space="0" w:color="auto"/>
          </w:tcBorders>
          <w:shd w:val="clear" w:color="auto" w:fill="auto"/>
        </w:tcPr>
        <w:p w:rsidR="00D00E0C" w:rsidRPr="00BF6F73" w:rsidRDefault="00D00E0C" w:rsidP="00BF6F7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00E0C" w:rsidRPr="00BF6F73" w:rsidRDefault="00D00E0C" w:rsidP="00BF6F73">
          <w:pPr>
            <w:pStyle w:val="Header"/>
            <w:spacing w:before="109"/>
          </w:pPr>
        </w:p>
      </w:tc>
      <w:tc>
        <w:tcPr>
          <w:tcW w:w="3100" w:type="dxa"/>
          <w:gridSpan w:val="2"/>
          <w:tcBorders>
            <w:top w:val="single" w:sz="4" w:space="0" w:color="auto"/>
            <w:bottom w:val="single" w:sz="12" w:space="0" w:color="auto"/>
          </w:tcBorders>
          <w:shd w:val="clear" w:color="auto" w:fill="auto"/>
        </w:tcPr>
        <w:p w:rsidR="00D00E0C" w:rsidRDefault="00D00E0C" w:rsidP="00BF6F73">
          <w:pPr>
            <w:bidi w:val="0"/>
            <w:spacing w:before="240" w:line="240" w:lineRule="exact"/>
          </w:pPr>
          <w:r>
            <w:t>Distr.: General</w:t>
          </w:r>
        </w:p>
        <w:p w:rsidR="00D00E0C" w:rsidRDefault="00D00E0C" w:rsidP="00BF6F73">
          <w:pPr>
            <w:bidi w:val="0"/>
            <w:spacing w:line="240" w:lineRule="exact"/>
            <w:jc w:val="left"/>
          </w:pPr>
          <w:r>
            <w:t>9 February 2006</w:t>
          </w:r>
        </w:p>
        <w:p w:rsidR="00D00E0C" w:rsidRDefault="00D00E0C" w:rsidP="00BF6F73">
          <w:pPr>
            <w:bidi w:val="0"/>
            <w:spacing w:line="240" w:lineRule="exact"/>
            <w:jc w:val="left"/>
          </w:pPr>
          <w:r>
            <w:t>Arabic</w:t>
          </w:r>
        </w:p>
        <w:p w:rsidR="00D00E0C" w:rsidRPr="00BF6F73" w:rsidRDefault="00D00E0C" w:rsidP="00BF6F73">
          <w:pPr>
            <w:bidi w:val="0"/>
            <w:spacing w:line="240" w:lineRule="exact"/>
            <w:jc w:val="left"/>
          </w:pPr>
          <w:r>
            <w:t>Original: English</w:t>
          </w:r>
        </w:p>
      </w:tc>
    </w:tr>
  </w:tbl>
  <w:p w:rsidR="00D00E0C" w:rsidRPr="00BF6F73" w:rsidRDefault="00D00E0C" w:rsidP="00BF6F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37*"/>
    <w:docVar w:name="CreationDt" w:val="06/03/2006 01:258 م"/>
    <w:docVar w:name="DocCategory" w:val="Doc"/>
    <w:docVar w:name="DocType" w:val="Final"/>
    <w:docVar w:name="FooterJN" w:val="06-24237"/>
    <w:docVar w:name="jobn" w:val="06-24237 (A)"/>
    <w:docVar w:name="jobnDT" w:val="06-24237 (A)   060306"/>
    <w:docVar w:name="jobnDTDT" w:val="06-24237 (A)   060306   060306"/>
    <w:docVar w:name="JobNo" w:val="0624237A"/>
    <w:docVar w:name="OandT" w:val=" "/>
    <w:docVar w:name="sss1" w:val="CEDAW/C/MWI/Q/5"/>
    <w:docVar w:name="sss2" w:val="-"/>
    <w:docVar w:name="Symbol1" w:val="CEDAW/C/MWI/Q/5"/>
    <w:docVar w:name="Symbol2" w:val="-"/>
  </w:docVars>
  <w:rsids>
    <w:rsidRoot w:val="00047331"/>
    <w:rsid w:val="00021EB0"/>
    <w:rsid w:val="00042425"/>
    <w:rsid w:val="00047331"/>
    <w:rsid w:val="0006648F"/>
    <w:rsid w:val="00087310"/>
    <w:rsid w:val="0009732C"/>
    <w:rsid w:val="000B163D"/>
    <w:rsid w:val="000B2269"/>
    <w:rsid w:val="000C4EED"/>
    <w:rsid w:val="000D2CEC"/>
    <w:rsid w:val="00101EE8"/>
    <w:rsid w:val="00113349"/>
    <w:rsid w:val="001519A9"/>
    <w:rsid w:val="001737F8"/>
    <w:rsid w:val="00187870"/>
    <w:rsid w:val="001F6786"/>
    <w:rsid w:val="001F719C"/>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C34E4"/>
    <w:rsid w:val="003D4612"/>
    <w:rsid w:val="003F4B8C"/>
    <w:rsid w:val="00401BDF"/>
    <w:rsid w:val="00411BBD"/>
    <w:rsid w:val="00415922"/>
    <w:rsid w:val="00423BD7"/>
    <w:rsid w:val="0042757D"/>
    <w:rsid w:val="00437C14"/>
    <w:rsid w:val="004527C9"/>
    <w:rsid w:val="00453069"/>
    <w:rsid w:val="004569B5"/>
    <w:rsid w:val="00483F5B"/>
    <w:rsid w:val="00490874"/>
    <w:rsid w:val="00494EE2"/>
    <w:rsid w:val="00496E83"/>
    <w:rsid w:val="004A2886"/>
    <w:rsid w:val="004B14A0"/>
    <w:rsid w:val="004B7218"/>
    <w:rsid w:val="004D142A"/>
    <w:rsid w:val="004D1B0C"/>
    <w:rsid w:val="004F1402"/>
    <w:rsid w:val="005034E0"/>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3294D"/>
    <w:rsid w:val="006564CE"/>
    <w:rsid w:val="00663F64"/>
    <w:rsid w:val="00696B7A"/>
    <w:rsid w:val="006C38EE"/>
    <w:rsid w:val="006C73BD"/>
    <w:rsid w:val="0071531E"/>
    <w:rsid w:val="0071645B"/>
    <w:rsid w:val="00716E9D"/>
    <w:rsid w:val="00747340"/>
    <w:rsid w:val="00747B9E"/>
    <w:rsid w:val="007524BE"/>
    <w:rsid w:val="007525FA"/>
    <w:rsid w:val="00774FF0"/>
    <w:rsid w:val="0079046D"/>
    <w:rsid w:val="0079753A"/>
    <w:rsid w:val="007A6DD9"/>
    <w:rsid w:val="007B2891"/>
    <w:rsid w:val="007D60E0"/>
    <w:rsid w:val="007E00A2"/>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767E0"/>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BF6F73"/>
    <w:rsid w:val="00C12CBB"/>
    <w:rsid w:val="00C25A2D"/>
    <w:rsid w:val="00C260F8"/>
    <w:rsid w:val="00C43FBE"/>
    <w:rsid w:val="00C449C6"/>
    <w:rsid w:val="00C564B0"/>
    <w:rsid w:val="00C814A5"/>
    <w:rsid w:val="00C96573"/>
    <w:rsid w:val="00CD0BB8"/>
    <w:rsid w:val="00CD3849"/>
    <w:rsid w:val="00CF7384"/>
    <w:rsid w:val="00D00E0C"/>
    <w:rsid w:val="00D2343D"/>
    <w:rsid w:val="00D27D81"/>
    <w:rsid w:val="00D30EAE"/>
    <w:rsid w:val="00D318F1"/>
    <w:rsid w:val="00D40B0E"/>
    <w:rsid w:val="00DA66B7"/>
    <w:rsid w:val="00DB0865"/>
    <w:rsid w:val="00DC4125"/>
    <w:rsid w:val="00DE5433"/>
    <w:rsid w:val="00DF5F38"/>
    <w:rsid w:val="00E23336"/>
    <w:rsid w:val="00E31661"/>
    <w:rsid w:val="00E32B52"/>
    <w:rsid w:val="00E47EB8"/>
    <w:rsid w:val="00E750E1"/>
    <w:rsid w:val="00E9114A"/>
    <w:rsid w:val="00EA489C"/>
    <w:rsid w:val="00EB0CA7"/>
    <w:rsid w:val="00EB4992"/>
    <w:rsid w:val="00ED3F0E"/>
    <w:rsid w:val="00EF2E52"/>
    <w:rsid w:val="00F32E4A"/>
    <w:rsid w:val="00F36D8C"/>
    <w:rsid w:val="00F73F2E"/>
    <w:rsid w:val="00F93545"/>
    <w:rsid w:val="00F96B34"/>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F6F73"/>
    <w:rPr>
      <w:szCs w:val="20"/>
    </w:rPr>
  </w:style>
  <w:style w:type="paragraph" w:styleId="CommentSubject">
    <w:name w:val="annotation subject"/>
    <w:basedOn w:val="CommentText"/>
    <w:next w:val="CommentText"/>
    <w:semiHidden/>
    <w:rsid w:val="00BF6F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6</Pages>
  <Words>1503</Words>
  <Characters>8572</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EL FAR, Hussin</cp:lastModifiedBy>
  <cp:revision>13</cp:revision>
  <cp:lastPrinted>2006-03-06T14:44:00Z</cp:lastPrinted>
  <dcterms:created xsi:type="dcterms:W3CDTF">2006-03-06T14:30:00Z</dcterms:created>
  <dcterms:modified xsi:type="dcterms:W3CDTF">2006-03-06T15:28:00Z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0624237</vt:lpwstr>
  </property>
  <property fmtid="{D5CDD505-2E9C-101B-9397-08002B2CF9AE}" pid="3" name="Symbol1">
    <vt:lpwstr>CEDAW/C/MWI/Q/5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