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46558" w14:paraId="75D27DEF" w14:textId="77777777">
        <w:trPr>
          <w:cantSplit/>
          <w:trHeight w:hRule="exact" w:val="851"/>
        </w:trPr>
        <w:tc>
          <w:tcPr>
            <w:tcW w:w="1276" w:type="dxa"/>
            <w:tcBorders>
              <w:bottom w:val="single" w:sz="4" w:space="0" w:color="auto"/>
            </w:tcBorders>
            <w:vAlign w:val="bottom"/>
          </w:tcPr>
          <w:p w14:paraId="7927D816" w14:textId="77777777" w:rsidR="001F39D5" w:rsidRDefault="001F39D5">
            <w:pPr>
              <w:spacing w:after="80"/>
            </w:pPr>
          </w:p>
        </w:tc>
        <w:tc>
          <w:tcPr>
            <w:tcW w:w="2268" w:type="dxa"/>
            <w:tcBorders>
              <w:bottom w:val="single" w:sz="4" w:space="0" w:color="auto"/>
            </w:tcBorders>
            <w:vAlign w:val="bottom"/>
          </w:tcPr>
          <w:p w14:paraId="0899C180" w14:textId="77777777" w:rsidR="001F39D5" w:rsidRDefault="002D49BC">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0DA10892" w14:textId="504143D9" w:rsidR="001F39D5" w:rsidRPr="0086492F" w:rsidRDefault="0086492F" w:rsidP="0086492F">
            <w:pPr>
              <w:suppressAutoHyphens w:val="0"/>
              <w:jc w:val="right"/>
            </w:pPr>
            <w:r w:rsidRPr="0086492F">
              <w:rPr>
                <w:sz w:val="40"/>
              </w:rPr>
              <w:t>CAT</w:t>
            </w:r>
            <w:r>
              <w:t>/C/LUX/FCO/8</w:t>
            </w:r>
          </w:p>
        </w:tc>
      </w:tr>
      <w:tr w:rsidR="00E46558" w14:paraId="305841C1" w14:textId="77777777">
        <w:trPr>
          <w:cantSplit/>
          <w:trHeight w:hRule="exact" w:val="2835"/>
        </w:trPr>
        <w:tc>
          <w:tcPr>
            <w:tcW w:w="1276" w:type="dxa"/>
            <w:tcBorders>
              <w:top w:val="single" w:sz="4" w:space="0" w:color="auto"/>
              <w:bottom w:val="single" w:sz="12" w:space="0" w:color="auto"/>
            </w:tcBorders>
          </w:tcPr>
          <w:p w14:paraId="2736432B" w14:textId="77777777" w:rsidR="001F39D5" w:rsidRDefault="002D49BC">
            <w:pPr>
              <w:spacing w:before="120"/>
              <w:jc w:val="center"/>
            </w:pPr>
            <w:r>
              <w:rPr>
                <w:noProof/>
                <w:lang w:eastAsia="fr-CH"/>
              </w:rPr>
              <w:drawing>
                <wp:inline distT="0" distB="0" distL="0" distR="0" wp14:anchorId="30BC4FB8" wp14:editId="434B21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BBA083" w14:textId="77777777" w:rsidR="001F39D5" w:rsidRDefault="002D49BC">
            <w:pPr>
              <w:spacing w:before="120" w:line="380" w:lineRule="exact"/>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14:paraId="24099DE7" w14:textId="77777777" w:rsidR="001F39D5" w:rsidRDefault="002D49BC">
            <w:pPr>
              <w:suppressAutoHyphens w:val="0"/>
              <w:spacing w:before="240" w:line="240" w:lineRule="exact"/>
            </w:pPr>
            <w:proofErr w:type="spellStart"/>
            <w:r>
              <w:t>Distr</w:t>
            </w:r>
            <w:proofErr w:type="spellEnd"/>
            <w:r>
              <w:t>.</w:t>
            </w:r>
            <w:r w:rsidR="00114746">
              <w:t xml:space="preserve"> générale</w:t>
            </w:r>
          </w:p>
          <w:p w14:paraId="1FFB785E" w14:textId="7A239DFF" w:rsidR="001F39D5" w:rsidRDefault="00C21C9E">
            <w:pPr>
              <w:suppressAutoHyphens w:val="0"/>
            </w:pPr>
            <w:r>
              <w:t>3</w:t>
            </w:r>
            <w:r w:rsidR="00164296">
              <w:t> décembre</w:t>
            </w:r>
            <w:r w:rsidR="000731CB" w:rsidRPr="000731CB">
              <w:t xml:space="preserve"> </w:t>
            </w:r>
            <w:r w:rsidR="00114746">
              <w:t>2024</w:t>
            </w:r>
          </w:p>
          <w:p w14:paraId="0D4572A3" w14:textId="77777777" w:rsidR="001F39D5" w:rsidRDefault="001F39D5">
            <w:pPr>
              <w:suppressAutoHyphens w:val="0"/>
            </w:pPr>
          </w:p>
          <w:p w14:paraId="3C4B8B71" w14:textId="77777777" w:rsidR="001F39D5" w:rsidRDefault="002D49BC">
            <w:pPr>
              <w:suppressAutoHyphens w:val="0"/>
            </w:pPr>
            <w:r>
              <w:t>Original</w:t>
            </w:r>
            <w:r w:rsidR="00044A08">
              <w:t> </w:t>
            </w:r>
            <w:r>
              <w:t>:</w:t>
            </w:r>
            <w:r w:rsidR="00114746">
              <w:t xml:space="preserve"> français</w:t>
            </w:r>
          </w:p>
          <w:p w14:paraId="393138AE" w14:textId="77777777" w:rsidR="001F39D5" w:rsidRDefault="00114746">
            <w:pPr>
              <w:suppressAutoHyphens w:val="0"/>
            </w:pPr>
            <w:r>
              <w:t>Anglais, espagnol et français seulement</w:t>
            </w:r>
          </w:p>
        </w:tc>
      </w:tr>
    </w:tbl>
    <w:p w14:paraId="44DF5B16" w14:textId="77777777" w:rsidR="001F39D5" w:rsidRDefault="002D49BC">
      <w:pPr>
        <w:spacing w:before="120"/>
        <w:rPr>
          <w:b/>
          <w:sz w:val="24"/>
          <w:szCs w:val="24"/>
        </w:rPr>
      </w:pPr>
      <w:r>
        <w:rPr>
          <w:b/>
          <w:sz w:val="24"/>
          <w:szCs w:val="24"/>
        </w:rPr>
        <w:t>Comité contre la torture</w:t>
      </w:r>
    </w:p>
    <w:p w14:paraId="47B629E4" w14:textId="00E32D56" w:rsidR="001F39D5" w:rsidRPr="00CF1F1D" w:rsidRDefault="002D49BC" w:rsidP="00223A5E">
      <w:pPr>
        <w:pStyle w:val="HMG"/>
      </w:pPr>
      <w:r>
        <w:rPr>
          <w:lang w:val="fr-FR"/>
        </w:rPr>
        <w:tab/>
      </w:r>
      <w:r>
        <w:rPr>
          <w:lang w:val="fr-FR"/>
        </w:rPr>
        <w:tab/>
      </w:r>
      <w:r>
        <w:t xml:space="preserve">Renseignements reçus du Luxembourg au sujet </w:t>
      </w:r>
      <w:r w:rsidR="003216D6">
        <w:br/>
      </w:r>
      <w:r>
        <w:t>de la suite donnée aux</w:t>
      </w:r>
      <w:r w:rsidR="003216D6">
        <w:t xml:space="preserve"> </w:t>
      </w:r>
      <w:r>
        <w:t>observations finales</w:t>
      </w:r>
      <w:r w:rsidR="00710FED" w:rsidRPr="000D2D65">
        <w:t xml:space="preserve"> concernant </w:t>
      </w:r>
      <w:r w:rsidR="00710FED">
        <w:t xml:space="preserve">son </w:t>
      </w:r>
      <w:r w:rsidR="00E81D08">
        <w:t>huitième rapport périodique</w:t>
      </w:r>
      <w:r>
        <w:rPr>
          <w:rStyle w:val="Appelnotedebasdep"/>
          <w:b w:val="0"/>
          <w:sz w:val="20"/>
          <w:vertAlign w:val="baseline"/>
        </w:rPr>
        <w:footnoteReference w:customMarkFollows="1" w:id="2"/>
        <w:t>*</w:t>
      </w:r>
    </w:p>
    <w:p w14:paraId="3271F3EF" w14:textId="1CBC3499" w:rsidR="001F39D5" w:rsidRDefault="002D49BC">
      <w:pPr>
        <w:pStyle w:val="SingleTxtG"/>
        <w:jc w:val="right"/>
      </w:pPr>
      <w:r>
        <w:t>[Date de réception</w:t>
      </w:r>
      <w:r w:rsidR="00044A08">
        <w:t> </w:t>
      </w:r>
      <w:r>
        <w:t xml:space="preserve">: </w:t>
      </w:r>
      <w:r w:rsidR="005572D2" w:rsidRPr="005572D2">
        <w:t>1</w:t>
      </w:r>
      <w:r w:rsidR="00164296" w:rsidRPr="00F35483">
        <w:rPr>
          <w:vertAlign w:val="superscript"/>
        </w:rPr>
        <w:t>er</w:t>
      </w:r>
      <w:r w:rsidR="005572D2" w:rsidRPr="005572D2">
        <w:t xml:space="preserve"> octobre 2024</w:t>
      </w:r>
      <w:r>
        <w:t>]</w:t>
      </w:r>
    </w:p>
    <w:p w14:paraId="3C0BEE28" w14:textId="6FA12660" w:rsidR="00B4691E" w:rsidRDefault="00B4691E">
      <w:pPr>
        <w:suppressAutoHyphens w:val="0"/>
        <w:kinsoku/>
        <w:overflowPunct/>
        <w:autoSpaceDE/>
        <w:autoSpaceDN/>
        <w:adjustRightInd/>
        <w:snapToGrid/>
        <w:spacing w:after="200" w:line="276" w:lineRule="auto"/>
        <w:rPr>
          <w:rFonts w:eastAsiaTheme="minorEastAsia"/>
          <w:lang w:val="fr-FR" w:eastAsia="zh-CN"/>
        </w:rPr>
      </w:pPr>
      <w:r>
        <w:rPr>
          <w:lang w:val="fr-FR"/>
        </w:rPr>
        <w:br w:type="page"/>
      </w:r>
    </w:p>
    <w:p w14:paraId="1D9D4A26" w14:textId="689CAEA3" w:rsidR="004C36D1" w:rsidRDefault="00EA3942" w:rsidP="00F35483">
      <w:pPr>
        <w:pStyle w:val="HChG"/>
        <w:rPr>
          <w:noProof/>
          <w:lang w:val="fr-FR"/>
        </w:rPr>
      </w:pPr>
      <w:r>
        <w:rPr>
          <w:lang w:val="fr-FR"/>
        </w:rPr>
        <w:lastRenderedPageBreak/>
        <w:tab/>
      </w:r>
      <w:r>
        <w:rPr>
          <w:lang w:val="fr-FR"/>
        </w:rPr>
        <w:tab/>
      </w:r>
      <w:r w:rsidR="004C36D1" w:rsidRPr="008B08F7">
        <w:rPr>
          <w:lang w:val="fr-FR"/>
        </w:rPr>
        <w:t xml:space="preserve">Renseignements reçus au sujet de la suite donnée </w:t>
      </w:r>
      <w:r w:rsidR="004C36D1" w:rsidRPr="008B08F7">
        <w:rPr>
          <w:noProof/>
          <w:lang w:val="fr-FR"/>
        </w:rPr>
        <w:t>aux</w:t>
      </w:r>
      <w:r w:rsidR="0011170A">
        <w:rPr>
          <w:noProof/>
          <w:lang w:val="fr-FR"/>
        </w:rPr>
        <w:t> </w:t>
      </w:r>
      <w:r w:rsidR="004C36D1" w:rsidRPr="008B08F7">
        <w:rPr>
          <w:noProof/>
          <w:lang w:val="fr-FR"/>
        </w:rPr>
        <w:t>paragraphes 18, 3</w:t>
      </w:r>
      <w:r w:rsidR="00BF57BE">
        <w:rPr>
          <w:noProof/>
          <w:lang w:val="fr-FR"/>
        </w:rPr>
        <w:t>4</w:t>
      </w:r>
      <w:r w:rsidR="004C36D1" w:rsidRPr="008B08F7">
        <w:rPr>
          <w:noProof/>
          <w:lang w:val="fr-FR"/>
        </w:rPr>
        <w:t xml:space="preserve"> et </w:t>
      </w:r>
      <w:r w:rsidR="00BF57BE">
        <w:rPr>
          <w:noProof/>
          <w:lang w:val="fr-FR"/>
        </w:rPr>
        <w:t>3</w:t>
      </w:r>
      <w:r w:rsidR="004C36D1" w:rsidRPr="008B08F7">
        <w:rPr>
          <w:noProof/>
          <w:lang w:val="fr-FR"/>
        </w:rPr>
        <w:t xml:space="preserve">6 </w:t>
      </w:r>
      <w:r w:rsidR="004C36D1">
        <w:rPr>
          <w:noProof/>
          <w:lang w:val="fr-FR"/>
        </w:rPr>
        <w:t xml:space="preserve">des observations finales </w:t>
      </w:r>
      <w:r w:rsidR="00391576">
        <w:rPr>
          <w:noProof/>
          <w:lang w:val="fr-FR"/>
        </w:rPr>
        <w:t>(CAT/C/LUX/CO/8)</w:t>
      </w:r>
    </w:p>
    <w:p w14:paraId="2E9FDC8F" w14:textId="50615633" w:rsidR="00C05B72" w:rsidRPr="001858C1" w:rsidRDefault="00EA3942" w:rsidP="00F35483">
      <w:pPr>
        <w:pStyle w:val="HChG"/>
        <w:rPr>
          <w:lang w:val="fr-FR"/>
        </w:rPr>
      </w:pPr>
      <w:r>
        <w:rPr>
          <w:lang w:val="fr-FR"/>
        </w:rPr>
        <w:tab/>
        <w:t>I.</w:t>
      </w:r>
      <w:r>
        <w:rPr>
          <w:lang w:val="fr-FR"/>
        </w:rPr>
        <w:tab/>
      </w:r>
      <w:r w:rsidR="00C05B72" w:rsidRPr="001858C1">
        <w:rPr>
          <w:lang w:val="fr-FR"/>
        </w:rPr>
        <w:t>Fouilles</w:t>
      </w:r>
    </w:p>
    <w:p w14:paraId="21FD3FD0" w14:textId="0D8EF62C" w:rsidR="0041236D" w:rsidRPr="000E07F1" w:rsidRDefault="004365C3" w:rsidP="00223A5E">
      <w:pPr>
        <w:pStyle w:val="H1G"/>
        <w:rPr>
          <w:noProof/>
          <w:lang w:val="fr-FR"/>
        </w:rPr>
      </w:pPr>
      <w:bookmarkStart w:id="0" w:name="_Hlk173318654"/>
      <w:r w:rsidRPr="001858C1">
        <w:rPr>
          <w:szCs w:val="24"/>
          <w:lang w:val="fr-FR"/>
        </w:rPr>
        <w:tab/>
      </w:r>
      <w:r w:rsidRPr="001858C1">
        <w:rPr>
          <w:szCs w:val="24"/>
          <w:lang w:val="fr-FR"/>
        </w:rPr>
        <w:tab/>
      </w:r>
      <w:r w:rsidR="0041236D" w:rsidRPr="000E07F1">
        <w:rPr>
          <w:lang w:val="fr-FR"/>
        </w:rPr>
        <w:t xml:space="preserve">Renseignements sur la suite donnée aux recommandations figurant au paragraphe </w:t>
      </w:r>
      <w:bookmarkEnd w:id="0"/>
      <w:r w:rsidR="0041236D" w:rsidRPr="000E07F1">
        <w:rPr>
          <w:noProof/>
          <w:lang w:val="fr-FR"/>
        </w:rPr>
        <w:t>1</w:t>
      </w:r>
      <w:r w:rsidR="00A526B5" w:rsidRPr="000E07F1">
        <w:rPr>
          <w:noProof/>
          <w:lang w:val="fr-FR"/>
        </w:rPr>
        <w:t>8</w:t>
      </w:r>
      <w:r w:rsidR="0041236D" w:rsidRPr="000E07F1">
        <w:rPr>
          <w:noProof/>
          <w:lang w:val="fr-FR"/>
        </w:rPr>
        <w:t xml:space="preserve"> des observations finales</w:t>
      </w:r>
      <w:r w:rsidR="00C73A99">
        <w:rPr>
          <w:noProof/>
          <w:lang w:val="fr-FR"/>
        </w:rPr>
        <w:t xml:space="preserve"> </w:t>
      </w:r>
    </w:p>
    <w:p w14:paraId="32603013" w14:textId="164B7AC1" w:rsidR="0091038D" w:rsidRPr="00AB2551" w:rsidRDefault="00F35483" w:rsidP="00F35483">
      <w:pPr>
        <w:pStyle w:val="SingleTxtG"/>
        <w:rPr>
          <w:rFonts w:eastAsiaTheme="minorHAnsi"/>
          <w:noProof/>
          <w:lang w:val="fr-FR" w:eastAsia="en-US"/>
        </w:rPr>
      </w:pPr>
      <w:r w:rsidRPr="00AB2551">
        <w:rPr>
          <w:rFonts w:eastAsiaTheme="minorHAnsi"/>
          <w:noProof/>
          <w:lang w:val="fr-FR" w:eastAsia="en-US"/>
        </w:rPr>
        <w:t>1.</w:t>
      </w:r>
      <w:r w:rsidRPr="00AB2551">
        <w:rPr>
          <w:rFonts w:eastAsiaTheme="minorHAnsi"/>
          <w:noProof/>
          <w:lang w:val="fr-FR" w:eastAsia="en-US"/>
        </w:rPr>
        <w:tab/>
      </w:r>
      <w:r w:rsidR="00064D87" w:rsidRPr="00AB2551">
        <w:rPr>
          <w:rFonts w:eastAsiaTheme="minorHAnsi"/>
          <w:noProof/>
          <w:lang w:val="fr-FR" w:eastAsia="en-US"/>
        </w:rPr>
        <w:t>Le Comité recommande à l’État partie</w:t>
      </w:r>
      <w:r>
        <w:rPr>
          <w:rFonts w:eastAsiaTheme="minorHAnsi"/>
          <w:noProof/>
          <w:lang w:val="fr-FR" w:eastAsia="en-US"/>
        </w:rPr>
        <w:t> </w:t>
      </w:r>
      <w:r w:rsidR="00064D87" w:rsidRPr="00AB2551">
        <w:rPr>
          <w:rFonts w:eastAsiaTheme="minorHAnsi"/>
          <w:noProof/>
          <w:lang w:val="fr-FR" w:eastAsia="en-US"/>
        </w:rPr>
        <w:t xml:space="preserve">: </w:t>
      </w:r>
      <w:r w:rsidR="00391576">
        <w:rPr>
          <w:rFonts w:eastAsiaTheme="minorHAnsi"/>
          <w:noProof/>
          <w:lang w:val="fr-FR" w:eastAsia="en-US"/>
        </w:rPr>
        <w:t>d</w:t>
      </w:r>
      <w:r w:rsidR="00064D87" w:rsidRPr="00AB2551">
        <w:rPr>
          <w:rFonts w:eastAsiaTheme="minorHAnsi"/>
          <w:noProof/>
          <w:lang w:val="fr-FR" w:eastAsia="en-US"/>
        </w:rPr>
        <w:t>’exercer une surveillance rigoureuse des procédures de fouille corporelle et garantir que ces fouilles ne sont pas dégradantes, les fouilles corporelles invasives ne devant être pratiquées que dans des cas exceptionnels, de la manière la moins invasive possible, par du personnel compétent du même sexe et dans le plein respect de la dignité et de l’identité de genre de la personne, conformément aux règles 50 à 53 de l’Ensemble de règles minima des Nations Unies pour le traitement des détenus (Règles Nelson Mandela).</w:t>
      </w:r>
    </w:p>
    <w:p w14:paraId="1A2F4B3D" w14:textId="262D8ED5" w:rsidR="0091038D" w:rsidRPr="00AB2551" w:rsidRDefault="00F35483" w:rsidP="00F35483">
      <w:pPr>
        <w:pStyle w:val="SingleTxtG"/>
        <w:rPr>
          <w:rFonts w:eastAsiaTheme="minorHAnsi"/>
          <w:noProof/>
          <w:lang w:val="fr-FR" w:eastAsia="en-US"/>
        </w:rPr>
      </w:pPr>
      <w:r w:rsidRPr="00AB2551">
        <w:rPr>
          <w:rFonts w:eastAsiaTheme="minorHAnsi"/>
          <w:noProof/>
          <w:lang w:val="fr-FR" w:eastAsia="en-US"/>
        </w:rPr>
        <w:t>2.</w:t>
      </w:r>
      <w:r w:rsidRPr="00AB2551">
        <w:rPr>
          <w:rFonts w:eastAsiaTheme="minorHAnsi"/>
          <w:noProof/>
          <w:lang w:val="fr-FR" w:eastAsia="en-US"/>
        </w:rPr>
        <w:tab/>
      </w:r>
      <w:r w:rsidR="00064D87" w:rsidRPr="00AB2551">
        <w:rPr>
          <w:rFonts w:eastAsiaTheme="minorHAnsi"/>
          <w:noProof/>
          <w:lang w:val="fr-FR" w:eastAsia="en-US"/>
        </w:rPr>
        <w:t>Le Comité invite l’</w:t>
      </w:r>
      <w:r w:rsidR="00EA3942">
        <w:rPr>
          <w:rFonts w:eastAsiaTheme="minorHAnsi"/>
          <w:noProof/>
          <w:lang w:val="fr-FR" w:eastAsia="en-US"/>
        </w:rPr>
        <w:t>É</w:t>
      </w:r>
      <w:r w:rsidR="00064D87" w:rsidRPr="00AB2551">
        <w:rPr>
          <w:rFonts w:eastAsiaTheme="minorHAnsi"/>
          <w:noProof/>
          <w:lang w:val="fr-FR" w:eastAsia="en-US"/>
        </w:rPr>
        <w:t>tat partie à mener une réflexion sur les mesures de substitution aux fouilles corporelles invasives (fouilles intimes et intégrales), notamment le recours à des moyens électroniques tels que le scanner corporel.</w:t>
      </w:r>
    </w:p>
    <w:p w14:paraId="1CB37459" w14:textId="66C3C471" w:rsidR="004C61EA" w:rsidRPr="00AB2551" w:rsidRDefault="00F35483" w:rsidP="00F35483">
      <w:pPr>
        <w:pStyle w:val="SingleTxtG"/>
        <w:rPr>
          <w:rFonts w:eastAsiaTheme="minorHAnsi"/>
          <w:noProof/>
          <w:lang w:val="fr-FR" w:eastAsia="en-US"/>
        </w:rPr>
      </w:pPr>
      <w:r w:rsidRPr="00AB2551">
        <w:rPr>
          <w:rFonts w:eastAsiaTheme="minorHAnsi"/>
          <w:noProof/>
          <w:lang w:val="fr-FR" w:eastAsia="en-US"/>
        </w:rPr>
        <w:t>3.</w:t>
      </w:r>
      <w:r w:rsidRPr="00AB2551">
        <w:rPr>
          <w:rFonts w:eastAsiaTheme="minorHAnsi"/>
          <w:noProof/>
          <w:lang w:val="fr-FR" w:eastAsia="en-US"/>
        </w:rPr>
        <w:tab/>
      </w:r>
      <w:r w:rsidR="00C05B72" w:rsidRPr="00AB2551">
        <w:rPr>
          <w:kern w:val="2"/>
          <w:lang w:val="fr-FR"/>
          <w14:ligatures w14:val="standardContextual"/>
        </w:rPr>
        <w:t>Au regard du dispositif législatif insuffisant et ne reflétant pas la réalité pratique en matière de fouille de personnes et au vu du caractère particulièrement délicat de la fouille de personnes et le risque d’humiliation qui découle de la nature même de cette mesure, la loi du 3</w:t>
      </w:r>
      <w:r>
        <w:rPr>
          <w:kern w:val="2"/>
          <w:lang w:val="fr-FR"/>
          <w14:ligatures w14:val="standardContextual"/>
        </w:rPr>
        <w:t> </w:t>
      </w:r>
      <w:r w:rsidR="00C05B72" w:rsidRPr="00AB2551">
        <w:rPr>
          <w:kern w:val="2"/>
          <w:lang w:val="fr-FR"/>
          <w14:ligatures w14:val="standardContextual"/>
        </w:rPr>
        <w:t>février 2023 portant modification 1° du Code de procédure pénale en ce qui concerne la fouille de personnes ; 2°de la loi modifiée du 18 juillet 2018 sur la Police grand-ducale ; 3°</w:t>
      </w:r>
      <w:r w:rsidR="00EA3942">
        <w:rPr>
          <w:kern w:val="2"/>
          <w:lang w:val="fr-FR"/>
          <w14:ligatures w14:val="standardContextual"/>
        </w:rPr>
        <w:t> </w:t>
      </w:r>
      <w:r w:rsidR="00C05B72" w:rsidRPr="00AB2551">
        <w:rPr>
          <w:kern w:val="2"/>
          <w:lang w:val="fr-FR"/>
          <w14:ligatures w14:val="standardContextual"/>
        </w:rPr>
        <w:t>de la loi modifiée du 19 février 1973 concernant la vente de substances médicamenteuses et la lutte contre la toxicomanie</w:t>
      </w:r>
      <w:r w:rsidR="00C05B72" w:rsidRPr="00AB2551">
        <w:rPr>
          <w:rStyle w:val="Appelnotedebasdep"/>
          <w:kern w:val="2"/>
          <w:lang w:val="fr-FR"/>
          <w14:ligatures w14:val="standardContextual"/>
        </w:rPr>
        <w:footnoteReference w:id="3"/>
      </w:r>
      <w:r w:rsidR="00C05B72" w:rsidRPr="00AB2551">
        <w:rPr>
          <w:kern w:val="2"/>
          <w:lang w:val="fr-FR"/>
          <w14:ligatures w14:val="standardContextual"/>
        </w:rPr>
        <w:t xml:space="preserve"> (« la loi du 3 février 2023 »), a mis en place un régime de la fouille de personnes.</w:t>
      </w:r>
    </w:p>
    <w:p w14:paraId="131A26BB" w14:textId="548103D8" w:rsidR="006F16D4" w:rsidRPr="006F16D4" w:rsidRDefault="00F35483" w:rsidP="00F35483">
      <w:pPr>
        <w:pStyle w:val="SingleTxtG"/>
        <w:rPr>
          <w:rFonts w:eastAsiaTheme="minorHAnsi"/>
          <w:noProof/>
          <w:lang w:val="fr-FR" w:eastAsia="en-US"/>
        </w:rPr>
      </w:pPr>
      <w:r w:rsidRPr="006F16D4">
        <w:rPr>
          <w:rFonts w:eastAsiaTheme="minorHAnsi"/>
          <w:noProof/>
          <w:lang w:val="fr-FR" w:eastAsia="en-US"/>
        </w:rPr>
        <w:t>4.</w:t>
      </w:r>
      <w:r w:rsidRPr="006F16D4">
        <w:rPr>
          <w:rFonts w:eastAsiaTheme="minorHAnsi"/>
          <w:noProof/>
          <w:lang w:val="fr-FR" w:eastAsia="en-US"/>
        </w:rPr>
        <w:tab/>
      </w:r>
      <w:r w:rsidR="00C05B72" w:rsidRPr="00AB2551">
        <w:rPr>
          <w:kern w:val="2"/>
          <w:lang w:val="fr-FR"/>
          <w14:ligatures w14:val="standardContextual"/>
        </w:rPr>
        <w:t>Ce régime précise la fouille corporelle et l’entoure de conditions strictes. Ainsi, les modifications apportées au Code de procédure pénale énoncent les hypothèses dans lesquelles il peut être procédé à une fouille de personnes. La modification de la loi modifiée du 18</w:t>
      </w:r>
      <w:r>
        <w:rPr>
          <w:kern w:val="2"/>
          <w:lang w:val="fr-FR"/>
          <w14:ligatures w14:val="standardContextual"/>
        </w:rPr>
        <w:t> </w:t>
      </w:r>
      <w:r w:rsidR="00C05B72" w:rsidRPr="00AB2551">
        <w:rPr>
          <w:kern w:val="2"/>
          <w:lang w:val="fr-FR"/>
          <w14:ligatures w14:val="standardContextual"/>
        </w:rPr>
        <w:t>juillet 2018 sur la Police grand-ducale prévoit quant à elle les hypothèses dans lesquelles la Police est autorisée à procéder à une fouille de personnes. Finalement, il est introduit dans la loi modifiée du 19</w:t>
      </w:r>
      <w:r w:rsidR="00EA3942">
        <w:rPr>
          <w:kern w:val="2"/>
          <w:lang w:val="fr-FR"/>
          <w14:ligatures w14:val="standardContextual"/>
        </w:rPr>
        <w:t> </w:t>
      </w:r>
      <w:r w:rsidR="00C05B72" w:rsidRPr="00AB2551">
        <w:rPr>
          <w:kern w:val="2"/>
          <w:lang w:val="fr-FR"/>
          <w14:ligatures w14:val="standardContextual"/>
        </w:rPr>
        <w:t>février 1973 concernant la vente de substances médicamenteuses et la lutte contre la toxicomanie, la possibilité pour les officiers de police judicaire ainsi que les agents des douanes et de la police d’avoir recours à la fouille de personnes, ceci dans les cas de figure dans lesquels il existe des présomptions d’infraction à la loi susmentionnée ou aux règlements pris en son exécution.</w:t>
      </w:r>
    </w:p>
    <w:p w14:paraId="349F1346" w14:textId="151906CF" w:rsidR="006F16D4" w:rsidRPr="006F16D4" w:rsidRDefault="00F35483" w:rsidP="00F35483">
      <w:pPr>
        <w:pStyle w:val="SingleTxtG"/>
        <w:rPr>
          <w:rFonts w:eastAsiaTheme="minorHAnsi"/>
          <w:noProof/>
          <w:lang w:val="fr-FR" w:eastAsia="en-US"/>
        </w:rPr>
      </w:pPr>
      <w:r w:rsidRPr="006F16D4">
        <w:rPr>
          <w:rFonts w:eastAsiaTheme="minorHAnsi"/>
          <w:noProof/>
          <w:lang w:val="fr-FR" w:eastAsia="en-US"/>
        </w:rPr>
        <w:t>5.</w:t>
      </w:r>
      <w:r w:rsidRPr="006F16D4">
        <w:rPr>
          <w:rFonts w:eastAsiaTheme="minorHAnsi"/>
          <w:noProof/>
          <w:lang w:val="fr-FR" w:eastAsia="en-US"/>
        </w:rPr>
        <w:tab/>
      </w:r>
      <w:r w:rsidR="00C05B72" w:rsidRPr="006F16D4">
        <w:rPr>
          <w:kern w:val="2"/>
          <w:lang w:val="fr-FR"/>
          <w14:ligatures w14:val="standardContextual"/>
        </w:rPr>
        <w:t>Depuis l</w:t>
      </w:r>
      <w:r w:rsidR="0011170A" w:rsidRPr="006F16D4">
        <w:rPr>
          <w:kern w:val="2"/>
          <w:lang w:val="fr-FR"/>
          <w14:ligatures w14:val="standardContextual"/>
        </w:rPr>
        <w:t>’</w:t>
      </w:r>
      <w:r w:rsidR="00C05B72" w:rsidRPr="006F16D4">
        <w:rPr>
          <w:kern w:val="2"/>
          <w:lang w:val="fr-FR"/>
          <w14:ligatures w14:val="standardContextual"/>
        </w:rPr>
        <w:t>instauration du nouveau cadre juridique, les récentes dispositions sont intégrées dans le programme de l</w:t>
      </w:r>
      <w:r w:rsidR="0011170A" w:rsidRPr="006F16D4">
        <w:rPr>
          <w:kern w:val="2"/>
          <w:lang w:val="fr-FR"/>
          <w14:ligatures w14:val="standardContextual"/>
        </w:rPr>
        <w:t>’</w:t>
      </w:r>
      <w:r w:rsidR="00C05B72" w:rsidRPr="006F16D4">
        <w:rPr>
          <w:kern w:val="2"/>
          <w:lang w:val="fr-FR"/>
          <w14:ligatures w14:val="standardContextual"/>
        </w:rPr>
        <w:t>École de police, en particulier lors des cours de police administrative et judiciaire. Ces cours expliquent en détail le cadre légal ainsi que les modalités d</w:t>
      </w:r>
      <w:r w:rsidR="0011170A" w:rsidRPr="006F16D4">
        <w:rPr>
          <w:kern w:val="2"/>
          <w:lang w:val="fr-FR"/>
          <w14:ligatures w14:val="standardContextual"/>
        </w:rPr>
        <w:t>’</w:t>
      </w:r>
      <w:r w:rsidR="00C05B72" w:rsidRPr="006F16D4">
        <w:rPr>
          <w:kern w:val="2"/>
          <w:lang w:val="fr-FR"/>
          <w14:ligatures w14:val="standardContextual"/>
        </w:rPr>
        <w:t>exécution des fouilles (simple, intégrale et intime). Un rappel des principes fondamentaux est également systématiquement effectué. Les fonctionnaires en formation bénéficient d</w:t>
      </w:r>
      <w:r w:rsidR="0011170A" w:rsidRPr="006F16D4">
        <w:rPr>
          <w:kern w:val="2"/>
          <w:lang w:val="fr-FR"/>
          <w14:ligatures w14:val="standardContextual"/>
        </w:rPr>
        <w:t>’</w:t>
      </w:r>
      <w:r w:rsidR="00C05B72" w:rsidRPr="006F16D4">
        <w:rPr>
          <w:kern w:val="2"/>
          <w:lang w:val="fr-FR"/>
          <w14:ligatures w14:val="standardContextual"/>
        </w:rPr>
        <w:t xml:space="preserve">une instruction théorique sur le sujet avant de passer à une révision des principes lors des travaux pratiques. </w:t>
      </w:r>
    </w:p>
    <w:p w14:paraId="3B9EABC9" w14:textId="18D74259" w:rsidR="006F16D4" w:rsidRPr="006F16D4" w:rsidRDefault="00F35483" w:rsidP="00F35483">
      <w:pPr>
        <w:pStyle w:val="SingleTxtG"/>
        <w:rPr>
          <w:rFonts w:eastAsiaTheme="minorHAnsi"/>
          <w:noProof/>
          <w:lang w:val="fr-FR" w:eastAsia="en-US"/>
        </w:rPr>
      </w:pPr>
      <w:r w:rsidRPr="006F16D4">
        <w:rPr>
          <w:rFonts w:eastAsiaTheme="minorHAnsi"/>
          <w:noProof/>
          <w:lang w:val="fr-FR" w:eastAsia="en-US"/>
        </w:rPr>
        <w:t>6.</w:t>
      </w:r>
      <w:r w:rsidRPr="006F16D4">
        <w:rPr>
          <w:rFonts w:eastAsiaTheme="minorHAnsi"/>
          <w:noProof/>
          <w:lang w:val="fr-FR" w:eastAsia="en-US"/>
        </w:rPr>
        <w:tab/>
      </w:r>
      <w:r w:rsidR="00C05B72" w:rsidRPr="006F16D4">
        <w:rPr>
          <w:kern w:val="2"/>
          <w:lang w:val="fr-FR"/>
          <w14:ligatures w14:val="standardContextual"/>
        </w:rPr>
        <w:t>La loi du 3 février 2023</w:t>
      </w:r>
      <w:r w:rsidR="00C05B72" w:rsidRPr="00AB2551">
        <w:rPr>
          <w:rStyle w:val="Appelnotedebasdep"/>
          <w:kern w:val="2"/>
          <w:lang w:val="fr-FR"/>
          <w14:ligatures w14:val="standardContextual"/>
        </w:rPr>
        <w:footnoteReference w:id="4"/>
      </w:r>
      <w:r w:rsidR="00C05B72" w:rsidRPr="006F16D4">
        <w:rPr>
          <w:kern w:val="2"/>
          <w:lang w:val="fr-FR"/>
          <w14:ligatures w14:val="standardContextual"/>
        </w:rPr>
        <w:t xml:space="preserve"> dispose que l</w:t>
      </w:r>
      <w:r w:rsidR="00C05B72" w:rsidRPr="006F16D4">
        <w:rPr>
          <w:kern w:val="2"/>
          <w14:ligatures w14:val="standardContextual"/>
        </w:rPr>
        <w:t>a fouille de personnes est effectuée dans le respect de la dignité humaine et évite toute humiliation de la personne fouillée. La personne concernée, qui fait l’objet d’une fouille, ne peut être retenue que pendant le temps strictement nécessaire à cette opération.</w:t>
      </w:r>
    </w:p>
    <w:p w14:paraId="5F729B2D" w14:textId="7C63B9AE" w:rsidR="007E38B3" w:rsidRPr="007E38B3" w:rsidRDefault="00F35483" w:rsidP="00F35483">
      <w:pPr>
        <w:pStyle w:val="SingleTxtG"/>
        <w:rPr>
          <w:rFonts w:eastAsiaTheme="minorHAnsi"/>
          <w:noProof/>
          <w:lang w:val="fr-FR" w:eastAsia="en-US"/>
        </w:rPr>
      </w:pPr>
      <w:r w:rsidRPr="007E38B3">
        <w:rPr>
          <w:rFonts w:eastAsiaTheme="minorHAnsi"/>
          <w:noProof/>
          <w:lang w:val="fr-FR" w:eastAsia="en-US"/>
        </w:rPr>
        <w:t>7.</w:t>
      </w:r>
      <w:r w:rsidRPr="007E38B3">
        <w:rPr>
          <w:rFonts w:eastAsiaTheme="minorHAnsi"/>
          <w:noProof/>
          <w:lang w:val="fr-FR" w:eastAsia="en-US"/>
        </w:rPr>
        <w:tab/>
      </w:r>
      <w:r w:rsidR="00C05B72" w:rsidRPr="006F16D4">
        <w:rPr>
          <w:kern w:val="2"/>
          <w:lang w:val="fr-FR"/>
          <w14:ligatures w14:val="standardContextual"/>
        </w:rPr>
        <w:t>Elle établit une distinction entre la</w:t>
      </w:r>
      <w:r w:rsidR="00C05B72" w:rsidRPr="00674E68">
        <w:rPr>
          <w:kern w:val="2"/>
          <w:lang w:val="fr-FR"/>
          <w14:ligatures w14:val="standardContextual"/>
        </w:rPr>
        <w:t xml:space="preserve"> fouille administrative qui constitue toujours une fouille de sécurité, et la fouille judiciaire</w:t>
      </w:r>
      <w:r w:rsidR="00C05B72" w:rsidRPr="006F16D4">
        <w:rPr>
          <w:kern w:val="2"/>
          <w:lang w:val="fr-FR"/>
          <w14:ligatures w14:val="standardContextual"/>
        </w:rPr>
        <w:t xml:space="preserve"> qui peut, selon la finalité poursuivie, prendre la forme d’une fouille de sécurité ou d’une fouille probatoire. Dans le cadre des fouilles </w:t>
      </w:r>
      <w:r w:rsidR="00C05B72" w:rsidRPr="006F16D4">
        <w:rPr>
          <w:kern w:val="2"/>
          <w:lang w:val="fr-FR"/>
          <w14:ligatures w14:val="standardContextual"/>
        </w:rPr>
        <w:lastRenderedPageBreak/>
        <w:t>administratives et judiciaires, on distingue entre trois types de fouille, à savoir la fouille simple, la fouille intégrale et la fouille intime, dont le passage d’un niveau de fouille au prochain est entouré de conditions strictes.</w:t>
      </w:r>
    </w:p>
    <w:p w14:paraId="30922A6A" w14:textId="44D00BDB" w:rsidR="007E38B3" w:rsidRPr="00674E68" w:rsidRDefault="00F35483" w:rsidP="00F35483">
      <w:pPr>
        <w:pStyle w:val="SingleTxtG"/>
        <w:rPr>
          <w:rFonts w:eastAsiaTheme="minorHAnsi"/>
          <w:noProof/>
          <w:lang w:val="fr-FR" w:eastAsia="en-US"/>
        </w:rPr>
      </w:pPr>
      <w:r w:rsidRPr="00674E68">
        <w:rPr>
          <w:rFonts w:eastAsiaTheme="minorHAnsi"/>
          <w:noProof/>
          <w:lang w:val="fr-FR" w:eastAsia="en-US"/>
        </w:rPr>
        <w:t>8.</w:t>
      </w:r>
      <w:r w:rsidRPr="00674E68">
        <w:rPr>
          <w:rFonts w:eastAsiaTheme="minorHAnsi"/>
          <w:noProof/>
          <w:lang w:val="fr-FR" w:eastAsia="en-US"/>
        </w:rPr>
        <w:tab/>
      </w:r>
      <w:r w:rsidR="00C05B72" w:rsidRPr="006F16D4">
        <w:rPr>
          <w:kern w:val="2"/>
          <w:lang w:val="fr-FR"/>
          <w14:ligatures w14:val="standardContextual"/>
        </w:rPr>
        <w:t xml:space="preserve">La </w:t>
      </w:r>
      <w:r w:rsidR="00C05B72" w:rsidRPr="00674E68">
        <w:rPr>
          <w:kern w:val="2"/>
          <w:lang w:val="fr-FR"/>
          <w14:ligatures w14:val="standardContextual"/>
        </w:rPr>
        <w:t>fouille simple est réalisée au moyen d’une palpation du corps ou à l’aide de moyens de détection électronique, sans que la personne fouillée n’ait à se dévêtir partiellement ou intégralement. La fouille simple inclut le contrôle des effets personnels de la personne fouillée. Hormis le cas d’impossibilité matérielle, la fouille simple peut être effectuée par un agent de police judiciaire ou un officier de police judiciaire du même sexe que la personne fouillée.</w:t>
      </w:r>
    </w:p>
    <w:p w14:paraId="0AC5043B" w14:textId="73740426" w:rsidR="007E38B3" w:rsidRPr="007E38B3" w:rsidRDefault="00F35483" w:rsidP="00F35483">
      <w:pPr>
        <w:pStyle w:val="SingleTxtG"/>
        <w:rPr>
          <w:rFonts w:eastAsiaTheme="minorHAnsi"/>
          <w:noProof/>
          <w:lang w:val="fr-FR" w:eastAsia="en-US"/>
        </w:rPr>
      </w:pPr>
      <w:r w:rsidRPr="007E38B3">
        <w:rPr>
          <w:rFonts w:eastAsiaTheme="minorHAnsi"/>
          <w:noProof/>
          <w:lang w:val="fr-FR" w:eastAsia="en-US"/>
        </w:rPr>
        <w:t>9.</w:t>
      </w:r>
      <w:r w:rsidRPr="007E38B3">
        <w:rPr>
          <w:rFonts w:eastAsiaTheme="minorHAnsi"/>
          <w:noProof/>
          <w:lang w:val="fr-FR" w:eastAsia="en-US"/>
        </w:rPr>
        <w:tab/>
      </w:r>
      <w:r w:rsidR="00C05B72" w:rsidRPr="00674E68">
        <w:rPr>
          <w:kern w:val="2"/>
          <w:lang w:val="fr-FR"/>
          <w14:ligatures w14:val="standardContextual"/>
        </w:rPr>
        <w:t>La fouille intégrale</w:t>
      </w:r>
      <w:r w:rsidR="00C05B72" w:rsidRPr="00674E68">
        <w:rPr>
          <w:rStyle w:val="Appelnotedebasdep"/>
          <w:kern w:val="2"/>
          <w:lang w:val="fr-FR"/>
          <w14:ligatures w14:val="standardContextual"/>
        </w:rPr>
        <w:footnoteReference w:id="5"/>
      </w:r>
      <w:r w:rsidR="00C05B72" w:rsidRPr="007E38B3">
        <w:rPr>
          <w:kern w:val="2"/>
          <w:lang w:val="fr-FR"/>
          <w14:ligatures w14:val="standardContextual"/>
        </w:rPr>
        <w:t xml:space="preserve"> ne peut être exécutée que si la fouille simple ou l’utilisation de moyens de détection électronique sont insuffisantes. Elle est réalisée par un agent de police judiciaire ou un officier de police judiciaire du même sexe que la personne fouillée. La fouille intégrale comporte l’obligation pour la personne concernée de se dévêtir partiellement ou intégralement. Elle consiste dans le contrôle visuel de la surface nue du corps, de l’intérieur de la bouche et des oreilles ainsi que des aisselles et de l’entre-jambes de la personne concernée. Le passage à la fouille intégrale est dès lors obligatoire pour pouvoir passer au stade de la fouille intime.</w:t>
      </w:r>
    </w:p>
    <w:p w14:paraId="027DBBED" w14:textId="5340AE85" w:rsidR="007E38B3" w:rsidRPr="007E38B3" w:rsidRDefault="00F35483" w:rsidP="00F35483">
      <w:pPr>
        <w:pStyle w:val="SingleTxtG"/>
        <w:rPr>
          <w:rFonts w:eastAsiaTheme="minorHAnsi"/>
          <w:noProof/>
          <w:lang w:val="fr-FR" w:eastAsia="en-US"/>
        </w:rPr>
      </w:pPr>
      <w:r w:rsidRPr="007E38B3">
        <w:rPr>
          <w:rFonts w:eastAsiaTheme="minorHAnsi"/>
          <w:noProof/>
          <w:lang w:val="fr-FR" w:eastAsia="en-US"/>
        </w:rPr>
        <w:t>10.</w:t>
      </w:r>
      <w:r w:rsidRPr="007E38B3">
        <w:rPr>
          <w:rFonts w:eastAsiaTheme="minorHAnsi"/>
          <w:noProof/>
          <w:lang w:val="fr-FR" w:eastAsia="en-US"/>
        </w:rPr>
        <w:tab/>
      </w:r>
      <w:r w:rsidR="00C05B72" w:rsidRPr="007E38B3">
        <w:rPr>
          <w:kern w:val="2"/>
          <w:lang w:val="fr-FR"/>
          <w14:ligatures w14:val="standardContextual"/>
        </w:rPr>
        <w:t xml:space="preserve">La </w:t>
      </w:r>
      <w:r w:rsidR="00C05B72" w:rsidRPr="00674E68">
        <w:rPr>
          <w:kern w:val="2"/>
          <w:lang w:val="fr-FR"/>
          <w14:ligatures w14:val="standardContextual"/>
        </w:rPr>
        <w:t>fouille intime</w:t>
      </w:r>
      <w:r w:rsidR="00C05B72" w:rsidRPr="007E38B3">
        <w:rPr>
          <w:kern w:val="2"/>
          <w:lang w:val="fr-FR"/>
          <w14:ligatures w14:val="standardContextual"/>
        </w:rPr>
        <w:t xml:space="preserve"> consiste dans le contrôle des cavités ou ouvertures corporelles autres que celles visées par la fouille intégrale, la personne concernée étant dévêtue partiellement ou intégralement. Dans le respect des garanties liées aux droits individuels, la fouille intime doit être justifiée par des indices sérieux qui devront par après figurer dans le procès-verbal. Il faut donc des éléments concrets et objectifs qui permettent le passage de la fouille intégrale à la fouille intime. Par ailleurs, elle doit être autorisée par le procureur d’</w:t>
      </w:r>
      <w:r w:rsidR="00EA3942">
        <w:rPr>
          <w:kern w:val="2"/>
          <w:lang w:val="fr-FR"/>
          <w14:ligatures w14:val="standardContextual"/>
        </w:rPr>
        <w:t>É</w:t>
      </w:r>
      <w:r w:rsidR="00C05B72" w:rsidRPr="007E38B3">
        <w:rPr>
          <w:kern w:val="2"/>
          <w:lang w:val="fr-FR"/>
          <w14:ligatures w14:val="standardContextual"/>
        </w:rPr>
        <w:t>tat voire ordonnée par le juge d’instruction en cas d’instruction préparatoire. Aussi, la fouille intime est réalisée par un médecin qui délivre un certificat y relatif. Pour des raisons de sécurité, le médecin peut solliciter la présence d’un officier ou d’un agent de police judiciaire.</w:t>
      </w:r>
    </w:p>
    <w:p w14:paraId="7D426B26" w14:textId="5519A0F5" w:rsidR="007E38B3" w:rsidRPr="007E38B3" w:rsidRDefault="00F35483" w:rsidP="00F35483">
      <w:pPr>
        <w:pStyle w:val="SingleTxtG"/>
        <w:rPr>
          <w:rFonts w:eastAsiaTheme="minorHAnsi"/>
          <w:noProof/>
          <w:lang w:val="fr-FR" w:eastAsia="en-US"/>
        </w:rPr>
      </w:pPr>
      <w:r w:rsidRPr="007E38B3">
        <w:rPr>
          <w:rFonts w:eastAsiaTheme="minorHAnsi"/>
          <w:noProof/>
          <w:lang w:val="fr-FR" w:eastAsia="en-US"/>
        </w:rPr>
        <w:t>11.</w:t>
      </w:r>
      <w:r w:rsidRPr="007E38B3">
        <w:rPr>
          <w:rFonts w:eastAsiaTheme="minorHAnsi"/>
          <w:noProof/>
          <w:lang w:val="fr-FR" w:eastAsia="en-US"/>
        </w:rPr>
        <w:tab/>
      </w:r>
      <w:r w:rsidR="00C05B72" w:rsidRPr="007E38B3">
        <w:rPr>
          <w:kern w:val="2"/>
          <w14:ligatures w14:val="standardContextual"/>
        </w:rPr>
        <w:t>La fouille intégrale et la fouille intime sont effectuées à l’abri des regards de tierces personnes.</w:t>
      </w:r>
    </w:p>
    <w:p w14:paraId="6741287F" w14:textId="0844DE87" w:rsidR="00006BF0" w:rsidRPr="00006BF0" w:rsidRDefault="00F35483" w:rsidP="00F35483">
      <w:pPr>
        <w:pStyle w:val="SingleTxtG"/>
        <w:rPr>
          <w:rFonts w:eastAsiaTheme="minorHAnsi"/>
          <w:noProof/>
          <w:lang w:val="fr-FR" w:eastAsia="en-US"/>
        </w:rPr>
      </w:pPr>
      <w:r w:rsidRPr="00006BF0">
        <w:rPr>
          <w:rFonts w:eastAsiaTheme="minorHAnsi"/>
          <w:noProof/>
          <w:lang w:val="fr-FR" w:eastAsia="en-US"/>
        </w:rPr>
        <w:t>12.</w:t>
      </w:r>
      <w:r w:rsidRPr="00006BF0">
        <w:rPr>
          <w:rFonts w:eastAsiaTheme="minorHAnsi"/>
          <w:noProof/>
          <w:lang w:val="fr-FR" w:eastAsia="en-US"/>
        </w:rPr>
        <w:tab/>
      </w:r>
      <w:r w:rsidR="00C05B72" w:rsidRPr="007E38B3">
        <w:rPr>
          <w:kern w:val="2"/>
          <w14:ligatures w14:val="standardContextual"/>
        </w:rPr>
        <w:t>En l’absence d’accord de la personne concernée, les fouilles simple et intégrale peuvent être exercées sous la contrainte physique. La personne concernée est informée de cette possibilité préalablement à toute fouille.</w:t>
      </w:r>
    </w:p>
    <w:p w14:paraId="4DBCF147" w14:textId="03845F33" w:rsidR="00006BF0" w:rsidRPr="00006BF0" w:rsidRDefault="00F35483" w:rsidP="00F35483">
      <w:pPr>
        <w:pStyle w:val="SingleTxtG"/>
        <w:rPr>
          <w:rFonts w:eastAsiaTheme="minorHAnsi"/>
          <w:noProof/>
          <w:lang w:val="fr-FR" w:eastAsia="en-US"/>
        </w:rPr>
      </w:pPr>
      <w:r w:rsidRPr="00006BF0">
        <w:rPr>
          <w:rFonts w:eastAsiaTheme="minorHAnsi"/>
          <w:noProof/>
          <w:lang w:val="fr-FR" w:eastAsia="en-US"/>
        </w:rPr>
        <w:t>13.</w:t>
      </w:r>
      <w:r w:rsidRPr="00006BF0">
        <w:rPr>
          <w:rFonts w:eastAsiaTheme="minorHAnsi"/>
          <w:noProof/>
          <w:lang w:val="fr-FR" w:eastAsia="en-US"/>
        </w:rPr>
        <w:tab/>
      </w:r>
      <w:r w:rsidR="00C05B72" w:rsidRPr="00006BF0">
        <w:rPr>
          <w:kern w:val="2"/>
          <w14:ligatures w14:val="standardContextual"/>
        </w:rPr>
        <w:t>Seule la contrainte strictement nécessaire à l’exercice de la fouille est autorisée. En aucun cas l’application des moyens de contrainte ne doit être prolongée au-delà du temps strictement nécessaire pour réaliser la fouille.</w:t>
      </w:r>
    </w:p>
    <w:p w14:paraId="254B774E" w14:textId="4C0C00B8" w:rsidR="00006BF0" w:rsidRPr="00006BF0" w:rsidRDefault="00F35483" w:rsidP="00F35483">
      <w:pPr>
        <w:pStyle w:val="SingleTxtG"/>
        <w:rPr>
          <w:rFonts w:eastAsiaTheme="minorHAnsi"/>
          <w:noProof/>
          <w:lang w:val="fr-FR" w:eastAsia="en-US"/>
        </w:rPr>
      </w:pPr>
      <w:r w:rsidRPr="00006BF0">
        <w:rPr>
          <w:rFonts w:eastAsiaTheme="minorHAnsi"/>
          <w:noProof/>
          <w:lang w:val="fr-FR" w:eastAsia="en-US"/>
        </w:rPr>
        <w:t>14.</w:t>
      </w:r>
      <w:r w:rsidRPr="00006BF0">
        <w:rPr>
          <w:rFonts w:eastAsiaTheme="minorHAnsi"/>
          <w:noProof/>
          <w:lang w:val="fr-FR" w:eastAsia="en-US"/>
        </w:rPr>
        <w:tab/>
      </w:r>
      <w:r w:rsidR="00C05B72" w:rsidRPr="00006BF0">
        <w:rPr>
          <w:kern w:val="2"/>
          <w14:ligatures w14:val="standardContextual"/>
        </w:rPr>
        <w:t>En l’absence d’accord de se soumettre à la fouille intime, la personne fouillée est, sans préjudice des voies de recours, punie d’une amende de 251 à 1</w:t>
      </w:r>
      <w:r w:rsidR="00EA3942">
        <w:rPr>
          <w:kern w:val="2"/>
          <w14:ligatures w14:val="standardContextual"/>
        </w:rPr>
        <w:t> </w:t>
      </w:r>
      <w:r w:rsidR="00C05B72" w:rsidRPr="00006BF0">
        <w:rPr>
          <w:kern w:val="2"/>
          <w14:ligatures w14:val="standardContextual"/>
        </w:rPr>
        <w:t xml:space="preserve">000 euros ou d’une peine d’emprisonnement de huit jours à trois mois, sans préjudice des peines prévues par le </w:t>
      </w:r>
      <w:hyperlink r:id="rId12" w:history="1">
        <w:r w:rsidR="00C05B72" w:rsidRPr="00EF5AAF">
          <w:rPr>
            <w:rStyle w:val="Lienhypertexte"/>
            <w:color w:val="auto"/>
            <w:kern w:val="2"/>
            <w14:ligatures w14:val="standardContextual"/>
          </w:rPr>
          <w:t>Code pénal</w:t>
        </w:r>
      </w:hyperlink>
      <w:r w:rsidR="00C05B72" w:rsidRPr="00EF5AAF">
        <w:rPr>
          <w:kern w:val="2"/>
          <w14:ligatures w14:val="standardContextual"/>
        </w:rPr>
        <w:t xml:space="preserve"> en matière de rébellion.</w:t>
      </w:r>
    </w:p>
    <w:p w14:paraId="40AE36E2" w14:textId="06DFA00F" w:rsidR="00C05B72" w:rsidRPr="00006BF0" w:rsidRDefault="00F35483" w:rsidP="00F35483">
      <w:pPr>
        <w:pStyle w:val="SingleTxtG"/>
        <w:rPr>
          <w:rFonts w:eastAsiaTheme="minorHAnsi"/>
          <w:noProof/>
          <w:lang w:val="fr-FR" w:eastAsia="en-US"/>
        </w:rPr>
      </w:pPr>
      <w:r w:rsidRPr="00006BF0">
        <w:rPr>
          <w:rFonts w:eastAsiaTheme="minorHAnsi"/>
          <w:noProof/>
          <w:lang w:val="fr-FR" w:eastAsia="en-US"/>
        </w:rPr>
        <w:t>15.</w:t>
      </w:r>
      <w:r w:rsidRPr="00006BF0">
        <w:rPr>
          <w:rFonts w:eastAsiaTheme="minorHAnsi"/>
          <w:noProof/>
          <w:lang w:val="fr-FR" w:eastAsia="en-US"/>
        </w:rPr>
        <w:tab/>
      </w:r>
      <w:r w:rsidR="00C05B72" w:rsidRPr="00006BF0">
        <w:rPr>
          <w:kern w:val="2"/>
          <w14:ligatures w14:val="standardContextual"/>
        </w:rPr>
        <w:t xml:space="preserve">En cas de fouille intégrale ou de fouille intime, il est établi un procès-verbal mentionnant le nom de l’officier de police judiciaire ou de l’agent de police judiciaire exécutant la fouille intégrale, le nom de la personne fouillée, les motifs qui ont justifié la fouille, le lieu, la date et l’heure du début et de la fin de la fouille et le cas échéant : </w:t>
      </w:r>
    </w:p>
    <w:p w14:paraId="767C5F7E" w14:textId="4938108C" w:rsidR="00C05B72" w:rsidRPr="00AB2551" w:rsidRDefault="00F35483" w:rsidP="00F35483">
      <w:pPr>
        <w:pStyle w:val="Bullet1G"/>
        <w:numPr>
          <w:ilvl w:val="0"/>
          <w:numId w:val="0"/>
        </w:numPr>
        <w:tabs>
          <w:tab w:val="left" w:pos="1701"/>
        </w:tabs>
        <w:ind w:left="1701" w:hanging="170"/>
      </w:pPr>
      <w:r w:rsidRPr="00AB2551">
        <w:t>•</w:t>
      </w:r>
      <w:r w:rsidRPr="00AB2551">
        <w:tab/>
      </w:r>
      <w:r w:rsidR="00B62AF4" w:rsidRPr="00AB2551">
        <w:t>L’absence</w:t>
      </w:r>
      <w:r w:rsidR="00C05B72" w:rsidRPr="00AB2551">
        <w:t xml:space="preserve"> d’accord de la personne concernée à la fouille intégrale ou à la fouille intime</w:t>
      </w:r>
      <w:r w:rsidR="00B62AF4">
        <w:t xml:space="preserve"> </w:t>
      </w:r>
      <w:r w:rsidR="00C05B72" w:rsidRPr="00AB2551">
        <w:t>;</w:t>
      </w:r>
    </w:p>
    <w:p w14:paraId="68C92117" w14:textId="365DD819" w:rsidR="00C05B72" w:rsidRPr="00AB2551" w:rsidRDefault="00F35483" w:rsidP="00F35483">
      <w:pPr>
        <w:pStyle w:val="Bullet1G"/>
        <w:numPr>
          <w:ilvl w:val="0"/>
          <w:numId w:val="0"/>
        </w:numPr>
        <w:tabs>
          <w:tab w:val="left" w:pos="1701"/>
        </w:tabs>
        <w:ind w:left="1701" w:hanging="170"/>
      </w:pPr>
      <w:r w:rsidRPr="00AB2551">
        <w:t>•</w:t>
      </w:r>
      <w:r w:rsidRPr="00AB2551">
        <w:tab/>
      </w:r>
      <w:r w:rsidR="00B62AF4" w:rsidRPr="00AB2551">
        <w:t>Le</w:t>
      </w:r>
      <w:r w:rsidR="00C05B72" w:rsidRPr="00AB2551">
        <w:t xml:space="preserve"> fait que la fouille a été effectuée sur autorisation du procureur d’État ou sur ordre du juge d’instruction</w:t>
      </w:r>
      <w:r w:rsidR="00B62AF4">
        <w:t xml:space="preserve"> </w:t>
      </w:r>
      <w:r w:rsidR="00C05B72" w:rsidRPr="00AB2551">
        <w:t>;</w:t>
      </w:r>
    </w:p>
    <w:p w14:paraId="3FCBDB1A" w14:textId="370E3040" w:rsidR="00C05B72" w:rsidRPr="00AB2551" w:rsidRDefault="00F35483" w:rsidP="00F35483">
      <w:pPr>
        <w:pStyle w:val="Bullet1G"/>
        <w:numPr>
          <w:ilvl w:val="0"/>
          <w:numId w:val="0"/>
        </w:numPr>
        <w:tabs>
          <w:tab w:val="left" w:pos="1701"/>
        </w:tabs>
        <w:ind w:left="1701" w:hanging="170"/>
      </w:pPr>
      <w:r w:rsidRPr="00AB2551">
        <w:t>•</w:t>
      </w:r>
      <w:r w:rsidRPr="00AB2551">
        <w:tab/>
      </w:r>
      <w:r w:rsidR="00B62AF4" w:rsidRPr="00AB2551">
        <w:t>Le</w:t>
      </w:r>
      <w:r w:rsidR="00C05B72" w:rsidRPr="00AB2551">
        <w:t xml:space="preserve"> nom du médecin ayant exécuté la fouille intime</w:t>
      </w:r>
      <w:r w:rsidR="00B62AF4">
        <w:t> ;</w:t>
      </w:r>
    </w:p>
    <w:p w14:paraId="0AA13F61" w14:textId="6F5BFD38" w:rsidR="00C05B72" w:rsidRPr="00AB2551" w:rsidRDefault="00F35483" w:rsidP="00F35483">
      <w:pPr>
        <w:pStyle w:val="Bullet1G"/>
        <w:numPr>
          <w:ilvl w:val="0"/>
          <w:numId w:val="0"/>
        </w:numPr>
        <w:tabs>
          <w:tab w:val="left" w:pos="1701"/>
        </w:tabs>
        <w:ind w:left="1701" w:hanging="170"/>
      </w:pPr>
      <w:r w:rsidRPr="00AB2551">
        <w:t>•</w:t>
      </w:r>
      <w:r w:rsidRPr="00AB2551">
        <w:tab/>
      </w:r>
      <w:r w:rsidR="00C05B72" w:rsidRPr="00AB2551">
        <w:t>Un exemplaire du procès-verbal est remis à la personne fouillée et un autre est transmis sans délai au procureur d’</w:t>
      </w:r>
      <w:r w:rsidR="00EA3942">
        <w:t>É</w:t>
      </w:r>
      <w:r w:rsidR="00C05B72" w:rsidRPr="00AB2551">
        <w:t>tat.</w:t>
      </w:r>
    </w:p>
    <w:p w14:paraId="620198F2" w14:textId="634A798F" w:rsidR="00C05B72" w:rsidRPr="00F70AA3" w:rsidRDefault="00EA3942" w:rsidP="00F35483">
      <w:pPr>
        <w:pStyle w:val="HChG"/>
        <w:rPr>
          <w:lang w:val="fr-FR"/>
        </w:rPr>
      </w:pPr>
      <w:r>
        <w:rPr>
          <w:lang w:val="fr-FR"/>
        </w:rPr>
        <w:lastRenderedPageBreak/>
        <w:tab/>
        <w:t>II.</w:t>
      </w:r>
      <w:r>
        <w:rPr>
          <w:lang w:val="fr-FR"/>
        </w:rPr>
        <w:tab/>
      </w:r>
      <w:r w:rsidR="00C05B72" w:rsidRPr="00F70AA3">
        <w:rPr>
          <w:lang w:val="fr-FR"/>
        </w:rPr>
        <w:t>Violence sexuelle et fondée sur le genre</w:t>
      </w:r>
    </w:p>
    <w:p w14:paraId="2A8F2F53" w14:textId="5B554F04" w:rsidR="00C97105" w:rsidRPr="000E07F1" w:rsidRDefault="00F70AA3" w:rsidP="00223A5E">
      <w:pPr>
        <w:pStyle w:val="H1G"/>
        <w:rPr>
          <w:noProof/>
          <w:lang w:val="fr-FR" w:eastAsia="es-GT"/>
        </w:rPr>
      </w:pPr>
      <w:r>
        <w:rPr>
          <w:szCs w:val="24"/>
          <w:lang w:val="fr-FR"/>
        </w:rPr>
        <w:tab/>
      </w:r>
      <w:r>
        <w:rPr>
          <w:szCs w:val="24"/>
          <w:lang w:val="fr-FR"/>
        </w:rPr>
        <w:tab/>
      </w:r>
      <w:bookmarkStart w:id="1" w:name="_Hlk179816024"/>
      <w:r w:rsidR="00C97105" w:rsidRPr="000E07F1">
        <w:rPr>
          <w:lang w:val="fr-FR"/>
        </w:rPr>
        <w:t>Renseignements sur la suite donnée aux recommandations figurant au paragraphes</w:t>
      </w:r>
      <w:r w:rsidR="00C97105" w:rsidRPr="000E07F1">
        <w:rPr>
          <w:noProof/>
          <w:lang w:val="fr-FR" w:eastAsia="es-GT"/>
        </w:rPr>
        <w:t xml:space="preserve"> 34 des observations finales</w:t>
      </w:r>
      <w:bookmarkEnd w:id="1"/>
    </w:p>
    <w:p w14:paraId="0A6525E1" w14:textId="24370F8B" w:rsidR="004914E3" w:rsidRPr="004914E3" w:rsidRDefault="00F35483" w:rsidP="00F35483">
      <w:pPr>
        <w:pStyle w:val="SingleTxtG"/>
        <w:rPr>
          <w:lang w:val="fr-FR" w:eastAsia="es-GT"/>
        </w:rPr>
      </w:pPr>
      <w:r w:rsidRPr="004914E3">
        <w:rPr>
          <w:lang w:val="fr-FR" w:eastAsia="es-GT"/>
        </w:rPr>
        <w:t>16.</w:t>
      </w:r>
      <w:r w:rsidRPr="004914E3">
        <w:rPr>
          <w:lang w:val="fr-FR" w:eastAsia="es-GT"/>
        </w:rPr>
        <w:tab/>
      </w:r>
      <w:r w:rsidR="004914E3" w:rsidRPr="004914E3">
        <w:rPr>
          <w:lang w:val="fr-FR" w:eastAsia="es-GT"/>
        </w:rPr>
        <w:t>Le Comité recommande à l’État partie : De faire en sorte que tous les cas de violence fondée sur le genre, y compris les violences intrafamiliales, en particulier ceux qui sont liés à des actes ou à des omissions de la part des pouvoirs publics ou d’autres entités qui engagent la responsabilité internationale de l’</w:t>
      </w:r>
      <w:r w:rsidR="00EA3942">
        <w:rPr>
          <w:lang w:val="fr-FR" w:eastAsia="es-GT"/>
        </w:rPr>
        <w:t>É</w:t>
      </w:r>
      <w:r w:rsidR="004914E3" w:rsidRPr="004914E3">
        <w:rPr>
          <w:lang w:val="fr-FR" w:eastAsia="es-GT"/>
        </w:rPr>
        <w:t xml:space="preserve">tat partie au regard de la Convention, donnent lieu à une enquête approfondie, que les auteurs </w:t>
      </w:r>
      <w:r w:rsidR="004914E3" w:rsidRPr="004914E3">
        <w:rPr>
          <w:kern w:val="2"/>
          <w14:ligatures w14:val="standardContextual"/>
        </w:rPr>
        <w:t>présumés</w:t>
      </w:r>
      <w:r w:rsidR="004914E3" w:rsidRPr="004914E3">
        <w:rPr>
          <w:lang w:val="fr-FR" w:eastAsia="es-GT"/>
        </w:rPr>
        <w:t xml:space="preserve"> soient poursuivis et, s’ils sont reconnus coupables, condamnés à des peines appropriées, et que les victimes ou leur famille obtiennent réparation, notamment sous la forme d’une indemnisation adéquate. </w:t>
      </w:r>
    </w:p>
    <w:p w14:paraId="52BA0669" w14:textId="08D9BD12" w:rsidR="004914E3" w:rsidRDefault="00F35483" w:rsidP="00F35483">
      <w:pPr>
        <w:pStyle w:val="SingleTxtG"/>
        <w:rPr>
          <w:lang w:val="fr-FR" w:eastAsia="es-GT"/>
        </w:rPr>
      </w:pPr>
      <w:r>
        <w:rPr>
          <w:lang w:val="fr-FR" w:eastAsia="es-GT"/>
        </w:rPr>
        <w:t>17.</w:t>
      </w:r>
      <w:r>
        <w:rPr>
          <w:lang w:val="fr-FR" w:eastAsia="es-GT"/>
        </w:rPr>
        <w:tab/>
      </w:r>
      <w:r w:rsidR="004914E3" w:rsidRPr="004914E3">
        <w:rPr>
          <w:lang w:val="fr-FR" w:eastAsia="es-GT"/>
        </w:rPr>
        <w:t>L’</w:t>
      </w:r>
      <w:r w:rsidR="00EA3942">
        <w:rPr>
          <w:lang w:val="fr-FR" w:eastAsia="es-GT"/>
        </w:rPr>
        <w:t>É</w:t>
      </w:r>
      <w:r w:rsidR="004914E3" w:rsidRPr="004914E3">
        <w:rPr>
          <w:lang w:val="fr-FR" w:eastAsia="es-GT"/>
        </w:rPr>
        <w:t>tat partie devrait également élever le délai de prescription pour le viol.</w:t>
      </w:r>
    </w:p>
    <w:p w14:paraId="0FC4837F" w14:textId="6839B4CB" w:rsidR="004914E3" w:rsidRPr="004914E3" w:rsidRDefault="00F35483" w:rsidP="00F35483">
      <w:pPr>
        <w:pStyle w:val="SingleTxtG"/>
        <w:rPr>
          <w:lang w:val="fr-FR" w:eastAsia="es-GT"/>
        </w:rPr>
      </w:pPr>
      <w:r w:rsidRPr="004914E3">
        <w:rPr>
          <w:lang w:val="fr-FR" w:eastAsia="es-GT"/>
        </w:rPr>
        <w:t>18.</w:t>
      </w:r>
      <w:r w:rsidRPr="004914E3">
        <w:rPr>
          <w:lang w:val="fr-FR" w:eastAsia="es-GT"/>
        </w:rPr>
        <w:tab/>
      </w:r>
      <w:r w:rsidR="00C05B72" w:rsidRPr="004914E3">
        <w:rPr>
          <w:kern w:val="2"/>
          <w:lang w:val="fr-FR"/>
          <w14:ligatures w14:val="standardContextual"/>
        </w:rPr>
        <w:t>La chaine d’intervention en matière de violence domestique est définie par la loi modifiée du 8</w:t>
      </w:r>
      <w:r w:rsidR="00EA3942">
        <w:rPr>
          <w:kern w:val="2"/>
          <w:lang w:val="fr-FR"/>
          <w14:ligatures w14:val="standardContextual"/>
        </w:rPr>
        <w:t> </w:t>
      </w:r>
      <w:r w:rsidR="00C05B72" w:rsidRPr="004914E3">
        <w:rPr>
          <w:kern w:val="2"/>
          <w:lang w:val="fr-FR"/>
          <w14:ligatures w14:val="standardContextual"/>
        </w:rPr>
        <w:t>septembre 2003, et détaille les différents services d’assistance et de consultation ainsi que les structures accueillant victimes et auteurs de violence</w:t>
      </w:r>
      <w:r w:rsidR="00C05B72" w:rsidRPr="00AB2551">
        <w:rPr>
          <w:rStyle w:val="Appelnotedebasdep"/>
          <w:kern w:val="2"/>
          <w:lang w:val="fr-FR"/>
          <w14:ligatures w14:val="standardContextual"/>
        </w:rPr>
        <w:footnoteReference w:id="6"/>
      </w:r>
      <w:r w:rsidR="009E28F3">
        <w:rPr>
          <w:kern w:val="2"/>
          <w:lang w:val="fr-FR"/>
          <w14:ligatures w14:val="standardContextual"/>
        </w:rPr>
        <w:t>.</w:t>
      </w:r>
      <w:r w:rsidR="00C05B72" w:rsidRPr="004914E3">
        <w:rPr>
          <w:kern w:val="2"/>
          <w:lang w:val="fr-FR"/>
          <w14:ligatures w14:val="standardContextual"/>
        </w:rPr>
        <w:t xml:space="preserve"> </w:t>
      </w:r>
    </w:p>
    <w:p w14:paraId="433A49C2" w14:textId="50DA77FB" w:rsidR="004914E3" w:rsidRPr="004914E3" w:rsidRDefault="00F35483" w:rsidP="00F35483">
      <w:pPr>
        <w:pStyle w:val="SingleTxtG"/>
        <w:rPr>
          <w:lang w:val="fr-FR" w:eastAsia="es-GT"/>
        </w:rPr>
      </w:pPr>
      <w:r w:rsidRPr="004914E3">
        <w:rPr>
          <w:lang w:val="fr-FR" w:eastAsia="es-GT"/>
        </w:rPr>
        <w:t>19.</w:t>
      </w:r>
      <w:r w:rsidRPr="004914E3">
        <w:rPr>
          <w:lang w:val="fr-FR" w:eastAsia="es-GT"/>
        </w:rPr>
        <w:tab/>
      </w:r>
      <w:r w:rsidR="00C05B72" w:rsidRPr="004914E3">
        <w:rPr>
          <w:kern w:val="2"/>
          <w:lang w:val="fr-FR"/>
          <w14:ligatures w14:val="standardContextual"/>
        </w:rPr>
        <w:t xml:space="preserve">En complément à la lutte contre la violence domestique, le Luxembourg a pris des mesures significatives au moyen de la loi du 20 juillet 2018, qui approuve la Convention du Conseil de l’Europe sur la prévention et la lutte contre la violence à l’égard des femmes et la violence domestique. Cette législation a donné au Luxembourg les moyens d’incriminer dans le Code pénal luxembourgeois aussi d’autres formes de violences fondées sur le sexe, dont les mutilations génitales féminines. Reconnaissant que la violence constitue une violation grave aux droits fondamentaux, le Luxembourg continue à adapter et renforcer son dispositif de prise en charge pour victimes de violence et son cadre légal pour protéger les victimes et sanctionner les auteurs. Dans le cadre de son programme gouvernemental 2023-2028, le </w:t>
      </w:r>
      <w:r w:rsidR="00EA3942" w:rsidRPr="004914E3">
        <w:rPr>
          <w:kern w:val="2"/>
          <w:lang w:val="fr-FR"/>
          <w14:ligatures w14:val="standardContextual"/>
        </w:rPr>
        <w:t xml:space="preserve">Gouvernement </w:t>
      </w:r>
      <w:r w:rsidR="00C05B72" w:rsidRPr="004914E3">
        <w:rPr>
          <w:kern w:val="2"/>
          <w:lang w:val="fr-FR"/>
          <w14:ligatures w14:val="standardContextual"/>
        </w:rPr>
        <w:t xml:space="preserve">a annoncé trois projets phares en la matière qui sont élaborés sous la coordination du </w:t>
      </w:r>
      <w:r w:rsidR="00EA3942" w:rsidRPr="004914E3">
        <w:rPr>
          <w:kern w:val="2"/>
          <w:lang w:val="fr-FR"/>
          <w14:ligatures w14:val="standardContextual"/>
        </w:rPr>
        <w:t xml:space="preserve">Ministère </w:t>
      </w:r>
      <w:r w:rsidR="00C05B72" w:rsidRPr="004914E3">
        <w:rPr>
          <w:kern w:val="2"/>
          <w:lang w:val="fr-FR"/>
          <w14:ligatures w14:val="standardContextual"/>
        </w:rPr>
        <w:t>de l’</w:t>
      </w:r>
      <w:r w:rsidR="00EA3942">
        <w:rPr>
          <w:kern w:val="2"/>
          <w:lang w:val="fr-FR"/>
          <w14:ligatures w14:val="standardContextual"/>
        </w:rPr>
        <w:t>é</w:t>
      </w:r>
      <w:r w:rsidR="00C05B72" w:rsidRPr="004914E3">
        <w:rPr>
          <w:kern w:val="2"/>
          <w:lang w:val="fr-FR"/>
          <w14:ligatures w14:val="standardContextual"/>
        </w:rPr>
        <w:t xml:space="preserve">galité des </w:t>
      </w:r>
      <w:r w:rsidR="00EA3942">
        <w:rPr>
          <w:kern w:val="2"/>
          <w:lang w:val="fr-FR"/>
          <w14:ligatures w14:val="standardContextual"/>
        </w:rPr>
        <w:t>g</w:t>
      </w:r>
      <w:r w:rsidR="00C05B72" w:rsidRPr="004914E3">
        <w:rPr>
          <w:kern w:val="2"/>
          <w:lang w:val="fr-FR"/>
          <w14:ligatures w14:val="standardContextual"/>
        </w:rPr>
        <w:t xml:space="preserve">enres et la </w:t>
      </w:r>
      <w:r w:rsidR="00EA3942">
        <w:rPr>
          <w:kern w:val="2"/>
          <w:lang w:val="fr-FR"/>
          <w14:ligatures w14:val="standardContextual"/>
        </w:rPr>
        <w:t>d</w:t>
      </w:r>
      <w:r w:rsidR="00C05B72" w:rsidRPr="004914E3">
        <w:rPr>
          <w:kern w:val="2"/>
          <w:lang w:val="fr-FR"/>
          <w14:ligatures w14:val="standardContextual"/>
        </w:rPr>
        <w:t xml:space="preserve">iversité : </w:t>
      </w:r>
    </w:p>
    <w:p w14:paraId="58D187A3" w14:textId="36DCD4BF" w:rsidR="004914E3" w:rsidRPr="004914E3" w:rsidRDefault="00F35483" w:rsidP="00F35483">
      <w:pPr>
        <w:pStyle w:val="Bullet1G"/>
        <w:numPr>
          <w:ilvl w:val="0"/>
          <w:numId w:val="0"/>
        </w:numPr>
        <w:tabs>
          <w:tab w:val="left" w:pos="1701"/>
        </w:tabs>
        <w:ind w:left="1701" w:hanging="170"/>
        <w:rPr>
          <w:lang w:val="fr-FR" w:eastAsia="es-GT"/>
        </w:rPr>
      </w:pPr>
      <w:r w:rsidRPr="004914E3">
        <w:rPr>
          <w:lang w:val="fr-FR" w:eastAsia="es-GT"/>
        </w:rPr>
        <w:t>•</w:t>
      </w:r>
      <w:r w:rsidRPr="004914E3">
        <w:rPr>
          <w:lang w:val="fr-FR" w:eastAsia="es-GT"/>
        </w:rPr>
        <w:tab/>
      </w:r>
      <w:r w:rsidR="00C05B72" w:rsidRPr="004914E3">
        <w:rPr>
          <w:lang w:val="fr-FR"/>
        </w:rPr>
        <w:t>Établir une structure d´accueil et de prise en charge centralisée pour toute victime de violence, y inclus l</w:t>
      </w:r>
      <w:r w:rsidR="0011170A" w:rsidRPr="006F16D4">
        <w:rPr>
          <w:kern w:val="2"/>
          <w:lang w:val="fr-FR"/>
          <w14:ligatures w14:val="standardContextual"/>
        </w:rPr>
        <w:t>’</w:t>
      </w:r>
      <w:r w:rsidR="00C05B72" w:rsidRPr="004914E3">
        <w:rPr>
          <w:lang w:val="fr-FR"/>
        </w:rPr>
        <w:t xml:space="preserve">accueil pour victimes de violences sexuelles ; </w:t>
      </w:r>
    </w:p>
    <w:p w14:paraId="122A21C8" w14:textId="42F11C70" w:rsidR="004914E3" w:rsidRPr="004914E3" w:rsidRDefault="00F35483" w:rsidP="00F35483">
      <w:pPr>
        <w:pStyle w:val="Bullet1G"/>
        <w:numPr>
          <w:ilvl w:val="0"/>
          <w:numId w:val="0"/>
        </w:numPr>
        <w:tabs>
          <w:tab w:val="left" w:pos="1701"/>
        </w:tabs>
        <w:ind w:left="1701" w:hanging="170"/>
        <w:rPr>
          <w:lang w:val="fr-FR" w:eastAsia="es-GT"/>
        </w:rPr>
      </w:pPr>
      <w:r w:rsidRPr="004914E3">
        <w:rPr>
          <w:lang w:val="fr-FR" w:eastAsia="es-GT"/>
        </w:rPr>
        <w:t>•</w:t>
      </w:r>
      <w:r w:rsidRPr="004914E3">
        <w:rPr>
          <w:lang w:val="fr-FR" w:eastAsia="es-GT"/>
        </w:rPr>
        <w:tab/>
      </w:r>
      <w:r w:rsidR="00C05B72" w:rsidRPr="004914E3">
        <w:rPr>
          <w:lang w:val="fr-FR"/>
        </w:rPr>
        <w:t xml:space="preserve">Élaborer une stratégie globale de lutte contre toutes les formes de violences fondées sur le genre se basant sur les quatre piliers de la Convention dite d’Istanbul du Conseil de l’Europe : Prévention, Protection, Poursuite et Politiques coordonnées ; </w:t>
      </w:r>
    </w:p>
    <w:p w14:paraId="41164312" w14:textId="3DDF84A9" w:rsidR="00C05B72" w:rsidRPr="004914E3" w:rsidRDefault="00F35483" w:rsidP="00F35483">
      <w:pPr>
        <w:pStyle w:val="Bullet1G"/>
        <w:numPr>
          <w:ilvl w:val="0"/>
          <w:numId w:val="0"/>
        </w:numPr>
        <w:tabs>
          <w:tab w:val="left" w:pos="1701"/>
        </w:tabs>
        <w:ind w:left="1701" w:hanging="170"/>
        <w:rPr>
          <w:lang w:val="fr-FR" w:eastAsia="es-GT"/>
        </w:rPr>
      </w:pPr>
      <w:r w:rsidRPr="004914E3">
        <w:rPr>
          <w:lang w:val="fr-FR" w:eastAsia="es-GT"/>
        </w:rPr>
        <w:t>•</w:t>
      </w:r>
      <w:r w:rsidRPr="004914E3">
        <w:rPr>
          <w:lang w:val="fr-FR" w:eastAsia="es-GT"/>
        </w:rPr>
        <w:tab/>
      </w:r>
      <w:r w:rsidR="00C05B72" w:rsidRPr="004914E3">
        <w:rPr>
          <w:lang w:val="fr-FR"/>
        </w:rPr>
        <w:t>Renforcer le dispositif national pour la prise en charge des auteurs de violence domestique par introduction d’un suivi thérapeutique obligatoire pour les auteur</w:t>
      </w:r>
      <w:r w:rsidR="00EC3B51">
        <w:rPr>
          <w:lang w:val="fr-FR"/>
        </w:rPr>
        <w:t>(e)</w:t>
      </w:r>
      <w:r w:rsidR="00C05B72" w:rsidRPr="004914E3">
        <w:rPr>
          <w:lang w:val="fr-FR"/>
        </w:rPr>
        <w:t>s expulsé</w:t>
      </w:r>
      <w:r w:rsidR="00EC3B51">
        <w:rPr>
          <w:lang w:val="fr-FR"/>
        </w:rPr>
        <w:t>(</w:t>
      </w:r>
      <w:r w:rsidR="00C05B72" w:rsidRPr="004914E3">
        <w:rPr>
          <w:lang w:val="fr-FR"/>
        </w:rPr>
        <w:t>e</w:t>
      </w:r>
      <w:r w:rsidR="00EC3B51">
        <w:rPr>
          <w:lang w:val="fr-FR"/>
        </w:rPr>
        <w:t>)</w:t>
      </w:r>
      <w:r w:rsidR="00C05B72" w:rsidRPr="004914E3">
        <w:rPr>
          <w:lang w:val="fr-FR"/>
        </w:rPr>
        <w:t>s par le renforcement de la loi modifié sur la violence domestique du 8</w:t>
      </w:r>
      <w:r w:rsidR="00EA3942">
        <w:rPr>
          <w:lang w:val="fr-FR"/>
        </w:rPr>
        <w:t> </w:t>
      </w:r>
      <w:r w:rsidR="00C05B72" w:rsidRPr="004914E3">
        <w:rPr>
          <w:lang w:val="fr-FR"/>
        </w:rPr>
        <w:t>septembre 2003.</w:t>
      </w:r>
    </w:p>
    <w:p w14:paraId="1AE1B1A8" w14:textId="74DC2E0C" w:rsidR="00391305" w:rsidRDefault="00F35483" w:rsidP="00F35483">
      <w:pPr>
        <w:pStyle w:val="SingleTxtG"/>
        <w:rPr>
          <w:kern w:val="2"/>
          <w:lang w:val="fr-FR"/>
          <w14:ligatures w14:val="standardContextual"/>
        </w:rPr>
      </w:pPr>
      <w:r>
        <w:rPr>
          <w:kern w:val="2"/>
          <w:lang w:val="fr-FR"/>
          <w14:ligatures w14:val="standardContextual"/>
        </w:rPr>
        <w:t>20.</w:t>
      </w:r>
      <w:r>
        <w:rPr>
          <w:kern w:val="2"/>
          <w:lang w:val="fr-FR"/>
          <w14:ligatures w14:val="standardContextual"/>
        </w:rPr>
        <w:tab/>
      </w:r>
      <w:r w:rsidR="00C05B72" w:rsidRPr="00AB2551">
        <w:rPr>
          <w:kern w:val="2"/>
          <w:lang w:val="fr-FR"/>
          <w14:ligatures w14:val="standardContextual"/>
        </w:rPr>
        <w:t>En outre, par l’adoption de la loi du 7 août 2023 portant modification : 1° du Code pénal ; 2° du Code de procédure pénale ; en vue de renforcer les moyens de lutte contre les abus sexuels et l’exploitation sexuelle des mineurs</w:t>
      </w:r>
      <w:r w:rsidR="00C05B72" w:rsidRPr="00AB2551">
        <w:rPr>
          <w:rStyle w:val="Appelnotedebasdep"/>
          <w:kern w:val="2"/>
          <w:lang w:val="fr-FR"/>
          <w14:ligatures w14:val="standardContextual"/>
        </w:rPr>
        <w:footnoteReference w:id="7"/>
      </w:r>
      <w:r w:rsidR="00C05B72" w:rsidRPr="00AB2551">
        <w:rPr>
          <w:kern w:val="2"/>
          <w:lang w:val="fr-FR"/>
          <w14:ligatures w14:val="standardContextual"/>
        </w:rPr>
        <w:t xml:space="preserve"> (« la loi du 7 août 2023 »), les peines pour abus sexuels sont renforcées, les délais de prescription pour les infractions sexuelles envers des mineurs sont rallongés et le viol d’un mineur est devenu imprescriptible.</w:t>
      </w:r>
    </w:p>
    <w:p w14:paraId="753292F4" w14:textId="7FB243B3" w:rsidR="00391305" w:rsidRDefault="00F35483" w:rsidP="00F35483">
      <w:pPr>
        <w:pStyle w:val="SingleTxtG"/>
        <w:rPr>
          <w:kern w:val="2"/>
          <w:lang w:val="fr-FR"/>
          <w14:ligatures w14:val="standardContextual"/>
        </w:rPr>
      </w:pPr>
      <w:r>
        <w:rPr>
          <w:kern w:val="2"/>
          <w:lang w:val="fr-FR"/>
          <w14:ligatures w14:val="standardContextual"/>
        </w:rPr>
        <w:t>21.</w:t>
      </w:r>
      <w:r>
        <w:rPr>
          <w:kern w:val="2"/>
          <w:lang w:val="fr-FR"/>
          <w14:ligatures w14:val="standardContextual"/>
        </w:rPr>
        <w:tab/>
      </w:r>
      <w:r w:rsidR="00C05B72" w:rsidRPr="00391305">
        <w:rPr>
          <w:kern w:val="2"/>
          <w:lang w:val="fr-FR"/>
          <w14:ligatures w14:val="standardContextual"/>
        </w:rPr>
        <w:t>La loi du 7 août 2023 vise à protéger l’intégrité sexuelle et le droit de la personne à son autodétermination sexuelle tout en supprimant les termes incompatibles avec les personnes du 3</w:t>
      </w:r>
      <w:r w:rsidR="00C05B72" w:rsidRPr="00391305">
        <w:rPr>
          <w:kern w:val="2"/>
          <w:vertAlign w:val="superscript"/>
          <w:lang w:val="fr-FR"/>
          <w14:ligatures w14:val="standardContextual"/>
        </w:rPr>
        <w:t>e</w:t>
      </w:r>
      <w:r w:rsidR="00C05B72" w:rsidRPr="00391305">
        <w:rPr>
          <w:kern w:val="2"/>
          <w:lang w:val="fr-FR"/>
          <w14:ligatures w14:val="standardContextual"/>
        </w:rPr>
        <w:t xml:space="preserve"> sexe. </w:t>
      </w:r>
    </w:p>
    <w:p w14:paraId="0B306E45" w14:textId="07105319" w:rsidR="00391305" w:rsidRDefault="00F35483" w:rsidP="00F35483">
      <w:pPr>
        <w:pStyle w:val="SingleTxtG"/>
        <w:rPr>
          <w:kern w:val="2"/>
          <w:lang w:val="fr-FR"/>
          <w14:ligatures w14:val="standardContextual"/>
        </w:rPr>
      </w:pPr>
      <w:r>
        <w:rPr>
          <w:kern w:val="2"/>
          <w:lang w:val="fr-FR"/>
          <w14:ligatures w14:val="standardContextual"/>
        </w:rPr>
        <w:t>22.</w:t>
      </w:r>
      <w:r>
        <w:rPr>
          <w:kern w:val="2"/>
          <w:lang w:val="fr-FR"/>
          <w14:ligatures w14:val="standardContextual"/>
        </w:rPr>
        <w:tab/>
      </w:r>
      <w:r w:rsidR="00C05B72" w:rsidRPr="00391305">
        <w:rPr>
          <w:kern w:val="2"/>
          <w:lang w:val="fr-FR"/>
          <w14:ligatures w14:val="standardContextual"/>
        </w:rPr>
        <w:t xml:space="preserve">La loi du 7 août 2023 a en outre créé une infraction autonome de viol sur mineur et des échelons de peines plus élevés pour chaque infraction. Également, elle a créé une infraction à l’égard des mineurs commise par l’un des parents, un ascendant légitime, naturel ou adoptif, par toute personne en ligne collatérale jusqu’au troisième degré, ou tout allié jusqu’au troisième degré. Ainsi, la liste des personnes pouvant être auteur d’un viol ou d’une atteinte à l’intégrité sexuelle incestueux a été élargie aux personnes abusant d’une position </w:t>
      </w:r>
      <w:r w:rsidR="00C05B72" w:rsidRPr="00391305">
        <w:rPr>
          <w:kern w:val="2"/>
          <w:lang w:val="fr-FR"/>
          <w14:ligatures w14:val="standardContextual"/>
        </w:rPr>
        <w:lastRenderedPageBreak/>
        <w:t>reconnue de confiance ou d’influence et aux personnes en charge du mineur ou auxquelles il</w:t>
      </w:r>
      <w:r>
        <w:rPr>
          <w:kern w:val="2"/>
          <w:lang w:val="fr-FR"/>
          <w14:ligatures w14:val="standardContextual"/>
        </w:rPr>
        <w:t> </w:t>
      </w:r>
      <w:r w:rsidR="00C05B72" w:rsidRPr="00391305">
        <w:rPr>
          <w:kern w:val="2"/>
          <w:lang w:val="fr-FR"/>
          <w14:ligatures w14:val="standardContextual"/>
        </w:rPr>
        <w:t>a été confié.</w:t>
      </w:r>
    </w:p>
    <w:p w14:paraId="5D020718" w14:textId="67CC4CDC" w:rsidR="00C05B72" w:rsidRPr="0011170A" w:rsidRDefault="00F35483" w:rsidP="00F35483">
      <w:pPr>
        <w:pStyle w:val="SingleTxtG"/>
        <w:rPr>
          <w:kern w:val="2"/>
          <w:lang w:val="fr-FR"/>
          <w14:ligatures w14:val="standardContextual"/>
        </w:rPr>
      </w:pPr>
      <w:r w:rsidRPr="0011170A">
        <w:rPr>
          <w:kern w:val="2"/>
          <w:lang w:val="fr-FR"/>
          <w14:ligatures w14:val="standardContextual"/>
        </w:rPr>
        <w:t>23.</w:t>
      </w:r>
      <w:r w:rsidRPr="0011170A">
        <w:rPr>
          <w:kern w:val="2"/>
          <w:lang w:val="fr-FR"/>
          <w14:ligatures w14:val="standardContextual"/>
        </w:rPr>
        <w:tab/>
      </w:r>
      <w:r w:rsidR="00C05B72" w:rsidRPr="00391305">
        <w:rPr>
          <w:kern w:val="2"/>
          <w:lang w:val="fr-FR"/>
          <w14:ligatures w14:val="standardContextual"/>
        </w:rPr>
        <w:t>Finalement, la loi a créé plusieurs cas d’imprescriptibilité afin d’offrir une protection juridictionnelle plus importante des mineurs tout en facilitant la poursuite des infractions à</w:t>
      </w:r>
      <w:r>
        <w:rPr>
          <w:kern w:val="2"/>
          <w:lang w:val="fr-FR"/>
          <w14:ligatures w14:val="standardContextual"/>
        </w:rPr>
        <w:t> </w:t>
      </w:r>
      <w:r w:rsidR="00C05B72" w:rsidRPr="00391305">
        <w:rPr>
          <w:kern w:val="2"/>
          <w:lang w:val="fr-FR"/>
          <w14:ligatures w14:val="standardContextual"/>
        </w:rPr>
        <w:t xml:space="preserve">caractère sexuel les plus graves. Désormais l’article 637 (2) alinéa 3 du Code de procédure pénale stipule que </w:t>
      </w:r>
      <w:r w:rsidR="00C05B72" w:rsidRPr="00F35483">
        <w:rPr>
          <w:kern w:val="2"/>
          <w:lang w:val="fr-FR"/>
          <w14:ligatures w14:val="standardContextual"/>
        </w:rPr>
        <w:t>« Par dérogation aux alinéas 1</w:t>
      </w:r>
      <w:r w:rsidR="00C05B72" w:rsidRPr="00F35483">
        <w:rPr>
          <w:kern w:val="2"/>
          <w:vertAlign w:val="superscript"/>
          <w:lang w:val="fr-FR"/>
          <w14:ligatures w14:val="standardContextual"/>
        </w:rPr>
        <w:t>er</w:t>
      </w:r>
      <w:r w:rsidR="00C05B72" w:rsidRPr="00F35483">
        <w:rPr>
          <w:kern w:val="2"/>
          <w:lang w:val="fr-FR"/>
          <w14:ligatures w14:val="standardContextual"/>
        </w:rPr>
        <w:t xml:space="preserve"> et 2, l’action publique résultant d’une des infractions prévues aux articles 375 à 377, commis contre des mineurs, ne se prescrit pas »</w:t>
      </w:r>
      <w:r w:rsidR="00A632BE" w:rsidRPr="00F35483">
        <w:rPr>
          <w:kern w:val="2"/>
          <w:lang w:val="fr-FR"/>
          <w14:ligatures w14:val="standardContextual"/>
        </w:rPr>
        <w:t>.</w:t>
      </w:r>
    </w:p>
    <w:p w14:paraId="1F76CC60" w14:textId="1C2389A0" w:rsidR="00C05B72" w:rsidRDefault="00EA3942" w:rsidP="00F35483">
      <w:pPr>
        <w:pStyle w:val="HChG"/>
        <w:rPr>
          <w:lang w:val="fr-FR"/>
        </w:rPr>
      </w:pPr>
      <w:r>
        <w:rPr>
          <w:lang w:val="fr-FR"/>
        </w:rPr>
        <w:tab/>
        <w:t>III.</w:t>
      </w:r>
      <w:r>
        <w:rPr>
          <w:lang w:val="fr-FR"/>
        </w:rPr>
        <w:tab/>
      </w:r>
      <w:r w:rsidR="00C05B72" w:rsidRPr="00B62818">
        <w:rPr>
          <w:lang w:val="fr-FR"/>
        </w:rPr>
        <w:t>Intersexes</w:t>
      </w:r>
    </w:p>
    <w:p w14:paraId="014DC016" w14:textId="32FBD596" w:rsidR="000F29FE" w:rsidRPr="00FB2CEC" w:rsidRDefault="000F29FE" w:rsidP="00223A5E">
      <w:pPr>
        <w:pStyle w:val="H1G"/>
        <w:rPr>
          <w:lang w:val="fr-FR"/>
        </w:rPr>
      </w:pPr>
      <w:r>
        <w:rPr>
          <w:lang w:val="fr-FR"/>
        </w:rPr>
        <w:tab/>
      </w:r>
      <w:r>
        <w:rPr>
          <w:lang w:val="fr-FR"/>
        </w:rPr>
        <w:tab/>
      </w:r>
      <w:r w:rsidRPr="00FB2CEC">
        <w:rPr>
          <w:lang w:val="fr-FR"/>
        </w:rPr>
        <w:t>Renseignements sur la suite donnée aux recommandations figurant au paragraphes</w:t>
      </w:r>
      <w:r w:rsidRPr="00FB2CEC">
        <w:rPr>
          <w:noProof/>
          <w:lang w:val="fr-FR" w:eastAsia="es-GT"/>
        </w:rPr>
        <w:t xml:space="preserve"> 36 des observations finales</w:t>
      </w:r>
    </w:p>
    <w:p w14:paraId="2B32ED1F" w14:textId="11A61830" w:rsidR="00413B66" w:rsidRDefault="00F35483" w:rsidP="00F35483">
      <w:pPr>
        <w:pStyle w:val="SingleTxtG"/>
        <w:rPr>
          <w:lang w:val="fr-FR"/>
        </w:rPr>
      </w:pPr>
      <w:r>
        <w:rPr>
          <w:lang w:val="fr-FR"/>
        </w:rPr>
        <w:t>24.</w:t>
      </w:r>
      <w:r>
        <w:rPr>
          <w:lang w:val="fr-FR"/>
        </w:rPr>
        <w:tab/>
      </w:r>
      <w:r w:rsidR="000F29FE" w:rsidRPr="000F29FE">
        <w:rPr>
          <w:lang w:val="fr-FR"/>
        </w:rPr>
        <w:t>Le Comité recommande à l’État partie : De poursuivre ses efforts, notamment dans le cadre de l’élaboration en cours d’un avant-projet de loi sur les opérations chirurgicales des variations du développement sexuel, visant à mettre fin à la pratique d’actes médicaux irréversibles, en particulier d’opérations chirurgicales sur des enfants intersexes qui ne sont pas encore en mesure de donner leur plein consentement librement et en toute connaissance de cause, sauf lorsque de telles interventions sont absolument nécessaires du point de vue médical. Des mesures devraient aussi être prises pour garantir l’accès des victimes de telles interventions à des recours utiles et renforcer la collecte de statistiques sur cette question.</w:t>
      </w:r>
    </w:p>
    <w:p w14:paraId="44FECDBA" w14:textId="61FBBD9D" w:rsidR="00413B66" w:rsidRPr="00413B66" w:rsidRDefault="00F35483" w:rsidP="00F35483">
      <w:pPr>
        <w:pStyle w:val="SingleTxtG"/>
        <w:rPr>
          <w:lang w:val="fr-FR"/>
        </w:rPr>
      </w:pPr>
      <w:r w:rsidRPr="00413B66">
        <w:rPr>
          <w:lang w:val="fr-FR"/>
        </w:rPr>
        <w:t>25.</w:t>
      </w:r>
      <w:r w:rsidRPr="00413B66">
        <w:rPr>
          <w:lang w:val="fr-FR"/>
        </w:rPr>
        <w:tab/>
      </w:r>
      <w:r w:rsidR="00C05B72" w:rsidRPr="00413B66">
        <w:rPr>
          <w:rFonts w:eastAsia="Times New Roman"/>
          <w:lang w:val="fr-FR"/>
        </w:rPr>
        <w:t xml:space="preserve">L’accord de coalition de novembre 2023 prévoit, entre autres, une adaptation du plan d’action national de 2018 pour la promotion des droits des personnes lesbiennes, gays, bisexuelles, transgenres et intersexes. Ces travaux sont en cours et tiennent compte des mesures et actions qui ne sont pas encore mises en œuvre dans le cadre du premier PAN LGBTI concernant les personnes intersexuées, ainsi que dans le cadre de l’accord de coalition et de ses dispositions relatives aux personnes intersexes. </w:t>
      </w:r>
    </w:p>
    <w:p w14:paraId="144A2026" w14:textId="356E428C" w:rsidR="001F39D5" w:rsidRPr="00C43AA8" w:rsidRDefault="00F35483" w:rsidP="00F35483">
      <w:pPr>
        <w:pStyle w:val="SingleTxtG"/>
        <w:rPr>
          <w:lang w:val="fr-FR"/>
        </w:rPr>
      </w:pPr>
      <w:r w:rsidRPr="00C43AA8">
        <w:rPr>
          <w:lang w:val="fr-FR"/>
        </w:rPr>
        <w:t>26.</w:t>
      </w:r>
      <w:r w:rsidRPr="00C43AA8">
        <w:rPr>
          <w:lang w:val="fr-FR"/>
        </w:rPr>
        <w:tab/>
      </w:r>
      <w:r w:rsidR="00C05B72" w:rsidRPr="00D303EF">
        <w:rPr>
          <w:rFonts w:eastAsia="Times New Roman"/>
          <w:lang w:val="fr-FR"/>
        </w:rPr>
        <w:t xml:space="preserve">Dans le cadre de son programme gouvernemental 2023-2028 : </w:t>
      </w:r>
      <w:r w:rsidR="008D40EA" w:rsidRPr="00103127">
        <w:rPr>
          <w:rFonts w:eastAsia="Times New Roman"/>
          <w:lang w:val="fr-FR"/>
        </w:rPr>
        <w:t>e</w:t>
      </w:r>
      <w:r w:rsidR="00C05B72" w:rsidRPr="00103127">
        <w:rPr>
          <w:rFonts w:eastAsia="Times New Roman"/>
          <w:lang w:val="fr-FR"/>
        </w:rPr>
        <w:t>nfants intersexes</w:t>
      </w:r>
      <w:r w:rsidR="009D73DA" w:rsidRPr="00103127">
        <w:rPr>
          <w:rStyle w:val="Appelnotedebasdep"/>
          <w:rFonts w:eastAsia="Times New Roman"/>
        </w:rPr>
        <w:footnoteReference w:id="8"/>
      </w:r>
      <w:r w:rsidR="00C05B72" w:rsidRPr="00103127">
        <w:rPr>
          <w:rFonts w:eastAsia="Times New Roman"/>
          <w:lang w:val="fr-FR"/>
        </w:rPr>
        <w:t>,</w:t>
      </w:r>
      <w:r w:rsidR="00C05B72" w:rsidRPr="00D303EF">
        <w:rPr>
          <w:rFonts w:eastAsia="Times New Roman"/>
          <w:lang w:val="fr-FR"/>
        </w:rPr>
        <w:t xml:space="preserve"> le </w:t>
      </w:r>
      <w:r w:rsidR="00EA3942" w:rsidRPr="00D303EF">
        <w:rPr>
          <w:rFonts w:eastAsia="Times New Roman"/>
          <w:lang w:val="fr-FR"/>
        </w:rPr>
        <w:t xml:space="preserve">Gouvernement </w:t>
      </w:r>
      <w:r w:rsidR="00C05B72" w:rsidRPr="00D303EF">
        <w:rPr>
          <w:rFonts w:eastAsia="Times New Roman"/>
          <w:lang w:val="fr-FR"/>
        </w:rPr>
        <w:t>s’engagera pour le respect et la protection renforcée des identités de genre non-binaires. Il œuvrera en sorte à ce que les modalités applicables à la réassignation sexuelle ainsi qu’à l’assignation de sexe chez les personnes intersexuées soient évaluées et adaptées aux besoins. Le Gouvernement suivra de près et analysera le cadre légal en la matière dans les autres pays de l’Union européenne.</w:t>
      </w:r>
    </w:p>
    <w:p w14:paraId="43912D42" w14:textId="338220DB" w:rsidR="00C43AA8" w:rsidRPr="00C43AA8" w:rsidRDefault="00C43AA8" w:rsidP="00C43AA8">
      <w:pPr>
        <w:pStyle w:val="SingleTxtG"/>
        <w:spacing w:before="240" w:after="0"/>
        <w:jc w:val="center"/>
        <w:rPr>
          <w:u w:val="single"/>
          <w:lang w:val="fr-FR"/>
        </w:rPr>
      </w:pPr>
      <w:r>
        <w:rPr>
          <w:rFonts w:eastAsia="Times New Roman"/>
          <w:u w:val="single"/>
          <w:lang w:val="fr-FR"/>
        </w:rPr>
        <w:tab/>
      </w:r>
      <w:r>
        <w:rPr>
          <w:rFonts w:eastAsia="Times New Roman"/>
          <w:u w:val="single"/>
          <w:lang w:val="fr-FR"/>
        </w:rPr>
        <w:tab/>
      </w:r>
      <w:r>
        <w:rPr>
          <w:rFonts w:eastAsia="Times New Roman"/>
          <w:u w:val="single"/>
          <w:lang w:val="fr-FR"/>
        </w:rPr>
        <w:tab/>
      </w:r>
    </w:p>
    <w:sectPr w:rsidR="00C43AA8" w:rsidRPr="00C43AA8" w:rsidSect="00F35483">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0E90DE" w14:textId="77777777" w:rsidR="00B70541" w:rsidRDefault="00B70541">
      <w:pPr>
        <w:spacing w:line="240" w:lineRule="auto"/>
      </w:pPr>
    </w:p>
  </w:endnote>
  <w:endnote w:type="continuationSeparator" w:id="0">
    <w:p w14:paraId="4E942F39" w14:textId="77777777" w:rsidR="00B70541" w:rsidRDefault="00B70541">
      <w:pPr>
        <w:pStyle w:val="Pieddepage"/>
      </w:pPr>
    </w:p>
  </w:endnote>
  <w:endnote w:type="continuationNotice" w:id="1">
    <w:p w14:paraId="4849AD5A" w14:textId="77777777" w:rsidR="00B70541" w:rsidRDefault="00B705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2B9878" w14:textId="77777777" w:rsidR="001F39D5" w:rsidRDefault="002D49BC">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AD337A">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1526F" w14:textId="77777777" w:rsidR="001F39D5" w:rsidRDefault="00114746">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9FCECC" w14:textId="197739E7" w:rsidR="0086492F" w:rsidRPr="0086492F" w:rsidRDefault="0086492F" w:rsidP="0086492F">
    <w:pPr>
      <w:pStyle w:val="Pieddepage"/>
      <w:tabs>
        <w:tab w:val="left" w:pos="6520"/>
        <w:tab w:val="right" w:pos="9638"/>
      </w:tabs>
      <w:spacing w:before="120"/>
      <w:rPr>
        <w:sz w:val="20"/>
      </w:rPr>
    </w:pPr>
    <w:r>
      <w:rPr>
        <w:sz w:val="20"/>
      </w:rPr>
      <w:t>GE.24-21469  (F)</w:t>
    </w:r>
    <w:bookmarkStart w:id="2" w:name="_GoBack"/>
    <w:bookmarkEnd w:id="2"/>
    <w:r w:rsidR="00C21C9E">
      <w:rPr>
        <w:sz w:val="20"/>
      </w:rPr>
      <w:t xml:space="preserve">    021224    031224</w:t>
    </w:r>
    <w:r>
      <w:rPr>
        <w:sz w:val="20"/>
      </w:rPr>
      <w:tab/>
    </w:r>
    <w:r w:rsidRPr="0086492F">
      <w:rPr>
        <w:noProof/>
        <w:sz w:val="20"/>
        <w:lang w:eastAsia="fr-CH"/>
      </w:rPr>
      <w:drawing>
        <wp:inline distT="0" distB="0" distL="0" distR="0" wp14:anchorId="52C8C4CA" wp14:editId="7B32619B">
          <wp:extent cx="1105200" cy="234000"/>
          <wp:effectExtent l="0" t="0" r="0" b="0"/>
          <wp:docPr id="809421696"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C6A4A63" wp14:editId="16CDCF22">
          <wp:extent cx="630555" cy="630555"/>
          <wp:effectExtent l="0" t="0" r="0" b="0"/>
          <wp:docPr id="109014725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C25C2C" w14:textId="77777777" w:rsidR="00B70541" w:rsidRDefault="00B70541">
      <w:pPr>
        <w:pStyle w:val="Pieddepage"/>
        <w:tabs>
          <w:tab w:val="right" w:pos="2155"/>
        </w:tabs>
        <w:spacing w:after="80" w:line="240" w:lineRule="atLeast"/>
        <w:ind w:left="680"/>
        <w:rPr>
          <w:u w:val="single"/>
        </w:rPr>
      </w:pPr>
      <w:r>
        <w:rPr>
          <w:u w:val="single"/>
        </w:rPr>
        <w:tab/>
      </w:r>
    </w:p>
  </w:footnote>
  <w:footnote w:type="continuationSeparator" w:id="0">
    <w:p w14:paraId="0651F046" w14:textId="77777777" w:rsidR="00B70541" w:rsidRDefault="00B70541">
      <w:pPr>
        <w:pStyle w:val="Pieddepage"/>
        <w:tabs>
          <w:tab w:val="right" w:pos="2155"/>
        </w:tabs>
        <w:spacing w:after="80" w:line="240" w:lineRule="atLeast"/>
        <w:ind w:left="680"/>
        <w:rPr>
          <w:u w:val="single"/>
        </w:rPr>
      </w:pPr>
      <w:r>
        <w:rPr>
          <w:u w:val="single"/>
        </w:rPr>
        <w:tab/>
      </w:r>
    </w:p>
  </w:footnote>
  <w:footnote w:type="continuationNotice" w:id="1">
    <w:p w14:paraId="6AF356EA" w14:textId="77777777" w:rsidR="00B70541" w:rsidRDefault="00B70541">
      <w:pPr>
        <w:spacing w:line="240" w:lineRule="auto"/>
        <w:rPr>
          <w:sz w:val="2"/>
          <w:szCs w:val="2"/>
        </w:rPr>
      </w:pPr>
    </w:p>
  </w:footnote>
  <w:footnote w:id="2">
    <w:p w14:paraId="783E824A" w14:textId="77777777" w:rsidR="00710FED" w:rsidRPr="00AE3BA2" w:rsidRDefault="002D49BC" w:rsidP="00710FED">
      <w:pPr>
        <w:pStyle w:val="Notedebasdepage"/>
      </w:pPr>
      <w:r>
        <w:tab/>
      </w:r>
      <w:r w:rsidRPr="000332BD">
        <w:rPr>
          <w:rStyle w:val="Appelnotedebasdep"/>
          <w:sz w:val="20"/>
          <w:vertAlign w:val="baseline"/>
        </w:rPr>
        <w:t>*</w:t>
      </w:r>
      <w:r>
        <w:rPr>
          <w:sz w:val="20"/>
        </w:rPr>
        <w:tab/>
      </w:r>
      <w:r w:rsidRPr="001A5BA6">
        <w:t>Le présent document n’a pas été revu par les services d’édition.</w:t>
      </w:r>
    </w:p>
  </w:footnote>
  <w:footnote w:id="3">
    <w:p w14:paraId="768E643C" w14:textId="0F12E590" w:rsidR="00C05B72" w:rsidRPr="00346E72" w:rsidRDefault="005F6115" w:rsidP="00C05B72">
      <w:pPr>
        <w:pStyle w:val="Notedebasdepage"/>
      </w:pPr>
      <w:r>
        <w:tab/>
      </w:r>
      <w:r w:rsidR="00C05B72">
        <w:rPr>
          <w:rStyle w:val="Appelnotedebasdep"/>
        </w:rPr>
        <w:footnoteRef/>
      </w:r>
      <w:r w:rsidR="00B62B60">
        <w:tab/>
      </w:r>
      <w:hyperlink r:id="rId1" w:history="1">
        <w:r w:rsidR="00C05B72" w:rsidRPr="00EF5AAF">
          <w:rPr>
            <w:rStyle w:val="Lienhypertexte"/>
            <w:color w:val="auto"/>
          </w:rPr>
          <w:t>https://legilux.public.lu/eli/etat/leg/loi/2023/02/03/a81/jo</w:t>
        </w:r>
      </w:hyperlink>
      <w:r w:rsidR="00B62AF4">
        <w:rPr>
          <w:rStyle w:val="Lienhypertexte"/>
          <w:color w:val="auto"/>
        </w:rPr>
        <w:t>.</w:t>
      </w:r>
    </w:p>
  </w:footnote>
  <w:footnote w:id="4">
    <w:p w14:paraId="4FA8451C" w14:textId="1EA0B46A" w:rsidR="00C05B72" w:rsidRPr="00491D65" w:rsidRDefault="005F6115" w:rsidP="00C05B72">
      <w:pPr>
        <w:pStyle w:val="Notedebasdepage"/>
        <w:rPr>
          <w:rFonts w:asciiTheme="minorHAnsi" w:hAnsiTheme="minorHAnsi" w:cstheme="minorHAnsi"/>
        </w:rPr>
      </w:pPr>
      <w:r w:rsidRPr="00346E72">
        <w:tab/>
      </w:r>
      <w:r w:rsidR="00C05B72" w:rsidRPr="00346E72">
        <w:rPr>
          <w:rStyle w:val="Appelnotedebasdep"/>
        </w:rPr>
        <w:footnoteRef/>
      </w:r>
      <w:r w:rsidR="00361C89" w:rsidRPr="00346E72">
        <w:tab/>
      </w:r>
      <w:r w:rsidR="00C05B72" w:rsidRPr="00346E72">
        <w:rPr>
          <w:kern w:val="2"/>
          <w:lang w:val="fr-FR"/>
          <w14:ligatures w14:val="standardContextual"/>
        </w:rPr>
        <w:t xml:space="preserve">Article 48-11 </w:t>
      </w:r>
      <w:r w:rsidR="00C05B72" w:rsidRPr="00346E72">
        <w:rPr>
          <w:i/>
          <w:iCs/>
          <w:kern w:val="2"/>
          <w:lang w:val="fr-FR"/>
          <w14:ligatures w14:val="standardContextual"/>
        </w:rPr>
        <w:t>bis</w:t>
      </w:r>
      <w:r w:rsidR="00C05B72" w:rsidRPr="00346E72">
        <w:rPr>
          <w:kern w:val="2"/>
          <w:lang w:val="fr-FR"/>
          <w14:ligatures w14:val="standardContextual"/>
        </w:rPr>
        <w:t xml:space="preserve"> du Code de </w:t>
      </w:r>
      <w:r w:rsidR="0011170A">
        <w:rPr>
          <w:kern w:val="2"/>
          <w:lang w:val="fr-FR"/>
          <w14:ligatures w14:val="standardContextual"/>
        </w:rPr>
        <w:t>p</w:t>
      </w:r>
      <w:r w:rsidR="00C05B72" w:rsidRPr="00346E72">
        <w:rPr>
          <w:kern w:val="2"/>
          <w:lang w:val="fr-FR"/>
          <w14:ligatures w14:val="standardContextual"/>
        </w:rPr>
        <w:t>rocédure pénale</w:t>
      </w:r>
      <w:r w:rsidR="00B62AF4">
        <w:rPr>
          <w:kern w:val="2"/>
          <w:lang w:val="fr-FR"/>
          <w14:ligatures w14:val="standardContextual"/>
        </w:rPr>
        <w:t>.</w:t>
      </w:r>
    </w:p>
  </w:footnote>
  <w:footnote w:id="5">
    <w:p w14:paraId="057031FF" w14:textId="16361795" w:rsidR="00C05B72" w:rsidRPr="003473C5" w:rsidRDefault="003473C5" w:rsidP="00C05B72">
      <w:pPr>
        <w:pStyle w:val="Notedebasdepage"/>
      </w:pPr>
      <w:r w:rsidRPr="003473C5">
        <w:tab/>
      </w:r>
      <w:r w:rsidR="00C05B72" w:rsidRPr="003473C5">
        <w:rPr>
          <w:rStyle w:val="Appelnotedebasdep"/>
        </w:rPr>
        <w:footnoteRef/>
      </w:r>
      <w:r w:rsidRPr="003473C5">
        <w:tab/>
      </w:r>
      <w:r w:rsidR="00C05B72" w:rsidRPr="003473C5">
        <w:t xml:space="preserve">Article 48-11 </w:t>
      </w:r>
      <w:r w:rsidR="00C05B72" w:rsidRPr="00F35483">
        <w:rPr>
          <w:i/>
          <w:iCs/>
        </w:rPr>
        <w:t>bis</w:t>
      </w:r>
      <w:r w:rsidR="00C05B72" w:rsidRPr="003473C5">
        <w:t xml:space="preserve"> du Code de </w:t>
      </w:r>
      <w:r w:rsidR="0011170A">
        <w:t>p</w:t>
      </w:r>
      <w:r w:rsidR="00C05B72" w:rsidRPr="003473C5">
        <w:t>rocédure pénale</w:t>
      </w:r>
      <w:r w:rsidR="000E07F1">
        <w:t>.</w:t>
      </w:r>
    </w:p>
  </w:footnote>
  <w:footnote w:id="6">
    <w:p w14:paraId="3C3AA98D" w14:textId="514C71D3" w:rsidR="00C05B72" w:rsidRPr="003473C5" w:rsidRDefault="00937BAB" w:rsidP="00C05B72">
      <w:pPr>
        <w:pStyle w:val="Notedebasdepage"/>
      </w:pPr>
      <w:r w:rsidRPr="003473C5">
        <w:tab/>
      </w:r>
      <w:r w:rsidR="00C05B72" w:rsidRPr="003473C5">
        <w:rPr>
          <w:rStyle w:val="Appelnotedebasdep"/>
        </w:rPr>
        <w:footnoteRef/>
      </w:r>
      <w:r w:rsidRPr="003473C5">
        <w:tab/>
      </w:r>
      <w:hyperlink r:id="rId2" w:history="1">
        <w:r w:rsidRPr="003473C5">
          <w:rPr>
            <w:rStyle w:val="Lienhypertexte"/>
            <w:color w:val="auto"/>
          </w:rPr>
          <w:t>http://dat</w:t>
        </w:r>
        <w:r w:rsidRPr="00462B85">
          <w:rPr>
            <w:rStyle w:val="Lienhypertexte"/>
            <w:color w:val="auto"/>
          </w:rPr>
          <w:t>a.l</w:t>
        </w:r>
        <w:r w:rsidRPr="003473C5">
          <w:rPr>
            <w:rStyle w:val="Lienhypertexte"/>
            <w:color w:val="auto"/>
          </w:rPr>
          <w:t>egilux.public.lu/eli/etat/leg/loi/2003/09/08/n1/jo</w:t>
        </w:r>
      </w:hyperlink>
      <w:r w:rsidR="009E28F3">
        <w:rPr>
          <w:rStyle w:val="Lienhypertexte"/>
          <w:color w:val="auto"/>
        </w:rPr>
        <w:t>.</w:t>
      </w:r>
      <w:r w:rsidR="00C05B72" w:rsidRPr="003473C5">
        <w:t xml:space="preserve"> </w:t>
      </w:r>
    </w:p>
  </w:footnote>
  <w:footnote w:id="7">
    <w:p w14:paraId="31875C9E" w14:textId="7CB77CCC" w:rsidR="00C05B72" w:rsidRPr="009537B2" w:rsidRDefault="00937BAB" w:rsidP="00C05B72">
      <w:pPr>
        <w:pStyle w:val="Notedebasdepage"/>
        <w:rPr>
          <w:rFonts w:asciiTheme="minorHAnsi" w:hAnsiTheme="minorHAnsi" w:cstheme="minorHAnsi"/>
        </w:rPr>
      </w:pPr>
      <w:r w:rsidRPr="003473C5">
        <w:tab/>
      </w:r>
      <w:r w:rsidR="00C05B72" w:rsidRPr="003473C5">
        <w:rPr>
          <w:rStyle w:val="Appelnotedebasdep"/>
        </w:rPr>
        <w:footnoteRef/>
      </w:r>
      <w:r w:rsidRPr="003473C5">
        <w:tab/>
      </w:r>
      <w:hyperlink r:id="rId3" w:history="1">
        <w:r w:rsidRPr="003473C5">
          <w:rPr>
            <w:rStyle w:val="Lienhypertexte"/>
            <w:color w:val="auto"/>
          </w:rPr>
          <w:t>https://legilux.public.lu/eli/etat/leg/loi/2023/08/07/a520/jo</w:t>
        </w:r>
      </w:hyperlink>
      <w:r w:rsidR="009E28F3">
        <w:rPr>
          <w:rStyle w:val="Lienhypertexte"/>
          <w:color w:val="auto"/>
        </w:rPr>
        <w:t>.</w:t>
      </w:r>
    </w:p>
  </w:footnote>
  <w:footnote w:id="8">
    <w:p w14:paraId="6F9EE742" w14:textId="7E1C6E85" w:rsidR="009D73DA" w:rsidRPr="009D73DA" w:rsidRDefault="009D73DA">
      <w:pPr>
        <w:pStyle w:val="Notedebasdepage"/>
      </w:pPr>
      <w:r>
        <w:tab/>
      </w:r>
      <w:r>
        <w:rPr>
          <w:rStyle w:val="Appelnotedebasdep"/>
        </w:rPr>
        <w:footnoteRef/>
      </w:r>
      <w:r>
        <w:tab/>
      </w:r>
      <w:r w:rsidR="0011170A" w:rsidRPr="00FC36E8">
        <w:rPr>
          <w:szCs w:val="18"/>
        </w:rPr>
        <w:t>https://gouvernement.lu/fr/publications/accord-coalition/accord-de-coalition-2023-2028/accord-de-coalition-2023-2028.html</w:t>
      </w:r>
      <w:r w:rsidR="00A632BE">
        <w:rPr>
          <w:rStyle w:val="Lienhypertexte"/>
          <w:color w:val="auto"/>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D18AE" w14:textId="77777777" w:rsidR="001F39D5" w:rsidRDefault="00114746">
    <w:pPr>
      <w:pStyle w:val="En-tte"/>
    </w:pPr>
    <w:r>
      <w:t>CAT/C/LUX/FCO/8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3891E" w14:textId="77777777" w:rsidR="001F39D5" w:rsidRDefault="00114746">
    <w:pPr>
      <w:pStyle w:val="En-tte"/>
      <w:jc w:val="right"/>
    </w:pPr>
    <w:r>
      <w:t>CAT/C/LUX/FCO/8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F5364F"/>
    <w:multiLevelType w:val="hybridMultilevel"/>
    <w:tmpl w:val="7C76320C"/>
    <w:lvl w:ilvl="0" w:tplc="4940AF6E">
      <w:start w:val="1"/>
      <w:numFmt w:val="decimal"/>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2B2147D"/>
    <w:multiLevelType w:val="hybridMultilevel"/>
    <w:tmpl w:val="501E1ABC"/>
    <w:lvl w:ilvl="0" w:tplc="21A0652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9B16948"/>
    <w:multiLevelType w:val="hybridMultilevel"/>
    <w:tmpl w:val="8D102536"/>
    <w:lvl w:ilvl="0" w:tplc="09EE50B4">
      <w:start w:val="1"/>
      <w:numFmt w:val="upperRoman"/>
      <w:lvlText w:val="%1."/>
      <w:lvlJc w:val="left"/>
      <w:pPr>
        <w:ind w:left="1420" w:hanging="720"/>
      </w:pPr>
      <w:rPr>
        <w:rFonts w:eastAsiaTheme="minorHAnsi" w:hint="default"/>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3" w15:restartNumberingAfterBreak="0">
    <w:nsid w:val="0D954887"/>
    <w:multiLevelType w:val="hybridMultilevel"/>
    <w:tmpl w:val="8F02DDF4"/>
    <w:lvl w:ilvl="0" w:tplc="15C21B8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8FA3B06" w:tentative="1">
      <w:start w:val="1"/>
      <w:numFmt w:val="lowerLetter"/>
      <w:lvlText w:val="%2."/>
      <w:lvlJc w:val="left"/>
      <w:pPr>
        <w:tabs>
          <w:tab w:val="num" w:pos="1440"/>
        </w:tabs>
        <w:ind w:left="1440" w:hanging="360"/>
      </w:pPr>
    </w:lvl>
    <w:lvl w:ilvl="2" w:tplc="C7D0F15A" w:tentative="1">
      <w:start w:val="1"/>
      <w:numFmt w:val="lowerRoman"/>
      <w:lvlText w:val="%3."/>
      <w:lvlJc w:val="right"/>
      <w:pPr>
        <w:tabs>
          <w:tab w:val="num" w:pos="2160"/>
        </w:tabs>
        <w:ind w:left="2160" w:hanging="180"/>
      </w:pPr>
    </w:lvl>
    <w:lvl w:ilvl="3" w:tplc="B728042C" w:tentative="1">
      <w:start w:val="1"/>
      <w:numFmt w:val="decimal"/>
      <w:lvlText w:val="%4."/>
      <w:lvlJc w:val="left"/>
      <w:pPr>
        <w:tabs>
          <w:tab w:val="num" w:pos="2880"/>
        </w:tabs>
        <w:ind w:left="2880" w:hanging="360"/>
      </w:pPr>
    </w:lvl>
    <w:lvl w:ilvl="4" w:tplc="51CECFB6" w:tentative="1">
      <w:start w:val="1"/>
      <w:numFmt w:val="lowerLetter"/>
      <w:lvlText w:val="%5."/>
      <w:lvlJc w:val="left"/>
      <w:pPr>
        <w:tabs>
          <w:tab w:val="num" w:pos="3600"/>
        </w:tabs>
        <w:ind w:left="3600" w:hanging="360"/>
      </w:pPr>
    </w:lvl>
    <w:lvl w:ilvl="5" w:tplc="2508EEA4" w:tentative="1">
      <w:start w:val="1"/>
      <w:numFmt w:val="lowerRoman"/>
      <w:lvlText w:val="%6."/>
      <w:lvlJc w:val="right"/>
      <w:pPr>
        <w:tabs>
          <w:tab w:val="num" w:pos="4320"/>
        </w:tabs>
        <w:ind w:left="4320" w:hanging="180"/>
      </w:pPr>
    </w:lvl>
    <w:lvl w:ilvl="6" w:tplc="D09C902C" w:tentative="1">
      <w:start w:val="1"/>
      <w:numFmt w:val="decimal"/>
      <w:lvlText w:val="%7."/>
      <w:lvlJc w:val="left"/>
      <w:pPr>
        <w:tabs>
          <w:tab w:val="num" w:pos="5040"/>
        </w:tabs>
        <w:ind w:left="5040" w:hanging="360"/>
      </w:pPr>
    </w:lvl>
    <w:lvl w:ilvl="7" w:tplc="5BB0E444" w:tentative="1">
      <w:start w:val="1"/>
      <w:numFmt w:val="lowerLetter"/>
      <w:lvlText w:val="%8."/>
      <w:lvlJc w:val="left"/>
      <w:pPr>
        <w:tabs>
          <w:tab w:val="num" w:pos="5760"/>
        </w:tabs>
        <w:ind w:left="5760" w:hanging="360"/>
      </w:pPr>
    </w:lvl>
    <w:lvl w:ilvl="8" w:tplc="A1C823E8" w:tentative="1">
      <w:start w:val="1"/>
      <w:numFmt w:val="lowerRoman"/>
      <w:lvlText w:val="%9."/>
      <w:lvlJc w:val="right"/>
      <w:pPr>
        <w:tabs>
          <w:tab w:val="num" w:pos="6480"/>
        </w:tabs>
        <w:ind w:left="6480" w:hanging="180"/>
      </w:pPr>
    </w:lvl>
  </w:abstractNum>
  <w:abstractNum w:abstractNumId="14" w15:restartNumberingAfterBreak="0">
    <w:nsid w:val="202A2546"/>
    <w:multiLevelType w:val="hybridMultilevel"/>
    <w:tmpl w:val="48DEC824"/>
    <w:lvl w:ilvl="0" w:tplc="DA70B2D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4887C29"/>
    <w:multiLevelType w:val="hybridMultilevel"/>
    <w:tmpl w:val="03FE9A88"/>
    <w:lvl w:ilvl="0" w:tplc="4940AF6E">
      <w:start w:val="1"/>
      <w:numFmt w:val="decimal"/>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ACF4EB2"/>
    <w:multiLevelType w:val="hybridMultilevel"/>
    <w:tmpl w:val="AEE66106"/>
    <w:lvl w:ilvl="0" w:tplc="61685512">
      <w:start w:val="1"/>
      <w:numFmt w:val="bullet"/>
      <w:pStyle w:val="Bullet2G"/>
      <w:lvlText w:val="•"/>
      <w:lvlJc w:val="left"/>
      <w:pPr>
        <w:tabs>
          <w:tab w:val="num" w:pos="2268"/>
        </w:tabs>
        <w:ind w:left="2268" w:hanging="170"/>
      </w:pPr>
      <w:rPr>
        <w:rFonts w:ascii="Times New Roman" w:hAnsi="Times New Roman" w:cs="Times New Roman" w:hint="default"/>
      </w:rPr>
    </w:lvl>
    <w:lvl w:ilvl="1" w:tplc="07B61F04" w:tentative="1">
      <w:start w:val="1"/>
      <w:numFmt w:val="bullet"/>
      <w:lvlText w:val="o"/>
      <w:lvlJc w:val="left"/>
      <w:pPr>
        <w:tabs>
          <w:tab w:val="num" w:pos="3708"/>
        </w:tabs>
        <w:ind w:left="3708" w:hanging="360"/>
      </w:pPr>
      <w:rPr>
        <w:rFonts w:ascii="Courier New" w:hAnsi="Courier New" w:hint="default"/>
      </w:rPr>
    </w:lvl>
    <w:lvl w:ilvl="2" w:tplc="45EE30E2" w:tentative="1">
      <w:start w:val="1"/>
      <w:numFmt w:val="bullet"/>
      <w:lvlText w:val=""/>
      <w:lvlJc w:val="left"/>
      <w:pPr>
        <w:tabs>
          <w:tab w:val="num" w:pos="4428"/>
        </w:tabs>
        <w:ind w:left="4428" w:hanging="360"/>
      </w:pPr>
      <w:rPr>
        <w:rFonts w:ascii="Wingdings" w:hAnsi="Wingdings" w:hint="default"/>
      </w:rPr>
    </w:lvl>
    <w:lvl w:ilvl="3" w:tplc="A448F03E" w:tentative="1">
      <w:start w:val="1"/>
      <w:numFmt w:val="bullet"/>
      <w:lvlText w:val=""/>
      <w:lvlJc w:val="left"/>
      <w:pPr>
        <w:tabs>
          <w:tab w:val="num" w:pos="5148"/>
        </w:tabs>
        <w:ind w:left="5148" w:hanging="360"/>
      </w:pPr>
      <w:rPr>
        <w:rFonts w:ascii="Symbol" w:hAnsi="Symbol" w:hint="default"/>
      </w:rPr>
    </w:lvl>
    <w:lvl w:ilvl="4" w:tplc="357A0C8E" w:tentative="1">
      <w:start w:val="1"/>
      <w:numFmt w:val="bullet"/>
      <w:lvlText w:val="o"/>
      <w:lvlJc w:val="left"/>
      <w:pPr>
        <w:tabs>
          <w:tab w:val="num" w:pos="5868"/>
        </w:tabs>
        <w:ind w:left="5868" w:hanging="360"/>
      </w:pPr>
      <w:rPr>
        <w:rFonts w:ascii="Courier New" w:hAnsi="Courier New" w:hint="default"/>
      </w:rPr>
    </w:lvl>
    <w:lvl w:ilvl="5" w:tplc="E93419FC" w:tentative="1">
      <w:start w:val="1"/>
      <w:numFmt w:val="bullet"/>
      <w:lvlText w:val=""/>
      <w:lvlJc w:val="left"/>
      <w:pPr>
        <w:tabs>
          <w:tab w:val="num" w:pos="6588"/>
        </w:tabs>
        <w:ind w:left="6588" w:hanging="360"/>
      </w:pPr>
      <w:rPr>
        <w:rFonts w:ascii="Wingdings" w:hAnsi="Wingdings" w:hint="default"/>
      </w:rPr>
    </w:lvl>
    <w:lvl w:ilvl="6" w:tplc="4C282718" w:tentative="1">
      <w:start w:val="1"/>
      <w:numFmt w:val="bullet"/>
      <w:lvlText w:val=""/>
      <w:lvlJc w:val="left"/>
      <w:pPr>
        <w:tabs>
          <w:tab w:val="num" w:pos="7308"/>
        </w:tabs>
        <w:ind w:left="7308" w:hanging="360"/>
      </w:pPr>
      <w:rPr>
        <w:rFonts w:ascii="Symbol" w:hAnsi="Symbol" w:hint="default"/>
      </w:rPr>
    </w:lvl>
    <w:lvl w:ilvl="7" w:tplc="05D895AE" w:tentative="1">
      <w:start w:val="1"/>
      <w:numFmt w:val="bullet"/>
      <w:lvlText w:val="o"/>
      <w:lvlJc w:val="left"/>
      <w:pPr>
        <w:tabs>
          <w:tab w:val="num" w:pos="8028"/>
        </w:tabs>
        <w:ind w:left="8028" w:hanging="360"/>
      </w:pPr>
      <w:rPr>
        <w:rFonts w:ascii="Courier New" w:hAnsi="Courier New" w:hint="default"/>
      </w:rPr>
    </w:lvl>
    <w:lvl w:ilvl="8" w:tplc="C8307E88"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9F461A1"/>
    <w:multiLevelType w:val="hybridMultilevel"/>
    <w:tmpl w:val="3FD8903E"/>
    <w:lvl w:ilvl="0" w:tplc="4940AF6E">
      <w:start w:val="1"/>
      <w:numFmt w:val="decimal"/>
      <w:lvlText w:val="%1."/>
      <w:lvlJc w:val="left"/>
      <w:pPr>
        <w:ind w:left="2574" w:hanging="360"/>
      </w:pPr>
      <w:rPr>
        <w:rFonts w:hint="default"/>
      </w:rPr>
    </w:lvl>
    <w:lvl w:ilvl="1" w:tplc="08090019">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8" w15:restartNumberingAfterBreak="0">
    <w:nsid w:val="5F532B69"/>
    <w:multiLevelType w:val="hybridMultilevel"/>
    <w:tmpl w:val="AA449386"/>
    <w:lvl w:ilvl="0" w:tplc="93ACB3D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94684B"/>
    <w:multiLevelType w:val="hybridMultilevel"/>
    <w:tmpl w:val="8F4A73EA"/>
    <w:lvl w:ilvl="0" w:tplc="09EE50B4">
      <w:start w:val="1"/>
      <w:numFmt w:val="upperRoman"/>
      <w:lvlText w:val="%1."/>
      <w:lvlJc w:val="left"/>
      <w:pPr>
        <w:ind w:left="1494" w:hanging="360"/>
      </w:pPr>
      <w:rPr>
        <w:rFonts w:eastAsiaTheme="minorHAnsi" w:hint="default"/>
        <w:sz w:val="24"/>
        <w:szCs w:val="24"/>
      </w:rPr>
    </w:lvl>
    <w:lvl w:ilvl="1" w:tplc="9EEC619C">
      <w:start w:val="1"/>
      <w:numFmt w:val="decimal"/>
      <w:lvlText w:val="%2."/>
      <w:lvlJc w:val="left"/>
      <w:pPr>
        <w:ind w:left="2424" w:hanging="57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68AD07B2"/>
    <w:multiLevelType w:val="hybridMultilevel"/>
    <w:tmpl w:val="CD0865AA"/>
    <w:lvl w:ilvl="0" w:tplc="84A646F2">
      <w:start w:val="1"/>
      <w:numFmt w:val="bullet"/>
      <w:pStyle w:val="Bullet1G"/>
      <w:lvlText w:val="•"/>
      <w:lvlJc w:val="left"/>
      <w:pPr>
        <w:tabs>
          <w:tab w:val="num" w:pos="1701"/>
        </w:tabs>
        <w:ind w:left="1701" w:hanging="170"/>
      </w:pPr>
      <w:rPr>
        <w:rFonts w:ascii="Times New Roman" w:hAnsi="Times New Roman" w:cs="Times New Roman" w:hint="default"/>
      </w:rPr>
    </w:lvl>
    <w:lvl w:ilvl="1" w:tplc="0C683F66" w:tentative="1">
      <w:start w:val="1"/>
      <w:numFmt w:val="bullet"/>
      <w:lvlText w:val="o"/>
      <w:lvlJc w:val="left"/>
      <w:pPr>
        <w:tabs>
          <w:tab w:val="num" w:pos="3141"/>
        </w:tabs>
        <w:ind w:left="3141" w:hanging="360"/>
      </w:pPr>
      <w:rPr>
        <w:rFonts w:ascii="Courier New" w:hAnsi="Courier New" w:hint="default"/>
      </w:rPr>
    </w:lvl>
    <w:lvl w:ilvl="2" w:tplc="77126868" w:tentative="1">
      <w:start w:val="1"/>
      <w:numFmt w:val="bullet"/>
      <w:lvlText w:val=""/>
      <w:lvlJc w:val="left"/>
      <w:pPr>
        <w:tabs>
          <w:tab w:val="num" w:pos="3861"/>
        </w:tabs>
        <w:ind w:left="3861" w:hanging="360"/>
      </w:pPr>
      <w:rPr>
        <w:rFonts w:ascii="Wingdings" w:hAnsi="Wingdings" w:hint="default"/>
      </w:rPr>
    </w:lvl>
    <w:lvl w:ilvl="3" w:tplc="F00C8538" w:tentative="1">
      <w:start w:val="1"/>
      <w:numFmt w:val="bullet"/>
      <w:lvlText w:val=""/>
      <w:lvlJc w:val="left"/>
      <w:pPr>
        <w:tabs>
          <w:tab w:val="num" w:pos="4581"/>
        </w:tabs>
        <w:ind w:left="4581" w:hanging="360"/>
      </w:pPr>
      <w:rPr>
        <w:rFonts w:ascii="Symbol" w:hAnsi="Symbol" w:hint="default"/>
      </w:rPr>
    </w:lvl>
    <w:lvl w:ilvl="4" w:tplc="165C31A4" w:tentative="1">
      <w:start w:val="1"/>
      <w:numFmt w:val="bullet"/>
      <w:lvlText w:val="o"/>
      <w:lvlJc w:val="left"/>
      <w:pPr>
        <w:tabs>
          <w:tab w:val="num" w:pos="5301"/>
        </w:tabs>
        <w:ind w:left="5301" w:hanging="360"/>
      </w:pPr>
      <w:rPr>
        <w:rFonts w:ascii="Courier New" w:hAnsi="Courier New" w:hint="default"/>
      </w:rPr>
    </w:lvl>
    <w:lvl w:ilvl="5" w:tplc="C0BA2FFA" w:tentative="1">
      <w:start w:val="1"/>
      <w:numFmt w:val="bullet"/>
      <w:lvlText w:val=""/>
      <w:lvlJc w:val="left"/>
      <w:pPr>
        <w:tabs>
          <w:tab w:val="num" w:pos="6021"/>
        </w:tabs>
        <w:ind w:left="6021" w:hanging="360"/>
      </w:pPr>
      <w:rPr>
        <w:rFonts w:ascii="Wingdings" w:hAnsi="Wingdings" w:hint="default"/>
      </w:rPr>
    </w:lvl>
    <w:lvl w:ilvl="6" w:tplc="0E868284" w:tentative="1">
      <w:start w:val="1"/>
      <w:numFmt w:val="bullet"/>
      <w:lvlText w:val=""/>
      <w:lvlJc w:val="left"/>
      <w:pPr>
        <w:tabs>
          <w:tab w:val="num" w:pos="6741"/>
        </w:tabs>
        <w:ind w:left="6741" w:hanging="360"/>
      </w:pPr>
      <w:rPr>
        <w:rFonts w:ascii="Symbol" w:hAnsi="Symbol" w:hint="default"/>
      </w:rPr>
    </w:lvl>
    <w:lvl w:ilvl="7" w:tplc="8D988068" w:tentative="1">
      <w:start w:val="1"/>
      <w:numFmt w:val="bullet"/>
      <w:lvlText w:val="o"/>
      <w:lvlJc w:val="left"/>
      <w:pPr>
        <w:tabs>
          <w:tab w:val="num" w:pos="7461"/>
        </w:tabs>
        <w:ind w:left="7461" w:hanging="360"/>
      </w:pPr>
      <w:rPr>
        <w:rFonts w:ascii="Courier New" w:hAnsi="Courier New" w:hint="default"/>
      </w:rPr>
    </w:lvl>
    <w:lvl w:ilvl="8" w:tplc="AD9270C4"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39E5487"/>
    <w:multiLevelType w:val="hybridMultilevel"/>
    <w:tmpl w:val="429CD430"/>
    <w:lvl w:ilvl="0" w:tplc="FFFFFFFF">
      <w:start w:val="1"/>
      <w:numFmt w:val="decimal"/>
      <w:lvlText w:val="%1."/>
      <w:lvlJc w:val="left"/>
      <w:pPr>
        <w:ind w:left="1854" w:hanging="360"/>
      </w:pPr>
      <w:rPr>
        <w:rFonts w:hint="default"/>
      </w:rPr>
    </w:lvl>
    <w:lvl w:ilvl="1" w:tplc="4940AF6E">
      <w:start w:val="1"/>
      <w:numFmt w:val="decimal"/>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757727F5"/>
    <w:multiLevelType w:val="hybridMultilevel"/>
    <w:tmpl w:val="0966D71E"/>
    <w:lvl w:ilvl="0" w:tplc="0D9EEA7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3D3C98"/>
    <w:multiLevelType w:val="hybridMultilevel"/>
    <w:tmpl w:val="7C705F2C"/>
    <w:lvl w:ilvl="0" w:tplc="752C8C1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674064629">
    <w:abstractNumId w:val="20"/>
  </w:num>
  <w:num w:numId="2" w16cid:durableId="507673699">
    <w:abstractNumId w:val="16"/>
  </w:num>
  <w:num w:numId="3" w16cid:durableId="822548244">
    <w:abstractNumId w:val="13"/>
  </w:num>
  <w:num w:numId="4" w16cid:durableId="8216044">
    <w:abstractNumId w:val="8"/>
  </w:num>
  <w:num w:numId="5" w16cid:durableId="1684623917">
    <w:abstractNumId w:val="3"/>
  </w:num>
  <w:num w:numId="6" w16cid:durableId="205727657">
    <w:abstractNumId w:val="2"/>
  </w:num>
  <w:num w:numId="7" w16cid:durableId="869033199">
    <w:abstractNumId w:val="1"/>
  </w:num>
  <w:num w:numId="8" w16cid:durableId="1080519425">
    <w:abstractNumId w:val="0"/>
  </w:num>
  <w:num w:numId="9" w16cid:durableId="2019649079">
    <w:abstractNumId w:val="9"/>
  </w:num>
  <w:num w:numId="10" w16cid:durableId="961613223">
    <w:abstractNumId w:val="7"/>
  </w:num>
  <w:num w:numId="11" w16cid:durableId="617302593">
    <w:abstractNumId w:val="6"/>
  </w:num>
  <w:num w:numId="12" w16cid:durableId="547299266">
    <w:abstractNumId w:val="5"/>
  </w:num>
  <w:num w:numId="13" w16cid:durableId="729573627">
    <w:abstractNumId w:val="4"/>
  </w:num>
  <w:num w:numId="14" w16cid:durableId="1059791020">
    <w:abstractNumId w:val="20"/>
  </w:num>
  <w:num w:numId="15" w16cid:durableId="1637565362">
    <w:abstractNumId w:val="16"/>
  </w:num>
  <w:num w:numId="16" w16cid:durableId="36466273">
    <w:abstractNumId w:val="13"/>
  </w:num>
  <w:num w:numId="17" w16cid:durableId="1894847171">
    <w:abstractNumId w:val="12"/>
  </w:num>
  <w:num w:numId="18" w16cid:durableId="1387408753">
    <w:abstractNumId w:val="22"/>
  </w:num>
  <w:num w:numId="19" w16cid:durableId="956564953">
    <w:abstractNumId w:val="11"/>
  </w:num>
  <w:num w:numId="20" w16cid:durableId="553858726">
    <w:abstractNumId w:val="18"/>
  </w:num>
  <w:num w:numId="21" w16cid:durableId="317731794">
    <w:abstractNumId w:val="19"/>
  </w:num>
  <w:num w:numId="22" w16cid:durableId="1265456332">
    <w:abstractNumId w:val="14"/>
  </w:num>
  <w:num w:numId="23" w16cid:durableId="1862890384">
    <w:abstractNumId w:val="23"/>
  </w:num>
  <w:num w:numId="24" w16cid:durableId="473375085">
    <w:abstractNumId w:val="10"/>
  </w:num>
  <w:num w:numId="25" w16cid:durableId="404842837">
    <w:abstractNumId w:val="21"/>
  </w:num>
  <w:num w:numId="26" w16cid:durableId="1127892630">
    <w:abstractNumId w:val="15"/>
  </w:num>
  <w:num w:numId="27" w16cid:durableId="6119374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9D5"/>
    <w:rsid w:val="00006BF0"/>
    <w:rsid w:val="00027C80"/>
    <w:rsid w:val="000332BD"/>
    <w:rsid w:val="00034384"/>
    <w:rsid w:val="00044A08"/>
    <w:rsid w:val="00064D87"/>
    <w:rsid w:val="000731CB"/>
    <w:rsid w:val="00074AF4"/>
    <w:rsid w:val="000857F9"/>
    <w:rsid w:val="00095065"/>
    <w:rsid w:val="000D2D65"/>
    <w:rsid w:val="000E07F1"/>
    <w:rsid w:val="000E0F0D"/>
    <w:rsid w:val="000F29FE"/>
    <w:rsid w:val="00103127"/>
    <w:rsid w:val="0011170A"/>
    <w:rsid w:val="00114746"/>
    <w:rsid w:val="00164296"/>
    <w:rsid w:val="00165A6A"/>
    <w:rsid w:val="001858C1"/>
    <w:rsid w:val="001A5BA6"/>
    <w:rsid w:val="001D0C62"/>
    <w:rsid w:val="001E435B"/>
    <w:rsid w:val="001E4E34"/>
    <w:rsid w:val="001F39D5"/>
    <w:rsid w:val="0021326C"/>
    <w:rsid w:val="00214575"/>
    <w:rsid w:val="00223A5E"/>
    <w:rsid w:val="00242211"/>
    <w:rsid w:val="002D49BC"/>
    <w:rsid w:val="003216D6"/>
    <w:rsid w:val="00336480"/>
    <w:rsid w:val="00346E72"/>
    <w:rsid w:val="003473C5"/>
    <w:rsid w:val="00361C89"/>
    <w:rsid w:val="00387DC7"/>
    <w:rsid w:val="00391305"/>
    <w:rsid w:val="00391576"/>
    <w:rsid w:val="0041236D"/>
    <w:rsid w:val="00413B66"/>
    <w:rsid w:val="004365C3"/>
    <w:rsid w:val="0044346F"/>
    <w:rsid w:val="004552DE"/>
    <w:rsid w:val="00462B85"/>
    <w:rsid w:val="004914E3"/>
    <w:rsid w:val="004C36D1"/>
    <w:rsid w:val="004C61EA"/>
    <w:rsid w:val="004C6E26"/>
    <w:rsid w:val="004D6D1C"/>
    <w:rsid w:val="005572D2"/>
    <w:rsid w:val="00580ED1"/>
    <w:rsid w:val="00585660"/>
    <w:rsid w:val="005A554D"/>
    <w:rsid w:val="005C09B0"/>
    <w:rsid w:val="005E1C46"/>
    <w:rsid w:val="005F6115"/>
    <w:rsid w:val="00620B29"/>
    <w:rsid w:val="00621AD4"/>
    <w:rsid w:val="0062750C"/>
    <w:rsid w:val="00641ADE"/>
    <w:rsid w:val="00674E68"/>
    <w:rsid w:val="006F16D4"/>
    <w:rsid w:val="006F4CA9"/>
    <w:rsid w:val="00710FED"/>
    <w:rsid w:val="0071593D"/>
    <w:rsid w:val="007C465A"/>
    <w:rsid w:val="007E38B3"/>
    <w:rsid w:val="00854DD3"/>
    <w:rsid w:val="0086492F"/>
    <w:rsid w:val="0088491A"/>
    <w:rsid w:val="008B4285"/>
    <w:rsid w:val="008D40EA"/>
    <w:rsid w:val="008F7603"/>
    <w:rsid w:val="008F7F8E"/>
    <w:rsid w:val="0091038D"/>
    <w:rsid w:val="00930E93"/>
    <w:rsid w:val="00935887"/>
    <w:rsid w:val="00937BAB"/>
    <w:rsid w:val="00942C3C"/>
    <w:rsid w:val="00963AE4"/>
    <w:rsid w:val="00987072"/>
    <w:rsid w:val="009C3E38"/>
    <w:rsid w:val="009D73DA"/>
    <w:rsid w:val="009E28F3"/>
    <w:rsid w:val="00A526B5"/>
    <w:rsid w:val="00A632BE"/>
    <w:rsid w:val="00A70D9D"/>
    <w:rsid w:val="00A77849"/>
    <w:rsid w:val="00AB2551"/>
    <w:rsid w:val="00AD337A"/>
    <w:rsid w:val="00AE3BA2"/>
    <w:rsid w:val="00B3294B"/>
    <w:rsid w:val="00B417B4"/>
    <w:rsid w:val="00B4216B"/>
    <w:rsid w:val="00B4691E"/>
    <w:rsid w:val="00B62818"/>
    <w:rsid w:val="00B62AF4"/>
    <w:rsid w:val="00B62B60"/>
    <w:rsid w:val="00B649C0"/>
    <w:rsid w:val="00B70541"/>
    <w:rsid w:val="00BF57BE"/>
    <w:rsid w:val="00C05B72"/>
    <w:rsid w:val="00C21C9E"/>
    <w:rsid w:val="00C43AA8"/>
    <w:rsid w:val="00C55BBA"/>
    <w:rsid w:val="00C6708A"/>
    <w:rsid w:val="00C73A99"/>
    <w:rsid w:val="00C97105"/>
    <w:rsid w:val="00CD0349"/>
    <w:rsid w:val="00CD449C"/>
    <w:rsid w:val="00CF1F1D"/>
    <w:rsid w:val="00D303EF"/>
    <w:rsid w:val="00D972F9"/>
    <w:rsid w:val="00E46558"/>
    <w:rsid w:val="00E75FD1"/>
    <w:rsid w:val="00E81D08"/>
    <w:rsid w:val="00EA3942"/>
    <w:rsid w:val="00EC3B51"/>
    <w:rsid w:val="00EE5E31"/>
    <w:rsid w:val="00EF5AAF"/>
    <w:rsid w:val="00F35483"/>
    <w:rsid w:val="00F469F5"/>
    <w:rsid w:val="00F55540"/>
    <w:rsid w:val="00F70AA3"/>
    <w:rsid w:val="00FB2CEC"/>
    <w:rsid w:val="00FC36E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FC9AE3"/>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9B0"/>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641ADE"/>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641ADE"/>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641ADE"/>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641ADE"/>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641ADE"/>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641ADE"/>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B3294B"/>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uiPriority w:val="99"/>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eastAsiaTheme="minorEastAsia" w:hAnsi="Times New Roman" w:cs="Times New Roman"/>
      <w:sz w:val="20"/>
      <w:szCs w:val="20"/>
      <w:lang w:eastAsia="zh-CN"/>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paragraph" w:styleId="Paragraphedeliste">
    <w:name w:val="List Paragraph"/>
    <w:basedOn w:val="Normal"/>
    <w:uiPriority w:val="34"/>
    <w:qFormat/>
    <w:rsid w:val="00C05B72"/>
    <w:pPr>
      <w:suppressAutoHyphens w:val="0"/>
      <w:kinsoku/>
      <w:overflowPunct/>
      <w:autoSpaceDE/>
      <w:autoSpaceDN/>
      <w:adjustRightInd/>
      <w:snapToGrid/>
      <w:spacing w:line="240" w:lineRule="auto"/>
      <w:ind w:left="720"/>
      <w:contextualSpacing/>
    </w:pPr>
    <w:rPr>
      <w:sz w:val="24"/>
      <w:szCs w:val="24"/>
      <w:lang w:val="en-US"/>
    </w:rPr>
  </w:style>
  <w:style w:type="character" w:styleId="Mentionnonrsolue">
    <w:name w:val="Unresolved Mention"/>
    <w:basedOn w:val="Policepardfaut"/>
    <w:uiPriority w:val="99"/>
    <w:semiHidden/>
    <w:unhideWhenUsed/>
    <w:rsid w:val="00937BAB"/>
    <w:rPr>
      <w:color w:val="605E5C"/>
      <w:shd w:val="clear" w:color="auto" w:fill="E1DFDD"/>
    </w:rPr>
  </w:style>
  <w:style w:type="paragraph" w:styleId="Rvision">
    <w:name w:val="Revision"/>
    <w:hidden/>
    <w:uiPriority w:val="99"/>
    <w:semiHidden/>
    <w:rsid w:val="00164296"/>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egilux.public.lu/eli/etat/leg/code/penal"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legilux.public.lu/eli/etat/leg/loi/2023/08/07/a520/jo" TargetMode="External"/><Relationship Id="rId2" Type="http://schemas.openxmlformats.org/officeDocument/2006/relationships/hyperlink" Target="http://data.legilux.public.lu/eli/etat/leg/loi/2003/09/08/n1/jo" TargetMode="External"/><Relationship Id="rId1" Type="http://schemas.openxmlformats.org/officeDocument/2006/relationships/hyperlink" Target="https://legilux.public.lu/eli/etat/leg/loi/2023/02/03/a81/j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599D31-F906-4F2A-9C47-39E02771EA65}">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2.xml><?xml version="1.0" encoding="utf-8"?>
<ds:datastoreItem xmlns:ds="http://schemas.openxmlformats.org/officeDocument/2006/customXml" ds:itemID="{3C0FC289-160C-44E9-8BA1-3B4BB105596E}">
  <ds:schemaRefs>
    <ds:schemaRef ds:uri="http://schemas.openxmlformats.org/officeDocument/2006/bibliography"/>
  </ds:schemaRefs>
</ds:datastoreItem>
</file>

<file path=customXml/itemProps3.xml><?xml version="1.0" encoding="utf-8"?>
<ds:datastoreItem xmlns:ds="http://schemas.openxmlformats.org/officeDocument/2006/customXml" ds:itemID="{836560F1-E715-4F30-A452-AA97D5BFD808}">
  <ds:schemaRefs>
    <ds:schemaRef ds:uri="http://schemas.microsoft.com/sharepoint/v3/contenttype/forms"/>
  </ds:schemaRefs>
</ds:datastoreItem>
</file>

<file path=customXml/itemProps4.xml><?xml version="1.0" encoding="utf-8"?>
<ds:datastoreItem xmlns:ds="http://schemas.openxmlformats.org/officeDocument/2006/customXml" ds:itemID="{42A011E5-5230-4CB6-A35F-41B9858037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2276</Words>
  <Characters>12098</Characters>
  <Application>Microsoft Office Word</Application>
  <DocSecurity>0</DocSecurity>
  <Lines>196</Lines>
  <Paragraphs>50</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a/hthhhh</vt:lpstr>
      <vt:lpstr>a/hthhhh</vt:lpstr>
    </vt:vector>
  </TitlesOfParts>
  <Company>DCM</Company>
  <LinksUpToDate>false</LinksUpToDate>
  <CharactersWithSpaces>14356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CAT/C/LUX/FCO/8</dc:title>
  <dc:subject/>
  <dc:creator>Gloria</dc:creator>
  <cp:keywords/>
  <cp:lastModifiedBy>Christine Chautagnat</cp:lastModifiedBy>
  <cp:revision>3</cp:revision>
  <cp:lastPrinted>2024-12-03T13:09:00Z</cp:lastPrinted>
  <dcterms:created xsi:type="dcterms:W3CDTF">2024-12-03T13:09:00Z</dcterms:created>
  <dcterms:modified xsi:type="dcterms:W3CDTF">2024-12-03T13:09:00Z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0x010100F6C8A26EFEF88B48B35F38778DBC3EF6</vt:lpwstr>
  </property>
  <property fmtid="{D5CDD505-2E9C-101B-9397-08002B2CF9AE}" pid="8" name="count">
    <vt:lpwstr>du Luxembourg</vt:lpwstr>
  </property>
  <property fmtid="{D5CDD505-2E9C-101B-9397-08002B2CF9AE}" pid="9" name="countw">
    <vt:lpwstr>Luxembourg</vt:lpwstr>
  </property>
  <property fmtid="{D5CDD505-2E9C-101B-9397-08002B2CF9AE}" pid="10" name="countwd">
    <vt:lpwstr>le Luxembourg</vt:lpwstr>
  </property>
  <property fmtid="{D5CDD505-2E9C-101B-9397-08002B2CF9AE}" pid="11" name="date">
    <vt:lpwstr>1ᵉʳ octobre 2024</vt:lpwstr>
  </property>
  <property fmtid="{D5CDD505-2E9C-101B-9397-08002B2CF9AE}" pid="12" name="Date-Generated">
    <vt:filetime>2024-10-14T13:46:07Z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français</vt:lpwstr>
  </property>
  <property fmtid="{D5CDD505-2E9C-101B-9397-08002B2CF9AE}" pid="21" name="Order">
    <vt:r8>186200</vt:r8>
  </property>
  <property fmtid="{D5CDD505-2E9C-101B-9397-08002B2CF9AE}" pid="22" name="Org">
    <vt:lpwstr>OHCHR</vt:lpwstr>
  </property>
  <property fmtid="{D5CDD505-2E9C-101B-9397-08002B2CF9AE}" pid="23" name="prep">
    <vt:lpwstr>huitième rapport périodique du Luxembourg</vt:lpwstr>
  </property>
  <property fmtid="{D5CDD505-2E9C-101B-9397-08002B2CF9AE}" pid="24" name="preps">
    <vt:lpwstr>huitième rapport périodique du Luxembourg</vt:lpwstr>
  </property>
  <property fmtid="{D5CDD505-2E9C-101B-9397-08002B2CF9AE}" pid="25" name="prepw">
    <vt:lpwstr>huitième rapport périodique</vt:lpwstr>
  </property>
  <property fmtid="{D5CDD505-2E9C-101B-9397-08002B2CF9AE}" pid="26" name="prepwc">
    <vt:lpwstr>Huitième rapport périodique </vt:lpwstr>
  </property>
  <property fmtid="{D5CDD505-2E9C-101B-9397-08002B2CF9AE}" pid="27" name="prepws">
    <vt:lpwstr>huitième rapport périodique</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C/LUX/FCO/8</vt:lpwstr>
  </property>
  <property fmtid="{D5CDD505-2E9C-101B-9397-08002B2CF9AE}" pid="33" name="symh">
    <vt:lpwstr>CAT/C/LUX/FCO/8</vt:lpwstr>
  </property>
  <property fmtid="{D5CDD505-2E9C-101B-9397-08002B2CF9AE}" pid="34" name="Title">
    <vt:lpwstr>CAT/C/LUX/FCO/8</vt:lpwstr>
  </property>
  <property fmtid="{D5CDD505-2E9C-101B-9397-08002B2CF9AE}" pid="35" name="tlang">
    <vt:lpwstr/>
  </property>
  <property fmtid="{D5CDD505-2E9C-101B-9397-08002B2CF9AE}" pid="36" name="virs">
    <vt:lpwstr>Anglais, espagnol et français seulement</vt:lpwstr>
  </property>
</Properties>
</file>