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F5E" w:rsidRDefault="00B75F5E" w:rsidP="00B75F5E">
      <w:pPr>
        <w:spacing w:line="60" w:lineRule="exact"/>
        <w:sectPr w:rsidR="00B75F5E" w:rsidSect="00B75F5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8Size =1Lang = C"/>
            <w10:wrap anchorx="page" anchory="page"/>
          </v:shape>
        </w:pict>
      </w:r>
      <w:commentRangeEnd w:id="0"/>
      <w:r>
        <w:rPr>
          <w:rStyle w:val="CommentReference"/>
        </w:rPr>
        <w:commentReference w:id="0"/>
      </w:r>
    </w:p>
    <w:p w:rsidR="00B75F5E" w:rsidRDefault="00B75F5E" w:rsidP="00B75F5E">
      <w:pPr>
        <w:spacing w:line="60" w:lineRule="exact"/>
      </w:pPr>
    </w:p>
    <w:p w:rsidR="003551D5" w:rsidRDefault="003551D5" w:rsidP="003551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3551D5" w:rsidRPr="003551D5" w:rsidRDefault="003551D5" w:rsidP="003551D5">
      <w:pPr>
        <w:pStyle w:val="SingleTxt"/>
        <w:spacing w:after="0" w:line="120" w:lineRule="exact"/>
        <w:rPr>
          <w:sz w:val="10"/>
        </w:rPr>
      </w:pPr>
    </w:p>
    <w:p w:rsidR="003551D5" w:rsidRPr="003551D5" w:rsidRDefault="003551D5" w:rsidP="003551D5">
      <w:pPr>
        <w:pStyle w:val="SingleTxt"/>
        <w:spacing w:after="0" w:line="120" w:lineRule="exact"/>
        <w:rPr>
          <w:sz w:val="10"/>
        </w:rPr>
      </w:pPr>
    </w:p>
    <w:p w:rsidR="003551D5" w:rsidRDefault="003551D5" w:rsidP="00355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与秘鲁第七和第八次合并定期报告有关的议题和问题清单</w:t>
      </w:r>
      <w:r w:rsidRPr="003551D5">
        <w:rPr>
          <w:rFonts w:hint="eastAsia"/>
          <w:vertAlign w:val="superscript"/>
        </w:rPr>
        <w:t>*</w:t>
      </w:r>
    </w:p>
    <w:p w:rsidR="003551D5" w:rsidRPr="003551D5" w:rsidRDefault="003551D5" w:rsidP="003551D5">
      <w:pPr>
        <w:pStyle w:val="SingleTxt"/>
        <w:spacing w:after="0" w:line="120" w:lineRule="exact"/>
        <w:rPr>
          <w:sz w:val="10"/>
        </w:rPr>
      </w:pPr>
    </w:p>
    <w:p w:rsidR="003551D5" w:rsidRPr="003551D5" w:rsidRDefault="003551D5" w:rsidP="003551D5">
      <w:pPr>
        <w:pStyle w:val="SingleTxt"/>
        <w:spacing w:after="0" w:line="120" w:lineRule="exact"/>
        <w:rPr>
          <w:sz w:val="10"/>
        </w:rPr>
      </w:pPr>
    </w:p>
    <w:p w:rsidR="003551D5" w:rsidRPr="009926CA" w:rsidRDefault="003551D5" w:rsidP="003551D5">
      <w:pPr>
        <w:pStyle w:val="SingleTxt"/>
        <w:rPr>
          <w:rFonts w:ascii="SimHei" w:eastAsia="SimHei"/>
        </w:rPr>
      </w:pPr>
      <w:r w:rsidRPr="009926CA">
        <w:rPr>
          <w:rFonts w:ascii="SimHei" w:eastAsia="SimHei" w:hint="eastAsia"/>
        </w:rPr>
        <w:t>宪法、立法和体制框架</w:t>
      </w:r>
    </w:p>
    <w:p w:rsidR="003551D5" w:rsidRDefault="003551D5" w:rsidP="003551D5">
      <w:pPr>
        <w:pStyle w:val="SingleTxt"/>
        <w:rPr>
          <w:rFonts w:hint="eastAsia"/>
        </w:rPr>
      </w:pPr>
      <w:r>
        <w:rPr>
          <w:rFonts w:hint="eastAsia"/>
        </w:rPr>
        <w:t>1.</w:t>
      </w:r>
      <w:r>
        <w:rPr>
          <w:rFonts w:hint="eastAsia"/>
        </w:rPr>
        <w:tab/>
        <w:t>报告指出，在2009年就两性平等向国会提交三项法案，而在2011年则就妇女选举配额提出另一项法案(第29和第30段)。</w:t>
      </w:r>
      <w:r>
        <w:rPr>
          <w:rStyle w:val="FootnoteReference"/>
        </w:rPr>
        <w:footnoteReference w:id="1"/>
      </w:r>
      <w:r>
        <w:t xml:space="preserve"> </w:t>
      </w:r>
      <w:r>
        <w:rPr>
          <w:rFonts w:hint="eastAsia"/>
        </w:rPr>
        <w:t>请就这些法案的最新情况提供信息。同时请就提交报告以来所采取的任何其他立法措施，以及缔约国不同层次的政治组织的协调所采取措施，提供的最新信息。</w:t>
      </w:r>
    </w:p>
    <w:p w:rsidR="003551D5" w:rsidRDefault="003551D5" w:rsidP="003551D5">
      <w:pPr>
        <w:pStyle w:val="SingleTxt"/>
        <w:rPr>
          <w:rFonts w:hint="eastAsia"/>
        </w:rPr>
      </w:pPr>
      <w:r>
        <w:rPr>
          <w:rFonts w:hint="eastAsia"/>
        </w:rPr>
        <w:t>2.</w:t>
      </w:r>
      <w:r>
        <w:rPr>
          <w:rFonts w:hint="eastAsia"/>
        </w:rPr>
        <w:tab/>
        <w:t>报告称，缔约国通过两项妇女与男子享有平等机会的计划(第92段)，制定了秘鲁2021年计划(第18段)，而且在编写本报告时，正在制定性别平等计划(第92段)。报告表示，性别平等政策的落实因预算拨款不足受到阻碍(第95段)。请说明，这些计划是否受到评估和监测，如果是的话，请就所取得的成果提供信息。另外请就缔约国为实施性别平等政策而提高预算拨款所采取措施提供信息。请就性别平等计划的情况提供最新信息。请说明为确保妇女参与发展计划的制定和实施所采取措施。</w:t>
      </w:r>
    </w:p>
    <w:p w:rsidR="003551D5" w:rsidRDefault="003551D5" w:rsidP="003551D5">
      <w:pPr>
        <w:pStyle w:val="SingleTxt"/>
        <w:rPr>
          <w:rFonts w:hint="eastAsia"/>
        </w:rPr>
      </w:pPr>
      <w:r>
        <w:rPr>
          <w:rFonts w:hint="eastAsia"/>
        </w:rPr>
        <w:t>3.</w:t>
      </w:r>
      <w:r>
        <w:rPr>
          <w:rFonts w:hint="eastAsia"/>
        </w:rPr>
        <w:tab/>
        <w:t>报告指出，目前依然存在有关婚姻和家庭关系的一些歧视性规定，而且在编写本报告时，这些规定尚待审查(第98段)。请就修改各个领域歧视妇女的规定，尤其是婚姻和家庭关系、就业和残疾妇女状况方面的歧视规定，提供关于立法改革或审查过程的信息。</w:t>
      </w:r>
    </w:p>
    <w:p w:rsidR="003551D5" w:rsidRPr="009926CA" w:rsidRDefault="003551D5" w:rsidP="003551D5">
      <w:pPr>
        <w:pStyle w:val="SingleTxt"/>
        <w:rPr>
          <w:rFonts w:ascii="SimHei" w:eastAsia="SimHei" w:hint="eastAsia"/>
        </w:rPr>
      </w:pPr>
      <w:r w:rsidRPr="009926CA">
        <w:rPr>
          <w:rFonts w:ascii="SimHei" w:eastAsia="SimHei" w:hint="eastAsia"/>
        </w:rPr>
        <w:t>诉诸司法</w:t>
      </w:r>
    </w:p>
    <w:p w:rsidR="003551D5" w:rsidRDefault="003551D5" w:rsidP="003551D5">
      <w:pPr>
        <w:pStyle w:val="SingleTxt"/>
        <w:rPr>
          <w:rFonts w:hint="eastAsia"/>
        </w:rPr>
      </w:pPr>
      <w:r>
        <w:rPr>
          <w:rFonts w:hint="eastAsia"/>
        </w:rPr>
        <w:t>4.</w:t>
      </w:r>
      <w:r>
        <w:rPr>
          <w:rFonts w:hint="eastAsia"/>
        </w:rPr>
        <w:tab/>
        <w:t xml:space="preserve">报告确认，主要因为缺少司法方面培训以及关于性别的陈规定型观念(附件一)，妇女诉诸司法受到限制。请说明采取步骤制定战略和政策，以消除妇女在诉诸司法时所面临的体制、社会、经济和其他方面障碍的情况， </w:t>
      </w:r>
    </w:p>
    <w:p w:rsidR="003551D5" w:rsidRPr="009926CA" w:rsidRDefault="003551D5" w:rsidP="003551D5">
      <w:pPr>
        <w:pStyle w:val="SingleTxt"/>
        <w:rPr>
          <w:rFonts w:ascii="SimHei" w:eastAsia="SimHei" w:hint="eastAsia"/>
        </w:rPr>
      </w:pPr>
      <w:r w:rsidRPr="009926CA">
        <w:rPr>
          <w:rFonts w:ascii="SimHei" w:eastAsia="SimHei" w:hint="eastAsia"/>
        </w:rPr>
        <w:t>提高妇女地位的国家机制</w:t>
      </w:r>
    </w:p>
    <w:p w:rsidR="003551D5" w:rsidRDefault="003551D5" w:rsidP="009926CA">
      <w:pPr>
        <w:pStyle w:val="SingleTxt"/>
        <w:spacing w:line="340" w:lineRule="exact"/>
        <w:rPr>
          <w:rFonts w:hint="eastAsia"/>
        </w:rPr>
      </w:pPr>
      <w:r>
        <w:rPr>
          <w:rFonts w:hint="eastAsia"/>
        </w:rPr>
        <w:t>5.</w:t>
      </w:r>
      <w:r>
        <w:rPr>
          <w:rFonts w:hint="eastAsia"/>
        </w:rPr>
        <w:tab/>
        <w:t>报告指出，根据第1098号法令，妇女和弱势群体事务部是负责提高妇女地位的国家机制(第20段)。报告还指出，这方面的挑战包括：进一步加强该部的工作，男女平等政策的持续深入基层和在实施全面政策方面与各妇女组织的合作(第24段)。请详细说明该部的任务、人力和财力资源以及目前的性别构成。还请说明事务部监控对妇女歧视案件的情况，和制定评估提高妇女地位指标的情况。</w:t>
      </w:r>
    </w:p>
    <w:p w:rsidR="003551D5" w:rsidRDefault="003551D5" w:rsidP="003551D5">
      <w:pPr>
        <w:pStyle w:val="SingleTxt"/>
      </w:pPr>
      <w:r w:rsidRPr="009926CA">
        <w:rPr>
          <w:rFonts w:ascii="SimHei" w:eastAsia="SimHei" w:hint="eastAsia"/>
        </w:rPr>
        <w:t>暴力侵害妇女行为</w:t>
      </w:r>
    </w:p>
    <w:p w:rsidR="003551D5" w:rsidRDefault="003551D5" w:rsidP="009926CA">
      <w:pPr>
        <w:pStyle w:val="SingleTxt"/>
        <w:spacing w:line="346" w:lineRule="exact"/>
        <w:rPr>
          <w:rFonts w:hint="eastAsia"/>
        </w:rPr>
      </w:pPr>
      <w:r>
        <w:rPr>
          <w:rFonts w:hint="eastAsia"/>
        </w:rPr>
        <w:t>6.</w:t>
      </w:r>
      <w:r>
        <w:rPr>
          <w:rFonts w:hint="eastAsia"/>
        </w:rPr>
        <w:tab/>
      </w:r>
      <w:r w:rsidRPr="009926CA">
        <w:rPr>
          <w:rFonts w:hint="eastAsia"/>
          <w:spacing w:val="-2"/>
        </w:rPr>
        <w:t>报告表示，为打击家庭暴力和性暴力国家方案划拨的预算是国家预算的1.2</w:t>
      </w:r>
      <w:r w:rsidR="009926CA" w:rsidRPr="009926CA">
        <w:rPr>
          <w:spacing w:val="-2"/>
        </w:rPr>
        <w:t>%</w:t>
      </w:r>
      <w:r w:rsidRPr="009926CA">
        <w:rPr>
          <w:rFonts w:hint="eastAsia"/>
          <w:spacing w:val="-2"/>
        </w:rPr>
        <w:t>，</w:t>
      </w:r>
      <w:r>
        <w:rPr>
          <w:rFonts w:hint="eastAsia"/>
        </w:rPr>
        <w:t>并在编制报告时，正在准备实施打击家庭暴力和性暴力战略计划(《第29465号法》)(第110段)。报告提到已经通过了打击暴力侵害妇女的阿亚库乔区域计划并建立了防止和解决家庭暴力和性暴力的阿亚库乔区域机制(第109段)。此外，报告提出了对国内武装冲突中的暴力受害者给予充分赔偿方面的困难(第122段)。请说明反对暴力的预算是否充足，阻碍其实施的主要问题和为充分赔偿国内武装冲突暴力行为的女性受害者所采取的措施。还请说明缔约国在其他地区是否已经建立解决家庭暴力和性暴力的区域机制。</w:t>
      </w:r>
    </w:p>
    <w:p w:rsidR="003551D5" w:rsidRDefault="003551D5" w:rsidP="003551D5">
      <w:pPr>
        <w:pStyle w:val="SingleTxt"/>
        <w:rPr>
          <w:rFonts w:hint="eastAsia"/>
        </w:rPr>
      </w:pPr>
      <w:r>
        <w:rPr>
          <w:rFonts w:hint="eastAsia"/>
        </w:rPr>
        <w:t>7.</w:t>
      </w:r>
      <w:r>
        <w:rPr>
          <w:rFonts w:hint="eastAsia"/>
        </w:rPr>
        <w:tab/>
        <w:t>请说明将杀害妇女定罪的第29819号法的适用情况(第101段)。</w:t>
      </w:r>
    </w:p>
    <w:p w:rsidR="003551D5" w:rsidRPr="009926CA" w:rsidRDefault="003551D5" w:rsidP="003551D5">
      <w:pPr>
        <w:pStyle w:val="SingleTxt"/>
        <w:rPr>
          <w:rFonts w:ascii="SimHei" w:eastAsia="SimHei" w:hint="eastAsia"/>
        </w:rPr>
      </w:pPr>
      <w:r w:rsidRPr="009926CA">
        <w:rPr>
          <w:rFonts w:ascii="SimHei" w:eastAsia="SimHei" w:hint="eastAsia"/>
        </w:rPr>
        <w:t>参与政治和公共生活</w:t>
      </w:r>
    </w:p>
    <w:p w:rsidR="003551D5" w:rsidRDefault="003551D5" w:rsidP="009926CA">
      <w:pPr>
        <w:pStyle w:val="SingleTxt"/>
        <w:spacing w:line="346" w:lineRule="exact"/>
        <w:rPr>
          <w:rFonts w:hint="eastAsia"/>
        </w:rPr>
      </w:pPr>
      <w:r>
        <w:rPr>
          <w:rFonts w:hint="eastAsia"/>
        </w:rPr>
        <w:t>8.</w:t>
      </w:r>
      <w:r w:rsidR="009926CA">
        <w:tab/>
      </w:r>
      <w:r>
        <w:rPr>
          <w:rFonts w:hint="eastAsia"/>
        </w:rPr>
        <w:t>报告指出，在政治和公共生活中的妇女代表比例仍然偏低，自2011年9月以来，关于在选举中实施性别配额的第00268/2011/JNE号法案已提交国会的宪法和管理委员会(第49段)。请说明缔约国为满足妇女在公共机构决策职位所确定配额的困难。</w:t>
      </w:r>
    </w:p>
    <w:p w:rsidR="003551D5" w:rsidRDefault="003551D5" w:rsidP="009926CA">
      <w:pPr>
        <w:pStyle w:val="SingleTxt"/>
        <w:spacing w:line="346" w:lineRule="exact"/>
        <w:rPr>
          <w:rFonts w:hint="eastAsia"/>
        </w:rPr>
      </w:pPr>
      <w:r>
        <w:rPr>
          <w:rFonts w:hint="eastAsia"/>
        </w:rPr>
        <w:t>9.</w:t>
      </w:r>
      <w:r w:rsidR="009926CA">
        <w:tab/>
      </w:r>
      <w:r>
        <w:rPr>
          <w:rFonts w:hint="eastAsia"/>
        </w:rPr>
        <w:t>报告还指出，妇女代表在国际层面代表比例仍然很低，外交界的妇女代表为22</w:t>
      </w:r>
      <w:r w:rsidR="009926CA">
        <w:rPr>
          <w:rFonts w:hint="eastAsia"/>
        </w:rPr>
        <w:t>%</w:t>
      </w:r>
      <w:r>
        <w:rPr>
          <w:rFonts w:hint="eastAsia"/>
        </w:rPr>
        <w:t>，大使中为11</w:t>
      </w:r>
      <w:r w:rsidR="009926CA">
        <w:rPr>
          <w:rFonts w:hint="eastAsia"/>
        </w:rPr>
        <w:t>%</w:t>
      </w:r>
      <w:r>
        <w:rPr>
          <w:rFonts w:hint="eastAsia"/>
        </w:rPr>
        <w:t>，领事中为25</w:t>
      </w:r>
      <w:r w:rsidR="009926CA">
        <w:rPr>
          <w:rFonts w:hint="eastAsia"/>
        </w:rPr>
        <w:t>%</w:t>
      </w:r>
      <w:r>
        <w:rPr>
          <w:rFonts w:hint="eastAsia"/>
        </w:rPr>
        <w:t>(第52段)。请说明为扩大妇女在国际层面参与所采取措施，包括任何临时特别措施。还请说明阻碍妇女参与政治和公共生活的各种障碍，包括基于性别的陈旧观念。</w:t>
      </w:r>
    </w:p>
    <w:p w:rsidR="003551D5" w:rsidRPr="009926CA" w:rsidRDefault="003551D5" w:rsidP="003551D5">
      <w:pPr>
        <w:pStyle w:val="SingleTxt"/>
        <w:rPr>
          <w:rFonts w:ascii="SimHei" w:eastAsia="SimHei" w:hint="eastAsia"/>
        </w:rPr>
      </w:pPr>
      <w:r w:rsidRPr="009926CA">
        <w:rPr>
          <w:rFonts w:ascii="SimHei" w:eastAsia="SimHei" w:hint="eastAsia"/>
        </w:rPr>
        <w:t>国籍</w:t>
      </w:r>
    </w:p>
    <w:p w:rsidR="003551D5" w:rsidRDefault="003551D5" w:rsidP="009926CA">
      <w:pPr>
        <w:pStyle w:val="SingleTxt"/>
        <w:spacing w:line="346" w:lineRule="exact"/>
        <w:rPr>
          <w:rFonts w:hint="eastAsia"/>
        </w:rPr>
      </w:pPr>
      <w:r>
        <w:rPr>
          <w:rFonts w:hint="eastAsia"/>
        </w:rPr>
        <w:t>10.</w:t>
      </w:r>
      <w:r w:rsidR="009926CA">
        <w:tab/>
      </w:r>
      <w:r>
        <w:rPr>
          <w:rFonts w:hint="eastAsia"/>
        </w:rPr>
        <w:t>报告确认，没有身份证使得妇女在获得教育和医疗服务、信贷、财产所有权和参与公共生活方面受到限制(第45段)。报告提到2011年颁布的关于免费获取身份证件的两个区域条例和53个市政条例。请说明为确保关于向缔约国领土上妇女发放身份证件的规定所采取措施的结果。</w:t>
      </w:r>
    </w:p>
    <w:p w:rsidR="003551D5" w:rsidRPr="009926CA" w:rsidRDefault="003551D5" w:rsidP="003551D5">
      <w:pPr>
        <w:pStyle w:val="SingleTxt"/>
        <w:rPr>
          <w:rFonts w:ascii="SimHei" w:eastAsia="SimHei" w:hint="eastAsia"/>
        </w:rPr>
      </w:pPr>
      <w:r w:rsidRPr="009926CA">
        <w:rPr>
          <w:rFonts w:ascii="SimHei" w:eastAsia="SimHei" w:hint="eastAsia"/>
        </w:rPr>
        <w:t>教育</w:t>
      </w:r>
    </w:p>
    <w:p w:rsidR="003551D5" w:rsidRDefault="003551D5" w:rsidP="009926CA">
      <w:pPr>
        <w:pStyle w:val="SingleTxt"/>
        <w:spacing w:line="340" w:lineRule="exact"/>
        <w:rPr>
          <w:rFonts w:hint="eastAsia"/>
        </w:rPr>
      </w:pPr>
      <w:r>
        <w:rPr>
          <w:rFonts w:hint="eastAsia"/>
        </w:rPr>
        <w:t>11</w:t>
      </w:r>
      <w:r w:rsidR="009926CA">
        <w:t>.</w:t>
      </w:r>
      <w:r w:rsidR="009926CA">
        <w:tab/>
      </w:r>
      <w:r>
        <w:rPr>
          <w:rFonts w:hint="eastAsia"/>
        </w:rPr>
        <w:t>请提供各级教育按性别分类的辍学率数据，尤其是农村地区的数据，以及为减少女孩辍学率(尤其是少女因怀孕辍学)所采取具体措施的信息(第58段)。请说明为消除弱势群体女孩和青年妇女在教育领域的歧视所采取的措施(第59段)。还请说明为将关于青春期女孩和男孩的性和生殖健康和权利全面、新颖、更为有效、与年龄相应的课程纳入正规学校(包括职业培训学校)教学大纲，旨在培养负责任的性行为和防止少女怀孕和包括艾滋病在内的性传播疾病所采取的措施(第59段)。</w:t>
      </w:r>
    </w:p>
    <w:p w:rsidR="003551D5" w:rsidRDefault="003551D5" w:rsidP="003551D5">
      <w:pPr>
        <w:pStyle w:val="SingleTxt"/>
        <w:rPr>
          <w:rFonts w:hint="eastAsia"/>
        </w:rPr>
      </w:pPr>
      <w:r>
        <w:rPr>
          <w:rFonts w:hint="eastAsia"/>
        </w:rPr>
        <w:t>12.</w:t>
      </w:r>
      <w:r w:rsidR="009926CA">
        <w:tab/>
      </w:r>
      <w:r>
        <w:rPr>
          <w:rFonts w:hint="eastAsia"/>
        </w:rPr>
        <w:t>报告指出，土著妇女的文盲率是28.1</w:t>
      </w:r>
      <w:r w:rsidR="009926CA">
        <w:rPr>
          <w:rFonts w:hint="eastAsia"/>
        </w:rPr>
        <w:t>%</w:t>
      </w:r>
      <w:r>
        <w:rPr>
          <w:rFonts w:hint="eastAsia"/>
        </w:rPr>
        <w:t>，47.3</w:t>
      </w:r>
      <w:r w:rsidR="009926CA">
        <w:rPr>
          <w:rFonts w:hint="eastAsia"/>
        </w:rPr>
        <w:t>%</w:t>
      </w:r>
      <w:r>
        <w:rPr>
          <w:rFonts w:hint="eastAsia"/>
        </w:rPr>
        <w:t>的土著妇女到一定小学教育，只有28.7</w:t>
      </w:r>
      <w:r w:rsidR="009926CA">
        <w:rPr>
          <w:rFonts w:hint="eastAsia"/>
        </w:rPr>
        <w:t>%</w:t>
      </w:r>
      <w:r>
        <w:rPr>
          <w:rFonts w:hint="eastAsia"/>
        </w:rPr>
        <w:t>的人受到一定的中学教育(第86段)。请说明缔约国为提高识字率和学校结业率，特别是土著妇女和女童识字率和学校结业率，所采取措施。</w:t>
      </w:r>
    </w:p>
    <w:p w:rsidR="003551D5" w:rsidRPr="009926CA" w:rsidRDefault="003551D5" w:rsidP="003551D5">
      <w:pPr>
        <w:pStyle w:val="SingleTxt"/>
        <w:rPr>
          <w:rFonts w:ascii="SimHei" w:eastAsia="SimHei" w:hint="eastAsia"/>
        </w:rPr>
      </w:pPr>
      <w:r w:rsidRPr="009926CA">
        <w:rPr>
          <w:rFonts w:ascii="SimHei" w:eastAsia="SimHei" w:hint="eastAsia"/>
        </w:rPr>
        <w:t>就业</w:t>
      </w:r>
    </w:p>
    <w:p w:rsidR="003551D5" w:rsidRDefault="003551D5" w:rsidP="009926CA">
      <w:pPr>
        <w:pStyle w:val="SingleTxt"/>
        <w:spacing w:line="340" w:lineRule="exact"/>
        <w:rPr>
          <w:rFonts w:hint="eastAsia"/>
        </w:rPr>
      </w:pPr>
      <w:r>
        <w:rPr>
          <w:rFonts w:hint="eastAsia"/>
        </w:rPr>
        <w:t>13.</w:t>
      </w:r>
      <w:r w:rsidR="009926CA">
        <w:tab/>
      </w:r>
      <w:r>
        <w:rPr>
          <w:rFonts w:hint="eastAsia"/>
        </w:rPr>
        <w:t>报告确认，在就业领域存在着对妇女根深蒂固的歧视，在男女工资差异方面尤为如此(第66段)。请说明为协助妇女进入正规部门工作，缩小和消除性别之间的工资差距，保证在非正规部门工作的妇女可得到社会保障和其它福利所采取的具体措施。还请说明为打击强迫劳动、性骚扰和极端贫困而采取的各项措施。</w:t>
      </w:r>
    </w:p>
    <w:p w:rsidR="003551D5" w:rsidRDefault="003551D5" w:rsidP="009926CA">
      <w:pPr>
        <w:pStyle w:val="SingleTxt"/>
        <w:spacing w:line="340" w:lineRule="exact"/>
        <w:rPr>
          <w:rFonts w:hint="eastAsia"/>
        </w:rPr>
      </w:pPr>
      <w:r>
        <w:rPr>
          <w:rFonts w:hint="eastAsia"/>
        </w:rPr>
        <w:t>14.</w:t>
      </w:r>
      <w:r w:rsidR="009926CA">
        <w:tab/>
      </w:r>
      <w:r>
        <w:rPr>
          <w:rFonts w:hint="eastAsia"/>
        </w:rPr>
        <w:t>报告指出，缔约国关于保护孕妇的法律框架通过纳入的产前和产后假，预产期变更所带来的影响，以及就业母亲的产假后权利(62段)。请说明这些措施的影响以及这些措施是否对正式和非正式部门工作的妇女(包括国内工人)都适用。</w:t>
      </w:r>
    </w:p>
    <w:p w:rsidR="003551D5" w:rsidRPr="009926CA" w:rsidRDefault="003551D5" w:rsidP="003551D5">
      <w:pPr>
        <w:pStyle w:val="SingleTxt"/>
        <w:rPr>
          <w:rFonts w:ascii="SimHei" w:eastAsia="SimHei" w:hint="eastAsia"/>
        </w:rPr>
      </w:pPr>
      <w:r w:rsidRPr="009926CA">
        <w:rPr>
          <w:rFonts w:ascii="SimHei" w:eastAsia="SimHei" w:hint="eastAsia"/>
        </w:rPr>
        <w:t>健康</w:t>
      </w:r>
    </w:p>
    <w:p w:rsidR="003551D5" w:rsidRDefault="003551D5" w:rsidP="009926CA">
      <w:pPr>
        <w:pStyle w:val="SingleTxt"/>
        <w:spacing w:line="340" w:lineRule="exact"/>
        <w:rPr>
          <w:rFonts w:hint="eastAsia"/>
        </w:rPr>
      </w:pPr>
      <w:r>
        <w:rPr>
          <w:rFonts w:hint="eastAsia"/>
        </w:rPr>
        <w:t>15.</w:t>
      </w:r>
      <w:r w:rsidR="00BD7874">
        <w:rPr>
          <w:rFonts w:hint="eastAsia"/>
        </w:rPr>
        <w:tab/>
      </w:r>
      <w:r>
        <w:rPr>
          <w:rFonts w:hint="eastAsia"/>
        </w:rPr>
        <w:t>该地区妇女健康方面的长期问题，特别是争取现代避孕方法方面的长期问题，是艾滋病毒/艾滋病的发病率和少女怀孕问题(第74段)，这在报告中得到确认。请说明为解决这些问题所采取的措施，以及为确保土著妇女和农村妇女平等享有保健服务和设施，特别是性和生殖保健服务，而采取措施和考虑采取的措施。</w:t>
      </w:r>
    </w:p>
    <w:p w:rsidR="003551D5" w:rsidRDefault="003551D5" w:rsidP="003551D5">
      <w:pPr>
        <w:pStyle w:val="SingleTxt"/>
        <w:rPr>
          <w:rFonts w:hint="eastAsia"/>
        </w:rPr>
      </w:pPr>
      <w:r>
        <w:rPr>
          <w:rFonts w:hint="eastAsia"/>
        </w:rPr>
        <w:t>16</w:t>
      </w:r>
      <w:r w:rsidR="009926CA">
        <w:t>.</w:t>
      </w:r>
      <w:r w:rsidR="009926CA">
        <w:tab/>
      </w:r>
      <w:r>
        <w:rPr>
          <w:rFonts w:hint="eastAsia"/>
        </w:rPr>
        <w:t>报告确认，流产仍然是产妇死亡的主要原因，并指出，2009年10月已经提出关于在刑法中两种具体情况下的堕胎合法化的项目草案，但尚未在全体会议上讨论(附件一)。请说明为降低产妇死亡率所采取措施。还请说明是否已经通过刑法修正案草案。</w:t>
      </w:r>
    </w:p>
    <w:p w:rsidR="003551D5" w:rsidRPr="009926CA" w:rsidRDefault="003551D5" w:rsidP="003551D5">
      <w:pPr>
        <w:pStyle w:val="SingleTxt"/>
        <w:rPr>
          <w:rFonts w:ascii="SimHei" w:eastAsia="SimHei" w:hint="eastAsia"/>
        </w:rPr>
      </w:pPr>
      <w:r w:rsidRPr="009926CA">
        <w:rPr>
          <w:rFonts w:ascii="SimHei" w:eastAsia="SimHei" w:hint="eastAsia"/>
        </w:rPr>
        <w:t>妇女与发展</w:t>
      </w:r>
    </w:p>
    <w:p w:rsidR="003551D5" w:rsidRDefault="003551D5" w:rsidP="003551D5">
      <w:pPr>
        <w:pStyle w:val="SingleTxt"/>
        <w:rPr>
          <w:rFonts w:hint="eastAsia"/>
        </w:rPr>
      </w:pPr>
      <w:r>
        <w:rPr>
          <w:rFonts w:hint="eastAsia"/>
        </w:rPr>
        <w:t>17.</w:t>
      </w:r>
      <w:r w:rsidR="009926CA">
        <w:tab/>
      </w:r>
      <w:r>
        <w:rPr>
          <w:rFonts w:hint="eastAsia"/>
        </w:rPr>
        <w:t>报告表示关于妇女获取信贷和进入市场方面没有具体的国家政策，而且新的水资源法已经按照灌溉区域，改变了投票权分配的格局(第78和80段)，使妇女拥有了更广泛的经济基础。请说明为制定战略，推动妇女尤其在农村地区获得经济效益和社会效益所采取的措施。请详细说明水资源法如何改善妇女在发展方面处境的情况，并说明妇女在国家环境行动计划中的位置。</w:t>
      </w:r>
    </w:p>
    <w:p w:rsidR="003551D5" w:rsidRPr="009926CA" w:rsidRDefault="003551D5" w:rsidP="003551D5">
      <w:pPr>
        <w:pStyle w:val="SingleTxt"/>
        <w:rPr>
          <w:rFonts w:ascii="SimHei" w:eastAsia="SimHei" w:hint="eastAsia"/>
        </w:rPr>
      </w:pPr>
      <w:r w:rsidRPr="009926CA">
        <w:rPr>
          <w:rFonts w:ascii="SimHei" w:eastAsia="SimHei" w:hint="eastAsia"/>
        </w:rPr>
        <w:t>土著妇女和非洲裔妇女</w:t>
      </w:r>
    </w:p>
    <w:p w:rsidR="003551D5" w:rsidRDefault="003551D5" w:rsidP="003551D5">
      <w:pPr>
        <w:pStyle w:val="SingleTxt"/>
        <w:rPr>
          <w:rFonts w:hint="eastAsia"/>
        </w:rPr>
      </w:pPr>
      <w:r>
        <w:rPr>
          <w:rFonts w:hint="eastAsia"/>
        </w:rPr>
        <w:t>18.</w:t>
      </w:r>
      <w:r w:rsidR="009926CA">
        <w:tab/>
      </w:r>
      <w:r>
        <w:rPr>
          <w:rFonts w:hint="eastAsia"/>
        </w:rPr>
        <w:t>请说明为改进该国家最贫穷的土著社区妇女以及非洲妇女求助司法、获得教育、就业、卫生保健服务、土地和自然资源、信贷、社会服务、决策、参与政治和公共生活及其社会经济情况所实施和考虑实施的措施以及政策和临时特别措施。</w:t>
      </w:r>
    </w:p>
    <w:p w:rsidR="003551D5" w:rsidRPr="009926CA" w:rsidRDefault="003551D5" w:rsidP="003551D5">
      <w:pPr>
        <w:pStyle w:val="SingleTxt"/>
        <w:rPr>
          <w:rFonts w:ascii="SimHei" w:eastAsia="SimHei" w:hint="eastAsia"/>
        </w:rPr>
      </w:pPr>
      <w:r w:rsidRPr="009926CA">
        <w:rPr>
          <w:rFonts w:ascii="SimHei" w:eastAsia="SimHei" w:hint="eastAsia"/>
        </w:rPr>
        <w:t>被拘留妇女</w:t>
      </w:r>
    </w:p>
    <w:p w:rsidR="003551D5" w:rsidRDefault="003551D5" w:rsidP="003551D5">
      <w:pPr>
        <w:pStyle w:val="SingleTxt"/>
        <w:rPr>
          <w:rFonts w:hint="eastAsia"/>
        </w:rPr>
      </w:pPr>
      <w:r>
        <w:rPr>
          <w:rFonts w:hint="eastAsia"/>
        </w:rPr>
        <w:t>19.</w:t>
      </w:r>
      <w:r w:rsidR="009926CA">
        <w:tab/>
      </w:r>
      <w:r>
        <w:rPr>
          <w:rFonts w:hint="eastAsia"/>
        </w:rPr>
        <w:t>该报告不包含被拘留妇女情况的任何信息。请按年龄、地理位置和种族分类，说明被拘留妇女的情况并提供被拘留妇女数据和信息，包括如何监测监狱中妇女卫生和环境卫生条件，以及那些条件是不是符合一般国际标准，和向被拘留妇女提供的改过自新和重返社会方案等方面信息。</w:t>
      </w:r>
    </w:p>
    <w:p w:rsidR="003551D5" w:rsidRPr="009926CA" w:rsidRDefault="003551D5" w:rsidP="003551D5">
      <w:pPr>
        <w:pStyle w:val="SingleTxt"/>
        <w:rPr>
          <w:rFonts w:ascii="SimHei" w:eastAsia="SimHei" w:hint="eastAsia"/>
        </w:rPr>
      </w:pPr>
      <w:r w:rsidRPr="009926CA">
        <w:rPr>
          <w:rFonts w:ascii="SimHei" w:eastAsia="SimHei" w:hint="eastAsia"/>
        </w:rPr>
        <w:t>残疾妇女和老年妇女</w:t>
      </w:r>
    </w:p>
    <w:p w:rsidR="003551D5" w:rsidRDefault="003551D5" w:rsidP="003551D5">
      <w:pPr>
        <w:pStyle w:val="SingleTxt"/>
        <w:rPr>
          <w:rFonts w:hint="eastAsia"/>
        </w:rPr>
      </w:pPr>
      <w:r>
        <w:rPr>
          <w:rFonts w:hint="eastAsia"/>
        </w:rPr>
        <w:t>20.</w:t>
      </w:r>
      <w:r w:rsidR="009926CA">
        <w:tab/>
      </w:r>
      <w:r>
        <w:rPr>
          <w:rFonts w:hint="eastAsia"/>
        </w:rPr>
        <w:t>报告所含缔约国残疾妇女和老年妇女的信息很少。请说明为改善残疾妇女的教育、就业和医疗保健服务所采取措施，同时考虑到这些妇女的具体需要。请说明为改善老年妇女状况，参照委员会关于老年妇女和保护其人权的第27号一般性建议所采取的措施。还请说明残疾女孩和妇女以及老年妇女作为暴力行为受害者寻求法律补救办法的情况。</w:t>
      </w:r>
    </w:p>
    <w:p w:rsidR="003551D5" w:rsidRPr="009926CA" w:rsidRDefault="003551D5" w:rsidP="003551D5">
      <w:pPr>
        <w:pStyle w:val="SingleTxt"/>
        <w:rPr>
          <w:rFonts w:ascii="SimHei" w:eastAsia="SimHei" w:hint="eastAsia"/>
        </w:rPr>
      </w:pPr>
      <w:r w:rsidRPr="009926CA">
        <w:rPr>
          <w:rFonts w:ascii="SimHei" w:eastAsia="SimHei" w:hint="eastAsia"/>
        </w:rPr>
        <w:t>修订“公约”第20(1)条</w:t>
      </w:r>
    </w:p>
    <w:p w:rsidR="00EA31C3" w:rsidRDefault="003551D5" w:rsidP="003551D5">
      <w:pPr>
        <w:pStyle w:val="SingleTxt"/>
      </w:pPr>
      <w:r>
        <w:rPr>
          <w:rFonts w:hint="eastAsia"/>
        </w:rPr>
        <w:t>21.</w:t>
      </w:r>
      <w:r w:rsidR="009926CA">
        <w:tab/>
      </w:r>
      <w:r>
        <w:rPr>
          <w:rFonts w:hint="eastAsia"/>
        </w:rPr>
        <w:t>请注明在接受关于“公约”第20(1)条修订方面所取得的进展。</w:t>
      </w:r>
    </w:p>
    <w:p w:rsidR="009926CA" w:rsidRPr="009926CA" w:rsidRDefault="009926CA" w:rsidP="009926CA">
      <w:pPr>
        <w:pStyle w:val="SingleTxt"/>
        <w:spacing w:after="0" w:line="240" w:lineRule="auto"/>
        <w:rPr>
          <w:sz w:val="20"/>
        </w:rPr>
      </w:pPr>
      <w:r>
        <w:rPr>
          <w:noProof/>
          <w:sz w:val="20"/>
        </w:rPr>
        <w:pict>
          <v:line id="_x0000_s1028" style="position:absolute;left:0;text-align:left;z-index:2;mso-position-horizontal:center" from="0,30pt" to="1in,30pt" strokeweight=".25pt"/>
        </w:pict>
      </w:r>
    </w:p>
    <w:sectPr w:rsidR="009926CA" w:rsidRPr="009926CA" w:rsidSect="00B75F5E">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3T09:17:00Z" w:initials="Start">
    <w:p w:rsidR="00BD7874" w:rsidRDefault="00BD787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NO&gt;&gt;N1353310C&lt;&lt;ODS JOB NO&gt;&gt;</w:t>
      </w:r>
    </w:p>
    <w:p w:rsidR="00BD7874" w:rsidRDefault="00BD7874">
      <w:pPr>
        <w:pStyle w:val="CommentText"/>
      </w:pPr>
      <w:r>
        <w:t>&lt;&lt;ODS DOC SYMBOL1&gt;&gt;CEDAW/C/PER/Q/7-8&lt;&lt;ODS DOC SYMBOL1&gt;&gt;</w:t>
      </w:r>
    </w:p>
    <w:p w:rsidR="00BD7874" w:rsidRDefault="00BD787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2E7" w:rsidRDefault="00D932E7">
      <w:r>
        <w:separator/>
      </w:r>
    </w:p>
  </w:endnote>
  <w:endnote w:type="continuationSeparator" w:id="0">
    <w:p w:rsidR="00D932E7" w:rsidRDefault="00D932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D7874" w:rsidTr="00B75F5E">
      <w:tblPrEx>
        <w:tblCellMar>
          <w:top w:w="0" w:type="dxa"/>
          <w:bottom w:w="0" w:type="dxa"/>
        </w:tblCellMar>
      </w:tblPrEx>
      <w:tc>
        <w:tcPr>
          <w:tcW w:w="5033" w:type="dxa"/>
          <w:shd w:val="clear" w:color="auto" w:fill="auto"/>
        </w:tcPr>
        <w:p w:rsidR="00BD7874" w:rsidRPr="00B75F5E" w:rsidRDefault="00BD7874" w:rsidP="00B75F5E">
          <w:pPr>
            <w:pStyle w:val="Footer"/>
            <w:jc w:val="right"/>
            <w:rPr>
              <w:b w:val="0"/>
              <w:w w:val="103"/>
              <w:sz w:val="14"/>
            </w:rPr>
          </w:pPr>
          <w:fldSimple w:instr=" DOCVARIABLE &quot;FooterJN&quot; \* MERGEFORMAT ">
            <w:r>
              <w:rPr>
                <w:b w:val="0"/>
                <w:w w:val="103"/>
                <w:sz w:val="14"/>
              </w:rPr>
              <w:t>13-53310 (C)</w:t>
            </w:r>
          </w:fldSimple>
        </w:p>
      </w:tc>
      <w:tc>
        <w:tcPr>
          <w:tcW w:w="5033" w:type="dxa"/>
          <w:shd w:val="clear" w:color="auto" w:fill="auto"/>
        </w:tcPr>
        <w:p w:rsidR="00BD7874" w:rsidRPr="00B75F5E" w:rsidRDefault="00BD7874" w:rsidP="00B75F5E">
          <w:pPr>
            <w:pStyle w:val="Footer"/>
            <w:jc w:val="left"/>
            <w:rPr>
              <w:w w:val="103"/>
            </w:rPr>
          </w:pPr>
          <w:r>
            <w:rPr>
              <w:w w:val="103"/>
            </w:rPr>
            <w:fldChar w:fldCharType="begin"/>
          </w:r>
          <w:r>
            <w:rPr>
              <w:w w:val="103"/>
            </w:rPr>
            <w:instrText xml:space="preserve"> PAGE  \* Arabic  \* MERGEFORMAT </w:instrText>
          </w:r>
          <w:r>
            <w:rPr>
              <w:w w:val="103"/>
            </w:rPr>
            <w:fldChar w:fldCharType="separate"/>
          </w:r>
          <w:r w:rsidR="00A26B4E">
            <w:rPr>
              <w:w w:val="103"/>
            </w:rPr>
            <w:t>4</w:t>
          </w:r>
          <w:r>
            <w:rPr>
              <w:w w:val="103"/>
            </w:rPr>
            <w:fldChar w:fldCharType="end"/>
          </w:r>
          <w:r>
            <w:rPr>
              <w:w w:val="103"/>
            </w:rPr>
            <w:t>/</w:t>
          </w:r>
          <w:fldSimple w:instr=" NUMPAGES  \* Arabic  \* MERGEFORMAT ">
            <w:r>
              <w:rPr>
                <w:w w:val="103"/>
              </w:rPr>
              <w:t>4</w:t>
            </w:r>
          </w:fldSimple>
        </w:p>
      </w:tc>
    </w:tr>
  </w:tbl>
  <w:p w:rsidR="00BD7874" w:rsidRPr="00B75F5E" w:rsidRDefault="00BD7874" w:rsidP="00B75F5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D7874" w:rsidTr="00B75F5E">
      <w:tblPrEx>
        <w:tblCellMar>
          <w:top w:w="0" w:type="dxa"/>
          <w:bottom w:w="0" w:type="dxa"/>
        </w:tblCellMar>
      </w:tblPrEx>
      <w:tc>
        <w:tcPr>
          <w:tcW w:w="5033" w:type="dxa"/>
          <w:shd w:val="clear" w:color="auto" w:fill="auto"/>
        </w:tcPr>
        <w:p w:rsidR="00BD7874" w:rsidRPr="00B75F5E" w:rsidRDefault="00BD7874" w:rsidP="00B75F5E">
          <w:pPr>
            <w:pStyle w:val="Footer"/>
            <w:jc w:val="right"/>
          </w:pPr>
          <w:fldSimple w:instr=" PAGE  \* Arabic  \* MERGEFORMAT ">
            <w:r w:rsidR="00A26B4E">
              <w:t>3</w:t>
            </w:r>
          </w:fldSimple>
          <w:r>
            <w:t>/</w:t>
          </w:r>
          <w:fldSimple w:instr=" NUMPAGES  \* Arabic  \* MERGEFORMAT ">
            <w:r>
              <w:t>4</w:t>
            </w:r>
          </w:fldSimple>
        </w:p>
      </w:tc>
      <w:tc>
        <w:tcPr>
          <w:tcW w:w="5033" w:type="dxa"/>
          <w:shd w:val="clear" w:color="auto" w:fill="auto"/>
        </w:tcPr>
        <w:p w:rsidR="00BD7874" w:rsidRPr="00B75F5E" w:rsidRDefault="00BD7874" w:rsidP="00B75F5E">
          <w:pPr>
            <w:pStyle w:val="Footer"/>
            <w:jc w:val="left"/>
            <w:rPr>
              <w:b w:val="0"/>
              <w:w w:val="103"/>
              <w:sz w:val="14"/>
            </w:rPr>
          </w:pPr>
          <w:fldSimple w:instr=" DOCVARIABLE &quot;FooterJN&quot; \* MERGEFORMAT ">
            <w:r>
              <w:rPr>
                <w:b w:val="0"/>
                <w:w w:val="103"/>
                <w:sz w:val="14"/>
              </w:rPr>
              <w:t>13-53310 (C)</w:t>
            </w:r>
          </w:fldSimple>
        </w:p>
      </w:tc>
    </w:tr>
  </w:tbl>
  <w:p w:rsidR="00BD7874" w:rsidRPr="00B75F5E" w:rsidRDefault="00BD7874" w:rsidP="00B75F5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D7874" w:rsidTr="00B75F5E">
      <w:tblPrEx>
        <w:tblCellMar>
          <w:top w:w="0" w:type="dxa"/>
          <w:bottom w:w="0" w:type="dxa"/>
        </w:tblCellMar>
      </w:tblPrEx>
      <w:tc>
        <w:tcPr>
          <w:tcW w:w="5033" w:type="dxa"/>
        </w:tcPr>
        <w:p w:rsidR="00BD7874" w:rsidRDefault="00BD7874" w:rsidP="00B75F5E">
          <w:pPr>
            <w:pStyle w:val="Footer"/>
            <w:rPr>
              <w:b w:val="0"/>
              <w:sz w:val="21"/>
            </w:rPr>
          </w:pPr>
          <w:fldSimple w:instr=" DOCVARIABLE &quot;jobn&quot; \* MERGEFORMAT ">
            <w:r>
              <w:rPr>
                <w:b w:val="0"/>
                <w:sz w:val="21"/>
              </w:rPr>
              <w:t>13-53310 (C)</w:t>
            </w:r>
          </w:fldSimple>
          <w:r>
            <w:rPr>
              <w:b w:val="0"/>
              <w:sz w:val="21"/>
            </w:rPr>
            <w:t xml:space="preserve">    131113    1</w:t>
          </w:r>
          <w:r>
            <w:rPr>
              <w:rFonts w:hint="eastAsia"/>
              <w:b w:val="0"/>
              <w:sz w:val="21"/>
            </w:rPr>
            <w:t>5</w:t>
          </w:r>
          <w:r>
            <w:rPr>
              <w:b w:val="0"/>
              <w:sz w:val="21"/>
            </w:rPr>
            <w:t>1113</w:t>
          </w:r>
        </w:p>
        <w:p w:rsidR="00BD7874" w:rsidRPr="00B75F5E" w:rsidRDefault="00BD7874" w:rsidP="00B75F5E">
          <w:pPr>
            <w:spacing w:before="80" w:line="210" w:lineRule="exact"/>
            <w:rPr>
              <w:rFonts w:ascii="Barcode 3 of 9 by request" w:hAnsi="Barcode 3 of 9 by request"/>
              <w:sz w:val="24"/>
            </w:rPr>
          </w:pPr>
          <w:r>
            <w:rPr>
              <w:rFonts w:ascii="Barcode 3 of 9 by request" w:hAnsi="Barcode 3 of 9 by request" w:hint="eastAsia"/>
              <w:sz w:val="24"/>
            </w:rPr>
            <w:t>*1353310*</w:t>
          </w:r>
        </w:p>
      </w:tc>
      <w:tc>
        <w:tcPr>
          <w:tcW w:w="3686" w:type="dxa"/>
        </w:tcPr>
        <w:p w:rsidR="00BD7874" w:rsidRDefault="00BD7874" w:rsidP="00B75F5E">
          <w:pPr>
            <w:pStyle w:val="Footer"/>
            <w:jc w:val="right"/>
            <w:rPr>
              <w:b w:val="0"/>
              <w:sz w:val="21"/>
            </w:rPr>
          </w:pPr>
          <w:r w:rsidRPr="00B75F5E">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BD7874" w:rsidRPr="00B75F5E" w:rsidRDefault="00BD7874" w:rsidP="00B75F5E">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2E7" w:rsidRPr="003551D5" w:rsidRDefault="00D932E7" w:rsidP="003551D5">
      <w:pPr>
        <w:pStyle w:val="Footer"/>
        <w:spacing w:after="80"/>
        <w:ind w:left="792"/>
        <w:rPr>
          <w:sz w:val="16"/>
        </w:rPr>
      </w:pPr>
      <w:r w:rsidRPr="003551D5">
        <w:rPr>
          <w:sz w:val="16"/>
        </w:rPr>
        <w:t>__________________</w:t>
      </w:r>
    </w:p>
  </w:footnote>
  <w:footnote w:type="continuationSeparator" w:id="0">
    <w:p w:rsidR="00D932E7" w:rsidRPr="003551D5" w:rsidRDefault="00D932E7" w:rsidP="003551D5">
      <w:pPr>
        <w:pStyle w:val="Footer"/>
        <w:spacing w:after="80"/>
        <w:ind w:left="792"/>
        <w:rPr>
          <w:sz w:val="16"/>
        </w:rPr>
      </w:pPr>
      <w:r w:rsidRPr="003551D5">
        <w:rPr>
          <w:sz w:val="16"/>
        </w:rPr>
        <w:t>__________________</w:t>
      </w:r>
    </w:p>
  </w:footnote>
  <w:footnote w:id="1">
    <w:p w:rsidR="00BD7874" w:rsidRDefault="00BD7874" w:rsidP="003551D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szCs w:val="18"/>
        </w:rPr>
      </w:pPr>
      <w:r w:rsidRPr="003551D5">
        <w:rPr>
          <w:rFonts w:hint="eastAsia"/>
          <w:szCs w:val="18"/>
        </w:rPr>
        <w:tab/>
      </w:r>
      <w:r w:rsidRPr="003551D5">
        <w:rPr>
          <w:rFonts w:hint="eastAsia"/>
          <w:szCs w:val="18"/>
          <w:vertAlign w:val="superscript"/>
        </w:rPr>
        <w:t>*</w:t>
      </w:r>
      <w:r w:rsidRPr="003551D5">
        <w:rPr>
          <w:rFonts w:hint="eastAsia"/>
          <w:szCs w:val="18"/>
        </w:rPr>
        <w:tab/>
        <w:t>已获2013年10月21日至25日召开的第五十八届会议会前工作组通过。</w:t>
      </w:r>
    </w:p>
    <w:p w:rsidR="00BD7874" w:rsidRDefault="00BD7874" w:rsidP="003551D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9926CA">
        <w:rPr>
          <w:rFonts w:hint="eastAsia"/>
        </w:rPr>
        <w:t>除非另有说明，段号是指缔约国第七次和第八次合并定期报告(CEDAW/C/PER/7-8)。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D7874" w:rsidTr="00B75F5E">
      <w:tblPrEx>
        <w:tblCellMar>
          <w:top w:w="0" w:type="dxa"/>
          <w:bottom w:w="0" w:type="dxa"/>
        </w:tblCellMar>
      </w:tblPrEx>
      <w:trPr>
        <w:trHeight w:hRule="exact" w:val="864"/>
      </w:trPr>
      <w:tc>
        <w:tcPr>
          <w:tcW w:w="4838" w:type="dxa"/>
          <w:shd w:val="clear" w:color="auto" w:fill="auto"/>
          <w:vAlign w:val="bottom"/>
        </w:tcPr>
        <w:p w:rsidR="00BD7874" w:rsidRPr="00B75F5E" w:rsidRDefault="00BD7874" w:rsidP="00B75F5E">
          <w:pPr>
            <w:pStyle w:val="Header"/>
            <w:spacing w:after="80"/>
            <w:jc w:val="left"/>
            <w:rPr>
              <w:b/>
              <w:sz w:val="17"/>
            </w:rPr>
          </w:pPr>
          <w:fldSimple w:instr=" DOCVARIABLE &quot;sss1&quot; \* MERGEFORMAT ">
            <w:r>
              <w:rPr>
                <w:b/>
                <w:sz w:val="17"/>
              </w:rPr>
              <w:t>CEDAW/C/PER/Q/7-8</w:t>
            </w:r>
          </w:fldSimple>
        </w:p>
      </w:tc>
      <w:tc>
        <w:tcPr>
          <w:tcW w:w="5033" w:type="dxa"/>
          <w:shd w:val="clear" w:color="auto" w:fill="auto"/>
          <w:vAlign w:val="bottom"/>
        </w:tcPr>
        <w:p w:rsidR="00BD7874" w:rsidRDefault="00BD7874" w:rsidP="00B75F5E">
          <w:pPr>
            <w:pStyle w:val="Header"/>
          </w:pPr>
        </w:p>
      </w:tc>
    </w:tr>
  </w:tbl>
  <w:p w:rsidR="00BD7874" w:rsidRPr="00B75F5E" w:rsidRDefault="00BD7874" w:rsidP="00B75F5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D7874" w:rsidTr="00B75F5E">
      <w:tblPrEx>
        <w:tblCellMar>
          <w:top w:w="0" w:type="dxa"/>
          <w:bottom w:w="0" w:type="dxa"/>
        </w:tblCellMar>
      </w:tblPrEx>
      <w:trPr>
        <w:trHeight w:hRule="exact" w:val="864"/>
      </w:trPr>
      <w:tc>
        <w:tcPr>
          <w:tcW w:w="4838" w:type="dxa"/>
          <w:shd w:val="clear" w:color="auto" w:fill="auto"/>
          <w:vAlign w:val="bottom"/>
        </w:tcPr>
        <w:p w:rsidR="00BD7874" w:rsidRDefault="00BD7874" w:rsidP="00B75F5E">
          <w:pPr>
            <w:pStyle w:val="Header"/>
          </w:pPr>
        </w:p>
      </w:tc>
      <w:tc>
        <w:tcPr>
          <w:tcW w:w="5033" w:type="dxa"/>
          <w:shd w:val="clear" w:color="auto" w:fill="auto"/>
          <w:vAlign w:val="bottom"/>
        </w:tcPr>
        <w:p w:rsidR="00BD7874" w:rsidRPr="00B75F5E" w:rsidRDefault="00BD7874" w:rsidP="00B75F5E">
          <w:pPr>
            <w:pStyle w:val="Header"/>
            <w:spacing w:after="80"/>
            <w:jc w:val="right"/>
            <w:rPr>
              <w:b/>
              <w:sz w:val="17"/>
            </w:rPr>
          </w:pPr>
          <w:fldSimple w:instr=" DOCVARIABLE &quot;sss1&quot; \* MERGEFORMAT ">
            <w:r>
              <w:rPr>
                <w:b/>
                <w:sz w:val="17"/>
              </w:rPr>
              <w:t>CEDAW/C/PER/Q/7-8</w:t>
            </w:r>
          </w:fldSimple>
        </w:p>
      </w:tc>
    </w:tr>
  </w:tbl>
  <w:p w:rsidR="00BD7874" w:rsidRPr="00B75F5E" w:rsidRDefault="00BD7874" w:rsidP="00B75F5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D7874" w:rsidTr="00B75F5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D7874" w:rsidRDefault="00BD7874" w:rsidP="00B75F5E">
          <w:pPr>
            <w:pStyle w:val="Header"/>
            <w:spacing w:after="120"/>
          </w:pPr>
        </w:p>
      </w:tc>
      <w:tc>
        <w:tcPr>
          <w:tcW w:w="1872" w:type="dxa"/>
          <w:tcBorders>
            <w:bottom w:val="single" w:sz="4" w:space="0" w:color="auto"/>
          </w:tcBorders>
          <w:shd w:val="clear" w:color="auto" w:fill="auto"/>
          <w:vAlign w:val="bottom"/>
        </w:tcPr>
        <w:p w:rsidR="00BD7874" w:rsidRPr="00B75F5E" w:rsidRDefault="00BD7874" w:rsidP="00B75F5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D7874" w:rsidRDefault="00BD7874" w:rsidP="00B75F5E">
          <w:pPr>
            <w:pStyle w:val="Header"/>
            <w:spacing w:after="120"/>
          </w:pPr>
        </w:p>
      </w:tc>
      <w:tc>
        <w:tcPr>
          <w:tcW w:w="6523" w:type="dxa"/>
          <w:gridSpan w:val="3"/>
          <w:tcBorders>
            <w:bottom w:val="single" w:sz="4" w:space="0" w:color="auto"/>
          </w:tcBorders>
          <w:shd w:val="clear" w:color="auto" w:fill="auto"/>
          <w:vAlign w:val="bottom"/>
        </w:tcPr>
        <w:p w:rsidR="00BD7874" w:rsidRPr="00B75F5E" w:rsidRDefault="00BD7874" w:rsidP="00B75F5E">
          <w:pPr>
            <w:spacing w:after="80" w:line="240" w:lineRule="auto"/>
            <w:jc w:val="right"/>
            <w:rPr>
              <w:rFonts w:ascii="Times New Roman"/>
              <w:position w:val="-4"/>
            </w:rPr>
          </w:pPr>
          <w:r>
            <w:rPr>
              <w:rFonts w:ascii="Times New Roman"/>
              <w:position w:val="-4"/>
              <w:sz w:val="40"/>
            </w:rPr>
            <w:t>CEDAW</w:t>
          </w:r>
          <w:r>
            <w:rPr>
              <w:rFonts w:ascii="Times New Roman"/>
              <w:position w:val="-4"/>
            </w:rPr>
            <w:t>/C/PER/Q/7-8</w:t>
          </w:r>
        </w:p>
      </w:tc>
    </w:tr>
    <w:tr w:rsidR="00BD7874" w:rsidRPr="00B75F5E" w:rsidTr="00B75F5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D7874" w:rsidRDefault="00BD7874" w:rsidP="00B75F5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D7874" w:rsidRPr="00B75F5E" w:rsidRDefault="00BD7874" w:rsidP="00B75F5E">
          <w:pPr>
            <w:pStyle w:val="Header"/>
            <w:spacing w:before="109"/>
            <w:ind w:left="-72"/>
          </w:pPr>
        </w:p>
      </w:tc>
      <w:tc>
        <w:tcPr>
          <w:tcW w:w="5227" w:type="dxa"/>
          <w:gridSpan w:val="3"/>
          <w:tcBorders>
            <w:top w:val="single" w:sz="4" w:space="0" w:color="auto"/>
            <w:bottom w:val="single" w:sz="12" w:space="0" w:color="auto"/>
          </w:tcBorders>
          <w:shd w:val="clear" w:color="auto" w:fill="auto"/>
        </w:tcPr>
        <w:p w:rsidR="00BD7874" w:rsidRPr="00B75F5E" w:rsidRDefault="00BD7874" w:rsidP="00B75F5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D7874" w:rsidRPr="00B75F5E" w:rsidRDefault="00BD7874" w:rsidP="00B75F5E">
          <w:pPr>
            <w:pStyle w:val="Header"/>
            <w:spacing w:before="109"/>
          </w:pPr>
        </w:p>
      </w:tc>
      <w:tc>
        <w:tcPr>
          <w:tcW w:w="3180" w:type="dxa"/>
          <w:gridSpan w:val="2"/>
          <w:tcBorders>
            <w:top w:val="single" w:sz="4" w:space="0" w:color="auto"/>
            <w:bottom w:val="single" w:sz="12" w:space="0" w:color="auto"/>
          </w:tcBorders>
          <w:shd w:val="clear" w:color="auto" w:fill="auto"/>
        </w:tcPr>
        <w:p w:rsidR="00BD7874" w:rsidRDefault="00BD7874" w:rsidP="00B75F5E">
          <w:pPr>
            <w:spacing w:before="240" w:line="240" w:lineRule="exact"/>
            <w:rPr>
              <w:rFonts w:ascii="Times New Roman"/>
            </w:rPr>
          </w:pPr>
          <w:r>
            <w:rPr>
              <w:rFonts w:ascii="Times New Roman"/>
            </w:rPr>
            <w:t>Distr.: General</w:t>
          </w:r>
        </w:p>
        <w:p w:rsidR="00BD7874" w:rsidRDefault="00BD7874" w:rsidP="00B75F5E">
          <w:pPr>
            <w:spacing w:line="240" w:lineRule="exact"/>
            <w:rPr>
              <w:rFonts w:ascii="Times New Roman"/>
            </w:rPr>
          </w:pPr>
          <w:r>
            <w:rPr>
              <w:rFonts w:ascii="Times New Roman"/>
            </w:rPr>
            <w:t>28 October 2013</w:t>
          </w:r>
        </w:p>
        <w:p w:rsidR="00BD7874" w:rsidRDefault="00BD7874" w:rsidP="00B75F5E">
          <w:pPr>
            <w:spacing w:line="240" w:lineRule="exact"/>
            <w:rPr>
              <w:rFonts w:ascii="Times New Roman"/>
            </w:rPr>
          </w:pPr>
          <w:r>
            <w:rPr>
              <w:rFonts w:ascii="Times New Roman"/>
            </w:rPr>
            <w:t>Chinese</w:t>
          </w:r>
        </w:p>
        <w:p w:rsidR="00BD7874" w:rsidRPr="00B75F5E" w:rsidRDefault="00BD7874" w:rsidP="00B75F5E">
          <w:pPr>
            <w:spacing w:line="240" w:lineRule="exact"/>
            <w:rPr>
              <w:rFonts w:ascii="Times New Roman"/>
            </w:rPr>
          </w:pPr>
          <w:r>
            <w:rPr>
              <w:rFonts w:ascii="Times New Roman"/>
            </w:rPr>
            <w:t>Original: English</w:t>
          </w:r>
        </w:p>
      </w:tc>
    </w:tr>
  </w:tbl>
  <w:p w:rsidR="00BD7874" w:rsidRPr="00B75F5E" w:rsidRDefault="00BD7874" w:rsidP="00B75F5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0*"/>
    <w:docVar w:name="CreationDt" w:val="13/11/2013 08:47:33"/>
    <w:docVar w:name="DocCategory" w:val="Doc"/>
    <w:docVar w:name="DocType" w:val="Final"/>
    <w:docVar w:name="FooterJN" w:val="13-53310 (C)"/>
    <w:docVar w:name="jobn" w:val="13-53310 (C)"/>
    <w:docVar w:name="jobnDT" w:val="13-53310 (C)   131113"/>
    <w:docVar w:name="jobnDTDT" w:val="13-53310 (C)   131113   131113"/>
    <w:docVar w:name="JobNo" w:val="1353310C"/>
    <w:docVar w:name="OandT" w:val="gz"/>
    <w:docVar w:name="sss1" w:val="CEDAW/C/PER/Q/7-8"/>
    <w:docVar w:name="sss2" w:val="-"/>
    <w:docVar w:name="Symbol1" w:val="CEDAW/C/PER/Q/7-8"/>
    <w:docVar w:name="Symbol2" w:val="-"/>
  </w:docVars>
  <w:rsids>
    <w:rsidRoot w:val="00064C7D"/>
    <w:rsid w:val="0000347C"/>
    <w:rsid w:val="000125BC"/>
    <w:rsid w:val="0001645E"/>
    <w:rsid w:val="00021A2B"/>
    <w:rsid w:val="00024E72"/>
    <w:rsid w:val="00034465"/>
    <w:rsid w:val="00036AA2"/>
    <w:rsid w:val="00036F1B"/>
    <w:rsid w:val="00037444"/>
    <w:rsid w:val="00037B39"/>
    <w:rsid w:val="00044CA4"/>
    <w:rsid w:val="00044EE9"/>
    <w:rsid w:val="00045EFE"/>
    <w:rsid w:val="00057935"/>
    <w:rsid w:val="00064C7D"/>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26E51"/>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10061"/>
    <w:rsid w:val="00320C99"/>
    <w:rsid w:val="003274A9"/>
    <w:rsid w:val="00331221"/>
    <w:rsid w:val="00346223"/>
    <w:rsid w:val="003551D5"/>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09EA"/>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23135"/>
    <w:rsid w:val="00957134"/>
    <w:rsid w:val="0096193C"/>
    <w:rsid w:val="009769E1"/>
    <w:rsid w:val="00977E0D"/>
    <w:rsid w:val="00982D5C"/>
    <w:rsid w:val="00986132"/>
    <w:rsid w:val="00986C04"/>
    <w:rsid w:val="009926CA"/>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6B4E"/>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0AD"/>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75F5E"/>
    <w:rsid w:val="00B8025A"/>
    <w:rsid w:val="00B827B1"/>
    <w:rsid w:val="00B9116F"/>
    <w:rsid w:val="00B9408D"/>
    <w:rsid w:val="00BB23A4"/>
    <w:rsid w:val="00BB6332"/>
    <w:rsid w:val="00BC2276"/>
    <w:rsid w:val="00BD1B08"/>
    <w:rsid w:val="00BD1BFF"/>
    <w:rsid w:val="00BD2150"/>
    <w:rsid w:val="00BD7874"/>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32E7"/>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D3325"/>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Pages>
  <Words>1511</Words>
  <Characters>1557</Characters>
  <Application>Microsoft Office Outlook</Application>
  <DocSecurity>4</DocSecurity>
  <Lines>81</Lines>
  <Paragraphs>78</Paragraphs>
  <ScaleCrop>false</ScaleCrop>
  <Company>United Nations</Company>
  <LinksUpToDate>false</LinksUpToDate>
  <CharactersWithSpaces>2990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GGZ</dc:creator>
  <cp:keywords/>
  <dc:description/>
  <cp:lastModifiedBy>CTPU LXD</cp:lastModifiedBy>
  <cp:revision>15</cp:revision>
  <cp:lastPrinted>2013-11-13T12:35:00Z</cp:lastPrinted>
  <dcterms:created xsi:type="dcterms:W3CDTF">2013-11-13T07:46:00Z</dcterms:created>
  <dcterms:modified xsi:type="dcterms:W3CDTF">2013-11-13T12:35:00Z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1353310</vt:lpwstr>
  </property>
  <property fmtid="{D5CDD505-2E9C-101B-9397-08002B2CF9AE}" pid="3" name="Symbol1">
    <vt:lpwstr>CEDAW/C/PER/Q/7-8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gz</vt:lpwstr>
  </property>
</Properties>
</file>