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9B8" w:rsidRDefault="00E549B8">
      <w:pPr>
        <w:spacing w:line="240" w:lineRule="auto"/>
        <w:rPr>
          <w:sz w:val="6"/>
        </w:rPr>
      </w:pPr>
      <w:r>
        <w:rPr>
          <w:rStyle w:val="CommentReference"/>
        </w:rPr>
        <w:commentReference w:id="0"/>
      </w:r>
    </w:p>
    <w:p w:rsidR="00DA1033" w:rsidRPr="00E549B8" w:rsidRDefault="00DA1033" w:rsidP="00E549B8">
      <w:pPr>
        <w:spacing w:line="20" w:lineRule="exact"/>
        <w:rPr>
          <w:sz w:val="2"/>
        </w:rPr>
        <w:sectPr w:rsidR="00DA1033" w:rsidRPr="00E549B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noEndnote/>
          <w:titlePg/>
          <w:docGrid w:linePitch="209"/>
        </w:sectPr>
      </w:pPr>
    </w:p>
    <w:p w:rsidR="00DA1033" w:rsidRDefault="00DA1033">
      <w:pPr>
        <w:pStyle w:val="H1"/>
      </w:pPr>
      <w:r>
        <w:t>Comité para la Eliminación de la Discriminación</w:t>
      </w:r>
      <w:r>
        <w:br/>
        <w:t>contra la Mujer</w:t>
      </w:r>
    </w:p>
    <w:p w:rsidR="00DA1033" w:rsidRDefault="00DA1033">
      <w:pPr>
        <w:pStyle w:val="H23"/>
      </w:pPr>
      <w:r>
        <w:t>37º período de sesiones</w:t>
      </w:r>
    </w:p>
    <w:p w:rsidR="00DA1033" w:rsidRDefault="00DA1033">
      <w:pPr>
        <w:spacing w:line="240" w:lineRule="auto"/>
        <w:rPr>
          <w:sz w:val="12"/>
        </w:rPr>
      </w:pPr>
    </w:p>
    <w:p w:rsidR="00DA1033" w:rsidRDefault="00DA1033">
      <w:pPr>
        <w:pStyle w:val="H23"/>
      </w:pPr>
      <w:r>
        <w:t>Acta resumida de la 761ª sesión (Sala A)</w:t>
      </w:r>
    </w:p>
    <w:p w:rsidR="00DA1033" w:rsidRDefault="00DA1033">
      <w:r>
        <w:t>Celebrada en la Sede, Nueva York, el jueves 18 de enero de 2007, a las 10.00 horas.</w:t>
      </w:r>
    </w:p>
    <w:p w:rsidR="00DA1033" w:rsidRDefault="00DA1033">
      <w:pPr>
        <w:tabs>
          <w:tab w:val="right" w:pos="907"/>
          <w:tab w:val="left" w:pos="1267"/>
          <w:tab w:val="right" w:leader="dot" w:pos="8568"/>
        </w:tabs>
        <w:spacing w:line="120" w:lineRule="exact"/>
        <w:ind w:right="1267"/>
        <w:rPr>
          <w:i/>
          <w:sz w:val="10"/>
        </w:rPr>
      </w:pPr>
    </w:p>
    <w:p w:rsidR="00DA1033" w:rsidRDefault="00DA1033">
      <w:pPr>
        <w:tabs>
          <w:tab w:val="right" w:pos="907"/>
          <w:tab w:val="left" w:pos="1267"/>
          <w:tab w:val="right" w:leader="dot" w:pos="8568"/>
        </w:tabs>
        <w:ind w:right="1267"/>
      </w:pPr>
      <w:r>
        <w:rPr>
          <w:i/>
        </w:rPr>
        <w:tab/>
        <w:t>Presidenta</w:t>
      </w:r>
      <w:r>
        <w:t>:</w:t>
      </w:r>
      <w:r>
        <w:tab/>
        <w:t xml:space="preserve">Sra. Gabr (Vicepresidenta) </w:t>
      </w:r>
    </w:p>
    <w:p w:rsidR="00DA1033" w:rsidRDefault="00DA1033">
      <w:pPr>
        <w:tabs>
          <w:tab w:val="right" w:pos="907"/>
          <w:tab w:val="left" w:pos="1267"/>
          <w:tab w:val="right" w:leader="dot" w:pos="8568"/>
        </w:tabs>
        <w:spacing w:line="120" w:lineRule="exact"/>
        <w:ind w:right="1267"/>
        <w:rPr>
          <w:sz w:val="10"/>
        </w:rPr>
      </w:pPr>
    </w:p>
    <w:p w:rsidR="00DA1033" w:rsidRDefault="00DA1033">
      <w:pPr>
        <w:tabs>
          <w:tab w:val="right" w:pos="907"/>
          <w:tab w:val="left" w:pos="1267"/>
          <w:tab w:val="right" w:leader="dot" w:pos="8568"/>
        </w:tabs>
        <w:spacing w:line="120" w:lineRule="exact"/>
        <w:ind w:right="1267"/>
        <w:rPr>
          <w:sz w:val="10"/>
        </w:rPr>
      </w:pPr>
    </w:p>
    <w:p w:rsidR="00DA1033" w:rsidRDefault="00DA1033">
      <w:pPr>
        <w:tabs>
          <w:tab w:val="right" w:pos="907"/>
          <w:tab w:val="left" w:pos="1267"/>
          <w:tab w:val="right" w:leader="dot" w:pos="8568"/>
        </w:tabs>
        <w:spacing w:line="120" w:lineRule="exact"/>
        <w:ind w:right="1267"/>
        <w:rPr>
          <w:sz w:val="10"/>
        </w:rPr>
      </w:pPr>
    </w:p>
    <w:p w:rsidR="00DA1033" w:rsidRDefault="00DA1033">
      <w:pPr>
        <w:pStyle w:val="HCh"/>
        <w:rPr>
          <w:b w:val="0"/>
        </w:rPr>
      </w:pPr>
      <w:r>
        <w:rPr>
          <w:b w:val="0"/>
        </w:rPr>
        <w:t>Sumario</w:t>
      </w:r>
    </w:p>
    <w:p w:rsidR="00DA1033" w:rsidRDefault="00DA1033">
      <w:pPr>
        <w:spacing w:line="120" w:lineRule="exact"/>
        <w:rPr>
          <w:sz w:val="10"/>
        </w:rPr>
      </w:pPr>
    </w:p>
    <w:p w:rsidR="00DA1033" w:rsidRDefault="00DA1033">
      <w:pPr>
        <w:pStyle w:val="SingleTxt"/>
        <w:jc w:val="left"/>
      </w:pPr>
      <w:r>
        <w:t>Examen de los informes presentados por los Estados partes con arreglo al artículo 18 de la Convención (</w:t>
      </w:r>
      <w:r>
        <w:rPr>
          <w:i/>
        </w:rPr>
        <w:t>continuación</w:t>
      </w:r>
      <w:r>
        <w:t>)</w:t>
      </w:r>
    </w:p>
    <w:p w:rsidR="00DA1033" w:rsidRDefault="00DA1033">
      <w:pPr>
        <w:pStyle w:val="SingleTxt"/>
        <w:jc w:val="left"/>
        <w:rPr>
          <w:i/>
        </w:rPr>
      </w:pPr>
      <w:r>
        <w:tab/>
      </w:r>
      <w:r>
        <w:rPr>
          <w:i/>
        </w:rPr>
        <w:t>Informes periódicos segundo y tercero combinados de la India</w:t>
      </w:r>
    </w:p>
    <w:p w:rsidR="00C14B5F" w:rsidRDefault="00C14B5F">
      <w:pPr>
        <w:pStyle w:val="SingleTxt"/>
        <w:jc w:val="left"/>
        <w:rPr>
          <w:i/>
        </w:rPr>
      </w:pPr>
    </w:p>
    <w:p w:rsidR="00C14B5F" w:rsidRDefault="00C14B5F">
      <w:pPr>
        <w:pStyle w:val="DualTxt"/>
        <w:spacing w:line="240" w:lineRule="auto"/>
        <w:jc w:val="left"/>
        <w:rPr>
          <w:i/>
        </w:rPr>
        <w:sectPr w:rsidR="00C14B5F" w:rsidSect="00C14B5F">
          <w:endnotePr>
            <w:numFmt w:val="decimal"/>
          </w:endnotePr>
          <w:type w:val="continuous"/>
          <w:pgSz w:w="12240" w:h="15840" w:code="1"/>
          <w:pgMar w:top="1742" w:right="1195" w:bottom="1898" w:left="1195" w:header="576" w:footer="1030" w:gutter="0"/>
          <w:cols w:space="240"/>
          <w:noEndnote/>
          <w:docGrid w:linePitch="209"/>
        </w:sectPr>
      </w:pPr>
    </w:p>
    <w:p w:rsidR="00DA1033" w:rsidRDefault="00DA1033">
      <w:pPr>
        <w:pStyle w:val="DualTxt"/>
        <w:spacing w:line="240" w:lineRule="auto"/>
        <w:jc w:val="left"/>
        <w:rPr>
          <w:i/>
        </w:rPr>
      </w:pPr>
      <w:r>
        <w:rPr>
          <w:i/>
        </w:rPr>
        <w:br w:type="page"/>
        <w:t>En ausencia de la Sra. Šimonović, la Sra. Gabr (Vic</w:t>
      </w:r>
      <w:r>
        <w:rPr>
          <w:i/>
        </w:rPr>
        <w:t>e</w:t>
      </w:r>
      <w:r>
        <w:rPr>
          <w:i/>
        </w:rPr>
        <w:t>presidenta) ocupa la Presidencia.</w:t>
      </w:r>
    </w:p>
    <w:p w:rsidR="00DA1033" w:rsidRDefault="00DA1033">
      <w:pPr>
        <w:pStyle w:val="DualTxt"/>
        <w:spacing w:line="240" w:lineRule="auto"/>
        <w:rPr>
          <w:i/>
        </w:rPr>
      </w:pPr>
      <w:r>
        <w:rPr>
          <w:i/>
        </w:rPr>
        <w:t>Se declara abierta la sesión a las 10.00 horas.</w:t>
      </w:r>
    </w:p>
    <w:p w:rsidR="00DA1033" w:rsidRDefault="00DA1033">
      <w:pPr>
        <w:pStyle w:val="DualTxt"/>
        <w:spacing w:after="0" w:line="240" w:lineRule="auto"/>
        <w:rPr>
          <w:i/>
        </w:rPr>
      </w:pPr>
    </w:p>
    <w:p w:rsidR="00DA1033" w:rsidRDefault="00DA1033" w:rsidP="00C14B5F">
      <w:pPr>
        <w:pStyle w:val="H23"/>
        <w:tabs>
          <w:tab w:val="right" w:pos="360"/>
          <w:tab w:val="left" w:pos="475"/>
          <w:tab w:val="left" w:pos="965"/>
          <w:tab w:val="left" w:pos="1440"/>
          <w:tab w:val="left" w:pos="1915"/>
          <w:tab w:val="left" w:pos="2405"/>
          <w:tab w:val="left" w:pos="2880"/>
          <w:tab w:val="left" w:pos="3355"/>
        </w:tabs>
        <w:spacing w:line="240" w:lineRule="auto"/>
        <w:rPr>
          <w:b w:val="0"/>
        </w:rPr>
      </w:pPr>
      <w:r>
        <w:t>Examen de los infor</w:t>
      </w:r>
      <w:r w:rsidR="00C14B5F">
        <w:t xml:space="preserve">mes presentados por los Estados </w:t>
      </w:r>
      <w:r>
        <w:t xml:space="preserve">partes con arreglo al artículo 18 de la Convención </w:t>
      </w:r>
      <w:r>
        <w:rPr>
          <w:b w:val="0"/>
        </w:rPr>
        <w:t>(</w:t>
      </w:r>
      <w:r>
        <w:rPr>
          <w:b w:val="0"/>
          <w:i/>
        </w:rPr>
        <w:t>continuación</w:t>
      </w:r>
      <w:r>
        <w:rPr>
          <w:b w:val="0"/>
        </w:rPr>
        <w:t>)</w:t>
      </w:r>
    </w:p>
    <w:p w:rsidR="00DA1033" w:rsidRDefault="00DA1033">
      <w:pPr>
        <w:pStyle w:val="DualTxt"/>
        <w:spacing w:after="0" w:line="240" w:lineRule="auto"/>
      </w:pPr>
    </w:p>
    <w:p w:rsidR="00DA1033" w:rsidRDefault="00DA1033">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b/>
      </w:r>
      <w:r>
        <w:tab/>
        <w:t>Informes periódicos segundo y tercero combinados de la India</w:t>
      </w:r>
      <w:r>
        <w:rPr>
          <w:i w:val="0"/>
        </w:rPr>
        <w:t xml:space="preserve"> (CEDAW/C/IND/2-3; CEDAW/C/IND/Q/3 y CEDAW/C/IND/Q/3/Add.1)</w:t>
      </w:r>
    </w:p>
    <w:p w:rsidR="00DA1033" w:rsidRDefault="00DA1033">
      <w:pPr>
        <w:pStyle w:val="DualTxt"/>
        <w:spacing w:after="0" w:line="240" w:lineRule="auto"/>
      </w:pPr>
    </w:p>
    <w:p w:rsidR="00DA1033" w:rsidRDefault="00DA1033">
      <w:pPr>
        <w:pStyle w:val="DualTxt"/>
        <w:spacing w:line="240" w:lineRule="auto"/>
        <w:rPr>
          <w:i/>
        </w:rPr>
      </w:pPr>
      <w:r>
        <w:t>1.</w:t>
      </w:r>
      <w:r>
        <w:tab/>
      </w:r>
      <w:r>
        <w:rPr>
          <w:i/>
        </w:rPr>
        <w:t>Por invitación de la Presidenta, los miembros de la delegación de la India toman asiento a la mesa del Comité.</w:t>
      </w:r>
    </w:p>
    <w:p w:rsidR="00DA1033" w:rsidRDefault="00DA1033">
      <w:pPr>
        <w:pStyle w:val="DualTxt"/>
        <w:spacing w:line="240" w:lineRule="auto"/>
        <w:rPr>
          <w:lang w:val="es-ES_tradnl"/>
        </w:rPr>
      </w:pPr>
      <w:r>
        <w:t>2.</w:t>
      </w:r>
      <w:r>
        <w:tab/>
      </w:r>
      <w:r>
        <w:rPr>
          <w:b/>
        </w:rPr>
        <w:t>La Sra. Singh</w:t>
      </w:r>
      <w:r>
        <w:t xml:space="preserve"> (India), presentando los informes de segundo y tercero combinados de la India (CEDAW/C/IND/2-3), dice que se han preparado en consulta con el Comité Interministerial del Depart</w:t>
      </w:r>
      <w:r>
        <w:t>a</w:t>
      </w:r>
      <w:r>
        <w:t>mento del Adelanto de la Mujer y del Niño y los g</w:t>
      </w:r>
      <w:r>
        <w:t>o</w:t>
      </w:r>
      <w:r>
        <w:t xml:space="preserve">biernos de los estados y se han dado a conocer a través del sitio del Departamento en la web. </w:t>
      </w:r>
      <w:r>
        <w:rPr>
          <w:lang w:val="es-ES_tradnl"/>
        </w:rPr>
        <w:t>Su Gobierno está haciendo todo lo posible para hacer frente a los pr</w:t>
      </w:r>
      <w:r>
        <w:rPr>
          <w:lang w:val="es-ES_tradnl"/>
        </w:rPr>
        <w:t>o</w:t>
      </w:r>
      <w:r>
        <w:rPr>
          <w:lang w:val="es-ES_tradnl"/>
        </w:rPr>
        <w:t>blemas que plantean la gran extensión de la India y el tamaño y la diversidad de su población. Los medios de comunicación y los grupos de la sociedad civil también han desempeñado un papel clave en la difusión de i</w:t>
      </w:r>
      <w:r>
        <w:rPr>
          <w:lang w:val="es-ES_tradnl"/>
        </w:rPr>
        <w:t>n</w:t>
      </w:r>
      <w:r>
        <w:rPr>
          <w:lang w:val="es-ES_tradnl"/>
        </w:rPr>
        <w:t xml:space="preserve">formación sobre las cuestiones de género. </w:t>
      </w:r>
    </w:p>
    <w:p w:rsidR="00DA1033" w:rsidRDefault="00DA1033">
      <w:pPr>
        <w:pStyle w:val="DualTxt"/>
        <w:spacing w:line="240" w:lineRule="auto"/>
        <w:rPr>
          <w:lang w:val="es-ES_tradnl"/>
        </w:rPr>
      </w:pPr>
      <w:r>
        <w:t>3.</w:t>
      </w:r>
      <w:r>
        <w:tab/>
        <w:t xml:space="preserve">La Constitución garantiza la igualdad de derechos de las mujeres. </w:t>
      </w:r>
      <w:r>
        <w:rPr>
          <w:lang w:val="es-ES_tradnl"/>
        </w:rPr>
        <w:t>Las enmiendas de la Constitución, la adopción de legislación y medidas proactivas, las se</w:t>
      </w:r>
      <w:r>
        <w:rPr>
          <w:lang w:val="es-ES_tradnl"/>
        </w:rPr>
        <w:t>n</w:t>
      </w:r>
      <w:r>
        <w:rPr>
          <w:lang w:val="es-ES_tradnl"/>
        </w:rPr>
        <w:t>tencias de los tribunales y los esfuerzos de los medios de comunicación y las organizaciones de la sociedad civil también han contribuido a reforzar la realización de los derechos de la mujer. Los planes quinquenales del país reflejan el compromiso de hacer a las mujeres partícipes en el desarrollo y la gobernanza en pie de igualdad. La Ley de la información (2005) promueve la transparencia y la rendición de cuentas a nivel gube</w:t>
      </w:r>
      <w:r>
        <w:rPr>
          <w:lang w:val="es-ES_tradnl"/>
        </w:rPr>
        <w:t>r</w:t>
      </w:r>
      <w:r>
        <w:rPr>
          <w:lang w:val="es-ES_tradnl"/>
        </w:rPr>
        <w:t>namental y establece mecanismos de evaluación de las políticas públicas. La descentralización y la transfere</w:t>
      </w:r>
      <w:r>
        <w:rPr>
          <w:lang w:val="es-ES_tradnl"/>
        </w:rPr>
        <w:t>n</w:t>
      </w:r>
      <w:r>
        <w:rPr>
          <w:lang w:val="es-ES_tradnl"/>
        </w:rPr>
        <w:t>cia de poderes a los órganos locales también han refo</w:t>
      </w:r>
      <w:r>
        <w:rPr>
          <w:lang w:val="es-ES_tradnl"/>
        </w:rPr>
        <w:t>r</w:t>
      </w:r>
      <w:r>
        <w:rPr>
          <w:lang w:val="es-ES_tradnl"/>
        </w:rPr>
        <w:t xml:space="preserve">zado la transparencia y la rendición de cuentas en la promoción de las cuestiones relacionadas con la mujer. </w:t>
      </w:r>
    </w:p>
    <w:p w:rsidR="00DA1033" w:rsidRDefault="00DA1033">
      <w:pPr>
        <w:pStyle w:val="DualTxt"/>
        <w:spacing w:line="240" w:lineRule="auto"/>
        <w:rPr>
          <w:lang w:val="es-ES_tradnl"/>
        </w:rPr>
      </w:pPr>
      <w:r>
        <w:t>4.</w:t>
      </w:r>
      <w:r>
        <w:tab/>
        <w:t xml:space="preserve">El poder judicial es totalmente independiente, y los tribunales, en particular el Tribunal Supremo, han afirmado los derechos de la mujer. </w:t>
      </w:r>
      <w:r>
        <w:rPr>
          <w:lang w:val="es-ES_tradnl"/>
        </w:rPr>
        <w:t>Los tribunales se han ocupado de cuestiones tales como el registro obl</w:t>
      </w:r>
      <w:r>
        <w:rPr>
          <w:lang w:val="es-ES_tradnl"/>
        </w:rPr>
        <w:t>i</w:t>
      </w:r>
      <w:r>
        <w:rPr>
          <w:lang w:val="es-ES_tradnl"/>
        </w:rPr>
        <w:t>gatorio de los matrimonios, el acoso sexual, la prote</w:t>
      </w:r>
      <w:r>
        <w:rPr>
          <w:lang w:val="es-ES_tradnl"/>
        </w:rPr>
        <w:t>c</w:t>
      </w:r>
      <w:r>
        <w:rPr>
          <w:lang w:val="es-ES_tradnl"/>
        </w:rPr>
        <w:t>ción en caso de matrimonios entre castas y el mant</w:t>
      </w:r>
      <w:r>
        <w:rPr>
          <w:lang w:val="es-ES_tradnl"/>
        </w:rPr>
        <w:t>e</w:t>
      </w:r>
      <w:r>
        <w:rPr>
          <w:lang w:val="es-ES_tradnl"/>
        </w:rPr>
        <w:t>nimiento de los derechos de las mujeres musulmanas divorciadas. El Tribunal Supremo ha sostenido la nec</w:t>
      </w:r>
      <w:r>
        <w:rPr>
          <w:lang w:val="es-ES_tradnl"/>
        </w:rPr>
        <w:t>e</w:t>
      </w:r>
      <w:r>
        <w:rPr>
          <w:lang w:val="es-ES_tradnl"/>
        </w:rPr>
        <w:t>sidad de incoar procedimientos judiciales en los casos de denuncias de agresión sexual basándose exclusiv</w:t>
      </w:r>
      <w:r>
        <w:rPr>
          <w:lang w:val="es-ES_tradnl"/>
        </w:rPr>
        <w:t>a</w:t>
      </w:r>
      <w:r>
        <w:rPr>
          <w:lang w:val="es-ES_tradnl"/>
        </w:rPr>
        <w:t>mente en el testimonio de la víctima y, con respecto a la violación, ha ampliado el concepto de ausencia de consentimiento para incluir el consentimiento obtenido mediante engaño o falsas promesas de matrimonio. Tras los disturbios de Gujarat, el Tribunal dejó sin efecto varias sentencias absolutorias, ordenó la rev</w:t>
      </w:r>
      <w:r>
        <w:rPr>
          <w:lang w:val="es-ES_tradnl"/>
        </w:rPr>
        <w:t>i</w:t>
      </w:r>
      <w:r>
        <w:rPr>
          <w:lang w:val="es-ES_tradnl"/>
        </w:rPr>
        <w:t>sión de miles de casos y trasladó algunos casos fuera de Gujarat. El Tribunal está todavía examinando la cuestión de la protección de los testigos que se planteó como consecuencia de los sucesos de Gujarat. Asimi</w:t>
      </w:r>
      <w:r>
        <w:rPr>
          <w:lang w:val="es-ES_tradnl"/>
        </w:rPr>
        <w:t>s</w:t>
      </w:r>
      <w:r>
        <w:rPr>
          <w:lang w:val="es-ES_tradnl"/>
        </w:rPr>
        <w:t xml:space="preserve">mo, el Tribunal Supremo tiene actualmente ante sí una demanda relacionada con la trata de mujeres. </w:t>
      </w:r>
    </w:p>
    <w:p w:rsidR="00DA1033" w:rsidRDefault="00DA1033">
      <w:pPr>
        <w:pStyle w:val="DualTxt"/>
        <w:spacing w:line="240" w:lineRule="auto"/>
        <w:rPr>
          <w:lang w:val="es-ES_tradnl"/>
        </w:rPr>
      </w:pPr>
      <w:r>
        <w:t>5.</w:t>
      </w:r>
      <w:r>
        <w:tab/>
        <w:t>En virtud del artículo 142 de la Constitución, el Tribunal Supremo goza de amplios poderes y ha señ</w:t>
      </w:r>
      <w:r>
        <w:t>a</w:t>
      </w:r>
      <w:r>
        <w:t>lado que el Gobierno tiene la obligación internacional, dimanante de la Convención y la Plataforma de Acción de Beijing, de preparar unas directrices sobre el acoso sexual en el lugar de trabajo y de reafirmar los der</w:t>
      </w:r>
      <w:r>
        <w:t>e</w:t>
      </w:r>
      <w:r>
        <w:t xml:space="preserve">chos de las mujeres pertenecientes a tribus. </w:t>
      </w:r>
      <w:r>
        <w:rPr>
          <w:lang w:val="es-ES_tradnl"/>
        </w:rPr>
        <w:t>Las muj</w:t>
      </w:r>
      <w:r>
        <w:rPr>
          <w:lang w:val="es-ES_tradnl"/>
        </w:rPr>
        <w:t>e</w:t>
      </w:r>
      <w:r>
        <w:rPr>
          <w:lang w:val="es-ES_tradnl"/>
        </w:rPr>
        <w:t>res pueden apelar al Tribunal presentando demandas individuales o colectivas, lo que ha permitido al Trib</w:t>
      </w:r>
      <w:r>
        <w:rPr>
          <w:lang w:val="es-ES_tradnl"/>
        </w:rPr>
        <w:t>u</w:t>
      </w:r>
      <w:r>
        <w:rPr>
          <w:lang w:val="es-ES_tradnl"/>
        </w:rPr>
        <w:t>nal confirmar derechos tales como el derecho a la al</w:t>
      </w:r>
      <w:r>
        <w:rPr>
          <w:lang w:val="es-ES_tradnl"/>
        </w:rPr>
        <w:t>i</w:t>
      </w:r>
      <w:r>
        <w:rPr>
          <w:lang w:val="es-ES_tradnl"/>
        </w:rPr>
        <w:t xml:space="preserve">mentación, a la salud y a la educación en el marco de la categoría general del derecho a la vida. </w:t>
      </w:r>
    </w:p>
    <w:p w:rsidR="00DA1033" w:rsidRDefault="00DA1033">
      <w:pPr>
        <w:pStyle w:val="DualTxt"/>
        <w:spacing w:line="240" w:lineRule="auto"/>
        <w:rPr>
          <w:lang w:val="es-ES_tradnl"/>
        </w:rPr>
      </w:pPr>
      <w:r>
        <w:t>6.</w:t>
      </w:r>
      <w:r>
        <w:tab/>
        <w:t>El Parlamento lleva a cabo una evaluación con</w:t>
      </w:r>
      <w:r>
        <w:t>s</w:t>
      </w:r>
      <w:r>
        <w:t xml:space="preserve">tante del cumplimiento de las leyes y las políticas y se encarga de revisar la legislación. </w:t>
      </w:r>
      <w:r>
        <w:rPr>
          <w:lang w:val="es-ES_tradnl"/>
        </w:rPr>
        <w:t>El Programa Mínimo Común de su Gobierno demuestra su compromiso con el empoderamiento de la mujer. Se está preparando una nueva ley sobre el acoso sexual. Entre la legislación aprobada recientemente figuran la Ley sobre la viole</w:t>
      </w:r>
      <w:r>
        <w:rPr>
          <w:lang w:val="es-ES_tradnl"/>
        </w:rPr>
        <w:t>n</w:t>
      </w:r>
      <w:r>
        <w:rPr>
          <w:lang w:val="es-ES_tradnl"/>
        </w:rPr>
        <w:t>cia doméstica, que prevé recursos civiles para prevenir esa forma de violencia y proteger y ayudar a las víct</w:t>
      </w:r>
      <w:r>
        <w:rPr>
          <w:lang w:val="es-ES_tradnl"/>
        </w:rPr>
        <w:t>i</w:t>
      </w:r>
      <w:r>
        <w:rPr>
          <w:lang w:val="es-ES_tradnl"/>
        </w:rPr>
        <w:t>mas; y la enmienda de la Ley hindú de sucesiones, que otorga a las viudas y las hijas el derecho a heredar pr</w:t>
      </w:r>
      <w:r>
        <w:rPr>
          <w:lang w:val="es-ES_tradnl"/>
        </w:rPr>
        <w:t>o</w:t>
      </w:r>
      <w:r>
        <w:rPr>
          <w:lang w:val="es-ES_tradnl"/>
        </w:rPr>
        <w:t>piedades, incluidas tierras de cultivo. El establecimie</w:t>
      </w:r>
      <w:r>
        <w:rPr>
          <w:lang w:val="es-ES_tradnl"/>
        </w:rPr>
        <w:t>n</w:t>
      </w:r>
      <w:r>
        <w:rPr>
          <w:lang w:val="es-ES_tradnl"/>
        </w:rPr>
        <w:t>to de una Comisión de Protección de los Derechos del Niño pone de manifiesto el  compromiso del Gobierno con las niñas. También se están tomando medidas para hacer frente al flagelo de los abortos selectivos de n</w:t>
      </w:r>
      <w:r>
        <w:rPr>
          <w:lang w:val="es-ES_tradnl"/>
        </w:rPr>
        <w:t>i</w:t>
      </w:r>
      <w:r>
        <w:rPr>
          <w:lang w:val="es-ES_tradnl"/>
        </w:rPr>
        <w:t>ñas.</w:t>
      </w:r>
    </w:p>
    <w:p w:rsidR="00DA1033" w:rsidRDefault="00DA1033">
      <w:pPr>
        <w:pStyle w:val="DualTxt"/>
        <w:spacing w:line="240" w:lineRule="auto"/>
      </w:pPr>
      <w:r>
        <w:rPr>
          <w:lang w:val="es-ES_tradnl"/>
        </w:rPr>
        <w:t>7.</w:t>
      </w:r>
      <w:r>
        <w:rPr>
          <w:lang w:val="es-ES_tradnl"/>
        </w:rPr>
        <w:tab/>
        <w:t>Las enmiendas 73ª y 74ª de la Constitución han propiciado el empoderamiento político de las mujeres al permitir su participación en el Panchayat Raj, sist</w:t>
      </w:r>
      <w:r>
        <w:rPr>
          <w:lang w:val="es-ES_tradnl"/>
        </w:rPr>
        <w:t>e</w:t>
      </w:r>
      <w:r>
        <w:rPr>
          <w:lang w:val="es-ES_tradnl"/>
        </w:rPr>
        <w:t>ma de autogobierno local que tiene por objeto prom</w:t>
      </w:r>
      <w:r>
        <w:rPr>
          <w:lang w:val="es-ES_tradnl"/>
        </w:rPr>
        <w:t>o</w:t>
      </w:r>
      <w:r>
        <w:rPr>
          <w:lang w:val="es-ES_tradnl"/>
        </w:rPr>
        <w:t>ver la democracia a nivel de base. La representación de las mujeres en los gobiernos autonómicos locales ha superado el cupo obligatorio del 33%. Actualmente más de un millón de mujeres intervienen en el proceso de adopción de decisiones sobre políticas a nivel de b</w:t>
      </w:r>
      <w:r>
        <w:rPr>
          <w:lang w:val="es-ES_tradnl"/>
        </w:rPr>
        <w:t>a</w:t>
      </w:r>
      <w:r>
        <w:rPr>
          <w:lang w:val="es-ES_tradnl"/>
        </w:rPr>
        <w:t>se. Dentro del cupo destinado a las mujeres también se han reservado escaños a las mujeres pertenecientes a las castas y tribus registradas, que pueden ocupar la Presidencia. Se promueve la creación de grupos de a</w:t>
      </w:r>
      <w:r>
        <w:rPr>
          <w:lang w:val="es-ES_tradnl"/>
        </w:rPr>
        <w:t>u</w:t>
      </w:r>
      <w:r>
        <w:rPr>
          <w:lang w:val="es-ES_tradnl"/>
        </w:rPr>
        <w:t>toayuda, formación y desarrollo de la capacidad a fin de fomentar la participación de las mujeres y las rel</w:t>
      </w:r>
      <w:r>
        <w:rPr>
          <w:lang w:val="es-ES_tradnl"/>
        </w:rPr>
        <w:t>a</w:t>
      </w:r>
      <w:r>
        <w:rPr>
          <w:lang w:val="es-ES_tradnl"/>
        </w:rPr>
        <w:t>ciones entre los grupos de mujeres. Por ejemplo, esos esfuerzos ayudarán a rehabilitar a las mujeres recog</w:t>
      </w:r>
      <w:r>
        <w:rPr>
          <w:lang w:val="es-ES_tradnl"/>
        </w:rPr>
        <w:t>e</w:t>
      </w:r>
      <w:r>
        <w:rPr>
          <w:lang w:val="es-ES_tradnl"/>
        </w:rPr>
        <w:t xml:space="preserve">doras de excrementos, actividad que actualmente está prohibida por ley. </w:t>
      </w:r>
    </w:p>
    <w:p w:rsidR="00DA1033" w:rsidRDefault="00DA1033">
      <w:pPr>
        <w:pStyle w:val="DualTxt"/>
        <w:spacing w:line="240" w:lineRule="auto"/>
        <w:rPr>
          <w:lang w:val="es-ES_tradnl"/>
        </w:rPr>
      </w:pPr>
      <w:r>
        <w:rPr>
          <w:lang w:val="es-ES_tradnl"/>
        </w:rPr>
        <w:t>8.</w:t>
      </w:r>
      <w:r>
        <w:rPr>
          <w:lang w:val="es-ES_tradnl"/>
        </w:rPr>
        <w:tab/>
        <w:t>Está previsto modificar la legislación vigente s</w:t>
      </w:r>
      <w:r>
        <w:rPr>
          <w:lang w:val="es-ES_tradnl"/>
        </w:rPr>
        <w:t>o</w:t>
      </w:r>
      <w:r>
        <w:rPr>
          <w:lang w:val="es-ES_tradnl"/>
        </w:rPr>
        <w:t>bre la trata de mujeres a fin de proteger a las víctimas y aplicar penas más severas a los culpables. Se han pue</w:t>
      </w:r>
      <w:r>
        <w:rPr>
          <w:lang w:val="es-ES_tradnl"/>
        </w:rPr>
        <w:t>s</w:t>
      </w:r>
      <w:r>
        <w:rPr>
          <w:lang w:val="es-ES_tradnl"/>
        </w:rPr>
        <w:t>to en marcha consultas con miras a aprobar instrume</w:t>
      </w:r>
      <w:r>
        <w:rPr>
          <w:lang w:val="es-ES_tradnl"/>
        </w:rPr>
        <w:t>n</w:t>
      </w:r>
      <w:r>
        <w:rPr>
          <w:lang w:val="es-ES_tradnl"/>
        </w:rPr>
        <w:t>tos legislativos que permitan actualizar el Plan de A</w:t>
      </w:r>
      <w:r>
        <w:rPr>
          <w:lang w:val="es-ES_tradnl"/>
        </w:rPr>
        <w:t>c</w:t>
      </w:r>
      <w:r>
        <w:rPr>
          <w:lang w:val="es-ES_tradnl"/>
        </w:rPr>
        <w:t>ción Nacional y a promover la reinserción de las víct</w:t>
      </w:r>
      <w:r>
        <w:rPr>
          <w:lang w:val="es-ES_tradnl"/>
        </w:rPr>
        <w:t>i</w:t>
      </w:r>
      <w:r>
        <w:rPr>
          <w:lang w:val="es-ES_tradnl"/>
        </w:rPr>
        <w:t xml:space="preserve">mas en la sociedad. </w:t>
      </w:r>
      <w:r>
        <w:t xml:space="preserve">El 11º plan quinquenal incluirá un plan general de rehabilitación. </w:t>
      </w:r>
      <w:r>
        <w:rPr>
          <w:lang w:val="es-ES_tradnl"/>
        </w:rPr>
        <w:t>Su Gobierno ha pedido al Fondo de las Naciones Unidas para la Infancia (UNICEF) que evalúe la situación actual de los niños que son objeto de trata entre la India y Bangladesh con el fin de hacer frente a la trata transfronteriza de muj</w:t>
      </w:r>
      <w:r>
        <w:rPr>
          <w:lang w:val="es-ES_tradnl"/>
        </w:rPr>
        <w:t>e</w:t>
      </w:r>
      <w:r>
        <w:rPr>
          <w:lang w:val="es-ES_tradnl"/>
        </w:rPr>
        <w:t>res y de garantizar la pronta repatriación de las víct</w:t>
      </w:r>
      <w:r>
        <w:rPr>
          <w:lang w:val="es-ES_tradnl"/>
        </w:rPr>
        <w:t>i</w:t>
      </w:r>
      <w:r>
        <w:rPr>
          <w:lang w:val="es-ES_tradnl"/>
        </w:rPr>
        <w:t>mas.</w:t>
      </w:r>
    </w:p>
    <w:p w:rsidR="00DA1033" w:rsidRDefault="00DA1033">
      <w:pPr>
        <w:pStyle w:val="DualTxt"/>
        <w:spacing w:line="240" w:lineRule="auto"/>
      </w:pPr>
      <w:r>
        <w:rPr>
          <w:lang w:val="es-ES_tradnl"/>
        </w:rPr>
        <w:t>9.</w:t>
      </w:r>
      <w:r>
        <w:rPr>
          <w:lang w:val="es-ES_tradnl"/>
        </w:rPr>
        <w:tab/>
        <w:t>En la esfera de la salud, se están llevando a cabo actividades de prevención y atención relacionadas con el VIH/SIDA dirigidas específicamente a grupos de a</w:t>
      </w:r>
      <w:r>
        <w:rPr>
          <w:lang w:val="es-ES_tradnl"/>
        </w:rPr>
        <w:t>l</w:t>
      </w:r>
      <w:r>
        <w:rPr>
          <w:lang w:val="es-ES_tradnl"/>
        </w:rPr>
        <w:t>to riesgo, entre los que se cuentan las mujeres embar</w:t>
      </w:r>
      <w:r>
        <w:rPr>
          <w:lang w:val="es-ES_tradnl"/>
        </w:rPr>
        <w:t>a</w:t>
      </w:r>
      <w:r>
        <w:rPr>
          <w:lang w:val="es-ES_tradnl"/>
        </w:rPr>
        <w:t>zadas. Se ha puesto en marcha la Misión Nacional en pro de la Salud en las Zonas Rurales con el fin de ree</w:t>
      </w:r>
      <w:r>
        <w:rPr>
          <w:lang w:val="es-ES_tradnl"/>
        </w:rPr>
        <w:t>s</w:t>
      </w:r>
      <w:r>
        <w:rPr>
          <w:lang w:val="es-ES_tradnl"/>
        </w:rPr>
        <w:t>tructurar los servicios de atención de la salud de las zonas rurales incorporando programas de control de las enfermedades y creando una comunidad de atención de la salud para cada distrito. Uno de los objetivos básicos es proteger la salud de las embarazadas, garantizar un parto sin complicaciones y la salud del recién nacido y mejorar el estado general de salud de las mujeres rur</w:t>
      </w:r>
      <w:r>
        <w:rPr>
          <w:lang w:val="es-ES_tradnl"/>
        </w:rPr>
        <w:t>a</w:t>
      </w:r>
      <w:r>
        <w:rPr>
          <w:lang w:val="es-ES_tradnl"/>
        </w:rPr>
        <w:t xml:space="preserve">les. Se está contratando a nivel de base a trabajadores sociales de salud acreditados. </w:t>
      </w:r>
      <w:r>
        <w:t xml:space="preserve">Actualmente su número asciende a 250.000. </w:t>
      </w:r>
    </w:p>
    <w:p w:rsidR="00DA1033" w:rsidRDefault="00DA1033">
      <w:pPr>
        <w:pStyle w:val="DualTxt"/>
        <w:spacing w:line="240" w:lineRule="auto"/>
      </w:pPr>
      <w:r>
        <w:rPr>
          <w:lang w:val="es-ES_tradnl"/>
        </w:rPr>
        <w:t>10.</w:t>
      </w:r>
      <w:r>
        <w:rPr>
          <w:lang w:val="es-ES_tradnl"/>
        </w:rPr>
        <w:tab/>
        <w:t>La educación es un derecho fundamental y un medio de empoderamiento. Para promover la educ</w:t>
      </w:r>
      <w:r>
        <w:rPr>
          <w:lang w:val="es-ES_tradnl"/>
        </w:rPr>
        <w:t>a</w:t>
      </w:r>
      <w:r>
        <w:rPr>
          <w:lang w:val="es-ES_tradnl"/>
        </w:rPr>
        <w:t>ción de las niñas, se han abierto más escuelas cerca de las ciudades y las aldeas, se están construyendo retretes para niñas, y se facilitan becas y material escolar y un</w:t>
      </w:r>
      <w:r>
        <w:rPr>
          <w:lang w:val="es-ES_tradnl"/>
        </w:rPr>
        <w:t>i</w:t>
      </w:r>
      <w:r>
        <w:rPr>
          <w:lang w:val="es-ES_tradnl"/>
        </w:rPr>
        <w:t>formes gratuitos, especialmente a las niñas perten</w:t>
      </w:r>
      <w:r>
        <w:rPr>
          <w:lang w:val="es-ES_tradnl"/>
        </w:rPr>
        <w:t>e</w:t>
      </w:r>
      <w:r>
        <w:rPr>
          <w:lang w:val="es-ES_tradnl"/>
        </w:rPr>
        <w:t>cientes a las castas y las tribus registradas y a las min</w:t>
      </w:r>
      <w:r>
        <w:rPr>
          <w:lang w:val="es-ES_tradnl"/>
        </w:rPr>
        <w:t>o</w:t>
      </w:r>
      <w:r>
        <w:rPr>
          <w:lang w:val="es-ES_tradnl"/>
        </w:rPr>
        <w:t>rías. El programa de comedor para 120 millones de n</w:t>
      </w:r>
      <w:r>
        <w:rPr>
          <w:lang w:val="es-ES_tradnl"/>
        </w:rPr>
        <w:t>i</w:t>
      </w:r>
      <w:r>
        <w:rPr>
          <w:lang w:val="es-ES_tradnl"/>
        </w:rPr>
        <w:t>ños de edades comprendidas entre 6 y 11 años asegura su asistencia a la escuela. Los libros de texto muestran una imagen positiva de la mujer, se ha sensibilizado al profesorado a cerca de las cuestiones de género, y los medios de comunicación realizan frecuentemente ca</w:t>
      </w:r>
      <w:r>
        <w:rPr>
          <w:lang w:val="es-ES_tradnl"/>
        </w:rPr>
        <w:t>m</w:t>
      </w:r>
      <w:r>
        <w:rPr>
          <w:lang w:val="es-ES_tradnl"/>
        </w:rPr>
        <w:t>pañas de educación centradas en las niñas. Todo ello ha permitido reducir considerablemente las tasas de ana</w:t>
      </w:r>
      <w:r>
        <w:rPr>
          <w:lang w:val="es-ES_tradnl"/>
        </w:rPr>
        <w:t>l</w:t>
      </w:r>
      <w:r>
        <w:rPr>
          <w:lang w:val="es-ES_tradnl"/>
        </w:rPr>
        <w:t>fabetismo femenino, incluso en los estados más atras</w:t>
      </w:r>
      <w:r>
        <w:rPr>
          <w:lang w:val="es-ES_tradnl"/>
        </w:rPr>
        <w:t>a</w:t>
      </w:r>
      <w:r>
        <w:rPr>
          <w:lang w:val="es-ES_tradnl"/>
        </w:rPr>
        <w:t xml:space="preserve">dos en materia de educación. </w:t>
      </w:r>
    </w:p>
    <w:p w:rsidR="00DA1033" w:rsidRDefault="00DA1033">
      <w:pPr>
        <w:pStyle w:val="DualTxt"/>
        <w:spacing w:line="240" w:lineRule="auto"/>
      </w:pPr>
      <w:r>
        <w:rPr>
          <w:lang w:val="es-ES_tradnl"/>
        </w:rPr>
        <w:t>11.</w:t>
      </w:r>
      <w:r>
        <w:rPr>
          <w:lang w:val="es-ES_tradnl"/>
        </w:rPr>
        <w:tab/>
        <w:t>El empleo es esencial para mitigar la pobreza. La Ley Nacional de garantía del empleo en las zonas rur</w:t>
      </w:r>
      <w:r>
        <w:rPr>
          <w:lang w:val="es-ES_tradnl"/>
        </w:rPr>
        <w:t>a</w:t>
      </w:r>
      <w:r>
        <w:rPr>
          <w:lang w:val="es-ES_tradnl"/>
        </w:rPr>
        <w:t>les (2005) asegura a las unidades familiares rurales al menos 100 días de trabajo al año para los adultos que se ofrezcan a realizar trabajos manuales no cualific</w:t>
      </w:r>
      <w:r>
        <w:rPr>
          <w:lang w:val="es-ES_tradnl"/>
        </w:rPr>
        <w:t>a</w:t>
      </w:r>
      <w:r>
        <w:rPr>
          <w:lang w:val="es-ES_tradnl"/>
        </w:rPr>
        <w:t>dos. Al menos un tercio de esos puestos de trabajo se reservan a las mujeres, que actualmente representan el 40% de los beneficiarios. Se han creado Fondos de asistencia social destinados a las mujeres que trabajan en el sector no estructurado, y en el sector estructurado las mujeres tienen acceso a prestaciones tales como atención de la salud, seguros, vivienda, educación, a</w:t>
      </w:r>
      <w:r>
        <w:rPr>
          <w:lang w:val="es-ES_tradnl"/>
        </w:rPr>
        <w:t>c</w:t>
      </w:r>
      <w:r>
        <w:rPr>
          <w:lang w:val="es-ES_tradnl"/>
        </w:rPr>
        <w:t>tividades de esparcimiento, suministro de agua y lice</w:t>
      </w:r>
      <w:r>
        <w:rPr>
          <w:lang w:val="es-ES_tradnl"/>
        </w:rPr>
        <w:t>n</w:t>
      </w:r>
      <w:r>
        <w:rPr>
          <w:lang w:val="es-ES_tradnl"/>
        </w:rPr>
        <w:t>cias de maternidad. El proyecto de ley sobre la segur</w:t>
      </w:r>
      <w:r>
        <w:rPr>
          <w:lang w:val="es-ES_tradnl"/>
        </w:rPr>
        <w:t>i</w:t>
      </w:r>
      <w:r>
        <w:rPr>
          <w:lang w:val="es-ES_tradnl"/>
        </w:rPr>
        <w:t>dad social ampliará esas prestaciones al sector no e</w:t>
      </w:r>
      <w:r>
        <w:rPr>
          <w:lang w:val="es-ES_tradnl"/>
        </w:rPr>
        <w:t>s</w:t>
      </w:r>
      <w:r>
        <w:rPr>
          <w:lang w:val="es-ES_tradnl"/>
        </w:rPr>
        <w:t xml:space="preserve">tructurado. Con el fin de fomentar el empoderamiento de las mujeres y de que éstas tengan mayor acceso al empleo, el Gobierno está promoviendo los institutos de formación profesional para mujeres. Más del 90% de los grupos de autoayuda del país son grupos de mujeres reunidas en torno a pequeñas iniciativas de ahorro y crédito. El número de empresarias ha aumentado del 2% en 1971 a más del 11%. </w:t>
      </w:r>
    </w:p>
    <w:p w:rsidR="00DA1033" w:rsidRDefault="00DA1033">
      <w:pPr>
        <w:pStyle w:val="DualTxt"/>
        <w:spacing w:line="240" w:lineRule="auto"/>
        <w:rPr>
          <w:lang w:val="es-ES_tradnl"/>
        </w:rPr>
      </w:pPr>
      <w:r>
        <w:rPr>
          <w:lang w:val="es-ES_tradnl"/>
        </w:rPr>
        <w:t>12.</w:t>
      </w:r>
      <w:r>
        <w:rPr>
          <w:lang w:val="es-ES_tradnl"/>
        </w:rPr>
        <w:tab/>
        <w:t>En el Gobierno se han creado departamentos s</w:t>
      </w:r>
      <w:r>
        <w:rPr>
          <w:lang w:val="es-ES_tradnl"/>
        </w:rPr>
        <w:t>o</w:t>
      </w:r>
      <w:r>
        <w:rPr>
          <w:lang w:val="es-ES_tradnl"/>
        </w:rPr>
        <w:t>bre cuestiones de género en 50 ministerios y todos los ministerios tienen que destinar recursos a esas cuesti</w:t>
      </w:r>
      <w:r>
        <w:rPr>
          <w:lang w:val="es-ES_tradnl"/>
        </w:rPr>
        <w:t>o</w:t>
      </w:r>
      <w:r>
        <w:rPr>
          <w:lang w:val="es-ES_tradnl"/>
        </w:rPr>
        <w:t>nes. La publicación "Las mujeres y los hombres en la India" proporciona estadísticas desglosadas por sexos sobre varios indicadores. Todos los ministerios tienen que reunir datos desglosados por sexos sobre sus pr</w:t>
      </w:r>
      <w:r>
        <w:rPr>
          <w:lang w:val="es-ES_tradnl"/>
        </w:rPr>
        <w:t>o</w:t>
      </w:r>
      <w:r>
        <w:rPr>
          <w:lang w:val="es-ES_tradnl"/>
        </w:rPr>
        <w:t>gramas. Esas estadísticas servirán de base para prep</w:t>
      </w:r>
      <w:r>
        <w:rPr>
          <w:lang w:val="es-ES_tradnl"/>
        </w:rPr>
        <w:t>a</w:t>
      </w:r>
      <w:r>
        <w:rPr>
          <w:lang w:val="es-ES_tradnl"/>
        </w:rPr>
        <w:t xml:space="preserve">rar un Índice de Desarrollo y Empoderamiento de la Mujer. </w:t>
      </w:r>
    </w:p>
    <w:p w:rsidR="00DA1033" w:rsidRDefault="00DA1033">
      <w:pPr>
        <w:pStyle w:val="DualTxt"/>
        <w:spacing w:line="240" w:lineRule="auto"/>
        <w:rPr>
          <w:lang w:val="es-ES_tradnl"/>
        </w:rPr>
      </w:pPr>
      <w:r>
        <w:rPr>
          <w:lang w:val="es-ES_tradnl"/>
        </w:rPr>
        <w:t>13.</w:t>
      </w:r>
      <w:r>
        <w:rPr>
          <w:lang w:val="es-ES_tradnl"/>
        </w:rPr>
        <w:tab/>
        <w:t>Refiriéndose a las preguntas concretas formul</w:t>
      </w:r>
      <w:r>
        <w:rPr>
          <w:lang w:val="es-ES_tradnl"/>
        </w:rPr>
        <w:t>a</w:t>
      </w:r>
      <w:r>
        <w:rPr>
          <w:lang w:val="es-ES_tradnl"/>
        </w:rPr>
        <w:t>das por el Comité, dice que el Comité Especial enca</w:t>
      </w:r>
      <w:r>
        <w:rPr>
          <w:lang w:val="es-ES_tradnl"/>
        </w:rPr>
        <w:t>r</w:t>
      </w:r>
      <w:r>
        <w:rPr>
          <w:lang w:val="es-ES_tradnl"/>
        </w:rPr>
        <w:t>gado de revisar la Ley de poderes especiales de las fuerzas armadas ha presentado su informe, que está siendo examinado por el Gobierno. Los muy lament</w:t>
      </w:r>
      <w:r>
        <w:rPr>
          <w:lang w:val="es-ES_tradnl"/>
        </w:rPr>
        <w:t>a</w:t>
      </w:r>
      <w:r>
        <w:rPr>
          <w:lang w:val="es-ES_tradnl"/>
        </w:rPr>
        <w:t>bles incidentes de Gujarat fueron una aberración, y los acontecimientos posteriores han demostrado que el Gobierno y el pueblo de India han aprendido la lección y, atendiendo al verdadero espíritu de la nación, se han opuesto a los recientes intentos de incitar a la violencia y al odio entre las comunidades. Recuerda también la firmeza de la actuación del Tribunal Supremo a ese respecto. Los esfuerzos del gobierno y de la sociedad civil de Gujarat han contribuido a la rehabilitación: se están tomando medidas para mejorar la situación de las mujeres y los niños y fomentar la confianza, y el g</w:t>
      </w:r>
      <w:r>
        <w:rPr>
          <w:lang w:val="es-ES_tradnl"/>
        </w:rPr>
        <w:t>o</w:t>
      </w:r>
      <w:r>
        <w:rPr>
          <w:lang w:val="es-ES_tradnl"/>
        </w:rPr>
        <w:t xml:space="preserve">bierno del estado ha puesto en marcha una Comisión de Investigación. </w:t>
      </w:r>
    </w:p>
    <w:p w:rsidR="00DA1033" w:rsidRDefault="00DA1033">
      <w:pPr>
        <w:pStyle w:val="DualTxt"/>
        <w:spacing w:line="240" w:lineRule="auto"/>
        <w:rPr>
          <w:lang w:val="es-ES_tradnl"/>
        </w:rPr>
      </w:pPr>
      <w:r>
        <w:rPr>
          <w:lang w:val="es-ES_tradnl"/>
        </w:rPr>
        <w:t>14.</w:t>
      </w:r>
      <w:r>
        <w:rPr>
          <w:lang w:val="es-ES_tradnl"/>
        </w:rPr>
        <w:tab/>
        <w:t>La India ha sufrido varios desastres nacionales devastadores. Tras el tsunami de 2004, el Gobierno, que rechazó la ayuda internacional, aprobó un paquete de medidas de socorro y un programa de rehabilitación. Reconociendo que esas situaciones suelen afectar más gravemente a las mujeres, se han preparado directrices detalladas sobre socorro en casos de desastre que i</w:t>
      </w:r>
      <w:r>
        <w:rPr>
          <w:lang w:val="es-ES_tradnl"/>
        </w:rPr>
        <w:t>n</w:t>
      </w:r>
      <w:r>
        <w:rPr>
          <w:lang w:val="es-ES_tradnl"/>
        </w:rPr>
        <w:t xml:space="preserve">cluyen una perspectiva de género. Los gobiernos de los cinco estados costeros afectados han abierto orfelinatos y centros de acogida, y se han asignado pensiones a las niñas y las adolescentes huérfanas hasta que cumplan los 18 años. </w:t>
      </w:r>
    </w:p>
    <w:p w:rsidR="00DA1033" w:rsidRDefault="00DA1033">
      <w:pPr>
        <w:pStyle w:val="DualTxt"/>
        <w:spacing w:line="240" w:lineRule="auto"/>
        <w:rPr>
          <w:lang w:val="es-ES_tradnl"/>
        </w:rPr>
      </w:pPr>
      <w:r>
        <w:rPr>
          <w:lang w:val="es-ES_tradnl"/>
        </w:rPr>
        <w:t>15.</w:t>
      </w:r>
      <w:r>
        <w:rPr>
          <w:lang w:val="es-ES_tradnl"/>
        </w:rPr>
        <w:tab/>
        <w:t>Se ha establecido una Dirección nacional de ge</w:t>
      </w:r>
      <w:r>
        <w:rPr>
          <w:lang w:val="es-ES_tradnl"/>
        </w:rPr>
        <w:t>s</w:t>
      </w:r>
      <w:r>
        <w:rPr>
          <w:lang w:val="es-ES_tradnl"/>
        </w:rPr>
        <w:t>tión de los desastres que se encargará de prevenir los desastres naturales, de mitigar sus efectos y de desarr</w:t>
      </w:r>
      <w:r>
        <w:rPr>
          <w:lang w:val="es-ES_tradnl"/>
        </w:rPr>
        <w:t>o</w:t>
      </w:r>
      <w:r>
        <w:rPr>
          <w:lang w:val="es-ES_tradnl"/>
        </w:rPr>
        <w:t>llar la capacidad de hacerles frente. La Ley de gestión de los desastres (2005), en virtud de la cual se han e</w:t>
      </w:r>
      <w:r>
        <w:rPr>
          <w:lang w:val="es-ES_tradnl"/>
        </w:rPr>
        <w:t>s</w:t>
      </w:r>
      <w:r>
        <w:rPr>
          <w:lang w:val="es-ES_tradnl"/>
        </w:rPr>
        <w:t>tablecido tanto la Dirección Nacional como las dire</w:t>
      </w:r>
      <w:r>
        <w:rPr>
          <w:lang w:val="es-ES_tradnl"/>
        </w:rPr>
        <w:t>c</w:t>
      </w:r>
      <w:r>
        <w:rPr>
          <w:lang w:val="es-ES_tradnl"/>
        </w:rPr>
        <w:t>ciones estatales de gestión de los desastres, reconoce  la especial vulnerabilidad de las mujeres y los niños. Su Gobierno está orgulloso de que la Armada de la I</w:t>
      </w:r>
      <w:r>
        <w:rPr>
          <w:lang w:val="es-ES_tradnl"/>
        </w:rPr>
        <w:t>n</w:t>
      </w:r>
      <w:r>
        <w:rPr>
          <w:lang w:val="es-ES_tradnl"/>
        </w:rPr>
        <w:t>dia pudiera prestar asistencia a Sri Lanka a las pocas horas de producirse el tsunami, y de que pronto vaya a desplegarse en la Misión de las Naciones Unidas en Liberia la primera unidad de policía integrada exclus</w:t>
      </w:r>
      <w:r>
        <w:rPr>
          <w:lang w:val="es-ES_tradnl"/>
        </w:rPr>
        <w:t>i</w:t>
      </w:r>
      <w:r>
        <w:rPr>
          <w:lang w:val="es-ES_tradnl"/>
        </w:rPr>
        <w:t>vamente por mujeres para atender a los grupos de p</w:t>
      </w:r>
      <w:r>
        <w:rPr>
          <w:lang w:val="es-ES_tradnl"/>
        </w:rPr>
        <w:t>o</w:t>
      </w:r>
      <w:r>
        <w:rPr>
          <w:lang w:val="es-ES_tradnl"/>
        </w:rPr>
        <w:t>blación vulnerables, como las mujeres y los niños, en sociedades que están sufriendo o han sufrido confli</w:t>
      </w:r>
      <w:r>
        <w:rPr>
          <w:lang w:val="es-ES_tradnl"/>
        </w:rPr>
        <w:t>c</w:t>
      </w:r>
      <w:r>
        <w:rPr>
          <w:lang w:val="es-ES_tradnl"/>
        </w:rPr>
        <w:t xml:space="preserve">tos. </w:t>
      </w:r>
    </w:p>
    <w:p w:rsidR="00DA1033" w:rsidRDefault="00DA1033">
      <w:pPr>
        <w:pStyle w:val="DualTxt"/>
        <w:spacing w:line="240" w:lineRule="auto"/>
        <w:rPr>
          <w:lang w:val="es-ES_tradnl"/>
        </w:rPr>
      </w:pPr>
      <w:r>
        <w:rPr>
          <w:lang w:val="es-ES_tradnl"/>
        </w:rPr>
        <w:t>16.</w:t>
      </w:r>
      <w:r>
        <w:rPr>
          <w:lang w:val="es-ES_tradnl"/>
        </w:rPr>
        <w:tab/>
        <w:t>En el 11º plan quinquenal de la India se prestará especial atención a crear un entorno propicio para el empoderamiento de la mujer. Para alcanzar ese objet</w:t>
      </w:r>
      <w:r>
        <w:rPr>
          <w:lang w:val="es-ES_tradnl"/>
        </w:rPr>
        <w:t>i</w:t>
      </w:r>
      <w:r>
        <w:rPr>
          <w:lang w:val="es-ES_tradnl"/>
        </w:rPr>
        <w:t>vo, su Gobierno seguirá colaborando estrechamente con la sociedad civil, incluidas las organizaciones no gubernamentales. En ese contexto, celebra poder i</w:t>
      </w:r>
      <w:r>
        <w:rPr>
          <w:lang w:val="es-ES_tradnl"/>
        </w:rPr>
        <w:t>n</w:t>
      </w:r>
      <w:r>
        <w:rPr>
          <w:lang w:val="es-ES_tradnl"/>
        </w:rPr>
        <w:t>formar al Comité de que la Convención se ha traducido al hindi, que es la lengua nacional, y que tres estados la han traducido a sus lenguas regionales. Se está prep</w:t>
      </w:r>
      <w:r>
        <w:rPr>
          <w:lang w:val="es-ES_tradnl"/>
        </w:rPr>
        <w:t>a</w:t>
      </w:r>
      <w:r>
        <w:rPr>
          <w:lang w:val="es-ES_tradnl"/>
        </w:rPr>
        <w:t>rando una versión simplificada en varias de las lenguas de la India, a la que se dará amplia difusión. También se está trabajando en la adaptación a la situación de la India de los indicadores desarrollados por el Fondo de Desarrollo de las Naciones Unidas para la Mujer (UNIFEM).</w:t>
      </w:r>
    </w:p>
    <w:p w:rsidR="00DA1033" w:rsidRDefault="00DA1033">
      <w:pPr>
        <w:pStyle w:val="DualTxt"/>
        <w:spacing w:after="0" w:line="120" w:lineRule="exact"/>
        <w:rPr>
          <w:sz w:val="10"/>
          <w:lang w:val="es-ES_tradnl"/>
        </w:rPr>
      </w:pPr>
    </w:p>
    <w:p w:rsidR="00DA1033" w:rsidRDefault="00DA1033">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Artículos 1 a 6</w:t>
      </w:r>
    </w:p>
    <w:p w:rsidR="00DA1033" w:rsidRDefault="00DA1033">
      <w:pPr>
        <w:pStyle w:val="DualTxt"/>
        <w:spacing w:after="0" w:line="120" w:lineRule="exact"/>
        <w:rPr>
          <w:sz w:val="10"/>
        </w:rPr>
      </w:pPr>
    </w:p>
    <w:p w:rsidR="00DA1033" w:rsidRDefault="00DA1033">
      <w:pPr>
        <w:pStyle w:val="DualTxt"/>
        <w:spacing w:line="240" w:lineRule="auto"/>
      </w:pPr>
      <w:r>
        <w:rPr>
          <w:lang w:val="es-ES_tradnl"/>
        </w:rPr>
        <w:t>17.</w:t>
      </w:r>
      <w:r>
        <w:rPr>
          <w:lang w:val="es-ES_tradnl"/>
        </w:rPr>
        <w:tab/>
      </w:r>
      <w:r>
        <w:rPr>
          <w:b/>
          <w:lang w:val="es-ES_tradnl"/>
        </w:rPr>
        <w:t>La Sra. Halperin-Kaddari</w:t>
      </w:r>
      <w:r>
        <w:rPr>
          <w:lang w:val="es-ES_tradnl"/>
        </w:rPr>
        <w:t xml:space="preserve"> dice que la declar</w:t>
      </w:r>
      <w:r>
        <w:rPr>
          <w:lang w:val="es-ES_tradnl"/>
        </w:rPr>
        <w:t>a</w:t>
      </w:r>
      <w:r>
        <w:rPr>
          <w:lang w:val="es-ES_tradnl"/>
        </w:rPr>
        <w:t>ción del Estado parte sobre el apartado a) del artículo 5 y el párrafo 1 del artículo 16 de la Convención, en la que se refiere a su política de no injerencia en los asu</w:t>
      </w:r>
      <w:r>
        <w:rPr>
          <w:lang w:val="es-ES_tradnl"/>
        </w:rPr>
        <w:t>n</w:t>
      </w:r>
      <w:r>
        <w:rPr>
          <w:lang w:val="es-ES_tradnl"/>
        </w:rPr>
        <w:t>tos internos de ninguna comunidad sin su iniciativa y consentimiento, es contraria a la Convención. En la I</w:t>
      </w:r>
      <w:r>
        <w:rPr>
          <w:lang w:val="es-ES_tradnl"/>
        </w:rPr>
        <w:t>n</w:t>
      </w:r>
      <w:r>
        <w:rPr>
          <w:lang w:val="es-ES_tradnl"/>
        </w:rPr>
        <w:t>dia existen claramente circunstancias relacionadas con el matrimonio y el divorcio, basadas en factores cult</w:t>
      </w:r>
      <w:r>
        <w:rPr>
          <w:lang w:val="es-ES_tradnl"/>
        </w:rPr>
        <w:t>u</w:t>
      </w:r>
      <w:r>
        <w:rPr>
          <w:lang w:val="es-ES_tradnl"/>
        </w:rPr>
        <w:t>rales y tradicionales, que revelan una situación patria</w:t>
      </w:r>
      <w:r>
        <w:rPr>
          <w:lang w:val="es-ES_tradnl"/>
        </w:rPr>
        <w:t>r</w:t>
      </w:r>
      <w:r>
        <w:rPr>
          <w:lang w:val="es-ES_tradnl"/>
        </w:rPr>
        <w:t>cal y violan los derechos de la mujer. El Comité cons</w:t>
      </w:r>
      <w:r>
        <w:rPr>
          <w:lang w:val="es-ES_tradnl"/>
        </w:rPr>
        <w:t>i</w:t>
      </w:r>
      <w:r>
        <w:rPr>
          <w:lang w:val="es-ES_tradnl"/>
        </w:rPr>
        <w:t>dera que las reservas al artículo 16 basadas en consid</w:t>
      </w:r>
      <w:r>
        <w:rPr>
          <w:lang w:val="es-ES_tradnl"/>
        </w:rPr>
        <w:t>e</w:t>
      </w:r>
      <w:r>
        <w:rPr>
          <w:lang w:val="es-ES_tradnl"/>
        </w:rPr>
        <w:t>raciones nacionales, tradicionales, religiosas o cultur</w:t>
      </w:r>
      <w:r>
        <w:rPr>
          <w:lang w:val="es-ES_tradnl"/>
        </w:rPr>
        <w:t>a</w:t>
      </w:r>
      <w:r>
        <w:rPr>
          <w:lang w:val="es-ES_tradnl"/>
        </w:rPr>
        <w:t>les son incompatibles con la Convención. No es reali</w:t>
      </w:r>
      <w:r>
        <w:rPr>
          <w:lang w:val="es-ES_tradnl"/>
        </w:rPr>
        <w:t>s</w:t>
      </w:r>
      <w:r>
        <w:rPr>
          <w:lang w:val="es-ES_tradnl"/>
        </w:rPr>
        <w:t xml:space="preserve">ta que el Estado parte espere a que las propuestas de cambio provengan de las comunidades minoritarias; el Gobierno debe tomar la iniciativa. Por consiguiente, la oradora pide al Estado parte que retire su declaración. </w:t>
      </w:r>
    </w:p>
    <w:p w:rsidR="00DA1033" w:rsidRDefault="00DA1033">
      <w:pPr>
        <w:pStyle w:val="DualTxt"/>
        <w:spacing w:line="240" w:lineRule="auto"/>
        <w:rPr>
          <w:lang w:val="es-ES_tradnl"/>
        </w:rPr>
      </w:pPr>
      <w:r>
        <w:rPr>
          <w:lang w:val="es-ES_tradnl"/>
        </w:rPr>
        <w:t>18.</w:t>
      </w:r>
      <w:r>
        <w:rPr>
          <w:lang w:val="es-ES_tradnl"/>
        </w:rPr>
        <w:tab/>
      </w:r>
      <w:r>
        <w:rPr>
          <w:b/>
          <w:lang w:val="es-ES_tradnl"/>
        </w:rPr>
        <w:t>El Sr. Flinterman</w:t>
      </w:r>
      <w:r>
        <w:rPr>
          <w:lang w:val="es-ES_tradnl"/>
        </w:rPr>
        <w:t>, observando que de las re</w:t>
      </w:r>
      <w:r>
        <w:rPr>
          <w:lang w:val="es-ES_tradnl"/>
        </w:rPr>
        <w:t>s</w:t>
      </w:r>
      <w:r>
        <w:rPr>
          <w:lang w:val="es-ES_tradnl"/>
        </w:rPr>
        <w:t>puestas presentadas por escrito por la delegación se desprende que el Gobierno está examinando el Prot</w:t>
      </w:r>
      <w:r>
        <w:rPr>
          <w:lang w:val="es-ES_tradnl"/>
        </w:rPr>
        <w:t>o</w:t>
      </w:r>
      <w:r>
        <w:rPr>
          <w:lang w:val="es-ES_tradnl"/>
        </w:rPr>
        <w:t>colo Facultativo de la Convención, pregunta si el Est</w:t>
      </w:r>
      <w:r>
        <w:rPr>
          <w:lang w:val="es-ES_tradnl"/>
        </w:rPr>
        <w:t>a</w:t>
      </w:r>
      <w:r>
        <w:rPr>
          <w:lang w:val="es-ES_tradnl"/>
        </w:rPr>
        <w:t>do parte tiene intención de ratificarlo y, en tal caso, cuándo se propone hacerlo. Desea saber si las mujeres pertenecientes a las castas y las tribus registradas y a las minorías tienen acceso a recursos legales de co</w:t>
      </w:r>
      <w:r>
        <w:rPr>
          <w:lang w:val="es-ES_tradnl"/>
        </w:rPr>
        <w:t>n</w:t>
      </w:r>
      <w:r>
        <w:rPr>
          <w:lang w:val="es-ES_tradnl"/>
        </w:rPr>
        <w:t>formidad con el apartado c) del artículo 2 de la Co</w:t>
      </w:r>
      <w:r>
        <w:rPr>
          <w:lang w:val="es-ES_tradnl"/>
        </w:rPr>
        <w:t>n</w:t>
      </w:r>
      <w:r>
        <w:rPr>
          <w:lang w:val="es-ES_tradnl"/>
        </w:rPr>
        <w:t>vención, en particular a asistencia letrada, y si existe algún mecanismo que garantice y supervise la aplic</w:t>
      </w:r>
      <w:r>
        <w:rPr>
          <w:lang w:val="es-ES_tradnl"/>
        </w:rPr>
        <w:t>a</w:t>
      </w:r>
      <w:r>
        <w:rPr>
          <w:lang w:val="es-ES_tradnl"/>
        </w:rPr>
        <w:t>ción de la Convención por el Gobierno nacional y los gobiernos estatales. Habida cuenta de que los tribun</w:t>
      </w:r>
      <w:r>
        <w:rPr>
          <w:lang w:val="es-ES_tradnl"/>
        </w:rPr>
        <w:t>a</w:t>
      </w:r>
      <w:r>
        <w:rPr>
          <w:lang w:val="es-ES_tradnl"/>
        </w:rPr>
        <w:t>les no pueden aplicar directamente la Convención, los jueces tienen que basarse en las disposiciones de la Constitución relativas a la igualdad. Por lo tanto, sol</w:t>
      </w:r>
      <w:r>
        <w:rPr>
          <w:lang w:val="es-ES_tradnl"/>
        </w:rPr>
        <w:t>i</w:t>
      </w:r>
      <w:r>
        <w:rPr>
          <w:lang w:val="es-ES_tradnl"/>
        </w:rPr>
        <w:t xml:space="preserve">cita más información sobre las garantías de igualdad de trato por parte de las autoridades estatales y pregunta si existe una ley general sobre la igualdad de género que prohíba la discriminación tanto en el ámbito público como en el privado. </w:t>
      </w:r>
    </w:p>
    <w:p w:rsidR="00DA1033" w:rsidRDefault="00DA1033">
      <w:pPr>
        <w:pStyle w:val="DualTxt"/>
        <w:spacing w:line="240" w:lineRule="auto"/>
        <w:rPr>
          <w:lang w:val="es-ES_tradnl"/>
        </w:rPr>
      </w:pPr>
      <w:r>
        <w:rPr>
          <w:lang w:val="es-ES_tradnl"/>
        </w:rPr>
        <w:t>19.</w:t>
      </w:r>
      <w:r>
        <w:rPr>
          <w:lang w:val="es-ES_tradnl"/>
        </w:rPr>
        <w:tab/>
        <w:t>Refiriéndose a la respuesta facilitada por escrito a la pregunta 29 de la lista de cuestiones del Comité, manifiesta su preocupación por el hecho de que las disposiciones antidiscriminación de la Constitución no sean tan amplias como las que figuran en el artículo 1 de la Convención. Toma nota de los esfuerzos del E</w:t>
      </w:r>
      <w:r>
        <w:rPr>
          <w:lang w:val="es-ES_tradnl"/>
        </w:rPr>
        <w:t>s</w:t>
      </w:r>
      <w:r>
        <w:rPr>
          <w:lang w:val="es-ES_tradnl"/>
        </w:rPr>
        <w:t>tado parte por satisfacer las necesidades de los refugi</w:t>
      </w:r>
      <w:r>
        <w:rPr>
          <w:lang w:val="es-ES_tradnl"/>
        </w:rPr>
        <w:t>a</w:t>
      </w:r>
      <w:r>
        <w:rPr>
          <w:lang w:val="es-ES_tradnl"/>
        </w:rPr>
        <w:t>dos y los solicitantes de asilo en su territorio, incluidos los grupos más vulnerables, como las mujeres, pero lo insta a adherirse a los instrumentos internacionales pe</w:t>
      </w:r>
      <w:r>
        <w:rPr>
          <w:lang w:val="es-ES_tradnl"/>
        </w:rPr>
        <w:t>r</w:t>
      </w:r>
      <w:r>
        <w:rPr>
          <w:lang w:val="es-ES_tradnl"/>
        </w:rPr>
        <w:t>tinentes de protección de los derechos de los refugi</w:t>
      </w:r>
      <w:r>
        <w:rPr>
          <w:lang w:val="es-ES_tradnl"/>
        </w:rPr>
        <w:t>a</w:t>
      </w:r>
      <w:r>
        <w:rPr>
          <w:lang w:val="es-ES_tradnl"/>
        </w:rPr>
        <w:t>dos y los solicitantes de asilo, como la Convención de 1951 sobre el Estatuto de los Refugiados y su Protoc</w:t>
      </w:r>
      <w:r>
        <w:rPr>
          <w:lang w:val="es-ES_tradnl"/>
        </w:rPr>
        <w:t>o</w:t>
      </w:r>
      <w:r>
        <w:rPr>
          <w:lang w:val="es-ES_tradnl"/>
        </w:rPr>
        <w:t xml:space="preserve">lo de 1967. </w:t>
      </w:r>
    </w:p>
    <w:p w:rsidR="00DA1033" w:rsidRDefault="00DA1033">
      <w:pPr>
        <w:pStyle w:val="DualTxt"/>
        <w:spacing w:line="240" w:lineRule="auto"/>
        <w:rPr>
          <w:lang w:val="es-ES_tradnl"/>
        </w:rPr>
      </w:pPr>
      <w:r>
        <w:rPr>
          <w:lang w:val="es-ES_tradnl"/>
        </w:rPr>
        <w:t>20.</w:t>
      </w:r>
      <w:r>
        <w:rPr>
          <w:lang w:val="es-ES_tradnl"/>
        </w:rPr>
        <w:tab/>
      </w:r>
      <w:r>
        <w:rPr>
          <w:b/>
          <w:lang w:val="es-ES_tradnl"/>
        </w:rPr>
        <w:t>La Sra. Dairiam</w:t>
      </w:r>
      <w:r>
        <w:rPr>
          <w:lang w:val="es-ES_tradnl"/>
        </w:rPr>
        <w:t xml:space="preserve"> dice que, aunque se han intr</w:t>
      </w:r>
      <w:r>
        <w:rPr>
          <w:lang w:val="es-ES_tradnl"/>
        </w:rPr>
        <w:t>o</w:t>
      </w:r>
      <w:r>
        <w:rPr>
          <w:lang w:val="es-ES_tradnl"/>
        </w:rPr>
        <w:t>ducido reformas legislativas para mejorar la situación de la mujer, es preciso hacer más para garantizar la aplicación de esa legislación. En el informe se enum</w:t>
      </w:r>
      <w:r>
        <w:rPr>
          <w:lang w:val="es-ES_tradnl"/>
        </w:rPr>
        <w:t>e</w:t>
      </w:r>
      <w:r>
        <w:rPr>
          <w:lang w:val="es-ES_tradnl"/>
        </w:rPr>
        <w:t>ran muchas razones que explican las deficiencias en la aplicación de las leyes, así como los intentos del G</w:t>
      </w:r>
      <w:r>
        <w:rPr>
          <w:lang w:val="es-ES_tradnl"/>
        </w:rPr>
        <w:t>o</w:t>
      </w:r>
      <w:r>
        <w:rPr>
          <w:lang w:val="es-ES_tradnl"/>
        </w:rPr>
        <w:t xml:space="preserve">bierno por resolver el problema, pero insiste en que es preciso analizar las causas de la falta de progresos y encontrar soluciones. </w:t>
      </w:r>
    </w:p>
    <w:p w:rsidR="00DA1033" w:rsidRDefault="00DA1033">
      <w:pPr>
        <w:pStyle w:val="DualTxt"/>
        <w:spacing w:line="240" w:lineRule="auto"/>
        <w:rPr>
          <w:lang w:val="es-ES_tradnl"/>
        </w:rPr>
      </w:pPr>
      <w:r>
        <w:rPr>
          <w:lang w:val="es-ES_tradnl"/>
        </w:rPr>
        <w:t>21.</w:t>
      </w:r>
      <w:r>
        <w:rPr>
          <w:lang w:val="es-ES_tradnl"/>
        </w:rPr>
        <w:tab/>
        <w:t xml:space="preserve">Todavía existen deficiencias legislativas, que han sido indicadas por la Comisión Nacional para la Mujer y otros órganos. </w:t>
      </w:r>
      <w:r>
        <w:t xml:space="preserve">Las agresiones sexuales siguen siendo motivo de preocupación. </w:t>
      </w:r>
      <w:r>
        <w:rPr>
          <w:lang w:val="es-ES_tradnl"/>
        </w:rPr>
        <w:t>El proyecto de ley para err</w:t>
      </w:r>
      <w:r>
        <w:rPr>
          <w:lang w:val="es-ES_tradnl"/>
        </w:rPr>
        <w:t>a</w:t>
      </w:r>
      <w:r>
        <w:rPr>
          <w:lang w:val="es-ES_tradnl"/>
        </w:rPr>
        <w:t>dicar la violencia entre comunidades debe ofrecer g</w:t>
      </w:r>
      <w:r>
        <w:rPr>
          <w:lang w:val="es-ES_tradnl"/>
        </w:rPr>
        <w:t>a</w:t>
      </w:r>
      <w:r>
        <w:rPr>
          <w:lang w:val="es-ES_tradnl"/>
        </w:rPr>
        <w:t>rantías contra los actos u omisiones del propio Estado y tener en cuenta nuevos tipos de delito, como los delitos sexuales o contra la mujer cometidos en masa, e incluir disposiciones para indemnizar a las víctimas de la vi</w:t>
      </w:r>
      <w:r>
        <w:rPr>
          <w:lang w:val="es-ES_tradnl"/>
        </w:rPr>
        <w:t>o</w:t>
      </w:r>
      <w:r>
        <w:rPr>
          <w:lang w:val="es-ES_tradnl"/>
        </w:rPr>
        <w:t>lencia entre comunidades. Es preciso modificar el C</w:t>
      </w:r>
      <w:r>
        <w:rPr>
          <w:lang w:val="es-ES_tradnl"/>
        </w:rPr>
        <w:t>ó</w:t>
      </w:r>
      <w:r>
        <w:rPr>
          <w:lang w:val="es-ES_tradnl"/>
        </w:rPr>
        <w:t>digo Penal a fin de abordar el problema de la intimid</w:t>
      </w:r>
      <w:r>
        <w:rPr>
          <w:lang w:val="es-ES_tradnl"/>
        </w:rPr>
        <w:t>a</w:t>
      </w:r>
      <w:r>
        <w:rPr>
          <w:lang w:val="es-ES_tradnl"/>
        </w:rPr>
        <w:t>ción de los testigos. Por lo general, el Estado parte d</w:t>
      </w:r>
      <w:r>
        <w:rPr>
          <w:lang w:val="es-ES_tradnl"/>
        </w:rPr>
        <w:t>e</w:t>
      </w:r>
      <w:r>
        <w:rPr>
          <w:lang w:val="es-ES_tradnl"/>
        </w:rPr>
        <w:t>be esforzarse más por crear un entorno propicio para el empoderamiento de la mujer, mediante, entre otras c</w:t>
      </w:r>
      <w:r>
        <w:rPr>
          <w:lang w:val="es-ES_tradnl"/>
        </w:rPr>
        <w:t>o</w:t>
      </w:r>
      <w:r>
        <w:rPr>
          <w:lang w:val="es-ES_tradnl"/>
        </w:rPr>
        <w:t>sas, la aplicación de medidas especiales, como las cu</w:t>
      </w:r>
      <w:r>
        <w:rPr>
          <w:lang w:val="es-ES_tradnl"/>
        </w:rPr>
        <w:t>o</w:t>
      </w:r>
      <w:r>
        <w:rPr>
          <w:lang w:val="es-ES_tradnl"/>
        </w:rPr>
        <w:t xml:space="preserve">tas. </w:t>
      </w:r>
    </w:p>
    <w:p w:rsidR="00DA1033" w:rsidRPr="00C14B5F" w:rsidRDefault="00DA1033">
      <w:pPr>
        <w:pStyle w:val="DualTxt"/>
        <w:spacing w:line="240" w:lineRule="auto"/>
        <w:rPr>
          <w:w w:val="100"/>
        </w:rPr>
      </w:pPr>
      <w:r w:rsidRPr="00C14B5F">
        <w:rPr>
          <w:w w:val="100"/>
          <w:lang w:val="es-ES_tradnl"/>
        </w:rPr>
        <w:t>22.</w:t>
      </w:r>
      <w:r w:rsidRPr="00C14B5F">
        <w:rPr>
          <w:w w:val="100"/>
          <w:lang w:val="es-ES_tradnl"/>
        </w:rPr>
        <w:tab/>
      </w:r>
      <w:r w:rsidRPr="00C14B5F">
        <w:rPr>
          <w:b/>
          <w:w w:val="100"/>
          <w:lang w:val="es-ES_tradnl"/>
        </w:rPr>
        <w:t>La Sra. Saiga</w:t>
      </w:r>
      <w:r w:rsidRPr="00C14B5F">
        <w:rPr>
          <w:w w:val="100"/>
          <w:lang w:val="es-ES_tradnl"/>
        </w:rPr>
        <w:t xml:space="preserve"> pregunta si se ha redactado un nuevo plan de acción para aplicar la Política Nacional de Habilitación de la Mujer en sustitución del 10º plan quinquenal (2002-2007) que está a punto de expirar. Pregunta cuál es el plazo previsto para que el Gobierno "examine activamente" el fortalecimiento de los pod</w:t>
      </w:r>
      <w:r w:rsidRPr="00C14B5F">
        <w:rPr>
          <w:w w:val="100"/>
          <w:lang w:val="es-ES_tradnl"/>
        </w:rPr>
        <w:t>e</w:t>
      </w:r>
      <w:r w:rsidRPr="00C14B5F">
        <w:rPr>
          <w:w w:val="100"/>
          <w:lang w:val="es-ES_tradnl"/>
        </w:rPr>
        <w:t>res de la Comisión Nacional para la Mujer y las com</w:t>
      </w:r>
      <w:r w:rsidRPr="00C14B5F">
        <w:rPr>
          <w:w w:val="100"/>
          <w:lang w:val="es-ES_tradnl"/>
        </w:rPr>
        <w:t>i</w:t>
      </w:r>
      <w:r w:rsidRPr="00C14B5F">
        <w:rPr>
          <w:w w:val="100"/>
          <w:lang w:val="es-ES_tradnl"/>
        </w:rPr>
        <w:t xml:space="preserve">siones estatales correspondientes, como recomendó el Comité en sus observaciones finales anteriores. </w:t>
      </w:r>
    </w:p>
    <w:p w:rsidR="00DA1033" w:rsidRDefault="00DA1033">
      <w:pPr>
        <w:pStyle w:val="DualTxt"/>
        <w:spacing w:line="240" w:lineRule="auto"/>
      </w:pPr>
      <w:r>
        <w:rPr>
          <w:lang w:val="es-ES_tradnl"/>
        </w:rPr>
        <w:t>23.</w:t>
      </w:r>
      <w:r>
        <w:rPr>
          <w:lang w:val="es-ES_tradnl"/>
        </w:rPr>
        <w:tab/>
      </w:r>
      <w:r>
        <w:rPr>
          <w:b/>
          <w:lang w:val="es-ES_tradnl"/>
        </w:rPr>
        <w:t>La Sra. Neubauer</w:t>
      </w:r>
      <w:r>
        <w:rPr>
          <w:lang w:val="es-ES_tradnl"/>
        </w:rPr>
        <w:t xml:space="preserve"> manifiesta su preocupación por el hecho de que el mandato de la Comisión Naci</w:t>
      </w:r>
      <w:r>
        <w:rPr>
          <w:lang w:val="es-ES_tradnl"/>
        </w:rPr>
        <w:t>o</w:t>
      </w:r>
      <w:r>
        <w:rPr>
          <w:lang w:val="es-ES_tradnl"/>
        </w:rPr>
        <w:t>nal para la Mujer se centre en los derechos que cons</w:t>
      </w:r>
      <w:r>
        <w:rPr>
          <w:lang w:val="es-ES_tradnl"/>
        </w:rPr>
        <w:t>a</w:t>
      </w:r>
      <w:r>
        <w:rPr>
          <w:lang w:val="es-ES_tradnl"/>
        </w:rPr>
        <w:t>gra la Constitución del país, sin referirse específic</w:t>
      </w:r>
      <w:r>
        <w:rPr>
          <w:lang w:val="es-ES_tradnl"/>
        </w:rPr>
        <w:t>a</w:t>
      </w:r>
      <w:r>
        <w:rPr>
          <w:lang w:val="es-ES_tradnl"/>
        </w:rPr>
        <w:t>mente a las disposiciones de los tratados internacion</w:t>
      </w:r>
      <w:r>
        <w:rPr>
          <w:lang w:val="es-ES_tradnl"/>
        </w:rPr>
        <w:t>a</w:t>
      </w:r>
      <w:r>
        <w:rPr>
          <w:lang w:val="es-ES_tradnl"/>
        </w:rPr>
        <w:t>les de derechos humanos. La delegación debería dar más detalles sobre la investigación por la Comisión de las denuncias individuales presentadas por mujeres a las que se han negado sus derechos, incluidos los casos en los que se haya invocado específicamente la Co</w:t>
      </w:r>
      <w:r>
        <w:rPr>
          <w:lang w:val="es-ES_tradnl"/>
        </w:rPr>
        <w:t>n</w:t>
      </w:r>
      <w:r>
        <w:rPr>
          <w:lang w:val="es-ES_tradnl"/>
        </w:rPr>
        <w:t>vención. También debería indicar si la Comisión está autorizada a intervenir tanto en el sector público como en el privado, y qué cambios se ha previsto introducir para garantizar la cooperación sistemática de la Com</w:t>
      </w:r>
      <w:r>
        <w:rPr>
          <w:lang w:val="es-ES_tradnl"/>
        </w:rPr>
        <w:t>i</w:t>
      </w:r>
      <w:r>
        <w:rPr>
          <w:lang w:val="es-ES_tradnl"/>
        </w:rPr>
        <w:t xml:space="preserve">sión Nacional con las comisiones estatales. </w:t>
      </w:r>
    </w:p>
    <w:p w:rsidR="00DA1033" w:rsidRDefault="00DA1033">
      <w:pPr>
        <w:pStyle w:val="DualTxt"/>
        <w:spacing w:line="240" w:lineRule="auto"/>
        <w:rPr>
          <w:lang w:val="es-ES_tradnl"/>
        </w:rPr>
      </w:pPr>
      <w:r>
        <w:rPr>
          <w:lang w:val="es-ES_tradnl"/>
        </w:rPr>
        <w:t>24.</w:t>
      </w:r>
      <w:r>
        <w:rPr>
          <w:lang w:val="es-ES_tradnl"/>
        </w:rPr>
        <w:tab/>
      </w:r>
      <w:r>
        <w:rPr>
          <w:b/>
          <w:lang w:val="es-ES_tradnl"/>
        </w:rPr>
        <w:t>La Sra. Pimentel</w:t>
      </w:r>
      <w:r>
        <w:rPr>
          <w:lang w:val="es-ES_tradnl"/>
        </w:rPr>
        <w:t xml:space="preserve"> celebra la reciente promulg</w:t>
      </w:r>
      <w:r>
        <w:rPr>
          <w:lang w:val="es-ES_tradnl"/>
        </w:rPr>
        <w:t>a</w:t>
      </w:r>
      <w:r>
        <w:rPr>
          <w:lang w:val="es-ES_tradnl"/>
        </w:rPr>
        <w:t>ción de una ley sobre violencia doméstica y observa que el Gobierno ha reconocido que la creciente viole</w:t>
      </w:r>
      <w:r>
        <w:rPr>
          <w:lang w:val="es-ES_tradnl"/>
        </w:rPr>
        <w:t>n</w:t>
      </w:r>
      <w:r>
        <w:rPr>
          <w:lang w:val="es-ES_tradnl"/>
        </w:rPr>
        <w:t>cia contra la mujer es una manifestación más de la de</w:t>
      </w:r>
      <w:r>
        <w:rPr>
          <w:lang w:val="es-ES_tradnl"/>
        </w:rPr>
        <w:t>s</w:t>
      </w:r>
      <w:r>
        <w:rPr>
          <w:lang w:val="es-ES_tradnl"/>
        </w:rPr>
        <w:t>igualdad y la situación de inferioridad de las mujeres en la sociedad india. Para garantizar el goce efectivo de los derechos de la mujer es urgente establecer un plan de acción general coordinado para hacer frente a la vi</w:t>
      </w:r>
      <w:r>
        <w:rPr>
          <w:lang w:val="es-ES_tradnl"/>
        </w:rPr>
        <w:t>o</w:t>
      </w:r>
      <w:r>
        <w:rPr>
          <w:lang w:val="es-ES_tradnl"/>
        </w:rPr>
        <w:t>lencia contra la mujer. Pregunta qué medidas se están tomando con el fin de superar los estereotipos negat</w:t>
      </w:r>
      <w:r>
        <w:rPr>
          <w:lang w:val="es-ES_tradnl"/>
        </w:rPr>
        <w:t>i</w:t>
      </w:r>
      <w:r>
        <w:rPr>
          <w:lang w:val="es-ES_tradnl"/>
        </w:rPr>
        <w:t xml:space="preserve">vos y prevenir los delitos y las atrocidades cometidas contra las mujeres dalit, las mujeres pertenecientes a tribus y otras mujeres vulnerables. </w:t>
      </w:r>
    </w:p>
    <w:p w:rsidR="00DA1033" w:rsidRDefault="00DA1033">
      <w:pPr>
        <w:pStyle w:val="DualTxt"/>
        <w:spacing w:line="240" w:lineRule="auto"/>
        <w:rPr>
          <w:lang w:val="es-ES_tradnl"/>
        </w:rPr>
      </w:pPr>
      <w:r>
        <w:rPr>
          <w:lang w:val="es-ES_tradnl"/>
        </w:rPr>
        <w:t>25.</w:t>
      </w:r>
      <w:r>
        <w:rPr>
          <w:lang w:val="es-ES_tradnl"/>
        </w:rPr>
        <w:tab/>
      </w:r>
      <w:r>
        <w:rPr>
          <w:b/>
          <w:lang w:val="es-ES_tradnl"/>
        </w:rPr>
        <w:t>La Sra. Singh</w:t>
      </w:r>
      <w:r>
        <w:rPr>
          <w:lang w:val="es-ES_tradnl"/>
        </w:rPr>
        <w:t xml:space="preserve"> (India), respondiendo a las pr</w:t>
      </w:r>
      <w:r>
        <w:rPr>
          <w:lang w:val="es-ES_tradnl"/>
        </w:rPr>
        <w:t>e</w:t>
      </w:r>
      <w:r>
        <w:rPr>
          <w:lang w:val="es-ES_tradnl"/>
        </w:rPr>
        <w:t>guntas formuladas a su delegación, dice que, aunque la India no dispone de legislación nacional sobre el regi</w:t>
      </w:r>
      <w:r>
        <w:rPr>
          <w:lang w:val="es-ES_tradnl"/>
        </w:rPr>
        <w:t>s</w:t>
      </w:r>
      <w:r>
        <w:rPr>
          <w:lang w:val="es-ES_tradnl"/>
        </w:rPr>
        <w:t>tro obligatorio de los matrimonios, los estados de Goa, Andhra Pradesh, Maharashtra, Karnataka e Himachal Pradesh cuentan con leyes estatales que obligan a r</w:t>
      </w:r>
      <w:r>
        <w:rPr>
          <w:lang w:val="es-ES_tradnl"/>
        </w:rPr>
        <w:t>e</w:t>
      </w:r>
      <w:r>
        <w:rPr>
          <w:lang w:val="es-ES_tradnl"/>
        </w:rPr>
        <w:t>gistrar los matrimonios. Además, varias comunidades tienen asimismo leyes relativas al estatuto personal que estipulan la obligatoriedad de inscribir los matrim</w:t>
      </w:r>
      <w:r>
        <w:rPr>
          <w:lang w:val="es-ES_tradnl"/>
        </w:rPr>
        <w:t>o</w:t>
      </w:r>
      <w:r>
        <w:rPr>
          <w:lang w:val="es-ES_tradnl"/>
        </w:rPr>
        <w:t>nios. El Tribunal Supremo ha dado instrucciones al Gobierno para que haga públicas unas directrices al respecto destinadas a los estados, y el Gobierno se ha comprometido a hacer obligatorio el registro con m</w:t>
      </w:r>
      <w:r>
        <w:rPr>
          <w:lang w:val="es-ES_tradnl"/>
        </w:rPr>
        <w:t>i</w:t>
      </w:r>
      <w:r>
        <w:rPr>
          <w:lang w:val="es-ES_tradnl"/>
        </w:rPr>
        <w:t>ras, entre otras cosas, a proscribir el matrimonio infa</w:t>
      </w:r>
      <w:r>
        <w:rPr>
          <w:lang w:val="es-ES_tradnl"/>
        </w:rPr>
        <w:t>n</w:t>
      </w:r>
      <w:r>
        <w:rPr>
          <w:lang w:val="es-ES_tradnl"/>
        </w:rPr>
        <w:t>til. Sin embargo, cualquier ley que se apruebe a nivel nacional tendrá que basarse en iniciativas de las com</w:t>
      </w:r>
      <w:r>
        <w:rPr>
          <w:lang w:val="es-ES_tradnl"/>
        </w:rPr>
        <w:t>u</w:t>
      </w:r>
      <w:r>
        <w:rPr>
          <w:lang w:val="es-ES_tradnl"/>
        </w:rPr>
        <w:t>nidades. Se trata de una cuestión compleja que es pr</w:t>
      </w:r>
      <w:r>
        <w:rPr>
          <w:lang w:val="es-ES_tradnl"/>
        </w:rPr>
        <w:t>e</w:t>
      </w:r>
      <w:r>
        <w:rPr>
          <w:lang w:val="es-ES_tradnl"/>
        </w:rPr>
        <w:t xml:space="preserve">ciso seguir examinando. </w:t>
      </w:r>
    </w:p>
    <w:p w:rsidR="00DA1033" w:rsidRDefault="00DA1033">
      <w:pPr>
        <w:pStyle w:val="DualTxt"/>
        <w:spacing w:line="240" w:lineRule="auto"/>
        <w:rPr>
          <w:lang w:val="es-ES_tradnl"/>
        </w:rPr>
      </w:pPr>
      <w:r>
        <w:rPr>
          <w:lang w:val="es-ES_tradnl"/>
        </w:rPr>
        <w:t>26.</w:t>
      </w:r>
      <w:r>
        <w:rPr>
          <w:lang w:val="es-ES_tradnl"/>
        </w:rPr>
        <w:tab/>
        <w:t>Asegura al Comité que la India cuenta con un si</w:t>
      </w:r>
      <w:r>
        <w:rPr>
          <w:lang w:val="es-ES_tradnl"/>
        </w:rPr>
        <w:t>s</w:t>
      </w:r>
      <w:r>
        <w:rPr>
          <w:lang w:val="es-ES_tradnl"/>
        </w:rPr>
        <w:t>tema general de mecanismos de control como parte de su funcionamiento democrático, y que todos los ciud</w:t>
      </w:r>
      <w:r>
        <w:rPr>
          <w:lang w:val="es-ES_tradnl"/>
        </w:rPr>
        <w:t>a</w:t>
      </w:r>
      <w:r>
        <w:rPr>
          <w:lang w:val="es-ES_tradnl"/>
        </w:rPr>
        <w:t>danos tienen acceso a asistencia letrada y pueden rec</w:t>
      </w:r>
      <w:r>
        <w:rPr>
          <w:lang w:val="es-ES_tradnl"/>
        </w:rPr>
        <w:t>u</w:t>
      </w:r>
      <w:r>
        <w:rPr>
          <w:lang w:val="es-ES_tradnl"/>
        </w:rPr>
        <w:t>rrir ante los tribunales. Sin embargo, dado el carácter facultativo del Protocolo, la posición del Gobierno s</w:t>
      </w:r>
      <w:r>
        <w:rPr>
          <w:lang w:val="es-ES_tradnl"/>
        </w:rPr>
        <w:t>o</w:t>
      </w:r>
      <w:r>
        <w:rPr>
          <w:lang w:val="es-ES_tradnl"/>
        </w:rPr>
        <w:t xml:space="preserve">bre la cuestión no ha variado y no se ha fijado un plazo para su aprobación. </w:t>
      </w:r>
    </w:p>
    <w:p w:rsidR="00DA1033" w:rsidRDefault="00DA1033">
      <w:pPr>
        <w:pStyle w:val="DualTxt"/>
        <w:spacing w:line="240" w:lineRule="auto"/>
        <w:rPr>
          <w:lang w:val="es-ES_tradnl"/>
        </w:rPr>
      </w:pPr>
      <w:r>
        <w:rPr>
          <w:lang w:val="es-ES_tradnl"/>
        </w:rPr>
        <w:t>27.</w:t>
      </w:r>
      <w:r>
        <w:rPr>
          <w:lang w:val="es-ES_tradnl"/>
        </w:rPr>
        <w:tab/>
        <w:t>Su Gobierno está realizando esfuerzos concert</w:t>
      </w:r>
      <w:r>
        <w:rPr>
          <w:lang w:val="es-ES_tradnl"/>
        </w:rPr>
        <w:t>a</w:t>
      </w:r>
      <w:r>
        <w:rPr>
          <w:lang w:val="es-ES_tradnl"/>
        </w:rPr>
        <w:t xml:space="preserve">dos con miras a salvar las distancias, cuya existencia reconoce, entre la protección </w:t>
      </w:r>
      <w:r>
        <w:rPr>
          <w:i/>
          <w:lang w:val="es-ES_tradnl"/>
        </w:rPr>
        <w:t>de jure</w:t>
      </w:r>
      <w:r>
        <w:rPr>
          <w:lang w:val="es-ES_tradnl"/>
        </w:rPr>
        <w:t xml:space="preserve"> y </w:t>
      </w:r>
      <w:r>
        <w:rPr>
          <w:i/>
          <w:lang w:val="es-ES_tradnl"/>
        </w:rPr>
        <w:t>de facto</w:t>
      </w:r>
      <w:r>
        <w:rPr>
          <w:lang w:val="es-ES_tradnl"/>
        </w:rPr>
        <w:t xml:space="preserve"> de los derechos de la mujer en la India. Todo el ordenamiento jurídico del país, y todas las iniciativas y programas para el adelanto de la mujer, tienen por objeto eliminar las diferencias existentes entre la situación de las muj</w:t>
      </w:r>
      <w:r>
        <w:rPr>
          <w:lang w:val="es-ES_tradnl"/>
        </w:rPr>
        <w:t>e</w:t>
      </w:r>
      <w:r>
        <w:rPr>
          <w:lang w:val="es-ES_tradnl"/>
        </w:rPr>
        <w:t>res de las distintas regiones, castas y religiones. Se han planteado gran número de cuestiones relativas a las mujeres de las zonas rurales que se están viendo afe</w:t>
      </w:r>
      <w:r>
        <w:rPr>
          <w:lang w:val="es-ES_tradnl"/>
        </w:rPr>
        <w:t>c</w:t>
      </w:r>
      <w:r>
        <w:rPr>
          <w:lang w:val="es-ES_tradnl"/>
        </w:rPr>
        <w:t>tadas negativamente por la globalización. En ese co</w:t>
      </w:r>
      <w:r>
        <w:rPr>
          <w:lang w:val="es-ES_tradnl"/>
        </w:rPr>
        <w:t>n</w:t>
      </w:r>
      <w:r>
        <w:rPr>
          <w:lang w:val="es-ES_tradnl"/>
        </w:rPr>
        <w:t>texto, cita las enmiendas 73ª y 74ª de la Constitución, que dan voz a las mujeres marginadas y rurales. Cabe destacar un acontecimiento positivo: se prevé que de los beneficiarios del nuevo plan que garantiza 100 días de trabajo al año el 40% sean mujeres. También celebra anunciar que el movimiento de los microcréditos ha r</w:t>
      </w:r>
      <w:r>
        <w:rPr>
          <w:lang w:val="es-ES_tradnl"/>
        </w:rPr>
        <w:t>e</w:t>
      </w:r>
      <w:r>
        <w:rPr>
          <w:lang w:val="es-ES_tradnl"/>
        </w:rPr>
        <w:t xml:space="preserve">gistrado una expansión notable y actualmente abarca alrededor de 2,2 millones de grupos de autoayuda, de los que el 90% están integrados exclusivamente por mujeres. </w:t>
      </w:r>
    </w:p>
    <w:p w:rsidR="00DA1033" w:rsidRDefault="00DA1033">
      <w:pPr>
        <w:pStyle w:val="DualTxt"/>
        <w:spacing w:line="240" w:lineRule="auto"/>
        <w:rPr>
          <w:lang w:val="es-ES_tradnl"/>
        </w:rPr>
      </w:pPr>
      <w:r>
        <w:rPr>
          <w:lang w:val="es-ES_tradnl"/>
        </w:rPr>
        <w:t>28.</w:t>
      </w:r>
      <w:r>
        <w:rPr>
          <w:lang w:val="es-ES_tradnl"/>
        </w:rPr>
        <w:tab/>
        <w:t>La Comisión Nacional para la Mujer es un órgano oficial establecido por el Parlamento que prevé mec</w:t>
      </w:r>
      <w:r>
        <w:rPr>
          <w:lang w:val="es-ES_tradnl"/>
        </w:rPr>
        <w:t>a</w:t>
      </w:r>
      <w:r>
        <w:rPr>
          <w:lang w:val="es-ES_tradnl"/>
        </w:rPr>
        <w:t>nismos alternativos de solución de diferencias a través de los Lok Adalats (tribunales populares), lleva a cabo programas de sensibilización y contribuye activamente a la promulgación de la legislación relacionada con la mujer. Ese órgano está también habilitado para invest</w:t>
      </w:r>
      <w:r>
        <w:rPr>
          <w:lang w:val="es-ES_tradnl"/>
        </w:rPr>
        <w:t>i</w:t>
      </w:r>
      <w:r>
        <w:rPr>
          <w:lang w:val="es-ES_tradnl"/>
        </w:rPr>
        <w:t>gar las denuncias de atrocidades y violaciones de los derechos humanos, como las referentes a casos de vi</w:t>
      </w:r>
      <w:r>
        <w:rPr>
          <w:lang w:val="es-ES_tradnl"/>
        </w:rPr>
        <w:t>o</w:t>
      </w:r>
      <w:r>
        <w:rPr>
          <w:lang w:val="es-ES_tradnl"/>
        </w:rPr>
        <w:t xml:space="preserve">lencia doméstica, acoso sexual, muertes relacionadas con la dote, tortura, abandono, bigamia y violación. </w:t>
      </w:r>
    </w:p>
    <w:p w:rsidR="00DA1033" w:rsidRDefault="00DA1033">
      <w:pPr>
        <w:pStyle w:val="DualTxt"/>
        <w:spacing w:line="240" w:lineRule="auto"/>
      </w:pPr>
      <w:r>
        <w:rPr>
          <w:lang w:val="es-ES_tradnl"/>
        </w:rPr>
        <w:t>29.</w:t>
      </w:r>
      <w:r>
        <w:rPr>
          <w:lang w:val="es-ES_tradnl"/>
        </w:rPr>
        <w:tab/>
        <w:t>Sólo en 2005, la Comisión Nacional recibió más de 10.000 denuncias individuales. Las medidas co</w:t>
      </w:r>
      <w:r>
        <w:rPr>
          <w:lang w:val="es-ES_tradnl"/>
        </w:rPr>
        <w:t>m</w:t>
      </w:r>
      <w:r>
        <w:rPr>
          <w:lang w:val="es-ES_tradnl"/>
        </w:rPr>
        <w:t>pensatorias se determinan en función de los casos. Es frecuente que las disputas familiares puedan resolverse mediante asesoramiento familiar, y la Comisión inte</w:t>
      </w:r>
      <w:r>
        <w:rPr>
          <w:lang w:val="es-ES_tradnl"/>
        </w:rPr>
        <w:t>r</w:t>
      </w:r>
      <w:r>
        <w:rPr>
          <w:lang w:val="es-ES_tradnl"/>
        </w:rPr>
        <w:t>viene en casos de falta de diligencia de la policía. En los delitos graves, se ponen en marcha investigaciones en las que se interroga a los testigos y se buscan pru</w:t>
      </w:r>
      <w:r>
        <w:rPr>
          <w:lang w:val="es-ES_tradnl"/>
        </w:rPr>
        <w:t>e</w:t>
      </w:r>
      <w:r>
        <w:rPr>
          <w:lang w:val="es-ES_tradnl"/>
        </w:rPr>
        <w:t xml:space="preserve">bas, y el informe resultante da lugar invariablemente a la adopción de medidas correctivas. Desea subrayar que la Comisión defiende los intereses de las mujeres cualquiera que sea su religión o su casta. </w:t>
      </w:r>
    </w:p>
    <w:p w:rsidR="00DA1033" w:rsidRDefault="00DA1033">
      <w:pPr>
        <w:pStyle w:val="DualTxt"/>
        <w:spacing w:line="240" w:lineRule="auto"/>
      </w:pPr>
      <w:r>
        <w:t>30.</w:t>
      </w:r>
      <w:r>
        <w:tab/>
      </w:r>
      <w:r>
        <w:rPr>
          <w:b/>
        </w:rPr>
        <w:t>El Sr. Vahnavati</w:t>
      </w:r>
      <w:r>
        <w:t xml:space="preserve"> (India) dice que el laicismo y la libertad religiosa son aspectos básicos de la Constit</w:t>
      </w:r>
      <w:r>
        <w:t>u</w:t>
      </w:r>
      <w:r>
        <w:t xml:space="preserve">ción del país, que se redactó en 1950 en un contexto de violencia religiosa. </w:t>
      </w:r>
      <w:r>
        <w:rPr>
          <w:lang w:val="es-ES_tradnl"/>
        </w:rPr>
        <w:t>La unidad en la diversidad de la I</w:t>
      </w:r>
      <w:r>
        <w:rPr>
          <w:lang w:val="es-ES_tradnl"/>
        </w:rPr>
        <w:t>n</w:t>
      </w:r>
      <w:r>
        <w:rPr>
          <w:lang w:val="es-ES_tradnl"/>
        </w:rPr>
        <w:t>dia no es negociable y las comunidades gozan del d</w:t>
      </w:r>
      <w:r>
        <w:rPr>
          <w:lang w:val="es-ES_tradnl"/>
        </w:rPr>
        <w:t>e</w:t>
      </w:r>
      <w:r>
        <w:rPr>
          <w:lang w:val="es-ES_tradnl"/>
        </w:rPr>
        <w:t>recho a gestionar sus propias instituciones. Por su pa</w:t>
      </w:r>
      <w:r>
        <w:rPr>
          <w:lang w:val="es-ES_tradnl"/>
        </w:rPr>
        <w:t>r</w:t>
      </w:r>
      <w:r>
        <w:rPr>
          <w:lang w:val="es-ES_tradnl"/>
        </w:rPr>
        <w:t>te, el Gobierno no puede imponer ningún cambio sin haber comprobado que existe un movimiento en ese sentido en la comunidad. Celebra observar que, al m</w:t>
      </w:r>
      <w:r>
        <w:rPr>
          <w:lang w:val="es-ES_tradnl"/>
        </w:rPr>
        <w:t>e</w:t>
      </w:r>
      <w:r>
        <w:rPr>
          <w:lang w:val="es-ES_tradnl"/>
        </w:rPr>
        <w:t xml:space="preserve">jorar la educación, las mujeres vulnerables son cada vez más conscientes de sus derechos. En el caso de Danial Latifi, el Tribunal Supremo confirmó el derecho de una mujer musulmana a reclamar a su ex marido una pensión alimenticia más allá del </w:t>
      </w:r>
      <w:r>
        <w:rPr>
          <w:i/>
          <w:lang w:val="es-ES_tradnl"/>
        </w:rPr>
        <w:t>iddat</w:t>
      </w:r>
      <w:r>
        <w:rPr>
          <w:lang w:val="es-ES_tradnl"/>
        </w:rPr>
        <w:t xml:space="preserve"> (el periodo de tres meses posterior al divorcio). Gracias a las activ</w:t>
      </w:r>
      <w:r>
        <w:rPr>
          <w:lang w:val="es-ES_tradnl"/>
        </w:rPr>
        <w:t>i</w:t>
      </w:r>
      <w:r>
        <w:rPr>
          <w:lang w:val="es-ES_tradnl"/>
        </w:rPr>
        <w:t xml:space="preserve">dades de los medios de comunicación, las mentalidades están por fin empezando a evolucionar. </w:t>
      </w:r>
    </w:p>
    <w:p w:rsidR="00DA1033" w:rsidRDefault="00DA1033">
      <w:pPr>
        <w:pStyle w:val="DualTxt"/>
        <w:spacing w:line="240" w:lineRule="auto"/>
        <w:rPr>
          <w:lang w:val="es-ES_tradnl"/>
        </w:rPr>
      </w:pPr>
      <w:r>
        <w:rPr>
          <w:lang w:val="es-ES_tradnl"/>
        </w:rPr>
        <w:t>31.</w:t>
      </w:r>
      <w:r>
        <w:rPr>
          <w:lang w:val="es-ES_tradnl"/>
        </w:rPr>
        <w:tab/>
        <w:t>Desea señalar a la atención del Comité que el Parlamento del país ha creado una Dirección Nacional de Servicios Jurídicos, que está presidida por un juez del Tribunal Supremo. Los programas de formación j</w:t>
      </w:r>
      <w:r>
        <w:rPr>
          <w:lang w:val="es-ES_tradnl"/>
        </w:rPr>
        <w:t>u</w:t>
      </w:r>
      <w:r>
        <w:rPr>
          <w:lang w:val="es-ES_tradnl"/>
        </w:rPr>
        <w:t>rídica básica tienen por objeto que los sectores más desfavorecidos de la comunidad tomen conciencia de sus derechos. Manifiesta su satisfacción por el hecho de que las mujeres cada vez recurran más a los serv</w:t>
      </w:r>
      <w:r>
        <w:rPr>
          <w:lang w:val="es-ES_tradnl"/>
        </w:rPr>
        <w:t>i</w:t>
      </w:r>
      <w:r>
        <w:rPr>
          <w:lang w:val="es-ES_tradnl"/>
        </w:rPr>
        <w:t>cios de asistencia letrada disponibles. Respondiendo a la pregunta sobre si la Convención puede invocarse d</w:t>
      </w:r>
      <w:r>
        <w:rPr>
          <w:lang w:val="es-ES_tradnl"/>
        </w:rPr>
        <w:t>i</w:t>
      </w:r>
      <w:r>
        <w:rPr>
          <w:lang w:val="es-ES_tradnl"/>
        </w:rPr>
        <w:t>rectamente ante los tribunales del país, señala que pr</w:t>
      </w:r>
      <w:r>
        <w:rPr>
          <w:lang w:val="es-ES_tradnl"/>
        </w:rPr>
        <w:t>i</w:t>
      </w:r>
      <w:r>
        <w:rPr>
          <w:lang w:val="es-ES_tradnl"/>
        </w:rPr>
        <w:t>maba la opinión de que los tratados internacionales no eran aplicables a menos que se hubieran incorporado a la legislación nacional. Sin embargo, desde 1993 el Tribunal Supremo ha dictado una serie de sentencias basadas específicamente en la Convención, como en los casos Madhu Kishwar contra la Unión de la India y Seema contra Ashwini Kumar, a los que se hace ref</w:t>
      </w:r>
      <w:r>
        <w:rPr>
          <w:lang w:val="es-ES_tradnl"/>
        </w:rPr>
        <w:t>e</w:t>
      </w:r>
      <w:r>
        <w:rPr>
          <w:lang w:val="es-ES_tradnl"/>
        </w:rPr>
        <w:t>rencia en los informes combinados. Los artículos 14, 19 y 21 de la Constitución constituyen la base jurídica para luchar contra la discriminación en el sector priv</w:t>
      </w:r>
      <w:r>
        <w:rPr>
          <w:lang w:val="es-ES_tradnl"/>
        </w:rPr>
        <w:t>a</w:t>
      </w:r>
      <w:r>
        <w:rPr>
          <w:lang w:val="es-ES_tradnl"/>
        </w:rPr>
        <w:t xml:space="preserve">do. </w:t>
      </w:r>
    </w:p>
    <w:p w:rsidR="00DA1033" w:rsidRDefault="00DA1033">
      <w:pPr>
        <w:pStyle w:val="DualTxt"/>
        <w:spacing w:line="240" w:lineRule="auto"/>
        <w:rPr>
          <w:lang w:val="es-ES_tradnl"/>
        </w:rPr>
      </w:pPr>
      <w:r>
        <w:rPr>
          <w:lang w:val="es-ES_tradnl"/>
        </w:rPr>
        <w:t>32.</w:t>
      </w:r>
      <w:r>
        <w:rPr>
          <w:lang w:val="es-ES_tradnl"/>
        </w:rPr>
        <w:tab/>
        <w:t>Respondiendo a una pregunta relativa a los solic</w:t>
      </w:r>
      <w:r>
        <w:rPr>
          <w:lang w:val="es-ES_tradnl"/>
        </w:rPr>
        <w:t>i</w:t>
      </w:r>
      <w:r>
        <w:rPr>
          <w:lang w:val="es-ES_tradnl"/>
        </w:rPr>
        <w:t>tantes de asilo, es preciso entender que la India tiene que hacer frente al problema de las personas procede</w:t>
      </w:r>
      <w:r>
        <w:rPr>
          <w:lang w:val="es-ES_tradnl"/>
        </w:rPr>
        <w:t>n</w:t>
      </w:r>
      <w:r>
        <w:rPr>
          <w:lang w:val="es-ES_tradnl"/>
        </w:rPr>
        <w:t>tes de países vecinos que se trasladan al país no nec</w:t>
      </w:r>
      <w:r>
        <w:rPr>
          <w:lang w:val="es-ES_tradnl"/>
        </w:rPr>
        <w:t>e</w:t>
      </w:r>
      <w:r>
        <w:rPr>
          <w:lang w:val="es-ES_tradnl"/>
        </w:rPr>
        <w:t>sariamente para solicitar asilo, sino en busca de una v</w:t>
      </w:r>
      <w:r>
        <w:rPr>
          <w:lang w:val="es-ES_tradnl"/>
        </w:rPr>
        <w:t>i</w:t>
      </w:r>
      <w:r>
        <w:rPr>
          <w:lang w:val="es-ES_tradnl"/>
        </w:rPr>
        <w:t>da mejor. La protección de los testigos ha sido probl</w:t>
      </w:r>
      <w:r>
        <w:rPr>
          <w:lang w:val="es-ES_tradnl"/>
        </w:rPr>
        <w:t>e</w:t>
      </w:r>
      <w:r>
        <w:rPr>
          <w:lang w:val="es-ES_tradnl"/>
        </w:rPr>
        <w:t>mática en los casos relacionados con los disturbios de Gujarat, en los que algunas víctimas cambiaron su te</w:t>
      </w:r>
      <w:r>
        <w:rPr>
          <w:lang w:val="es-ES_tradnl"/>
        </w:rPr>
        <w:t>s</w:t>
      </w:r>
      <w:r>
        <w:rPr>
          <w:lang w:val="es-ES_tradnl"/>
        </w:rPr>
        <w:t>timonio a fin de lograr sentencias absolutorias. El asunto se puso en manos del Tribunal Supremo y, a la vista de la falta de confianza en la policía del estado de Gujarat, se ordenó a las fuerzas de seguridad del G</w:t>
      </w:r>
      <w:r>
        <w:rPr>
          <w:lang w:val="es-ES_tradnl"/>
        </w:rPr>
        <w:t>o</w:t>
      </w:r>
      <w:r>
        <w:rPr>
          <w:lang w:val="es-ES_tradnl"/>
        </w:rPr>
        <w:t>bierno central proteger a los testigos. Cabe destacar que el Tribunal Supremo subrayó la necesidad de est</w:t>
      </w:r>
      <w:r>
        <w:rPr>
          <w:lang w:val="es-ES_tradnl"/>
        </w:rPr>
        <w:t>a</w:t>
      </w:r>
      <w:r>
        <w:rPr>
          <w:lang w:val="es-ES_tradnl"/>
        </w:rPr>
        <w:t xml:space="preserve">blecer un plan de protección de testigos aplicable en todo el país. </w:t>
      </w:r>
    </w:p>
    <w:p w:rsidR="00DA1033" w:rsidRDefault="00DA1033">
      <w:pPr>
        <w:pStyle w:val="DualTxt"/>
        <w:spacing w:line="240" w:lineRule="auto"/>
        <w:rPr>
          <w:lang w:val="es-ES_tradnl"/>
        </w:rPr>
      </w:pPr>
      <w:r>
        <w:rPr>
          <w:lang w:val="es-ES_tradnl"/>
        </w:rPr>
        <w:t>33.</w:t>
      </w:r>
      <w:r>
        <w:rPr>
          <w:lang w:val="es-ES_tradnl"/>
        </w:rPr>
        <w:tab/>
        <w:t xml:space="preserve">Aunque el analfabetismo y la falta de recursos limitan los progresos en el adelanto de la mujer, el hecho es que el empoderamiento de las mujeres sólo puede lograrse por medio del conocimiento. En ese contexto, la Comisión Nacional de Derechos Humanos está desempeñando un papel muy activo. Por ejemplo, por iniciativa de la Comisión, volvió a abrirse el caso Best Bakery, dando lugar a un juicio que se concluyó satisfactoriamente. </w:t>
      </w:r>
    </w:p>
    <w:p w:rsidR="00DA1033" w:rsidRDefault="00DA1033">
      <w:pPr>
        <w:pStyle w:val="DualTxt"/>
        <w:spacing w:line="240" w:lineRule="auto"/>
      </w:pPr>
      <w:r>
        <w:rPr>
          <w:lang w:val="es-ES_tradnl"/>
        </w:rPr>
        <w:t>34.</w:t>
      </w:r>
      <w:r>
        <w:rPr>
          <w:lang w:val="es-ES_tradnl"/>
        </w:rPr>
        <w:tab/>
      </w:r>
      <w:r>
        <w:rPr>
          <w:b/>
          <w:lang w:val="es-ES_tradnl"/>
        </w:rPr>
        <w:t>La Sra. Singh</w:t>
      </w:r>
      <w:r>
        <w:rPr>
          <w:lang w:val="es-ES_tradnl"/>
        </w:rPr>
        <w:t xml:space="preserve"> (India) dice que los resultados de la evaluación de mitad de período del 10º plan qui</w:t>
      </w:r>
      <w:r>
        <w:rPr>
          <w:lang w:val="es-ES_tradnl"/>
        </w:rPr>
        <w:t>n</w:t>
      </w:r>
      <w:r>
        <w:rPr>
          <w:lang w:val="es-ES_tradnl"/>
        </w:rPr>
        <w:t>quenal y los de las consultas celebradas con una amplia representación de la sociedad civil se incorporarán al 11º plan quinquenal, que entrará en vigor el 1º de abril del 2007. Entre los principales temas que se abordarán en el nuevo plan figuran el empoderamiento de la m</w:t>
      </w:r>
      <w:r>
        <w:rPr>
          <w:lang w:val="es-ES_tradnl"/>
        </w:rPr>
        <w:t>u</w:t>
      </w:r>
      <w:r>
        <w:rPr>
          <w:lang w:val="es-ES_tradnl"/>
        </w:rPr>
        <w:t xml:space="preserve">jer y el desarrollo del niño. </w:t>
      </w:r>
    </w:p>
    <w:p w:rsidR="00DA1033" w:rsidRDefault="00DA1033">
      <w:pPr>
        <w:pStyle w:val="DualTxt"/>
        <w:spacing w:line="240" w:lineRule="auto"/>
        <w:rPr>
          <w:lang w:val="es-ES_tradnl"/>
        </w:rPr>
      </w:pPr>
      <w:r>
        <w:rPr>
          <w:lang w:val="es-ES_tradnl"/>
        </w:rPr>
        <w:t>35.</w:t>
      </w:r>
      <w:r>
        <w:rPr>
          <w:lang w:val="es-ES_tradnl"/>
        </w:rPr>
        <w:tab/>
        <w:t>Se está dando amplia difusión a la Convención, que se está traduciendo a las distintas lenguas locales. No existe ningún conflicto respecto de las recomend</w:t>
      </w:r>
      <w:r>
        <w:rPr>
          <w:lang w:val="es-ES_tradnl"/>
        </w:rPr>
        <w:t>a</w:t>
      </w:r>
      <w:r>
        <w:rPr>
          <w:lang w:val="es-ES_tradnl"/>
        </w:rPr>
        <w:t>ciones del Comité ni de los objetivos de la Conve</w:t>
      </w:r>
      <w:r>
        <w:rPr>
          <w:lang w:val="es-ES_tradnl"/>
        </w:rPr>
        <w:t>n</w:t>
      </w:r>
      <w:r>
        <w:rPr>
          <w:lang w:val="es-ES_tradnl"/>
        </w:rPr>
        <w:t>ción. El único problema estriba en su aplicación en un país de tan gran tamaño y diversidad. Por ejemplo, en Mizoram las preocupaciones son distintas que en Ker</w:t>
      </w:r>
      <w:r>
        <w:rPr>
          <w:lang w:val="es-ES_tradnl"/>
        </w:rPr>
        <w:t>a</w:t>
      </w:r>
      <w:r>
        <w:rPr>
          <w:lang w:val="es-ES_tradnl"/>
        </w:rPr>
        <w:t>la, por lo que se necesitan enfoques específicos para cada región. En el nuevo plan quinquenal se hará hi</w:t>
      </w:r>
      <w:r>
        <w:rPr>
          <w:lang w:val="es-ES_tradnl"/>
        </w:rPr>
        <w:t>n</w:t>
      </w:r>
      <w:r>
        <w:rPr>
          <w:lang w:val="es-ES_tradnl"/>
        </w:rPr>
        <w:t>capié en la importancia del cambio de mentalidad, la formación y el desarrollo de la capacidad, y se realiz</w:t>
      </w:r>
      <w:r>
        <w:rPr>
          <w:lang w:val="es-ES_tradnl"/>
        </w:rPr>
        <w:t>a</w:t>
      </w:r>
      <w:r>
        <w:rPr>
          <w:lang w:val="es-ES_tradnl"/>
        </w:rPr>
        <w:t>rán campañas de sensibilización destinadas a los miembros del Parlamento, a los representantes polít</w:t>
      </w:r>
      <w:r>
        <w:rPr>
          <w:lang w:val="es-ES_tradnl"/>
        </w:rPr>
        <w:t>i</w:t>
      </w:r>
      <w:r>
        <w:rPr>
          <w:lang w:val="es-ES_tradnl"/>
        </w:rPr>
        <w:t>cos, a los funcionarios, a la policía y a cuantos trabajan en el sistema judicial. Se considera un objetivo prior</w:t>
      </w:r>
      <w:r>
        <w:rPr>
          <w:lang w:val="es-ES_tradnl"/>
        </w:rPr>
        <w:t>i</w:t>
      </w:r>
      <w:r>
        <w:rPr>
          <w:lang w:val="es-ES_tradnl"/>
        </w:rPr>
        <w:t xml:space="preserve">tario generar datos que permitan comprobar que los distintos estados aplican sobre el terreno las políticas nacionales relativas a la mujer. </w:t>
      </w:r>
    </w:p>
    <w:p w:rsidR="00DA1033" w:rsidRDefault="00DA1033">
      <w:pPr>
        <w:pStyle w:val="DualTxt"/>
        <w:spacing w:line="240" w:lineRule="auto"/>
        <w:rPr>
          <w:lang w:val="es-ES_tradnl"/>
        </w:rPr>
      </w:pPr>
      <w:r>
        <w:rPr>
          <w:lang w:val="es-ES_tradnl"/>
        </w:rPr>
        <w:t>36.</w:t>
      </w:r>
      <w:r>
        <w:rPr>
          <w:lang w:val="es-ES_tradnl"/>
        </w:rPr>
        <w:tab/>
      </w:r>
      <w:r>
        <w:rPr>
          <w:b/>
          <w:lang w:val="es-ES_tradnl"/>
        </w:rPr>
        <w:t>El Sr. A. K. Srivastava</w:t>
      </w:r>
      <w:r>
        <w:rPr>
          <w:lang w:val="es-ES_tradnl"/>
        </w:rPr>
        <w:t xml:space="preserve"> (India) dice que el pri</w:t>
      </w:r>
      <w:r>
        <w:rPr>
          <w:lang w:val="es-ES_tradnl"/>
        </w:rPr>
        <w:t>n</w:t>
      </w:r>
      <w:r>
        <w:rPr>
          <w:lang w:val="es-ES_tradnl"/>
        </w:rPr>
        <w:t>cipal objetivo del proyecto de ley sobre prevención y control de la violencia entre comunidades y rehabilit</w:t>
      </w:r>
      <w:r>
        <w:rPr>
          <w:lang w:val="es-ES_tradnl"/>
        </w:rPr>
        <w:t>a</w:t>
      </w:r>
      <w:r>
        <w:rPr>
          <w:lang w:val="es-ES_tradnl"/>
        </w:rPr>
        <w:t>ción de las víctimas no es tipificar los delitos, dado que el Código Penal ya abarca la mayoría de los delitos en cuestión, sino más bien establecer algunas medidas preventivas, como el depósito y la confiscación de las armas y la munición, y los poderes de registro y dete</w:t>
      </w:r>
      <w:r>
        <w:rPr>
          <w:lang w:val="es-ES_tradnl"/>
        </w:rPr>
        <w:t>n</w:t>
      </w:r>
      <w:r>
        <w:rPr>
          <w:lang w:val="es-ES_tradnl"/>
        </w:rPr>
        <w:t xml:space="preserve">ción. También prevé penas más severas para los actos de violencia perpetrados en el entorno comunal. </w:t>
      </w:r>
    </w:p>
    <w:p w:rsidR="00DA1033" w:rsidRDefault="00DA1033">
      <w:pPr>
        <w:pStyle w:val="DualTxt"/>
        <w:spacing w:line="240" w:lineRule="auto"/>
        <w:rPr>
          <w:lang w:val="es-ES_tradnl"/>
        </w:rPr>
      </w:pPr>
      <w:r>
        <w:rPr>
          <w:lang w:val="es-ES_tradnl"/>
        </w:rPr>
        <w:t>37.</w:t>
      </w:r>
      <w:r>
        <w:rPr>
          <w:lang w:val="es-ES_tradnl"/>
        </w:rPr>
        <w:tab/>
        <w:t>Volviendo a la cuestión de la inclusión de una perspectiva de género, dice que el proyecto de ley en cuestión contendrá disposiciones específicas sobre los delitos cometidos contra mujeres, como los de agresión sexual y violación. Además, el Comité Parlamentario Permanente, al que se remiten la mayoría de los pr</w:t>
      </w:r>
      <w:r>
        <w:rPr>
          <w:lang w:val="es-ES_tradnl"/>
        </w:rPr>
        <w:t>o</w:t>
      </w:r>
      <w:r>
        <w:rPr>
          <w:lang w:val="es-ES_tradnl"/>
        </w:rPr>
        <w:t>yectos de ley para que los estudie en profundidad antes de trasladarlos al Parlamento para que los examine y apruebe, presentó recientemente un informe sobre el proyecto de ley en el que se proponía que se estableci</w:t>
      </w:r>
      <w:r>
        <w:rPr>
          <w:lang w:val="es-ES_tradnl"/>
        </w:rPr>
        <w:t>e</w:t>
      </w:r>
      <w:r>
        <w:rPr>
          <w:lang w:val="es-ES_tradnl"/>
        </w:rPr>
        <w:t>ran a nivel de los distritos y de los estados y a nivel n</w:t>
      </w:r>
      <w:r>
        <w:rPr>
          <w:lang w:val="es-ES_tradnl"/>
        </w:rPr>
        <w:t>a</w:t>
      </w:r>
      <w:r>
        <w:rPr>
          <w:lang w:val="es-ES_tradnl"/>
        </w:rPr>
        <w:t>cional consejos que se encargaran de supervisar la apl</w:t>
      </w:r>
      <w:r>
        <w:rPr>
          <w:lang w:val="es-ES_tradnl"/>
        </w:rPr>
        <w:t>i</w:t>
      </w:r>
      <w:r>
        <w:rPr>
          <w:lang w:val="es-ES_tradnl"/>
        </w:rPr>
        <w:t>cación de las medidas de socorro y rehabilitación. En los informes consolidados se sugiere también que esos consejos deberían contar con un número mínimo de mujeres entre sus miembros.  El proyecto de ley oto</w:t>
      </w:r>
      <w:r>
        <w:rPr>
          <w:lang w:val="es-ES_tradnl"/>
        </w:rPr>
        <w:t>r</w:t>
      </w:r>
      <w:r>
        <w:rPr>
          <w:lang w:val="es-ES_tradnl"/>
        </w:rPr>
        <w:t>gará al Gobierno central el poder de dictar instrucci</w:t>
      </w:r>
      <w:r>
        <w:rPr>
          <w:lang w:val="es-ES_tradnl"/>
        </w:rPr>
        <w:t>o</w:t>
      </w:r>
      <w:r>
        <w:rPr>
          <w:lang w:val="es-ES_tradnl"/>
        </w:rPr>
        <w:t>nes a los gobiernos de los estados en determinadas ci</w:t>
      </w:r>
      <w:r>
        <w:rPr>
          <w:lang w:val="es-ES_tradnl"/>
        </w:rPr>
        <w:t>r</w:t>
      </w:r>
      <w:r>
        <w:rPr>
          <w:lang w:val="es-ES_tradnl"/>
        </w:rPr>
        <w:t>cunstancias relacionadas con la violencia entre com</w:t>
      </w:r>
      <w:r>
        <w:rPr>
          <w:lang w:val="es-ES_tradnl"/>
        </w:rPr>
        <w:t>u</w:t>
      </w:r>
      <w:r>
        <w:rPr>
          <w:lang w:val="es-ES_tradnl"/>
        </w:rPr>
        <w:t xml:space="preserve">nidades. </w:t>
      </w:r>
    </w:p>
    <w:p w:rsidR="00DA1033" w:rsidRDefault="00DA1033">
      <w:pPr>
        <w:pStyle w:val="DualTxt"/>
        <w:spacing w:line="240" w:lineRule="auto"/>
        <w:rPr>
          <w:lang w:val="es-ES_tradnl"/>
        </w:rPr>
      </w:pPr>
      <w:r>
        <w:rPr>
          <w:lang w:val="es-ES_tradnl"/>
        </w:rPr>
        <w:t>38.</w:t>
      </w:r>
      <w:r>
        <w:rPr>
          <w:lang w:val="es-ES_tradnl"/>
        </w:rPr>
        <w:tab/>
        <w:t>Por lo que respecta a la protección de los testigos, el proyecto de ley tipificará como delito la intimid</w:t>
      </w:r>
      <w:r>
        <w:rPr>
          <w:lang w:val="es-ES_tradnl"/>
        </w:rPr>
        <w:t>a</w:t>
      </w:r>
      <w:r>
        <w:rPr>
          <w:lang w:val="es-ES_tradnl"/>
        </w:rPr>
        <w:t>ción de los testigos y permitirá a los tribunales mant</w:t>
      </w:r>
      <w:r>
        <w:rPr>
          <w:lang w:val="es-ES_tradnl"/>
        </w:rPr>
        <w:t>e</w:t>
      </w:r>
      <w:r>
        <w:rPr>
          <w:lang w:val="es-ES_tradnl"/>
        </w:rPr>
        <w:t>ner en secreto la identidad de un testigo si éste así lo solicita. También establecerá penas para los testigos que cambien su testimonio. Con el fin de mejorar la administración de justicia penal en relación con los d</w:t>
      </w:r>
      <w:r>
        <w:rPr>
          <w:lang w:val="es-ES_tradnl"/>
        </w:rPr>
        <w:t>e</w:t>
      </w:r>
      <w:r>
        <w:rPr>
          <w:lang w:val="es-ES_tradnl"/>
        </w:rPr>
        <w:t>litos cometidos contra los sectores más vulnerables de la sociedad, incluidas las mujeres, se están aplicando varias medidas legislativas y administrativas. Las l</w:t>
      </w:r>
      <w:r>
        <w:rPr>
          <w:lang w:val="es-ES_tradnl"/>
        </w:rPr>
        <w:t>e</w:t>
      </w:r>
      <w:r>
        <w:rPr>
          <w:lang w:val="es-ES_tradnl"/>
        </w:rPr>
        <w:t xml:space="preserve">yes, incluidas las relacionadas con delitos cometidos contra la mujer, están sujetas a revisión permanente y se modifican cuando se estima necesario para mejorar su efecto disuasorio. </w:t>
      </w:r>
    </w:p>
    <w:p w:rsidR="00DA1033" w:rsidRDefault="00DA1033">
      <w:pPr>
        <w:pStyle w:val="DualTxt"/>
        <w:spacing w:line="240" w:lineRule="auto"/>
        <w:rPr>
          <w:w w:val="101"/>
          <w:lang w:val="es-ES_tradnl"/>
        </w:rPr>
      </w:pPr>
      <w:r>
        <w:rPr>
          <w:w w:val="101"/>
          <w:lang w:val="es-ES_tradnl"/>
        </w:rPr>
        <w:t>39.</w:t>
      </w:r>
      <w:r>
        <w:rPr>
          <w:w w:val="101"/>
          <w:lang w:val="es-ES_tradnl"/>
        </w:rPr>
        <w:tab/>
        <w:t>Por lo que respecta a las medidas administrativas, el Gobierno central y los gobiernos de los estados ma</w:t>
      </w:r>
      <w:r>
        <w:rPr>
          <w:w w:val="101"/>
          <w:lang w:val="es-ES_tradnl"/>
        </w:rPr>
        <w:t>n</w:t>
      </w:r>
      <w:r>
        <w:rPr>
          <w:w w:val="101"/>
          <w:lang w:val="es-ES_tradnl"/>
        </w:rPr>
        <w:t>tienen un diálogo ininterrumpido. Los altos cargos de la policía participan en conferencias anuales a fin de ex</w:t>
      </w:r>
      <w:r>
        <w:rPr>
          <w:w w:val="101"/>
          <w:lang w:val="es-ES_tradnl"/>
        </w:rPr>
        <w:t>a</w:t>
      </w:r>
      <w:r>
        <w:rPr>
          <w:w w:val="101"/>
          <w:lang w:val="es-ES_tradnl"/>
        </w:rPr>
        <w:t>minar los delitos contra las mujeres y otros grupos vu</w:t>
      </w:r>
      <w:r>
        <w:rPr>
          <w:w w:val="101"/>
          <w:lang w:val="es-ES_tradnl"/>
        </w:rPr>
        <w:t>l</w:t>
      </w:r>
      <w:r>
        <w:rPr>
          <w:w w:val="101"/>
          <w:lang w:val="es-ES_tradnl"/>
        </w:rPr>
        <w:t>nerables. Se han celebrado seminarios destinados a promover la toma de conciencia a nivel estatal acerca de la necesidad de tomar medidas más eficaces para luchar contra esos delitos, y un seminario de ámbito nacional celebrado recientemente se ha centrado en la prevención de la trata de mujeres. Muchos gobiernos estatales han creado departamentos especiales que se ocupan de los delitos cometidos contra mujeres. El número de mujeres policías está aumentando gradualmente, y se están t</w:t>
      </w:r>
      <w:r>
        <w:rPr>
          <w:w w:val="101"/>
          <w:lang w:val="es-ES_tradnl"/>
        </w:rPr>
        <w:t>o</w:t>
      </w:r>
      <w:r>
        <w:rPr>
          <w:w w:val="101"/>
          <w:lang w:val="es-ES_tradnl"/>
        </w:rPr>
        <w:t xml:space="preserve">mando medidas para acelerar esa tendencia. </w:t>
      </w:r>
    </w:p>
    <w:p w:rsidR="00DA1033" w:rsidRDefault="00DA1033">
      <w:pPr>
        <w:pStyle w:val="DualTxt"/>
        <w:spacing w:line="240" w:lineRule="auto"/>
      </w:pPr>
      <w:r>
        <w:rPr>
          <w:lang w:val="es-ES_tradnl"/>
        </w:rPr>
        <w:t>40.</w:t>
      </w:r>
      <w:r>
        <w:rPr>
          <w:lang w:val="es-ES_tradnl"/>
        </w:rPr>
        <w:tab/>
      </w:r>
      <w:r>
        <w:rPr>
          <w:b/>
          <w:lang w:val="es-ES_tradnl"/>
        </w:rPr>
        <w:t>La Sra. Singh</w:t>
      </w:r>
      <w:r>
        <w:rPr>
          <w:lang w:val="es-ES_tradnl"/>
        </w:rPr>
        <w:t xml:space="preserve"> (India) dice que el Gobierno se ha comprometido a poner en vigor legislación en virtud de la cual se reserve a las mujeres un tercio de los escaños del Parlamento y de las cámaras legislativas de los e</w:t>
      </w:r>
      <w:r>
        <w:rPr>
          <w:lang w:val="es-ES_tradnl"/>
        </w:rPr>
        <w:t>s</w:t>
      </w:r>
      <w:r>
        <w:rPr>
          <w:lang w:val="es-ES_tradnl"/>
        </w:rPr>
        <w:t>tados. Se ha presentado al Parlamento un proyecto de ley en ese sentido, que todavía no se ha aprobado. C</w:t>
      </w:r>
      <w:r>
        <w:rPr>
          <w:lang w:val="es-ES_tradnl"/>
        </w:rPr>
        <w:t>a</w:t>
      </w:r>
      <w:r>
        <w:rPr>
          <w:lang w:val="es-ES_tradnl"/>
        </w:rPr>
        <w:t>be esperar que los representantes de la sociedad civil, incluidas las organizaciones no gubernamentales, col</w:t>
      </w:r>
      <w:r>
        <w:rPr>
          <w:lang w:val="es-ES_tradnl"/>
        </w:rPr>
        <w:t>a</w:t>
      </w:r>
      <w:r>
        <w:rPr>
          <w:lang w:val="es-ES_tradnl"/>
        </w:rPr>
        <w:t xml:space="preserve">boren en la campaña en favor de la pronta aprobación del proyecto de ley. Las enmiendas 73ª y 74ª de la Constitución, que prevén cupos similares a nivel de las administraciones locales, han tenido gran repercusión en el funcionamiento de la democracia a nivel de base. </w:t>
      </w:r>
    </w:p>
    <w:p w:rsidR="00DA1033" w:rsidRDefault="00DA1033">
      <w:pPr>
        <w:pStyle w:val="DualTxt"/>
        <w:spacing w:line="240" w:lineRule="auto"/>
      </w:pPr>
      <w:r>
        <w:rPr>
          <w:lang w:val="es-ES_tradnl"/>
        </w:rPr>
        <w:t>41.</w:t>
      </w:r>
      <w:r>
        <w:rPr>
          <w:lang w:val="es-ES_tradnl"/>
        </w:rPr>
        <w:tab/>
        <w:t>La Comisión Nacional para la Mujer está integr</w:t>
      </w:r>
      <w:r>
        <w:rPr>
          <w:lang w:val="es-ES_tradnl"/>
        </w:rPr>
        <w:t>a</w:t>
      </w:r>
      <w:r>
        <w:rPr>
          <w:lang w:val="es-ES_tradnl"/>
        </w:rPr>
        <w:t>da por una Presidenta y seis miembros, todos ellos m</w:t>
      </w:r>
      <w:r>
        <w:rPr>
          <w:lang w:val="es-ES_tradnl"/>
        </w:rPr>
        <w:t>u</w:t>
      </w:r>
      <w:r>
        <w:rPr>
          <w:lang w:val="es-ES_tradnl"/>
        </w:rPr>
        <w:t>jeres. Las secretarias de la Comisión son altas funci</w:t>
      </w:r>
      <w:r>
        <w:rPr>
          <w:lang w:val="es-ES_tradnl"/>
        </w:rPr>
        <w:t>o</w:t>
      </w:r>
      <w:r>
        <w:rPr>
          <w:lang w:val="es-ES_tradnl"/>
        </w:rPr>
        <w:t>narios del Gobierno de la India. Si el Comité así lo desea, más adelante se le proporcionará información más detallada sobre el personal auxiliar de la Com</w:t>
      </w:r>
      <w:r>
        <w:rPr>
          <w:lang w:val="es-ES_tradnl"/>
        </w:rPr>
        <w:t>i</w:t>
      </w:r>
      <w:r>
        <w:rPr>
          <w:lang w:val="es-ES_tradnl"/>
        </w:rPr>
        <w:t>sión. Por lo que respecta a la lucha contra los estereot</w:t>
      </w:r>
      <w:r>
        <w:rPr>
          <w:lang w:val="es-ES_tradnl"/>
        </w:rPr>
        <w:t>i</w:t>
      </w:r>
      <w:r>
        <w:rPr>
          <w:lang w:val="es-ES_tradnl"/>
        </w:rPr>
        <w:t>pos, se han puesto en marcha programas de capacit</w:t>
      </w:r>
      <w:r>
        <w:rPr>
          <w:lang w:val="es-ES_tradnl"/>
        </w:rPr>
        <w:t>a</w:t>
      </w:r>
      <w:r>
        <w:rPr>
          <w:lang w:val="es-ES_tradnl"/>
        </w:rPr>
        <w:t>ción destinados a sensibilizar a varios grupos, como los miembros de la policía y los representantes políticos. Esos programas se intensificarán en el marco del 11º plan quinquenal. Se está revisando el material didáct</w:t>
      </w:r>
      <w:r>
        <w:rPr>
          <w:lang w:val="es-ES_tradnl"/>
        </w:rPr>
        <w:t>i</w:t>
      </w:r>
      <w:r>
        <w:rPr>
          <w:lang w:val="es-ES_tradnl"/>
        </w:rPr>
        <w:t>co a fin de eliminar los estereotipos de género. Los medios de comunicación y la sociedad civil desemp</w:t>
      </w:r>
      <w:r>
        <w:rPr>
          <w:lang w:val="es-ES_tradnl"/>
        </w:rPr>
        <w:t>e</w:t>
      </w:r>
      <w:r>
        <w:rPr>
          <w:lang w:val="es-ES_tradnl"/>
        </w:rPr>
        <w:t>ñan un papel crucial en el planteamiento de las cue</w:t>
      </w:r>
      <w:r>
        <w:rPr>
          <w:lang w:val="es-ES_tradnl"/>
        </w:rPr>
        <w:t>s</w:t>
      </w:r>
      <w:r>
        <w:rPr>
          <w:lang w:val="es-ES_tradnl"/>
        </w:rPr>
        <w:t>tiones importantes en ese ámbito y colaboran activ</w:t>
      </w:r>
      <w:r>
        <w:rPr>
          <w:lang w:val="es-ES_tradnl"/>
        </w:rPr>
        <w:t>a</w:t>
      </w:r>
      <w:r>
        <w:rPr>
          <w:lang w:val="es-ES_tradnl"/>
        </w:rPr>
        <w:t xml:space="preserve">mente en los esfuerzos del Gobierno. </w:t>
      </w:r>
    </w:p>
    <w:p w:rsidR="00DA1033" w:rsidRDefault="00DA1033">
      <w:pPr>
        <w:pStyle w:val="DualTxt"/>
        <w:spacing w:line="240" w:lineRule="auto"/>
        <w:rPr>
          <w:lang w:val="es-ES_tradnl"/>
        </w:rPr>
      </w:pPr>
      <w:r>
        <w:rPr>
          <w:lang w:val="es-ES_tradnl"/>
        </w:rPr>
        <w:t>42.</w:t>
      </w:r>
      <w:r>
        <w:rPr>
          <w:lang w:val="es-ES_tradnl"/>
        </w:rPr>
        <w:tab/>
        <w:t>Los gobiernos de los estados están aplicando m</w:t>
      </w:r>
      <w:r>
        <w:rPr>
          <w:lang w:val="es-ES_tradnl"/>
        </w:rPr>
        <w:t>e</w:t>
      </w:r>
      <w:r>
        <w:rPr>
          <w:lang w:val="es-ES_tradnl"/>
        </w:rPr>
        <w:t>didas afirmativas: por ejemplo, se reservan algunos puestos para mujeres. Aunque se están realizando pr</w:t>
      </w:r>
      <w:r>
        <w:rPr>
          <w:lang w:val="es-ES_tradnl"/>
        </w:rPr>
        <w:t>o</w:t>
      </w:r>
      <w:r>
        <w:rPr>
          <w:lang w:val="es-ES_tradnl"/>
        </w:rPr>
        <w:t>gresos, resulta difícil conseguir que cambien las actit</w:t>
      </w:r>
      <w:r>
        <w:rPr>
          <w:lang w:val="es-ES_tradnl"/>
        </w:rPr>
        <w:t>u</w:t>
      </w:r>
      <w:r>
        <w:rPr>
          <w:lang w:val="es-ES_tradnl"/>
        </w:rPr>
        <w:t>des y las prácticas tradicionales. Por lo que respecta a la difusión de la Convención, el texto se ha traducido a la lengua nacional y a algunas lenguas regionales. En cuanto a la supervisión de la aplicación de la Conve</w:t>
      </w:r>
      <w:r>
        <w:rPr>
          <w:lang w:val="es-ES_tradnl"/>
        </w:rPr>
        <w:t>n</w:t>
      </w:r>
      <w:r>
        <w:rPr>
          <w:lang w:val="es-ES_tradnl"/>
        </w:rPr>
        <w:t>ción, se ha creado un comité interministerial que se reúne periódicamente con el fin de examinar las med</w:t>
      </w:r>
      <w:r>
        <w:rPr>
          <w:lang w:val="es-ES_tradnl"/>
        </w:rPr>
        <w:t>i</w:t>
      </w:r>
      <w:r>
        <w:rPr>
          <w:lang w:val="es-ES_tradnl"/>
        </w:rPr>
        <w:t xml:space="preserve">das adoptadas en esa esfera. A nivel de los estados se han creado comités similares con miras a supervisar la aplicación sobre el terreno y a exigir responsabilidades a los gobiernos estatales en caso de incumplimiento. </w:t>
      </w:r>
    </w:p>
    <w:p w:rsidR="00DA1033" w:rsidRDefault="00DA1033">
      <w:pPr>
        <w:pStyle w:val="DualTxt"/>
        <w:spacing w:line="240" w:lineRule="auto"/>
        <w:rPr>
          <w:lang w:val="es-ES_tradnl"/>
        </w:rPr>
      </w:pPr>
      <w:r>
        <w:rPr>
          <w:lang w:val="es-ES_tradnl"/>
        </w:rPr>
        <w:t>43.</w:t>
      </w:r>
      <w:r>
        <w:rPr>
          <w:lang w:val="es-ES_tradnl"/>
        </w:rPr>
        <w:tab/>
        <w:t>Por último, es cierto que se requieren mecani</w:t>
      </w:r>
      <w:r>
        <w:rPr>
          <w:lang w:val="es-ES_tradnl"/>
        </w:rPr>
        <w:t>s</w:t>
      </w:r>
      <w:r>
        <w:rPr>
          <w:lang w:val="es-ES_tradnl"/>
        </w:rPr>
        <w:t>mos adecuados a nivel de los gobiernos de los estados para aplicar la Ley de protección de la mujer contra la violencia doméstica. El 11º plan quinquenal prevé n</w:t>
      </w:r>
      <w:r>
        <w:rPr>
          <w:lang w:val="es-ES_tradnl"/>
        </w:rPr>
        <w:t>u</w:t>
      </w:r>
      <w:r>
        <w:rPr>
          <w:lang w:val="es-ES_tradnl"/>
        </w:rPr>
        <w:t xml:space="preserve">merosas medidas de formación y creación de capacidad a ese respecto. </w:t>
      </w:r>
    </w:p>
    <w:p w:rsidR="00DA1033" w:rsidRDefault="00DA1033">
      <w:pPr>
        <w:pStyle w:val="DualTxt"/>
        <w:spacing w:line="240" w:lineRule="auto"/>
        <w:rPr>
          <w:lang w:val="es-ES_tradnl"/>
        </w:rPr>
      </w:pPr>
      <w:r>
        <w:rPr>
          <w:lang w:val="es-ES_tradnl"/>
        </w:rPr>
        <w:t>44.</w:t>
      </w:r>
      <w:r>
        <w:rPr>
          <w:lang w:val="es-ES_tradnl"/>
        </w:rPr>
        <w:tab/>
      </w:r>
      <w:r>
        <w:rPr>
          <w:b/>
          <w:lang w:val="es-ES_tradnl"/>
        </w:rPr>
        <w:t>La Sra. Shin</w:t>
      </w:r>
      <w:r>
        <w:rPr>
          <w:lang w:val="es-ES_tradnl"/>
        </w:rPr>
        <w:t xml:space="preserve"> encomia los esfuerzos del Gobierno de la India por aplicar la Convención, labor sin duda muy difícil en un país tan grande y poblado. En part</w:t>
      </w:r>
      <w:r>
        <w:rPr>
          <w:lang w:val="es-ES_tradnl"/>
        </w:rPr>
        <w:t>i</w:t>
      </w:r>
      <w:r>
        <w:rPr>
          <w:lang w:val="es-ES_tradnl"/>
        </w:rPr>
        <w:t>cular, se felicita de los acontecimientos positivos que se han producido en relación con el enjuiciamiento de los acusados de violación. Sin embargo, todavía se pueden introducir más mejoras a ese respecto. Espera que se estudie atentamente la posibilidad de ampliar la definición de violación de manera que incluya todos los tipos de contactos sexuales. También se debe est</w:t>
      </w:r>
      <w:r>
        <w:rPr>
          <w:lang w:val="es-ES_tradnl"/>
        </w:rPr>
        <w:t>u</w:t>
      </w:r>
      <w:r>
        <w:rPr>
          <w:lang w:val="es-ES_tradnl"/>
        </w:rPr>
        <w:t>diar la cuestión de la violación dentro del matrimonio, teniendo en cuenta en particular que, en el caso de los matrimonios de menores, la violación dentro del m</w:t>
      </w:r>
      <w:r>
        <w:rPr>
          <w:lang w:val="es-ES_tradnl"/>
        </w:rPr>
        <w:t>a</w:t>
      </w:r>
      <w:r>
        <w:rPr>
          <w:lang w:val="es-ES_tradnl"/>
        </w:rPr>
        <w:t>trimonio constituye también estupro. Es preciso abo</w:t>
      </w:r>
      <w:r>
        <w:rPr>
          <w:lang w:val="es-ES_tradnl"/>
        </w:rPr>
        <w:t>r</w:t>
      </w:r>
      <w:r>
        <w:rPr>
          <w:lang w:val="es-ES_tradnl"/>
        </w:rPr>
        <w:t>dar en general el problema del abuso sexual de los n</w:t>
      </w:r>
      <w:r>
        <w:rPr>
          <w:lang w:val="es-ES_tradnl"/>
        </w:rPr>
        <w:t>i</w:t>
      </w:r>
      <w:r>
        <w:rPr>
          <w:lang w:val="es-ES_tradnl"/>
        </w:rPr>
        <w:t xml:space="preserve">ños.  </w:t>
      </w:r>
    </w:p>
    <w:p w:rsidR="00DA1033" w:rsidRDefault="00DA1033">
      <w:pPr>
        <w:pStyle w:val="DualTxt"/>
        <w:spacing w:line="240" w:lineRule="auto"/>
        <w:rPr>
          <w:lang w:val="es-ES_tradnl"/>
        </w:rPr>
      </w:pPr>
      <w:r>
        <w:rPr>
          <w:lang w:val="es-ES_tradnl"/>
        </w:rPr>
        <w:t>45.</w:t>
      </w:r>
      <w:r>
        <w:rPr>
          <w:lang w:val="es-ES_tradnl"/>
        </w:rPr>
        <w:tab/>
        <w:t>La aprobación de la ley sobre la violencia domé</w:t>
      </w:r>
      <w:r>
        <w:rPr>
          <w:lang w:val="es-ES_tradnl"/>
        </w:rPr>
        <w:t>s</w:t>
      </w:r>
      <w:r>
        <w:rPr>
          <w:lang w:val="es-ES_tradnl"/>
        </w:rPr>
        <w:t>tica ha supuesto un paso positivo, pero se deben tomar medidas para combatir otras formas de violencia contra la mujer, como los asesinatos relacionados con la dote, la quema de novias y la caza de brujas. Es preciso ca</w:t>
      </w:r>
      <w:r>
        <w:rPr>
          <w:lang w:val="es-ES_tradnl"/>
        </w:rPr>
        <w:t>s</w:t>
      </w:r>
      <w:r>
        <w:rPr>
          <w:lang w:val="es-ES_tradnl"/>
        </w:rPr>
        <w:t>tigar esos delitos porque la impunidad hace que se pe</w:t>
      </w:r>
      <w:r>
        <w:rPr>
          <w:lang w:val="es-ES_tradnl"/>
        </w:rPr>
        <w:t>r</w:t>
      </w:r>
      <w:r>
        <w:rPr>
          <w:lang w:val="es-ES_tradnl"/>
        </w:rPr>
        <w:t>petúe la posición de vulnerabilidad de la mujer en la sociedad. Por lo que se refiere a la Ley relativa a la prohibición de la selección del sexo, conviene cerci</w:t>
      </w:r>
      <w:r>
        <w:rPr>
          <w:lang w:val="es-ES_tradnl"/>
        </w:rPr>
        <w:t>o</w:t>
      </w:r>
      <w:r>
        <w:rPr>
          <w:lang w:val="es-ES_tradnl"/>
        </w:rPr>
        <w:t>rarse de que se utilice para castigar a los médicos que practican abortos selectivos y no a las mujeres afect</w:t>
      </w:r>
      <w:r>
        <w:rPr>
          <w:lang w:val="es-ES_tradnl"/>
        </w:rPr>
        <w:t>a</w:t>
      </w:r>
      <w:r>
        <w:rPr>
          <w:lang w:val="es-ES_tradnl"/>
        </w:rPr>
        <w:t>das, que normalmente actúan presionadas por sus fam</w:t>
      </w:r>
      <w:r>
        <w:rPr>
          <w:lang w:val="es-ES_tradnl"/>
        </w:rPr>
        <w:t>i</w:t>
      </w:r>
      <w:r>
        <w:rPr>
          <w:lang w:val="es-ES_tradnl"/>
        </w:rPr>
        <w:t>lias o por la sociedad. Es fundamental aplicar efect</w:t>
      </w:r>
      <w:r>
        <w:rPr>
          <w:lang w:val="es-ES_tradnl"/>
        </w:rPr>
        <w:t>i</w:t>
      </w:r>
      <w:r>
        <w:rPr>
          <w:lang w:val="es-ES_tradnl"/>
        </w:rPr>
        <w:t>vamente las leyes de protección de la mujer, y es prec</w:t>
      </w:r>
      <w:r>
        <w:rPr>
          <w:lang w:val="es-ES_tradnl"/>
        </w:rPr>
        <w:t>i</w:t>
      </w:r>
      <w:r>
        <w:rPr>
          <w:lang w:val="es-ES_tradnl"/>
        </w:rPr>
        <w:t xml:space="preserve">so hacer todo lo posible por identificar las deficiencias en ese ámbito y corregirlas. Sugiere que también se podría aplicar un enfoque de ciclo vital en relación con la salud de la mujer para combatir la violencia contra la mujer en todas las etapas de su vida. </w:t>
      </w:r>
    </w:p>
    <w:p w:rsidR="00DA1033" w:rsidRDefault="00DA1033">
      <w:pPr>
        <w:pStyle w:val="DualTxt"/>
        <w:spacing w:line="240" w:lineRule="auto"/>
      </w:pPr>
      <w:r>
        <w:rPr>
          <w:lang w:val="es-ES_tradnl"/>
        </w:rPr>
        <w:t>46.</w:t>
      </w:r>
      <w:r>
        <w:rPr>
          <w:lang w:val="es-ES_tradnl"/>
        </w:rPr>
        <w:tab/>
        <w:t>Resulta lamentable que, a pesar de las reiteradas peticiones de Comité, en los informes consolidados no se haya facilitado información acerca de los sucesos acaecidos en Gujarat en 2002. Aunque cabe agradecer la información facilitada más recientemente, en ésta no  se indica el número de mujeres asesinadas, maltratadas y agredidas sexualmente. También existen discrepa</w:t>
      </w:r>
      <w:r>
        <w:rPr>
          <w:lang w:val="es-ES_tradnl"/>
        </w:rPr>
        <w:t>n</w:t>
      </w:r>
      <w:r>
        <w:rPr>
          <w:lang w:val="es-ES_tradnl"/>
        </w:rPr>
        <w:t>cias entre la información facilitada por el Estado parte y la procedente de otras fuentes. Además, es preciso i</w:t>
      </w:r>
      <w:r>
        <w:rPr>
          <w:lang w:val="es-ES_tradnl"/>
        </w:rPr>
        <w:t>n</w:t>
      </w:r>
      <w:r>
        <w:rPr>
          <w:lang w:val="es-ES_tradnl"/>
        </w:rPr>
        <w:t>tensificar los esfuerzos para hacer justicia a las víct</w:t>
      </w:r>
      <w:r>
        <w:rPr>
          <w:lang w:val="es-ES_tradnl"/>
        </w:rPr>
        <w:t>i</w:t>
      </w:r>
      <w:r>
        <w:rPr>
          <w:lang w:val="es-ES_tradnl"/>
        </w:rPr>
        <w:t>mas e indemnizarlas. Felicita a la Comisión Nacional de Derechos Humanos por el papel activo que ha de</w:t>
      </w:r>
      <w:r>
        <w:rPr>
          <w:lang w:val="es-ES_tradnl"/>
        </w:rPr>
        <w:t>s</w:t>
      </w:r>
      <w:r>
        <w:rPr>
          <w:lang w:val="es-ES_tradnl"/>
        </w:rPr>
        <w:t>empeñado a ese respecto, pero señala que es el Gobie</w:t>
      </w:r>
      <w:r>
        <w:rPr>
          <w:lang w:val="es-ES_tradnl"/>
        </w:rPr>
        <w:t>r</w:t>
      </w:r>
      <w:r>
        <w:rPr>
          <w:lang w:val="es-ES_tradnl"/>
        </w:rPr>
        <w:t xml:space="preserve">no el principal responsable de investigar los hechos y enjuiciar a los autores. </w:t>
      </w:r>
    </w:p>
    <w:p w:rsidR="00DA1033" w:rsidRDefault="00DA1033">
      <w:pPr>
        <w:pStyle w:val="DualTxt"/>
        <w:spacing w:line="240" w:lineRule="auto"/>
      </w:pPr>
      <w:r>
        <w:rPr>
          <w:lang w:val="es-ES_tradnl"/>
        </w:rPr>
        <w:t>47.</w:t>
      </w:r>
      <w:r>
        <w:rPr>
          <w:lang w:val="es-ES_tradnl"/>
        </w:rPr>
        <w:tab/>
        <w:t>Por último, en el proyecto de ley sobre la viole</w:t>
      </w:r>
      <w:r>
        <w:rPr>
          <w:lang w:val="es-ES_tradnl"/>
        </w:rPr>
        <w:t>n</w:t>
      </w:r>
      <w:r>
        <w:rPr>
          <w:lang w:val="es-ES_tradnl"/>
        </w:rPr>
        <w:t>cia entre comunidades se debe dar la debida promine</w:t>
      </w:r>
      <w:r>
        <w:rPr>
          <w:lang w:val="es-ES_tradnl"/>
        </w:rPr>
        <w:t>n</w:t>
      </w:r>
      <w:r>
        <w:rPr>
          <w:lang w:val="es-ES_tradnl"/>
        </w:rPr>
        <w:t>cia a la violencia contra la mujer en lugar de menci</w:t>
      </w:r>
      <w:r>
        <w:rPr>
          <w:lang w:val="es-ES_tradnl"/>
        </w:rPr>
        <w:t>o</w:t>
      </w:r>
      <w:r>
        <w:rPr>
          <w:lang w:val="es-ES_tradnl"/>
        </w:rPr>
        <w:t xml:space="preserve">narla sólo de pasada. Es preciso transmitir claramente el mensaje de que esa violencia no se va a tolerar. </w:t>
      </w:r>
    </w:p>
    <w:p w:rsidR="00DA1033" w:rsidRDefault="00DA1033">
      <w:pPr>
        <w:pStyle w:val="DualTxt"/>
        <w:spacing w:line="240" w:lineRule="auto"/>
        <w:rPr>
          <w:lang w:val="es-ES_tradnl"/>
        </w:rPr>
      </w:pPr>
      <w:r>
        <w:rPr>
          <w:lang w:val="es-ES_tradnl"/>
        </w:rPr>
        <w:t>48.</w:t>
      </w:r>
      <w:r>
        <w:rPr>
          <w:lang w:val="es-ES_tradnl"/>
        </w:rPr>
        <w:tab/>
      </w:r>
      <w:r>
        <w:rPr>
          <w:b/>
          <w:lang w:val="es-ES_tradnl"/>
        </w:rPr>
        <w:t>La Sra. Schöpp-Schilling</w:t>
      </w:r>
      <w:r>
        <w:rPr>
          <w:lang w:val="es-ES_tradnl"/>
        </w:rPr>
        <w:t xml:space="preserve"> se pregunta por qué el Gobierno de la India se muestra reticente a ratificar el Protocolo Facultativo de la Convención. También d</w:t>
      </w:r>
      <w:r>
        <w:rPr>
          <w:lang w:val="es-ES_tradnl"/>
        </w:rPr>
        <w:t>e</w:t>
      </w:r>
      <w:r>
        <w:rPr>
          <w:lang w:val="es-ES_tradnl"/>
        </w:rPr>
        <w:t>searía conocer la razón de los constantes retrasos en la presentación de los informes del Estado parte y de que, hasta hace poco tiempo, no se haya facilitado la info</w:t>
      </w:r>
      <w:r>
        <w:rPr>
          <w:lang w:val="es-ES_tradnl"/>
        </w:rPr>
        <w:t>r</w:t>
      </w:r>
      <w:r>
        <w:rPr>
          <w:lang w:val="es-ES_tradnl"/>
        </w:rPr>
        <w:t>mación solicitada sobre los sucesos de Gujarat. Agr</w:t>
      </w:r>
      <w:r>
        <w:rPr>
          <w:lang w:val="es-ES_tradnl"/>
        </w:rPr>
        <w:t>a</w:t>
      </w:r>
      <w:r>
        <w:rPr>
          <w:lang w:val="es-ES_tradnl"/>
        </w:rPr>
        <w:t>dece la información recibida recientemente, aunque t</w:t>
      </w:r>
      <w:r>
        <w:rPr>
          <w:lang w:val="es-ES_tradnl"/>
        </w:rPr>
        <w:t>o</w:t>
      </w:r>
      <w:r>
        <w:rPr>
          <w:lang w:val="es-ES_tradnl"/>
        </w:rPr>
        <w:t>davía quedan muchas dudas por aclarar. Algunas fue</w:t>
      </w:r>
      <w:r>
        <w:rPr>
          <w:lang w:val="es-ES_tradnl"/>
        </w:rPr>
        <w:t>n</w:t>
      </w:r>
      <w:r>
        <w:rPr>
          <w:lang w:val="es-ES_tradnl"/>
        </w:rPr>
        <w:t>tes, incluida la propia Comisión Nacional de Derechos Humanos de la India, dan un número de víctimas muy superior a las cifras oficiales del gobierno del estado de Gujarat que se citan en las respuestas del Estado parte a la lista de cuestiones. Además se desconocen las r</w:t>
      </w:r>
      <w:r>
        <w:rPr>
          <w:lang w:val="es-ES_tradnl"/>
        </w:rPr>
        <w:t>e</w:t>
      </w:r>
      <w:r>
        <w:rPr>
          <w:lang w:val="es-ES_tradnl"/>
        </w:rPr>
        <w:t xml:space="preserve">percusiones sobre las mujeres en particular porque las cifras facilitadas no están desglosadas por sexos. Cabe lamentar que no parezcan haberse tenido en cuenta los delitos cometidos específicamente contra mujeres en Gujarat, que, en virtud del artículo 1 del Convención, constituyen una forma de discriminación. </w:t>
      </w:r>
    </w:p>
    <w:p w:rsidR="00DA1033" w:rsidRDefault="00DA1033">
      <w:pPr>
        <w:pStyle w:val="DualTxt"/>
        <w:spacing w:line="240" w:lineRule="auto"/>
        <w:rPr>
          <w:lang w:val="es-ES_tradnl"/>
        </w:rPr>
      </w:pPr>
      <w:r>
        <w:rPr>
          <w:lang w:val="es-ES_tradnl"/>
        </w:rPr>
        <w:t>49.</w:t>
      </w:r>
      <w:r>
        <w:rPr>
          <w:lang w:val="es-ES_tradnl"/>
        </w:rPr>
        <w:tab/>
        <w:t>Aunque celebra las medidas adoptadas por el G</w:t>
      </w:r>
      <w:r>
        <w:rPr>
          <w:lang w:val="es-ES_tradnl"/>
        </w:rPr>
        <w:t>o</w:t>
      </w:r>
      <w:r>
        <w:rPr>
          <w:lang w:val="es-ES_tradnl"/>
        </w:rPr>
        <w:t>bierno central con respecto a los sucesos en cuestión, no se ha facilitado información sobre el contenido de los informes preparados por el Comité parlamentario para el empoderamiento de la mujer ni sobre las med</w:t>
      </w:r>
      <w:r>
        <w:rPr>
          <w:lang w:val="es-ES_tradnl"/>
        </w:rPr>
        <w:t>i</w:t>
      </w:r>
      <w:r>
        <w:rPr>
          <w:lang w:val="es-ES_tradnl"/>
        </w:rPr>
        <w:t>das adoptadas por el Gobierno central sobre la base de esos informes. Al amparo de la Constitución, el G</w:t>
      </w:r>
      <w:r>
        <w:rPr>
          <w:lang w:val="es-ES_tradnl"/>
        </w:rPr>
        <w:t>o</w:t>
      </w:r>
      <w:r>
        <w:rPr>
          <w:lang w:val="es-ES_tradnl"/>
        </w:rPr>
        <w:t>bierno central podría desempeñar un papel más activo en la investigación de los delitos cometidos, el enju</w:t>
      </w:r>
      <w:r>
        <w:rPr>
          <w:lang w:val="es-ES_tradnl"/>
        </w:rPr>
        <w:t>i</w:t>
      </w:r>
      <w:r>
        <w:rPr>
          <w:lang w:val="es-ES_tradnl"/>
        </w:rPr>
        <w:t>ciamiento de los autores y la rehabilitación de las ví</w:t>
      </w:r>
      <w:r>
        <w:rPr>
          <w:lang w:val="es-ES_tradnl"/>
        </w:rPr>
        <w:t>c</w:t>
      </w:r>
      <w:r>
        <w:rPr>
          <w:lang w:val="es-ES_tradnl"/>
        </w:rPr>
        <w:t>timas. No se han facilitado cifras sobre el número de mujeres a las que se ha rehabilitado o realojado hasta la fecha. Algunas fuentes de información independientes indican que más de 5.000 familias musulmanas siguen viviendo en campamentos o asentamientos provision</w:t>
      </w:r>
      <w:r>
        <w:rPr>
          <w:lang w:val="es-ES_tradnl"/>
        </w:rPr>
        <w:t>a</w:t>
      </w:r>
      <w:r>
        <w:rPr>
          <w:lang w:val="es-ES_tradnl"/>
        </w:rPr>
        <w:t xml:space="preserve">les. </w:t>
      </w:r>
    </w:p>
    <w:p w:rsidR="00DA1033" w:rsidRDefault="00DA1033">
      <w:pPr>
        <w:pStyle w:val="DualTxt"/>
        <w:spacing w:line="240" w:lineRule="auto"/>
        <w:rPr>
          <w:lang w:val="es-ES_tradnl"/>
        </w:rPr>
      </w:pPr>
      <w:r>
        <w:rPr>
          <w:lang w:val="es-ES_tradnl"/>
        </w:rPr>
        <w:t>50.</w:t>
      </w:r>
      <w:r>
        <w:rPr>
          <w:lang w:val="es-ES_tradnl"/>
        </w:rPr>
        <w:tab/>
        <w:t>Por lo que sabe, se han denunciado ante los trib</w:t>
      </w:r>
      <w:r>
        <w:rPr>
          <w:lang w:val="es-ES_tradnl"/>
        </w:rPr>
        <w:t>u</w:t>
      </w:r>
      <w:r>
        <w:rPr>
          <w:lang w:val="es-ES_tradnl"/>
        </w:rPr>
        <w:t>nales seis casos de violación en relación con los suc</w:t>
      </w:r>
      <w:r>
        <w:rPr>
          <w:lang w:val="es-ES_tradnl"/>
        </w:rPr>
        <w:t>e</w:t>
      </w:r>
      <w:r>
        <w:rPr>
          <w:lang w:val="es-ES_tradnl"/>
        </w:rPr>
        <w:t>sos de Gujarat. Solicita información actualizada sobre la situación de esos casos y pregunta con qué obstác</w:t>
      </w:r>
      <w:r>
        <w:rPr>
          <w:lang w:val="es-ES_tradnl"/>
        </w:rPr>
        <w:t>u</w:t>
      </w:r>
      <w:r>
        <w:rPr>
          <w:lang w:val="es-ES_tradnl"/>
        </w:rPr>
        <w:t>los tropieza la administración de justicia de Gujarat y qué medidas puede tomar para eliminarlos el Gobierno central al amparo de la Constitución. Observando que el Tribunal Supremo ha ordenado que se reabran alg</w:t>
      </w:r>
      <w:r>
        <w:rPr>
          <w:lang w:val="es-ES_tradnl"/>
        </w:rPr>
        <w:t>u</w:t>
      </w:r>
      <w:r>
        <w:rPr>
          <w:lang w:val="es-ES_tradnl"/>
        </w:rPr>
        <w:t>nos casos relacionados con los incidentes de Gujarat porque se han destruido pruebas, pregunta si se ha e</w:t>
      </w:r>
      <w:r>
        <w:rPr>
          <w:lang w:val="es-ES_tradnl"/>
        </w:rPr>
        <w:t>n</w:t>
      </w:r>
      <w:r>
        <w:rPr>
          <w:lang w:val="es-ES_tradnl"/>
        </w:rPr>
        <w:t xml:space="preserve">juiciado a los responsables de los hechos y cuántos de los casos que se han reabierto están relacionados con mujeres y con delitos sexuales. </w:t>
      </w:r>
    </w:p>
    <w:p w:rsidR="00DA1033" w:rsidRDefault="00DA1033">
      <w:pPr>
        <w:pStyle w:val="DualTxt"/>
        <w:spacing w:line="240" w:lineRule="auto"/>
        <w:rPr>
          <w:lang w:val="es-ES_tradnl"/>
        </w:rPr>
      </w:pPr>
      <w:r>
        <w:rPr>
          <w:lang w:val="es-ES_tradnl"/>
        </w:rPr>
        <w:t>51.</w:t>
      </w:r>
      <w:r>
        <w:rPr>
          <w:lang w:val="es-ES_tradnl"/>
        </w:rPr>
        <w:tab/>
        <w:t>El proyecto de ley sobre violencia entre comun</w:t>
      </w:r>
      <w:r>
        <w:rPr>
          <w:lang w:val="es-ES_tradnl"/>
        </w:rPr>
        <w:t>i</w:t>
      </w:r>
      <w:r>
        <w:rPr>
          <w:lang w:val="es-ES_tradnl"/>
        </w:rPr>
        <w:t>dades parece reforzar la posición de los funcionarios públicos más que la de las víctimas, lo que resulta so</w:t>
      </w:r>
      <w:r>
        <w:rPr>
          <w:lang w:val="es-ES_tradnl"/>
        </w:rPr>
        <w:t>r</w:t>
      </w:r>
      <w:r>
        <w:rPr>
          <w:lang w:val="es-ES_tradnl"/>
        </w:rPr>
        <w:t>prendente la luz de los sucesos de Gujarat. Solicita más información sobre las mujeres y las niñas musulmanas, en particular sobre los motivos de su bajo nivel de ed</w:t>
      </w:r>
      <w:r>
        <w:rPr>
          <w:lang w:val="es-ES_tradnl"/>
        </w:rPr>
        <w:t>u</w:t>
      </w:r>
      <w:r>
        <w:rPr>
          <w:lang w:val="es-ES_tradnl"/>
        </w:rPr>
        <w:t>cación y de participación en el mercado laboral y la p</w:t>
      </w:r>
      <w:r>
        <w:rPr>
          <w:lang w:val="es-ES_tradnl"/>
        </w:rPr>
        <w:t>o</w:t>
      </w:r>
      <w:r>
        <w:rPr>
          <w:lang w:val="es-ES_tradnl"/>
        </w:rPr>
        <w:t xml:space="preserve">lítica. </w:t>
      </w:r>
      <w:r>
        <w:t>Pregunta qué se haciendo para mejorar su situ</w:t>
      </w:r>
      <w:r>
        <w:t>a</w:t>
      </w:r>
      <w:r>
        <w:t xml:space="preserve">ción. </w:t>
      </w:r>
      <w:r>
        <w:rPr>
          <w:lang w:val="es-ES_tradnl"/>
        </w:rPr>
        <w:t>Por último, pregunta si el reciente informe de la Comisión Nacional para las Minorías, en el que parece estar más presente que en otros una perspectiva de g</w:t>
      </w:r>
      <w:r>
        <w:rPr>
          <w:lang w:val="es-ES_tradnl"/>
        </w:rPr>
        <w:t>é</w:t>
      </w:r>
      <w:r>
        <w:rPr>
          <w:lang w:val="es-ES_tradnl"/>
        </w:rPr>
        <w:t xml:space="preserve">nero, se examinará en el Parlamento y qué ministerio del Gobierno central se encargará de su seguimiento. </w:t>
      </w:r>
    </w:p>
    <w:p w:rsidR="00DA1033" w:rsidRDefault="00DA1033">
      <w:pPr>
        <w:pStyle w:val="DualTxt"/>
        <w:spacing w:line="240" w:lineRule="auto"/>
      </w:pPr>
      <w:r>
        <w:rPr>
          <w:lang w:val="es-ES_tradnl"/>
        </w:rPr>
        <w:t>52.</w:t>
      </w:r>
      <w:r>
        <w:rPr>
          <w:lang w:val="es-ES_tradnl"/>
        </w:rPr>
        <w:tab/>
      </w:r>
      <w:r>
        <w:rPr>
          <w:b/>
          <w:lang w:val="es-ES_tradnl"/>
        </w:rPr>
        <w:t>La Sra. Singh</w:t>
      </w:r>
      <w:r>
        <w:rPr>
          <w:lang w:val="es-ES_tradnl"/>
        </w:rPr>
        <w:t xml:space="preserve"> (India) dice que los problemas r</w:t>
      </w:r>
      <w:r>
        <w:rPr>
          <w:lang w:val="es-ES_tradnl"/>
        </w:rPr>
        <w:t>e</w:t>
      </w:r>
      <w:r>
        <w:rPr>
          <w:lang w:val="es-ES_tradnl"/>
        </w:rPr>
        <w:t>lacionados con la violencia contra la mujer se afrontan mediante la aprobación de legislación, la aplicación de las políticas pertinentes y la prestación de servicios de asistencia, incluidos servicios de rehabilitación, form</w:t>
      </w:r>
      <w:r>
        <w:rPr>
          <w:lang w:val="es-ES_tradnl"/>
        </w:rPr>
        <w:t>a</w:t>
      </w:r>
      <w:r>
        <w:rPr>
          <w:lang w:val="es-ES_tradnl"/>
        </w:rPr>
        <w:t>ción, desarrollo de la capacidad y sensibilización. Se ha reforzado o se está reforzando la legislación vige</w:t>
      </w:r>
      <w:r>
        <w:rPr>
          <w:lang w:val="es-ES_tradnl"/>
        </w:rPr>
        <w:t>n</w:t>
      </w:r>
      <w:r>
        <w:rPr>
          <w:lang w:val="es-ES_tradnl"/>
        </w:rPr>
        <w:t xml:space="preserve">te, por ejemplo la relativa a la violación, a la selección del sexo y la práctica del sati. Sin embargo, aunque la legislación habilita al Gobierno central para actuar, el problema estriba en la aplicación sobre el terreno y en la sensibilización de los funcionarios estatales acerca de esas cuestiones. </w:t>
      </w:r>
      <w:r>
        <w:t>Por último, agradece la sugerencia de aplicar un enfoque de ciclo vital a la violencia c</w:t>
      </w:r>
      <w:r>
        <w:t>o</w:t>
      </w:r>
      <w:r>
        <w:t xml:space="preserve">ntra la mujer. </w:t>
      </w:r>
    </w:p>
    <w:p w:rsidR="00DA1033" w:rsidRDefault="00DA1033">
      <w:pPr>
        <w:pStyle w:val="DualTxt"/>
        <w:spacing w:line="240" w:lineRule="auto"/>
        <w:rPr>
          <w:lang w:val="es-ES_tradnl"/>
        </w:rPr>
      </w:pPr>
      <w:r>
        <w:rPr>
          <w:lang w:val="es-ES_tradnl"/>
        </w:rPr>
        <w:t>53.</w:t>
      </w:r>
      <w:r>
        <w:rPr>
          <w:lang w:val="es-ES_tradnl"/>
        </w:rPr>
        <w:tab/>
      </w:r>
      <w:r>
        <w:rPr>
          <w:b/>
          <w:lang w:val="es-ES_tradnl"/>
        </w:rPr>
        <w:t>El Sr. Vahnavati</w:t>
      </w:r>
      <w:r>
        <w:rPr>
          <w:lang w:val="es-ES_tradnl"/>
        </w:rPr>
        <w:t xml:space="preserve"> (India) están de acuerdo en la necesidad de adoptar una definición menos restrictiva de violación y agresión sexual, como ha reconocido la Comisión Nacional para la Mujer, que está tratando de introducir modificaciones a tal efecto en el Código P</w:t>
      </w:r>
      <w:r>
        <w:rPr>
          <w:lang w:val="es-ES_tradnl"/>
        </w:rPr>
        <w:t>e</w:t>
      </w:r>
      <w:r>
        <w:rPr>
          <w:lang w:val="es-ES_tradnl"/>
        </w:rPr>
        <w:t>nal de la India. Por lo que se refiere a la calidad de la asistencia letrada que se facilita a las víctimas, aunque cabe el riesgo de que se contrate para ello a abogados sin trabajo, en la India hay varios abogados de gran r</w:t>
      </w:r>
      <w:r>
        <w:rPr>
          <w:lang w:val="es-ES_tradnl"/>
        </w:rPr>
        <w:t>e</w:t>
      </w:r>
      <w:r>
        <w:rPr>
          <w:lang w:val="es-ES_tradnl"/>
        </w:rPr>
        <w:t xml:space="preserve">nombre que se dedican a la cuestión de la mujer y que ofrecen gratuitamente sus servicios, además de los </w:t>
      </w:r>
      <w:r>
        <w:rPr>
          <w:i/>
          <w:lang w:val="es-ES_tradnl"/>
        </w:rPr>
        <w:t>amici curiae</w:t>
      </w:r>
      <w:r>
        <w:rPr>
          <w:lang w:val="es-ES_tradnl"/>
        </w:rPr>
        <w:t xml:space="preserve"> a los que con frecuencia recurren los tr</w:t>
      </w:r>
      <w:r>
        <w:rPr>
          <w:lang w:val="es-ES_tradnl"/>
        </w:rPr>
        <w:t>i</w:t>
      </w:r>
      <w:r>
        <w:rPr>
          <w:lang w:val="es-ES_tradnl"/>
        </w:rPr>
        <w:t xml:space="preserve">bunales. </w:t>
      </w:r>
    </w:p>
    <w:p w:rsidR="00DA1033" w:rsidRDefault="00DA1033">
      <w:pPr>
        <w:pStyle w:val="DualTxt"/>
        <w:spacing w:line="240" w:lineRule="auto"/>
        <w:rPr>
          <w:lang w:val="es-ES_tradnl"/>
        </w:rPr>
      </w:pPr>
      <w:r>
        <w:rPr>
          <w:lang w:val="es-ES_tradnl"/>
        </w:rPr>
        <w:t>54.</w:t>
      </w:r>
      <w:r>
        <w:rPr>
          <w:lang w:val="es-ES_tradnl"/>
        </w:rPr>
        <w:tab/>
        <w:t>Los sucesos de Gujarat nunca tendrían que haber ocurrido; son una aberración y un motivo de vergüe</w:t>
      </w:r>
      <w:r>
        <w:rPr>
          <w:lang w:val="es-ES_tradnl"/>
        </w:rPr>
        <w:t>n</w:t>
      </w:r>
      <w:r>
        <w:rPr>
          <w:lang w:val="es-ES_tradnl"/>
        </w:rPr>
        <w:t>za. Encomia a las organizaciones no gubernamentales y a los medios de comunicación que, con considerable sacrificio y riesgo personal, se han esforzado por sacar a la luz pública las injusticias cometidas. En el caso Best Bakery se presentó un recurso ante el Tribunal Superior contra la sentencia absolutoria original; como la apelación se rechazó, se  presentó un recurso de ú</w:t>
      </w:r>
      <w:r>
        <w:rPr>
          <w:lang w:val="es-ES_tradnl"/>
        </w:rPr>
        <w:t>l</w:t>
      </w:r>
      <w:r>
        <w:rPr>
          <w:lang w:val="es-ES_tradnl"/>
        </w:rPr>
        <w:t>tima instancia ante el Tribunal Supremo, de conform</w:t>
      </w:r>
      <w:r>
        <w:rPr>
          <w:lang w:val="es-ES_tradnl"/>
        </w:rPr>
        <w:t>i</w:t>
      </w:r>
      <w:r>
        <w:rPr>
          <w:lang w:val="es-ES_tradnl"/>
        </w:rPr>
        <w:t>dad con el artículo 32 de la Constitución. Ese Tribunal, reconociendo los obstáculos con los que se enfrenta la administración de justicia en Gujarat, ordenó que el c</w:t>
      </w:r>
      <w:r>
        <w:rPr>
          <w:lang w:val="es-ES_tradnl"/>
        </w:rPr>
        <w:t>a</w:t>
      </w:r>
      <w:r>
        <w:rPr>
          <w:lang w:val="es-ES_tradnl"/>
        </w:rPr>
        <w:t xml:space="preserve">so se trasladara al estado vecino de Maharashtra. </w:t>
      </w:r>
    </w:p>
    <w:p w:rsidR="00DA1033" w:rsidRDefault="00DA1033">
      <w:pPr>
        <w:pStyle w:val="DualTxt"/>
        <w:spacing w:line="240" w:lineRule="auto"/>
        <w:rPr>
          <w:lang w:val="es-ES_tradnl"/>
        </w:rPr>
      </w:pPr>
      <w:r>
        <w:rPr>
          <w:lang w:val="es-ES_tradnl"/>
        </w:rPr>
        <w:t>55.</w:t>
      </w:r>
      <w:r>
        <w:rPr>
          <w:lang w:val="es-ES_tradnl"/>
        </w:rPr>
        <w:tab/>
        <w:t>También reabrió más de 2.000 casos que se hab</w:t>
      </w:r>
      <w:r>
        <w:rPr>
          <w:lang w:val="es-ES_tradnl"/>
        </w:rPr>
        <w:t>í</w:t>
      </w:r>
      <w:r>
        <w:rPr>
          <w:lang w:val="es-ES_tradnl"/>
        </w:rPr>
        <w:t>an cerrado por no encontrar a los culpables; una vez reabiertos, los casos se asignaron a un juez de distrito; algunos de ellos, como el caso de violación de Bilkis Bano, se remitieron a la Oficina Central de Investig</w:t>
      </w:r>
      <w:r>
        <w:rPr>
          <w:lang w:val="es-ES_tradnl"/>
        </w:rPr>
        <w:t>a</w:t>
      </w:r>
      <w:r>
        <w:rPr>
          <w:lang w:val="es-ES_tradnl"/>
        </w:rPr>
        <w:t>ción. En la India se plantea el problema constitucional de que la ley y el orden son responsabilidad de los di</w:t>
      </w:r>
      <w:r>
        <w:rPr>
          <w:lang w:val="es-ES_tradnl"/>
        </w:rPr>
        <w:t>s</w:t>
      </w:r>
      <w:r>
        <w:rPr>
          <w:lang w:val="es-ES_tradnl"/>
        </w:rPr>
        <w:t>tintos estados y de las policías estatales, y no del G</w:t>
      </w:r>
      <w:r>
        <w:rPr>
          <w:lang w:val="es-ES_tradnl"/>
        </w:rPr>
        <w:t>o</w:t>
      </w:r>
      <w:r>
        <w:rPr>
          <w:lang w:val="es-ES_tradnl"/>
        </w:rPr>
        <w:t>bierno central; esa es la esencia del federalismo. Sin embargo, el Tribunal Supremo también ha podido tra</w:t>
      </w:r>
      <w:r>
        <w:rPr>
          <w:lang w:val="es-ES_tradnl"/>
        </w:rPr>
        <w:t>s</w:t>
      </w:r>
      <w:r>
        <w:rPr>
          <w:lang w:val="es-ES_tradnl"/>
        </w:rPr>
        <w:t xml:space="preserve">ladar el caso de Bilkis Bano de Gujarat a Maharashtra y en febrero de 2007 estudiará otros casos relacionados con los incidentes de Gujarat con la ayuda de los </w:t>
      </w:r>
      <w:r>
        <w:rPr>
          <w:i/>
          <w:lang w:val="es-ES_tradnl"/>
        </w:rPr>
        <w:t>amici curiae</w:t>
      </w:r>
      <w:r>
        <w:rPr>
          <w:lang w:val="es-ES_tradnl"/>
        </w:rPr>
        <w:t xml:space="preserve"> a fin de determinar qué otras medidas se pueden adoptar. En virtud del artículo 355 de la Constitución, el Gobierno está habilitado para ofrecer a los estados la asistencia de la Unión en caso de disturbios internos, pero es preciso actuar con prudencia. </w:t>
      </w:r>
    </w:p>
    <w:p w:rsidR="00DA1033" w:rsidRDefault="00DA1033">
      <w:pPr>
        <w:pStyle w:val="DualTxt"/>
        <w:spacing w:line="240" w:lineRule="auto"/>
      </w:pPr>
      <w:r>
        <w:rPr>
          <w:lang w:val="es-ES_tradnl"/>
        </w:rPr>
        <w:t>56.</w:t>
      </w:r>
      <w:r>
        <w:rPr>
          <w:lang w:val="es-ES_tradnl"/>
        </w:rPr>
        <w:tab/>
      </w:r>
      <w:r>
        <w:rPr>
          <w:b/>
          <w:lang w:val="es-ES_tradnl"/>
        </w:rPr>
        <w:t>La Sra. Singh</w:t>
      </w:r>
      <w:r>
        <w:rPr>
          <w:lang w:val="es-ES_tradnl"/>
        </w:rPr>
        <w:t xml:space="preserve"> (India) dice que el 11º plan qui</w:t>
      </w:r>
      <w:r>
        <w:rPr>
          <w:lang w:val="es-ES_tradnl"/>
        </w:rPr>
        <w:t>n</w:t>
      </w:r>
      <w:r>
        <w:rPr>
          <w:lang w:val="es-ES_tradnl"/>
        </w:rPr>
        <w:t>quenal (2007-2012) comprende un conjunto de med</w:t>
      </w:r>
      <w:r>
        <w:rPr>
          <w:lang w:val="es-ES_tradnl"/>
        </w:rPr>
        <w:t>i</w:t>
      </w:r>
      <w:r>
        <w:rPr>
          <w:lang w:val="es-ES_tradnl"/>
        </w:rPr>
        <w:t>das de asistencia y rehabilitación para las víctimas de violaciones. Por lo que respecta a la cuestión de las d</w:t>
      </w:r>
      <w:r>
        <w:rPr>
          <w:lang w:val="es-ES_tradnl"/>
        </w:rPr>
        <w:t>e</w:t>
      </w:r>
      <w:r>
        <w:rPr>
          <w:lang w:val="es-ES_tradnl"/>
        </w:rPr>
        <w:t xml:space="preserve">finiciones, dice que éstas se mejorarán en el marco de la nueva legislación. </w:t>
      </w:r>
    </w:p>
    <w:p w:rsidR="00DA1033" w:rsidRDefault="00DA1033">
      <w:pPr>
        <w:pStyle w:val="DualTxt"/>
        <w:spacing w:after="0" w:line="120" w:lineRule="exact"/>
        <w:rPr>
          <w:sz w:val="10"/>
        </w:rPr>
      </w:pPr>
    </w:p>
    <w:p w:rsidR="00DA1033" w:rsidRDefault="00DA1033">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Artículos 7 a 9</w:t>
      </w:r>
    </w:p>
    <w:p w:rsidR="00DA1033" w:rsidRDefault="00DA1033">
      <w:pPr>
        <w:pStyle w:val="DualTxt"/>
        <w:keepNext/>
        <w:spacing w:after="0" w:line="120" w:lineRule="exact"/>
        <w:rPr>
          <w:sz w:val="10"/>
          <w:lang w:val="es-ES_tradnl"/>
        </w:rPr>
      </w:pPr>
    </w:p>
    <w:p w:rsidR="00DA1033" w:rsidRDefault="00DA1033">
      <w:pPr>
        <w:pStyle w:val="DualTxt"/>
        <w:keepNext/>
        <w:spacing w:line="240" w:lineRule="auto"/>
        <w:rPr>
          <w:lang w:val="es-ES_tradnl"/>
        </w:rPr>
      </w:pPr>
      <w:r>
        <w:rPr>
          <w:lang w:val="es-ES_tradnl"/>
        </w:rPr>
        <w:t>57.</w:t>
      </w:r>
      <w:r>
        <w:rPr>
          <w:lang w:val="es-ES_tradnl"/>
        </w:rPr>
        <w:tab/>
      </w:r>
      <w:r>
        <w:rPr>
          <w:b/>
          <w:lang w:val="es-ES_tradnl"/>
        </w:rPr>
        <w:t>La Sra. Coker-Appiah</w:t>
      </w:r>
      <w:r>
        <w:rPr>
          <w:lang w:val="es-ES_tradnl"/>
        </w:rPr>
        <w:t xml:space="preserve"> toma nota de que el Pr</w:t>
      </w:r>
      <w:r>
        <w:rPr>
          <w:lang w:val="es-ES_tradnl"/>
        </w:rPr>
        <w:t>i</w:t>
      </w:r>
      <w:r>
        <w:rPr>
          <w:lang w:val="es-ES_tradnl"/>
        </w:rPr>
        <w:t>mer Ministro se reunió con los dirigentes de los part</w:t>
      </w:r>
      <w:r>
        <w:rPr>
          <w:lang w:val="es-ES_tradnl"/>
        </w:rPr>
        <w:t>i</w:t>
      </w:r>
      <w:r>
        <w:rPr>
          <w:lang w:val="es-ES_tradnl"/>
        </w:rPr>
        <w:t>dos a fin de recabar su apoyo a las enmiendas de la Constitución por las que se reservaría a las mujeres un mínimo de un tercio de los escaños del Parlamento y de las cámaras legislativas de los estados. Desea saber si se ha podido lograr el consenso y, en tal caso, cuál es el plazo previsto para introducir esos cambios. Asimismo, pregunta si se han tomado en la práctica las medidas de acción afirmativa a las que se hacía referencia en las respuestas (CEDAW/C/IND/Q/3 Add.1, pág. 20 de la versión inglesa), cuya necesidad se reconocía para g</w:t>
      </w:r>
      <w:r>
        <w:rPr>
          <w:lang w:val="es-ES_tradnl"/>
        </w:rPr>
        <w:t>a</w:t>
      </w:r>
      <w:r>
        <w:rPr>
          <w:lang w:val="es-ES_tradnl"/>
        </w:rPr>
        <w:t>rantizar a las mujeres un cupo de al menos el 30% en el sector público de los servicios. El Comité agradecería información sobre esas medidas y sobre sus resultados, sobre la base de la evaluación de mitad del periodo. Desearía, en particular, que se le indicara el número de mujeres que han ascendido y en qué sectores, desgl</w:t>
      </w:r>
      <w:r>
        <w:rPr>
          <w:lang w:val="es-ES_tradnl"/>
        </w:rPr>
        <w:t>o</w:t>
      </w:r>
      <w:r>
        <w:rPr>
          <w:lang w:val="es-ES_tradnl"/>
        </w:rPr>
        <w:t xml:space="preserve">sado por minorías. </w:t>
      </w:r>
    </w:p>
    <w:p w:rsidR="00DA1033" w:rsidRDefault="00DA1033">
      <w:pPr>
        <w:pStyle w:val="DualTxt"/>
        <w:spacing w:line="240" w:lineRule="auto"/>
        <w:rPr>
          <w:lang w:val="es-ES_tradnl"/>
        </w:rPr>
      </w:pPr>
      <w:r>
        <w:rPr>
          <w:lang w:val="es-ES_tradnl"/>
        </w:rPr>
        <w:t>58.</w:t>
      </w:r>
      <w:r>
        <w:rPr>
          <w:lang w:val="es-ES_tradnl"/>
        </w:rPr>
        <w:tab/>
      </w:r>
      <w:r>
        <w:rPr>
          <w:b/>
          <w:lang w:val="es-ES_tradnl"/>
        </w:rPr>
        <w:t>La Sra. Singh</w:t>
      </w:r>
      <w:r>
        <w:rPr>
          <w:lang w:val="es-ES_tradnl"/>
        </w:rPr>
        <w:t xml:space="preserve"> (India) dice que, aunque el G</w:t>
      </w:r>
      <w:r>
        <w:rPr>
          <w:lang w:val="es-ES_tradnl"/>
        </w:rPr>
        <w:t>o</w:t>
      </w:r>
      <w:r>
        <w:rPr>
          <w:lang w:val="es-ES_tradnl"/>
        </w:rPr>
        <w:t>bierno se ha comprometido a reservar a las mujeres esos escaños en el Parlamento y en las cámaras legisl</w:t>
      </w:r>
      <w:r>
        <w:rPr>
          <w:lang w:val="es-ES_tradnl"/>
        </w:rPr>
        <w:t>a</w:t>
      </w:r>
      <w:r>
        <w:rPr>
          <w:lang w:val="es-ES_tradnl"/>
        </w:rPr>
        <w:t>tivas de los estados, en la reunión que celebró el Pr</w:t>
      </w:r>
      <w:r>
        <w:rPr>
          <w:lang w:val="es-ES_tradnl"/>
        </w:rPr>
        <w:t>i</w:t>
      </w:r>
      <w:r>
        <w:rPr>
          <w:lang w:val="es-ES_tradnl"/>
        </w:rPr>
        <w:t>mer Ministro no se pudo llegar a un acuerdo. Por lo tanto, no está en condiciones de indicar el plazo previ</w:t>
      </w:r>
      <w:r>
        <w:rPr>
          <w:lang w:val="es-ES_tradnl"/>
        </w:rPr>
        <w:t>s</w:t>
      </w:r>
      <w:r>
        <w:rPr>
          <w:lang w:val="es-ES_tradnl"/>
        </w:rPr>
        <w:t>to, pero el Gobierno se propone introducir lo antes p</w:t>
      </w:r>
      <w:r>
        <w:rPr>
          <w:lang w:val="es-ES_tradnl"/>
        </w:rPr>
        <w:t>o</w:t>
      </w:r>
      <w:r>
        <w:rPr>
          <w:lang w:val="es-ES_tradnl"/>
        </w:rPr>
        <w:t>sible las modificaciones legislativas necesarias. Au</w:t>
      </w:r>
      <w:r>
        <w:rPr>
          <w:lang w:val="es-ES_tradnl"/>
        </w:rPr>
        <w:t>n</w:t>
      </w:r>
      <w:r>
        <w:rPr>
          <w:lang w:val="es-ES_tradnl"/>
        </w:rPr>
        <w:t xml:space="preserve">que no dispone de cifras sobre la representación actual de las mujeres en el sector público, según el informe al que se ha hecho referencia sobre las mujeres y los hombres en la India, la proporción general de mujeres en los órganos locales y estatales ha pasado de 11% en 1981 a 18% en 2002. </w:t>
      </w:r>
    </w:p>
    <w:p w:rsidR="00DA1033" w:rsidRDefault="00DA1033">
      <w:pPr>
        <w:pStyle w:val="DualTxt"/>
        <w:spacing w:line="240" w:lineRule="auto"/>
        <w:rPr>
          <w:lang w:val="es-ES_tradnl"/>
        </w:rPr>
      </w:pPr>
      <w:r>
        <w:rPr>
          <w:lang w:val="es-ES_tradnl"/>
        </w:rPr>
        <w:t>59.</w:t>
      </w:r>
      <w:r>
        <w:rPr>
          <w:lang w:val="es-ES_tradnl"/>
        </w:rPr>
        <w:tab/>
      </w:r>
      <w:r>
        <w:rPr>
          <w:b/>
          <w:lang w:val="es-ES_tradnl"/>
        </w:rPr>
        <w:t>El Sr. A. K. Srivastava</w:t>
      </w:r>
      <w:r>
        <w:rPr>
          <w:lang w:val="es-ES_tradnl"/>
        </w:rPr>
        <w:t xml:space="preserve"> (India) dice que resulta difícil hablar de la participación de las mujeres en el mercado laboral de la India porque el 93% del empleo corresponde al sector no estructurado. En el sector e</w:t>
      </w:r>
      <w:r>
        <w:rPr>
          <w:lang w:val="es-ES_tradnl"/>
        </w:rPr>
        <w:t>s</w:t>
      </w:r>
      <w:r>
        <w:rPr>
          <w:lang w:val="es-ES_tradnl"/>
        </w:rPr>
        <w:t>tructurado, aunque la situación sigue siendo insatisfa</w:t>
      </w:r>
      <w:r>
        <w:rPr>
          <w:lang w:val="es-ES_tradnl"/>
        </w:rPr>
        <w:t>c</w:t>
      </w:r>
      <w:r>
        <w:rPr>
          <w:lang w:val="es-ES_tradnl"/>
        </w:rPr>
        <w:t>toria, la tendencia es positiva: la proporción de mujeres ha pasado del 21,6% en 1983 al 25,9% en 1999, y al 27,4% en 2004. Cita un informe de la Organización de las Naciones Unidas para la Agricultura y la Aliment</w:t>
      </w:r>
      <w:r>
        <w:rPr>
          <w:lang w:val="es-ES_tradnl"/>
        </w:rPr>
        <w:t>a</w:t>
      </w:r>
      <w:r>
        <w:rPr>
          <w:lang w:val="es-ES_tradnl"/>
        </w:rPr>
        <w:t xml:space="preserve">ción (FAO) según el cual en la India la participación de las mujeres en el mercado laboral es del 33%. </w:t>
      </w:r>
    </w:p>
    <w:p w:rsidR="00DA1033" w:rsidRDefault="00DA1033">
      <w:pPr>
        <w:pStyle w:val="DualTxt"/>
        <w:spacing w:line="240" w:lineRule="auto"/>
        <w:rPr>
          <w:lang w:val="es-ES_tradnl"/>
        </w:rPr>
      </w:pPr>
      <w:r>
        <w:rPr>
          <w:lang w:val="es-ES_tradnl"/>
        </w:rPr>
        <w:t>60.</w:t>
      </w:r>
      <w:r>
        <w:rPr>
          <w:lang w:val="es-ES_tradnl"/>
        </w:rPr>
        <w:tab/>
      </w:r>
      <w:r>
        <w:rPr>
          <w:b/>
          <w:lang w:val="es-ES_tradnl"/>
        </w:rPr>
        <w:t>La Sra. Schöpp-Schilling</w:t>
      </w:r>
      <w:r>
        <w:rPr>
          <w:lang w:val="es-ES_tradnl"/>
        </w:rPr>
        <w:t xml:space="preserve"> lamenta de que no se hayan explicado los retrasos en la preparación de los informes. Los informes combinados que se están ex</w:t>
      </w:r>
      <w:r>
        <w:rPr>
          <w:lang w:val="es-ES_tradnl"/>
        </w:rPr>
        <w:t>a</w:t>
      </w:r>
      <w:r>
        <w:rPr>
          <w:lang w:val="es-ES_tradnl"/>
        </w:rPr>
        <w:t>minando son sólo los segundos presentados desde la r</w:t>
      </w:r>
      <w:r>
        <w:rPr>
          <w:lang w:val="es-ES_tradnl"/>
        </w:rPr>
        <w:t>a</w:t>
      </w:r>
      <w:r>
        <w:rPr>
          <w:lang w:val="es-ES_tradnl"/>
        </w:rPr>
        <w:t>tificación en 1993. Insiste en este punto no por afán de crítica sino por si se puede prestar algún tipo de asi</w:t>
      </w:r>
      <w:r>
        <w:rPr>
          <w:lang w:val="es-ES_tradnl"/>
        </w:rPr>
        <w:t>s</w:t>
      </w:r>
      <w:r>
        <w:rPr>
          <w:lang w:val="es-ES_tradnl"/>
        </w:rPr>
        <w:t>tencia al respecto. Todos los Estados tienen las mismas obligaciones en materia de presentación de informes, tanto si se trata de pequeñas islas como de federaciones grandes y complejas, como la India, a fin de que el Comité pueda desempeñar adecuadamente su función de supervisión respecto de todos los Estados partes. En lo referente al Protocolo Facultativo, teme que haya un malentendido: el Protocolo no socava la independencia del poder judicial de los países, sino que tiene por o</w:t>
      </w:r>
      <w:r>
        <w:rPr>
          <w:lang w:val="es-ES_tradnl"/>
        </w:rPr>
        <w:t>b</w:t>
      </w:r>
      <w:r>
        <w:rPr>
          <w:lang w:val="es-ES_tradnl"/>
        </w:rPr>
        <w:t>jeto mejorar la aplicación de la Convención por medio de un procedimiento de comunicación y un proced</w:t>
      </w:r>
      <w:r>
        <w:rPr>
          <w:lang w:val="es-ES_tradnl"/>
        </w:rPr>
        <w:t>i</w:t>
      </w:r>
      <w:r>
        <w:rPr>
          <w:lang w:val="es-ES_tradnl"/>
        </w:rPr>
        <w:t>miento de investigación. No comprende por qué la I</w:t>
      </w:r>
      <w:r>
        <w:rPr>
          <w:lang w:val="es-ES_tradnl"/>
        </w:rPr>
        <w:t>n</w:t>
      </w:r>
      <w:r>
        <w:rPr>
          <w:lang w:val="es-ES_tradnl"/>
        </w:rPr>
        <w:t>dia no desea dotarse de ese útil instrumento. También lamenta de que la India no haya reconocido oficialme</w:t>
      </w:r>
      <w:r>
        <w:rPr>
          <w:lang w:val="es-ES_tradnl"/>
        </w:rPr>
        <w:t>n</w:t>
      </w:r>
      <w:r>
        <w:rPr>
          <w:lang w:val="es-ES_tradnl"/>
        </w:rPr>
        <w:t>te el carácter discriminatorio del desastre de Gujarat. El Gobierno debe reconocer los casos en los que se atenta específicamente contra las mujeres y se las ma</w:t>
      </w:r>
      <w:r>
        <w:rPr>
          <w:lang w:val="es-ES_tradnl"/>
        </w:rPr>
        <w:t>l</w:t>
      </w:r>
      <w:r>
        <w:rPr>
          <w:lang w:val="es-ES_tradnl"/>
        </w:rPr>
        <w:t xml:space="preserve">trata para avergonzar y destruir a una comunidad. </w:t>
      </w:r>
    </w:p>
    <w:p w:rsidR="00DA1033" w:rsidRDefault="00DA1033">
      <w:pPr>
        <w:pStyle w:val="DualTxt"/>
        <w:spacing w:line="240" w:lineRule="auto"/>
      </w:pPr>
      <w:r>
        <w:rPr>
          <w:lang w:val="es-ES_tradnl"/>
        </w:rPr>
        <w:t>61.</w:t>
      </w:r>
      <w:r>
        <w:rPr>
          <w:lang w:val="es-ES_tradnl"/>
        </w:rPr>
        <w:tab/>
      </w:r>
      <w:r>
        <w:rPr>
          <w:b/>
          <w:lang w:val="es-ES_tradnl"/>
        </w:rPr>
        <w:t>El Sr. Flinterman</w:t>
      </w:r>
      <w:r>
        <w:rPr>
          <w:lang w:val="es-ES_tradnl"/>
        </w:rPr>
        <w:t xml:space="preserve"> dice que, aunque todos los E</w:t>
      </w:r>
      <w:r>
        <w:rPr>
          <w:lang w:val="es-ES_tradnl"/>
        </w:rPr>
        <w:t>s</w:t>
      </w:r>
      <w:r>
        <w:rPr>
          <w:lang w:val="es-ES_tradnl"/>
        </w:rPr>
        <w:t>tados tienen el derecho soberano de no adherirse al Protocolo Facultativo, muchos países democráticos c</w:t>
      </w:r>
      <w:r>
        <w:rPr>
          <w:lang w:val="es-ES_tradnl"/>
        </w:rPr>
        <w:t>a</w:t>
      </w:r>
      <w:r>
        <w:rPr>
          <w:lang w:val="es-ES_tradnl"/>
        </w:rPr>
        <w:t>racterizados por el imperio de la ley lo han ratificado por entender que proporciona protección complement</w:t>
      </w:r>
      <w:r>
        <w:rPr>
          <w:lang w:val="es-ES_tradnl"/>
        </w:rPr>
        <w:t>a</w:t>
      </w:r>
      <w:r>
        <w:rPr>
          <w:lang w:val="es-ES_tradnl"/>
        </w:rPr>
        <w:t>ria. Pregunta si los grupos más vulnerables pueden a</w:t>
      </w:r>
      <w:r>
        <w:rPr>
          <w:lang w:val="es-ES_tradnl"/>
        </w:rPr>
        <w:t>c</w:t>
      </w:r>
      <w:r>
        <w:rPr>
          <w:lang w:val="es-ES_tradnl"/>
        </w:rPr>
        <w:t>ceder fácilmente a servicios de asistencia letrada. De la información sobre la violencia contra las mujeres dalit y sobre la existencia de una cultura de impunidad de los autores se desprende que es preciso adoptar med</w:t>
      </w:r>
      <w:r>
        <w:rPr>
          <w:lang w:val="es-ES_tradnl"/>
        </w:rPr>
        <w:t>i</w:t>
      </w:r>
      <w:r>
        <w:rPr>
          <w:lang w:val="es-ES_tradnl"/>
        </w:rPr>
        <w:t>das de gran alcance para mejorar la administración de justicia en la India, en particular facilitando asistencia letrada. Agradece la actuación de la India respecto de los solicitantes de asilo y los refugiados. Sin embargo, esas personas, especialmente las mujeres, seguirán siendo sumamente vulnerables mientras la India no r</w:t>
      </w:r>
      <w:r>
        <w:rPr>
          <w:lang w:val="es-ES_tradnl"/>
        </w:rPr>
        <w:t>a</w:t>
      </w:r>
      <w:r>
        <w:rPr>
          <w:lang w:val="es-ES_tradnl"/>
        </w:rPr>
        <w:t xml:space="preserve">tifique las convenciones internacionales pertinentes. </w:t>
      </w:r>
      <w:r>
        <w:t xml:space="preserve">Pregunta si el Gobierno tiene intención de hacerlo. </w:t>
      </w:r>
    </w:p>
    <w:p w:rsidR="00DA1033" w:rsidRDefault="00DA1033">
      <w:pPr>
        <w:pStyle w:val="DualTxt"/>
        <w:spacing w:line="240" w:lineRule="auto"/>
        <w:rPr>
          <w:lang w:val="es-ES_tradnl"/>
        </w:rPr>
      </w:pPr>
      <w:r>
        <w:rPr>
          <w:lang w:val="es-ES_tradnl"/>
        </w:rPr>
        <w:t>62.</w:t>
      </w:r>
      <w:r>
        <w:rPr>
          <w:lang w:val="es-ES_tradnl"/>
        </w:rPr>
        <w:tab/>
      </w:r>
      <w:r>
        <w:rPr>
          <w:b/>
          <w:lang w:val="es-ES_tradnl"/>
        </w:rPr>
        <w:t>La Sra. Dairiam</w:t>
      </w:r>
      <w:r>
        <w:rPr>
          <w:lang w:val="es-ES_tradnl"/>
        </w:rPr>
        <w:t xml:space="preserve"> se pregunta si el empoder</w:t>
      </w:r>
      <w:r>
        <w:rPr>
          <w:lang w:val="es-ES_tradnl"/>
        </w:rPr>
        <w:t>a</w:t>
      </w:r>
      <w:r>
        <w:rPr>
          <w:lang w:val="es-ES_tradnl"/>
        </w:rPr>
        <w:t>miento de la mujer es el mejor medio de asegurarle la igualdad de trato. Habida cuenta de que la Constitución garantiza la igualdad entre los sexos, pregunta cómo puede el Gobierno conciliar ese principio con su neg</w:t>
      </w:r>
      <w:r>
        <w:rPr>
          <w:lang w:val="es-ES_tradnl"/>
        </w:rPr>
        <w:t>a</w:t>
      </w:r>
      <w:r>
        <w:rPr>
          <w:lang w:val="es-ES_tradnl"/>
        </w:rPr>
        <w:t>tiva a tomar las medidas necesarias para alcanzar ese objetivo en todos los sectores. Aunque el proyecto de ley sobre violencia entre comunidades refuerza los p</w:t>
      </w:r>
      <w:r>
        <w:rPr>
          <w:lang w:val="es-ES_tradnl"/>
        </w:rPr>
        <w:t>o</w:t>
      </w:r>
      <w:r>
        <w:rPr>
          <w:lang w:val="es-ES_tradnl"/>
        </w:rPr>
        <w:t>deres de los estados, no parece sancionar a los funci</w:t>
      </w:r>
      <w:r>
        <w:rPr>
          <w:lang w:val="es-ES_tradnl"/>
        </w:rPr>
        <w:t>o</w:t>
      </w:r>
      <w:r>
        <w:rPr>
          <w:lang w:val="es-ES_tradnl"/>
        </w:rPr>
        <w:t>narios públicos por la comisión de delitos o por om</w:t>
      </w:r>
      <w:r>
        <w:rPr>
          <w:lang w:val="es-ES_tradnl"/>
        </w:rPr>
        <w:t>i</w:t>
      </w:r>
      <w:r>
        <w:rPr>
          <w:lang w:val="es-ES_tradnl"/>
        </w:rPr>
        <w:t>sión. A ese respecto, se refiere a la destrucción de pruebas por parte de los agentes de policía en algunos casos relacionados con los sucesos de Gujarat. En cuanto a la definición de los delitos violentos contra la mujer, habida cuenta de que las autoridades han tard</w:t>
      </w:r>
      <w:r>
        <w:rPr>
          <w:lang w:val="es-ES_tradnl"/>
        </w:rPr>
        <w:t>a</w:t>
      </w:r>
      <w:r>
        <w:rPr>
          <w:lang w:val="es-ES_tradnl"/>
        </w:rPr>
        <w:t xml:space="preserve">do 20 años en reconocer que existe un problema a ese respecto en el Tribunal Penal, no se puede confiar en que ese mismo Tribunal se ocupe debidamente de esos delitos; es preciso que el Gobierno intervenga. </w:t>
      </w:r>
    </w:p>
    <w:p w:rsidR="00DA1033" w:rsidRDefault="00DA1033">
      <w:pPr>
        <w:pStyle w:val="DualTxt"/>
        <w:spacing w:line="240" w:lineRule="auto"/>
        <w:rPr>
          <w:lang w:val="es-ES_tradnl"/>
        </w:rPr>
      </w:pPr>
      <w:r>
        <w:rPr>
          <w:lang w:val="es-ES_tradnl"/>
        </w:rPr>
        <w:t>63.</w:t>
      </w:r>
      <w:r>
        <w:rPr>
          <w:lang w:val="es-ES_tradnl"/>
        </w:rPr>
        <w:tab/>
      </w:r>
      <w:r>
        <w:rPr>
          <w:b/>
          <w:lang w:val="es-ES_tradnl"/>
        </w:rPr>
        <w:t>La Sra. Shin</w:t>
      </w:r>
      <w:r>
        <w:rPr>
          <w:lang w:val="es-ES_tradnl"/>
        </w:rPr>
        <w:t xml:space="preserve"> desea saber si el 11º plan quinqu</w:t>
      </w:r>
      <w:r>
        <w:rPr>
          <w:lang w:val="es-ES_tradnl"/>
        </w:rPr>
        <w:t>e</w:t>
      </w:r>
      <w:r>
        <w:rPr>
          <w:lang w:val="es-ES_tradnl"/>
        </w:rPr>
        <w:t xml:space="preserve">nal contiene alguna disposición sobre el enjuiciamiento de los autores de delitos sexuales contra las mujeres, que es un elemento importante de la rehabilitación de las víctimas. También desea saber cuántos de los más de  2.000 casos que se han reabierto la relación con los disturbios de Gujarat se refieren a mujeres víctimas de asesinatos o agresiones sexuales. </w:t>
      </w:r>
    </w:p>
    <w:p w:rsidR="00DA1033" w:rsidRDefault="00DA1033">
      <w:pPr>
        <w:pStyle w:val="DualTxt"/>
        <w:spacing w:line="240" w:lineRule="auto"/>
      </w:pPr>
      <w:r>
        <w:rPr>
          <w:lang w:val="es-ES_tradnl"/>
        </w:rPr>
        <w:t>64.</w:t>
      </w:r>
      <w:r>
        <w:rPr>
          <w:lang w:val="es-ES_tradnl"/>
        </w:rPr>
        <w:tab/>
      </w:r>
      <w:r>
        <w:rPr>
          <w:b/>
          <w:lang w:val="es-ES_tradnl"/>
        </w:rPr>
        <w:t>La Sra. Simms</w:t>
      </w:r>
      <w:r>
        <w:rPr>
          <w:lang w:val="es-ES_tradnl"/>
        </w:rPr>
        <w:t xml:space="preserve"> es consciente de que en la India el sector estructurado es relativamente pequeño, pero observa que el Gobierno es un empleador importante y debe dar ejemplo. Insta a que se adopten medidas te</w:t>
      </w:r>
      <w:r>
        <w:rPr>
          <w:lang w:val="es-ES_tradnl"/>
        </w:rPr>
        <w:t>m</w:t>
      </w:r>
      <w:r>
        <w:rPr>
          <w:lang w:val="es-ES_tradnl"/>
        </w:rPr>
        <w:t>porales especiales, de conformidad con el artículo 4 de la Convención, en las que se subraye que la meritocr</w:t>
      </w:r>
      <w:r>
        <w:rPr>
          <w:lang w:val="es-ES_tradnl"/>
        </w:rPr>
        <w:t>a</w:t>
      </w:r>
      <w:r>
        <w:rPr>
          <w:lang w:val="es-ES_tradnl"/>
        </w:rPr>
        <w:t>cia no debe basarse en la casta ni en el sexo sino en la capacidad intelectual: cuando se les ofrece la oportun</w:t>
      </w:r>
      <w:r>
        <w:rPr>
          <w:lang w:val="es-ES_tradnl"/>
        </w:rPr>
        <w:t>i</w:t>
      </w:r>
      <w:r>
        <w:rPr>
          <w:lang w:val="es-ES_tradnl"/>
        </w:rPr>
        <w:t>dad, las mujeres siempre superan a los hombres en la enseñanza superior. Agradece la presencia en la del</w:t>
      </w:r>
      <w:r>
        <w:rPr>
          <w:lang w:val="es-ES_tradnl"/>
        </w:rPr>
        <w:t>e</w:t>
      </w:r>
      <w:r>
        <w:rPr>
          <w:lang w:val="es-ES_tradnl"/>
        </w:rPr>
        <w:t>gación del Fiscal General de la India, pues es fund</w:t>
      </w:r>
      <w:r>
        <w:rPr>
          <w:lang w:val="es-ES_tradnl"/>
        </w:rPr>
        <w:t>a</w:t>
      </w:r>
      <w:r>
        <w:rPr>
          <w:lang w:val="es-ES_tradnl"/>
        </w:rPr>
        <w:t>mental que en el sistema judicial haya hombres y muj</w:t>
      </w:r>
      <w:r>
        <w:rPr>
          <w:lang w:val="es-ES_tradnl"/>
        </w:rPr>
        <w:t>e</w:t>
      </w:r>
      <w:r>
        <w:rPr>
          <w:lang w:val="es-ES_tradnl"/>
        </w:rPr>
        <w:t>res que comprendan los problemas y la situación de la mujer. Los estudios oficiales de derecho deberían co</w:t>
      </w:r>
      <w:r>
        <w:rPr>
          <w:lang w:val="es-ES_tradnl"/>
        </w:rPr>
        <w:t>m</w:t>
      </w:r>
      <w:r>
        <w:rPr>
          <w:lang w:val="es-ES_tradnl"/>
        </w:rPr>
        <w:t>plementarse con formación especial en esa esfera; ta</w:t>
      </w:r>
      <w:r>
        <w:rPr>
          <w:lang w:val="es-ES_tradnl"/>
        </w:rPr>
        <w:t>m</w:t>
      </w:r>
      <w:r>
        <w:rPr>
          <w:lang w:val="es-ES_tradnl"/>
        </w:rPr>
        <w:t xml:space="preserve">bién debería haber mayor número de juezas. </w:t>
      </w:r>
    </w:p>
    <w:p w:rsidR="00DA1033" w:rsidRDefault="00DA1033">
      <w:pPr>
        <w:pStyle w:val="DualTxt"/>
        <w:spacing w:line="240" w:lineRule="auto"/>
      </w:pPr>
      <w:r>
        <w:t>65.</w:t>
      </w:r>
      <w:r>
        <w:tab/>
      </w:r>
      <w:r>
        <w:rPr>
          <w:b/>
        </w:rPr>
        <w:t>La Sra. Singh</w:t>
      </w:r>
      <w:r>
        <w:t xml:space="preserve"> (India) lamenta los retrasos en la presentación de los informes de la India; en el futuro se hará todo lo posible por presentar los informes pu</w:t>
      </w:r>
      <w:r>
        <w:t>n</w:t>
      </w:r>
      <w:r>
        <w:t xml:space="preserve">tualmente. No se ha cerrado la puerta a la ratificación del Protocolo Facultativo, pero sólo puede transmitir la posición actual del Gobierno a ese respecto. </w:t>
      </w:r>
    </w:p>
    <w:p w:rsidR="00DA1033" w:rsidRDefault="00DA1033">
      <w:pPr>
        <w:pStyle w:val="DualTxt"/>
        <w:spacing w:line="240" w:lineRule="auto"/>
        <w:rPr>
          <w:lang w:val="es-ES_tradnl"/>
        </w:rPr>
      </w:pPr>
      <w:r>
        <w:rPr>
          <w:lang w:val="es-ES_tradnl"/>
        </w:rPr>
        <w:t>66.</w:t>
      </w:r>
      <w:r>
        <w:rPr>
          <w:lang w:val="es-ES_tradnl"/>
        </w:rPr>
        <w:tab/>
      </w:r>
      <w:r>
        <w:rPr>
          <w:b/>
          <w:lang w:val="es-ES_tradnl"/>
        </w:rPr>
        <w:t>El Sr. Vahnavati</w:t>
      </w:r>
      <w:r>
        <w:rPr>
          <w:lang w:val="es-ES_tradnl"/>
        </w:rPr>
        <w:t xml:space="preserve"> (India) reconoce que las muj</w:t>
      </w:r>
      <w:r>
        <w:rPr>
          <w:lang w:val="es-ES_tradnl"/>
        </w:rPr>
        <w:t>e</w:t>
      </w:r>
      <w:r>
        <w:rPr>
          <w:lang w:val="es-ES_tradnl"/>
        </w:rPr>
        <w:t>res son especialmente vulnerables a la violencia entre comunidades y se compromete a estudiar la posibilidad de brindarles protección especial. Por lo que se refiere a la cuestión del acceso de los dalit a asistencia letrada, se están creando comités que ofrecen servicios de asi</w:t>
      </w:r>
      <w:r>
        <w:rPr>
          <w:lang w:val="es-ES_tradnl"/>
        </w:rPr>
        <w:t>s</w:t>
      </w:r>
      <w:r>
        <w:rPr>
          <w:lang w:val="es-ES_tradnl"/>
        </w:rPr>
        <w:t>tencia letrada, que se están dando a conocer en todo el país, a fin de garantizar el acceso de los dalit a los tr</w:t>
      </w:r>
      <w:r>
        <w:rPr>
          <w:lang w:val="es-ES_tradnl"/>
        </w:rPr>
        <w:t>i</w:t>
      </w:r>
      <w:r>
        <w:rPr>
          <w:lang w:val="es-ES_tradnl"/>
        </w:rPr>
        <w:t xml:space="preserve">bunales. </w:t>
      </w:r>
    </w:p>
    <w:p w:rsidR="00DA1033" w:rsidRDefault="00DA1033">
      <w:pPr>
        <w:pStyle w:val="DualTxt"/>
        <w:spacing w:line="240" w:lineRule="auto"/>
      </w:pPr>
      <w:r>
        <w:rPr>
          <w:lang w:val="es-ES_tradnl"/>
        </w:rPr>
        <w:t>67.</w:t>
      </w:r>
      <w:r>
        <w:rPr>
          <w:lang w:val="es-ES_tradnl"/>
        </w:rPr>
        <w:tab/>
        <w:t>El empoderamiento de la mujer es un proceso lento que requiere un equilibrio delicado en la soci</w:t>
      </w:r>
      <w:r>
        <w:rPr>
          <w:lang w:val="es-ES_tradnl"/>
        </w:rPr>
        <w:t>e</w:t>
      </w:r>
      <w:r>
        <w:rPr>
          <w:lang w:val="es-ES_tradnl"/>
        </w:rPr>
        <w:t>dad. Las mujeres musulmanas, en particular, se resisten a hablar de las injusticias que han sufrido; se espera que la mejora en el nivel educativo de la sociedad m</w:t>
      </w:r>
      <w:r>
        <w:rPr>
          <w:lang w:val="es-ES_tradnl"/>
        </w:rPr>
        <w:t>u</w:t>
      </w:r>
      <w:r>
        <w:rPr>
          <w:lang w:val="es-ES_tradnl"/>
        </w:rPr>
        <w:t>sulmana tenga repercusiones positivas a ese respecto. En cuanto a la definición de delito violento, aunque el Tribunal Penal puede ocuparse de la cuestión en el marco de su mandato actual, la nueva legislación i</w:t>
      </w:r>
      <w:r>
        <w:rPr>
          <w:lang w:val="es-ES_tradnl"/>
        </w:rPr>
        <w:t>n</w:t>
      </w:r>
      <w:r>
        <w:rPr>
          <w:lang w:val="es-ES_tradnl"/>
        </w:rPr>
        <w:t>cluirá las nuevas definiciones necesarias. Se puede f</w:t>
      </w:r>
      <w:r>
        <w:rPr>
          <w:lang w:val="es-ES_tradnl"/>
        </w:rPr>
        <w:t>a</w:t>
      </w:r>
      <w:r>
        <w:rPr>
          <w:lang w:val="es-ES_tradnl"/>
        </w:rPr>
        <w:t>cilitar información sobre el número de mujeres en el sistema judicial; en los tribunales superiores de justicia estatales hay gran número de mujeres, y hasta hace p</w:t>
      </w:r>
      <w:r>
        <w:rPr>
          <w:lang w:val="es-ES_tradnl"/>
        </w:rPr>
        <w:t>o</w:t>
      </w:r>
      <w:r>
        <w:rPr>
          <w:lang w:val="es-ES_tradnl"/>
        </w:rPr>
        <w:t>co había una mujer en el Tribunal Supremo. Todos los jueces reciben la formación necesaria, que incluye se</w:t>
      </w:r>
      <w:r>
        <w:rPr>
          <w:lang w:val="es-ES_tradnl"/>
        </w:rPr>
        <w:t>n</w:t>
      </w:r>
      <w:r>
        <w:rPr>
          <w:lang w:val="es-ES_tradnl"/>
        </w:rPr>
        <w:t xml:space="preserve">sibilización acerca de los derechos humanos y de la cuestión de la mujer. </w:t>
      </w:r>
    </w:p>
    <w:p w:rsidR="00DA1033" w:rsidRDefault="00DA1033">
      <w:pPr>
        <w:pStyle w:val="DualTxt"/>
        <w:spacing w:line="240" w:lineRule="auto"/>
      </w:pPr>
      <w:r>
        <w:rPr>
          <w:lang w:val="es-ES_tradnl"/>
        </w:rPr>
        <w:t>68.</w:t>
      </w:r>
      <w:r>
        <w:rPr>
          <w:lang w:val="es-ES_tradnl"/>
        </w:rPr>
        <w:tab/>
      </w:r>
      <w:r>
        <w:rPr>
          <w:b/>
          <w:lang w:val="es-ES_tradnl"/>
        </w:rPr>
        <w:t>El Sr. A. K. Srivastava</w:t>
      </w:r>
      <w:r>
        <w:rPr>
          <w:lang w:val="es-ES_tradnl"/>
        </w:rPr>
        <w:t xml:space="preserve"> (India) dice que los fu</w:t>
      </w:r>
      <w:r>
        <w:rPr>
          <w:lang w:val="es-ES_tradnl"/>
        </w:rPr>
        <w:t>n</w:t>
      </w:r>
      <w:r>
        <w:rPr>
          <w:lang w:val="es-ES_tradnl"/>
        </w:rPr>
        <w:t>cionarios que no cumplan su deber pueden ser sanci</w:t>
      </w:r>
      <w:r>
        <w:rPr>
          <w:lang w:val="es-ES_tradnl"/>
        </w:rPr>
        <w:t>o</w:t>
      </w:r>
      <w:r>
        <w:rPr>
          <w:lang w:val="es-ES_tradnl"/>
        </w:rPr>
        <w:t>nados; da lectura a una disposición en ese sentido i</w:t>
      </w:r>
      <w:r>
        <w:rPr>
          <w:lang w:val="es-ES_tradnl"/>
        </w:rPr>
        <w:t>n</w:t>
      </w:r>
      <w:r>
        <w:rPr>
          <w:lang w:val="es-ES_tradnl"/>
        </w:rPr>
        <w:t>cluida en el proyecto de ley sobre prevención y control de la violencia entre comunidades. Tras los disturbios entre comunidades que se produjeron en Gujarat, se r</w:t>
      </w:r>
      <w:r>
        <w:rPr>
          <w:lang w:val="es-ES_tradnl"/>
        </w:rPr>
        <w:t>e</w:t>
      </w:r>
      <w:r>
        <w:rPr>
          <w:lang w:val="es-ES_tradnl"/>
        </w:rPr>
        <w:t xml:space="preserve">gistraron 4.259 denuncias, en relación con 2.135 de las cuales se presentaron cargos. Entre esos casos había 67 de violencia contra mujeres, entre ellos dos casos que se han reabierto. </w:t>
      </w:r>
    </w:p>
    <w:p w:rsidR="00DA1033" w:rsidRDefault="00DA1033">
      <w:pPr>
        <w:pStyle w:val="DualTxt"/>
        <w:spacing w:line="240" w:lineRule="auto"/>
        <w:rPr>
          <w:lang w:val="es-ES_tradnl"/>
        </w:rPr>
      </w:pPr>
      <w:r>
        <w:rPr>
          <w:lang w:val="es-ES_tradnl"/>
        </w:rPr>
        <w:t>69.</w:t>
      </w:r>
      <w:r>
        <w:rPr>
          <w:lang w:val="es-ES_tradnl"/>
        </w:rPr>
        <w:tab/>
      </w:r>
      <w:r>
        <w:rPr>
          <w:b/>
          <w:lang w:val="es-ES_tradnl"/>
        </w:rPr>
        <w:t>La Sra. Singh</w:t>
      </w:r>
      <w:r>
        <w:rPr>
          <w:lang w:val="es-ES_tradnl"/>
        </w:rPr>
        <w:t xml:space="preserve"> (India) subraya que el proyecto de ley sobre violencia entre comunidades  se encuentra todavía en fase preparatoria y, por lo tanto, se pueden introducir mejoras. La legislación nunca es estática, s</w:t>
      </w:r>
      <w:r>
        <w:rPr>
          <w:lang w:val="es-ES_tradnl"/>
        </w:rPr>
        <w:t>i</w:t>
      </w:r>
      <w:r>
        <w:rPr>
          <w:lang w:val="es-ES_tradnl"/>
        </w:rPr>
        <w:t>no que siempre puede modificarse. Actualmente se está estudiando la posibilidad de introducir modificaciones en la legislación relativa a la violación, y se examin</w:t>
      </w:r>
      <w:r>
        <w:rPr>
          <w:lang w:val="es-ES_tradnl"/>
        </w:rPr>
        <w:t>a</w:t>
      </w:r>
      <w:r>
        <w:rPr>
          <w:lang w:val="es-ES_tradnl"/>
        </w:rPr>
        <w:t>rán todas las propuestas constructivas al respecto. Re</w:t>
      </w:r>
      <w:r>
        <w:rPr>
          <w:lang w:val="es-ES_tradnl"/>
        </w:rPr>
        <w:t>s</w:t>
      </w:r>
      <w:r>
        <w:rPr>
          <w:lang w:val="es-ES_tradnl"/>
        </w:rPr>
        <w:t>pondiendo a la pregunta de si en el 11º plan quinquenal figurará una disposición sobre el enjuiciamiento y el castigo de los autores de delitos contra mujeres, señala que se trata de una cuestión legislativa y no program</w:t>
      </w:r>
      <w:r>
        <w:rPr>
          <w:lang w:val="es-ES_tradnl"/>
        </w:rPr>
        <w:t>á</w:t>
      </w:r>
      <w:r>
        <w:rPr>
          <w:lang w:val="es-ES_tradnl"/>
        </w:rPr>
        <w:t>tica, y que se está tratando junto con varias otras cue</w:t>
      </w:r>
      <w:r>
        <w:rPr>
          <w:lang w:val="es-ES_tradnl"/>
        </w:rPr>
        <w:t>s</w:t>
      </w:r>
      <w:r>
        <w:rPr>
          <w:lang w:val="es-ES_tradnl"/>
        </w:rPr>
        <w:t xml:space="preserve">tiones conexas en el marco de los debates en curso. </w:t>
      </w:r>
    </w:p>
    <w:p w:rsidR="00DA1033" w:rsidRDefault="00DA1033">
      <w:pPr>
        <w:pStyle w:val="DualTxt"/>
        <w:spacing w:line="240" w:lineRule="auto"/>
        <w:rPr>
          <w:i/>
          <w:lang w:val="es-ES_tradnl"/>
        </w:rPr>
      </w:pPr>
      <w:r>
        <w:rPr>
          <w:i/>
          <w:lang w:val="es-ES_tradnl"/>
        </w:rPr>
        <w:t>Se levanta la sesión a las 13.00 horas.</w:t>
      </w:r>
    </w:p>
    <w:p w:rsidR="00DA1033" w:rsidRDefault="00DA1033">
      <w:pPr>
        <w:pStyle w:val="DualTxt"/>
        <w:spacing w:line="240" w:lineRule="auto"/>
        <w:rPr>
          <w:i/>
          <w:lang w:val="es-ES_tradnl"/>
        </w:rPr>
        <w:sectPr w:rsidR="00DA1033">
          <w:endnotePr>
            <w:numFmt w:val="decimal"/>
          </w:endnotePr>
          <w:type w:val="continuous"/>
          <w:pgSz w:w="12240" w:h="15840" w:code="1"/>
          <w:pgMar w:top="1742" w:right="1195" w:bottom="1898" w:left="1195" w:header="576" w:footer="1030" w:gutter="0"/>
          <w:cols w:num="2" w:space="240"/>
          <w:noEndnote/>
          <w:docGrid w:linePitch="209"/>
        </w:sectPr>
      </w:pPr>
    </w:p>
    <w:p w:rsidR="00DA1033" w:rsidRDefault="00DA1033">
      <w:pPr>
        <w:pStyle w:val="DualTxt"/>
        <w:spacing w:line="240" w:lineRule="auto"/>
      </w:pPr>
    </w:p>
    <w:sectPr w:rsidR="00DA1033">
      <w:endnotePr>
        <w:numFmt w:val="decimal"/>
      </w:endnotePr>
      <w:type w:val="continuous"/>
      <w:pgSz w:w="12240" w:h="15840" w:code="1"/>
      <w:pgMar w:top="1742" w:right="1195" w:bottom="1898" w:left="1195" w:header="576" w:footer="1030" w:gutter="0"/>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1T16:35:00Z" w:initials="Start">
    <w:p w:rsidR="007B7D87" w:rsidRPr="00E549B8" w:rsidRDefault="007B7D87">
      <w:pPr>
        <w:pStyle w:val="CommentText"/>
        <w:rPr>
          <w:lang w:val="en-US"/>
        </w:rPr>
      </w:pPr>
      <w:r>
        <w:fldChar w:fldCharType="begin"/>
      </w:r>
      <w:r w:rsidRPr="00E549B8">
        <w:rPr>
          <w:rStyle w:val="CommentReference"/>
          <w:lang w:val="en-US"/>
        </w:rPr>
        <w:instrText xml:space="preserve"> </w:instrText>
      </w:r>
      <w:r w:rsidRPr="00E549B8">
        <w:rPr>
          <w:lang w:val="en-US"/>
        </w:rPr>
        <w:instrText>PAGE \# "'Page: '#'</w:instrText>
      </w:r>
      <w:r w:rsidRPr="00E549B8">
        <w:rPr>
          <w:lang w:val="en-US"/>
        </w:rPr>
        <w:br/>
        <w:instrText>'"</w:instrText>
      </w:r>
      <w:r w:rsidRPr="00E549B8">
        <w:rPr>
          <w:rStyle w:val="CommentReference"/>
          <w:lang w:val="en-US"/>
        </w:rPr>
        <w:instrText xml:space="preserve"> </w:instrText>
      </w:r>
      <w:r>
        <w:fldChar w:fldCharType="end"/>
      </w:r>
      <w:r>
        <w:rPr>
          <w:rStyle w:val="CommentReference"/>
        </w:rPr>
        <w:annotationRef/>
      </w:r>
      <w:r w:rsidRPr="00E549B8">
        <w:rPr>
          <w:lang w:val="en-US"/>
        </w:rPr>
        <w:t>&lt;&lt;ODS JOB NO&gt;&gt;N0721237S&lt;&lt;ODS JOB NO&gt;&gt;</w:t>
      </w:r>
    </w:p>
    <w:p w:rsidR="007B7D87" w:rsidRPr="00E549B8" w:rsidRDefault="007B7D87">
      <w:pPr>
        <w:pStyle w:val="CommentText"/>
        <w:rPr>
          <w:lang w:val="en-US"/>
        </w:rPr>
      </w:pPr>
      <w:r w:rsidRPr="00E549B8">
        <w:rPr>
          <w:lang w:val="en-US"/>
        </w:rPr>
        <w:t>&lt;&lt;ODS DOC SYMBOL1&gt;&gt;CEDAW/C/SR.761 (A)&lt;&lt;ODS DOC SYMBOL1&gt;&gt;</w:t>
      </w:r>
    </w:p>
    <w:p w:rsidR="007B7D87" w:rsidRPr="00E549B8" w:rsidRDefault="007B7D87">
      <w:pPr>
        <w:pStyle w:val="CommentText"/>
        <w:rPr>
          <w:lang w:val="en-US"/>
        </w:rPr>
      </w:pPr>
      <w:r w:rsidRPr="00E549B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159" w:rsidRDefault="00CC6159">
      <w:r>
        <w:separator/>
      </w:r>
    </w:p>
  </w:endnote>
  <w:endnote w:type="continuationSeparator" w:id="0">
    <w:p w:rsidR="00CC6159" w:rsidRDefault="00CC6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altName w:val="Times New Roman"/>
    <w:panose1 w:val="00000000000000000000"/>
    <w:charset w:val="00"/>
    <w:family w:val="roman"/>
    <w:notTrueType/>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B7D87">
      <w:tblPrEx>
        <w:tblCellMar>
          <w:top w:w="0" w:type="dxa"/>
          <w:bottom w:w="0" w:type="dxa"/>
        </w:tblCellMar>
      </w:tblPrEx>
      <w:tc>
        <w:tcPr>
          <w:tcW w:w="5033" w:type="dxa"/>
          <w:vAlign w:val="bottom"/>
        </w:tcPr>
        <w:p w:rsidR="007B7D87" w:rsidRDefault="007B7D87">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37607B">
            <w:rPr>
              <w:rStyle w:val="PageNumber"/>
              <w:sz w:val="14"/>
            </w:rPr>
            <w:t>12</w:t>
          </w:r>
          <w:r>
            <w:rPr>
              <w:rStyle w:val="PageNumber"/>
              <w:sz w:val="14"/>
            </w:rPr>
            <w:fldChar w:fldCharType="end"/>
          </w:r>
        </w:p>
      </w:tc>
      <w:tc>
        <w:tcPr>
          <w:tcW w:w="5033" w:type="dxa"/>
          <w:vAlign w:val="bottom"/>
        </w:tcPr>
        <w:p w:rsidR="007B7D87" w:rsidRDefault="007B7D87">
          <w:pPr>
            <w:pStyle w:val="Footer"/>
            <w:jc w:val="right"/>
            <w:rPr>
              <w:sz w:val="14"/>
            </w:rPr>
          </w:pPr>
          <w:r>
            <w:rPr>
              <w:sz w:val="14"/>
            </w:rPr>
            <w:t>0721237s</w:t>
          </w:r>
        </w:p>
      </w:tc>
    </w:tr>
  </w:tbl>
  <w:p w:rsidR="007B7D87" w:rsidRDefault="007B7D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B7D87">
      <w:tblPrEx>
        <w:tblCellMar>
          <w:top w:w="0" w:type="dxa"/>
          <w:bottom w:w="0" w:type="dxa"/>
        </w:tblCellMar>
      </w:tblPrEx>
      <w:tc>
        <w:tcPr>
          <w:tcW w:w="5033" w:type="dxa"/>
          <w:vAlign w:val="bottom"/>
        </w:tcPr>
        <w:p w:rsidR="007B7D87" w:rsidRDefault="007B7D87">
          <w:pPr>
            <w:pStyle w:val="Footer"/>
            <w:rPr>
              <w:b w:val="0"/>
              <w:sz w:val="14"/>
            </w:rPr>
          </w:pPr>
          <w:r>
            <w:rPr>
              <w:b w:val="0"/>
              <w:sz w:val="14"/>
            </w:rPr>
            <w:t>0721237s</w:t>
          </w:r>
        </w:p>
      </w:tc>
      <w:tc>
        <w:tcPr>
          <w:tcW w:w="5033" w:type="dxa"/>
          <w:vAlign w:val="bottom"/>
        </w:tcPr>
        <w:p w:rsidR="007B7D87" w:rsidRDefault="007B7D87">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37607B">
            <w:rPr>
              <w:rStyle w:val="PageNumber"/>
              <w:sz w:val="14"/>
            </w:rPr>
            <w:t>11</w:t>
          </w:r>
          <w:r>
            <w:rPr>
              <w:rStyle w:val="PageNumber"/>
              <w:sz w:val="14"/>
            </w:rPr>
            <w:fldChar w:fldCharType="end"/>
          </w:r>
        </w:p>
      </w:tc>
    </w:tr>
  </w:tbl>
  <w:p w:rsidR="007B7D87" w:rsidRDefault="007B7D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D87" w:rsidRDefault="007B7D87">
    <w:pPr>
      <w:pStyle w:val="Footer"/>
      <w:pBdr>
        <w:top w:val="single" w:sz="2" w:space="1" w:color="auto"/>
      </w:pBdr>
      <w:rPr>
        <w:sz w:val="2"/>
      </w:rPr>
    </w:pPr>
  </w:p>
  <w:p w:rsidR="007B7D87" w:rsidRDefault="007B7D8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B7D87" w:rsidRDefault="007B7D8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B7D87" w:rsidRDefault="007B7D8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B7D87" w:rsidRDefault="007B7D87">
    <w:pPr>
      <w:pStyle w:val="FootnoteText"/>
      <w:spacing w:line="120" w:lineRule="exact"/>
      <w:ind w:left="1267" w:right="1267" w:firstLine="0"/>
      <w:rPr>
        <w:sz w:val="10"/>
      </w:rPr>
    </w:pPr>
  </w:p>
  <w:p w:rsidR="007B7D87" w:rsidRDefault="007B7D87">
    <w:pPr>
      <w:pStyle w:val="Footer"/>
      <w:spacing w:before="60" w:line="200" w:lineRule="exact"/>
      <w:rPr>
        <w:rFonts w:ascii="Code 3of9 4.6" w:hAnsi="Code 3of9 4.6"/>
        <w:b w:val="0"/>
        <w:sz w:val="20"/>
      </w:rPr>
    </w:pPr>
    <w:r>
      <w:rPr>
        <w:rFonts w:ascii="Code 3of9 4.6" w:hAnsi="Code 3of9 4.6"/>
        <w:b w:val="0"/>
        <w:sz w:val="20"/>
      </w:rPr>
      <w:t>07-21237 (S)</w:t>
    </w:r>
  </w:p>
  <w:p w:rsidR="007B7D87" w:rsidRPr="00E549B8" w:rsidRDefault="007B7D87" w:rsidP="00E549B8">
    <w:pPr>
      <w:pStyle w:val="Footer"/>
      <w:spacing w:before="80"/>
      <w:rPr>
        <w:rFonts w:ascii="Barcode 3 of 9 by request" w:hAnsi="Barcode 3 of 9 by request"/>
        <w:b w:val="0"/>
        <w:sz w:val="24"/>
      </w:rPr>
    </w:pPr>
    <w:r>
      <w:rPr>
        <w:rFonts w:ascii="Barcode 3 of 9 by request" w:hAnsi="Barcode 3 of 9 by request"/>
        <w:b w:val="0"/>
        <w:sz w:val="24"/>
      </w:rPr>
      <w:t>*0721237*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159" w:rsidRDefault="00CC6159">
      <w:r>
        <w:separator/>
      </w:r>
    </w:p>
  </w:footnote>
  <w:footnote w:type="continuationSeparator" w:id="0">
    <w:p w:rsidR="00CC6159" w:rsidRDefault="00CC61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D87" w:rsidRDefault="007B7D8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B7D87">
                  <w:tblPrEx>
                    <w:tblCellMar>
                      <w:top w:w="0" w:type="dxa"/>
                      <w:bottom w:w="0" w:type="dxa"/>
                    </w:tblCellMar>
                  </w:tblPrEx>
                  <w:trPr>
                    <w:trHeight w:hRule="exact" w:val="864"/>
                  </w:trPr>
                  <w:tc>
                    <w:tcPr>
                      <w:tcW w:w="4838" w:type="dxa"/>
                      <w:vAlign w:val="bottom"/>
                    </w:tcPr>
                    <w:p w:rsidR="007B7D87" w:rsidRDefault="007B7D87">
                      <w:pPr>
                        <w:pStyle w:val="Header"/>
                        <w:spacing w:after="80"/>
                        <w:rPr>
                          <w:b/>
                        </w:rPr>
                      </w:pPr>
                      <w:r>
                        <w:rPr>
                          <w:b/>
                        </w:rPr>
                        <w:t>CEDAW/C/SR/761 (A)</w:t>
                      </w:r>
                    </w:p>
                  </w:tc>
                  <w:tc>
                    <w:tcPr>
                      <w:tcW w:w="5048" w:type="dxa"/>
                      <w:vAlign w:val="bottom"/>
                    </w:tcPr>
                    <w:p w:rsidR="007B7D87" w:rsidRDefault="007B7D87">
                      <w:pPr>
                        <w:pStyle w:val="Header"/>
                      </w:pPr>
                    </w:p>
                  </w:tc>
                </w:tr>
              </w:tbl>
              <w:p w:rsidR="007B7D87" w:rsidRDefault="007B7D87">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D87" w:rsidRDefault="007B7D8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B7D87">
                  <w:tblPrEx>
                    <w:tblCellMar>
                      <w:top w:w="0" w:type="dxa"/>
                      <w:bottom w:w="0" w:type="dxa"/>
                    </w:tblCellMar>
                  </w:tblPrEx>
                  <w:trPr>
                    <w:trHeight w:hRule="exact" w:val="864"/>
                  </w:trPr>
                  <w:tc>
                    <w:tcPr>
                      <w:tcW w:w="4838" w:type="dxa"/>
                      <w:vAlign w:val="bottom"/>
                    </w:tcPr>
                    <w:p w:rsidR="007B7D87" w:rsidRDefault="007B7D87">
                      <w:pPr>
                        <w:pStyle w:val="Header"/>
                      </w:pPr>
                    </w:p>
                  </w:tc>
                  <w:tc>
                    <w:tcPr>
                      <w:tcW w:w="5048" w:type="dxa"/>
                      <w:vAlign w:val="bottom"/>
                    </w:tcPr>
                    <w:p w:rsidR="007B7D87" w:rsidRDefault="007B7D87">
                      <w:pPr>
                        <w:pStyle w:val="Header"/>
                        <w:spacing w:after="80"/>
                        <w:jc w:val="right"/>
                        <w:rPr>
                          <w:b/>
                        </w:rPr>
                      </w:pPr>
                      <w:r>
                        <w:rPr>
                          <w:b/>
                        </w:rPr>
                        <w:t>CEDAW/C/SR/761 (A)</w:t>
                      </w:r>
                    </w:p>
                  </w:tc>
                </w:tr>
              </w:tbl>
              <w:p w:rsidR="007B7D87" w:rsidRDefault="007B7D87">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7D8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B7D87" w:rsidRDefault="007B7D87">
          <w:pPr>
            <w:pStyle w:val="Header"/>
            <w:spacing w:after="120"/>
          </w:pPr>
        </w:p>
      </w:tc>
      <w:tc>
        <w:tcPr>
          <w:tcW w:w="2059" w:type="dxa"/>
          <w:tcBorders>
            <w:top w:val="nil"/>
            <w:left w:val="nil"/>
            <w:bottom w:val="single" w:sz="4" w:space="0" w:color="auto"/>
            <w:right w:val="nil"/>
          </w:tcBorders>
          <w:vAlign w:val="bottom"/>
        </w:tcPr>
        <w:p w:rsidR="007B7D87" w:rsidRDefault="007B7D87">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7B7D87" w:rsidRDefault="007B7D87">
          <w:pPr>
            <w:pStyle w:val="Header"/>
            <w:spacing w:after="120"/>
          </w:pPr>
        </w:p>
      </w:tc>
      <w:tc>
        <w:tcPr>
          <w:tcW w:w="6523" w:type="dxa"/>
          <w:gridSpan w:val="3"/>
          <w:tcBorders>
            <w:top w:val="nil"/>
            <w:left w:val="nil"/>
            <w:bottom w:val="single" w:sz="4" w:space="0" w:color="auto"/>
            <w:right w:val="nil"/>
          </w:tcBorders>
          <w:vAlign w:val="bottom"/>
        </w:tcPr>
        <w:p w:rsidR="007B7D87" w:rsidRDefault="007B7D87">
          <w:pPr>
            <w:spacing w:after="80" w:line="240" w:lineRule="auto"/>
            <w:jc w:val="right"/>
            <w:rPr>
              <w:position w:val="-4"/>
            </w:rPr>
          </w:pPr>
          <w:r>
            <w:rPr>
              <w:position w:val="-4"/>
              <w:sz w:val="40"/>
            </w:rPr>
            <w:t>CEDAW</w:t>
          </w:r>
          <w:r>
            <w:rPr>
              <w:position w:val="-4"/>
            </w:rPr>
            <w:t>/C/SR/761 (A)</w:t>
          </w:r>
        </w:p>
      </w:tc>
    </w:tr>
    <w:tr w:rsidR="007B7D87">
      <w:tblPrEx>
        <w:tblCellMar>
          <w:top w:w="0" w:type="dxa"/>
          <w:bottom w:w="0" w:type="dxa"/>
        </w:tblCellMar>
      </w:tblPrEx>
      <w:trPr>
        <w:trHeight w:hRule="exact" w:val="2880"/>
      </w:trPr>
      <w:tc>
        <w:tcPr>
          <w:tcW w:w="1267" w:type="dxa"/>
          <w:tcBorders>
            <w:left w:val="nil"/>
            <w:bottom w:val="single" w:sz="12" w:space="0" w:color="auto"/>
            <w:right w:val="nil"/>
          </w:tcBorders>
        </w:tcPr>
        <w:p w:rsidR="007B7D87" w:rsidRDefault="007B7D87">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7D87" w:rsidRDefault="007B7D87">
          <w:pPr>
            <w:pStyle w:val="Header"/>
            <w:spacing w:before="109"/>
            <w:rPr>
              <w:lang w:val="es-ES"/>
            </w:rPr>
          </w:pPr>
        </w:p>
      </w:tc>
      <w:tc>
        <w:tcPr>
          <w:tcW w:w="5227" w:type="dxa"/>
          <w:gridSpan w:val="3"/>
          <w:tcBorders>
            <w:left w:val="nil"/>
            <w:bottom w:val="single" w:sz="12" w:space="0" w:color="auto"/>
            <w:right w:val="nil"/>
          </w:tcBorders>
        </w:tcPr>
        <w:p w:rsidR="007B7D87" w:rsidRDefault="007B7D8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7B7D87" w:rsidRDefault="007B7D87">
          <w:pPr>
            <w:pStyle w:val="Header"/>
            <w:spacing w:before="109"/>
            <w:rPr>
              <w:lang w:val="es-ES"/>
            </w:rPr>
          </w:pPr>
        </w:p>
      </w:tc>
      <w:tc>
        <w:tcPr>
          <w:tcW w:w="3180" w:type="dxa"/>
          <w:gridSpan w:val="2"/>
          <w:tcBorders>
            <w:left w:val="nil"/>
            <w:bottom w:val="single" w:sz="12" w:space="0" w:color="auto"/>
            <w:right w:val="nil"/>
          </w:tcBorders>
        </w:tcPr>
        <w:p w:rsidR="007B7D87" w:rsidRDefault="007B7D87">
          <w:pPr>
            <w:spacing w:before="240"/>
            <w:rPr>
              <w:lang w:val="es-ES_tradnl"/>
            </w:rPr>
          </w:pPr>
          <w:r>
            <w:rPr>
              <w:lang w:val="es-ES_tradnl"/>
            </w:rPr>
            <w:t>Distr. general</w:t>
          </w:r>
        </w:p>
        <w:p w:rsidR="007B7D87" w:rsidRDefault="007B7D87">
          <w:pPr>
            <w:rPr>
              <w:lang w:val="es-ES_tradnl"/>
            </w:rPr>
          </w:pPr>
          <w:r>
            <w:rPr>
              <w:lang w:val="es-ES_tradnl"/>
            </w:rPr>
            <w:t>26 de enero de 2007</w:t>
          </w:r>
        </w:p>
        <w:p w:rsidR="007B7D87" w:rsidRDefault="007B7D87">
          <w:r>
            <w:t>Español</w:t>
          </w:r>
        </w:p>
        <w:p w:rsidR="007B7D87" w:rsidRDefault="007B7D87">
          <w:r>
            <w:t xml:space="preserve">Original: inglés </w:t>
          </w:r>
        </w:p>
      </w:tc>
    </w:tr>
  </w:tbl>
  <w:p w:rsidR="007B7D87" w:rsidRDefault="007B7D87">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37*"/>
    <w:docVar w:name="CreationDt" w:val="3/13/2007 1:15: PM"/>
    <w:docVar w:name="DocCategory" w:val="SROthers"/>
    <w:docVar w:name="DocType" w:val="Final"/>
    <w:docVar w:name="jobn" w:val="07-21237 (S)"/>
    <w:docVar w:name="JobNo" w:val="0721237S"/>
    <w:docVar w:name="OandT" w:val=" "/>
    <w:docVar w:name="sss1" w:val="CEDAW/C/SR.761 (A)"/>
    <w:docVar w:name="sss2" w:val="-"/>
    <w:docVar w:name="Symbol1" w:val="CEDAW/C/SR/761"/>
    <w:docVar w:name="Symbol2" w:val="-"/>
  </w:docVars>
  <w:rsids>
    <w:rsidRoot w:val="006C512D"/>
    <w:rsid w:val="0037607B"/>
    <w:rsid w:val="006C512D"/>
    <w:rsid w:val="00715876"/>
    <w:rsid w:val="007B7D87"/>
    <w:rsid w:val="008658B2"/>
    <w:rsid w:val="0093647F"/>
    <w:rsid w:val="00C14B5F"/>
    <w:rsid w:val="00C904E8"/>
    <w:rsid w:val="00CC6159"/>
    <w:rsid w:val="00D7235A"/>
    <w:rsid w:val="00DA1033"/>
    <w:rsid w:val="00DB141B"/>
    <w:rsid w:val="00E158A6"/>
    <w:rsid w:val="00E549B8"/>
    <w:rsid w:val="00FD37A6"/>
    <w:rsid w:val="00FD3E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6C512D"/>
    <w:rPr>
      <w:rFonts w:ascii="Tahoma" w:hAnsi="Tahoma" w:cs="Tahoma"/>
      <w:sz w:val="16"/>
      <w:szCs w:val="16"/>
    </w:rPr>
  </w:style>
  <w:style w:type="paragraph" w:styleId="CommentSubject">
    <w:name w:val="annotation subject"/>
    <w:basedOn w:val="CommentText"/>
    <w:next w:val="CommentText"/>
    <w:semiHidden/>
    <w:rsid w:val="00E549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8596</Words>
  <Characters>44185</Characters>
  <Application>Microsoft Office Word</Application>
  <DocSecurity>4</DocSecurity>
  <Lines>1077</Lines>
  <Paragraphs>100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52681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HOWARD, FABOLA</cp:lastModifiedBy>
  <cp:revision>10</cp:revision>
  <cp:lastPrinted>2007-03-21T14:50:00Z</cp:lastPrinted>
  <dcterms:created xsi:type="dcterms:W3CDTF">2007-03-21T14:32:00Z</dcterms:created>
  <dcterms:modified xsi:type="dcterms:W3CDTF">2007-03-21T15:23:00Z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0721237</vt:lpwstr>
  </property>
  <property fmtid="{D5CDD505-2E9C-101B-9397-08002B2CF9AE}" pid="3" name="Symbol1">
    <vt:lpwstr>CEDAW/C/SR/761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Howard</vt:lpwstr>
  </property>
</Properties>
</file>