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A84" w:rsidRDefault="00835A84" w:rsidP="00D62133">
      <w:pPr>
        <w:pStyle w:val="Heading1"/>
        <w:tabs>
          <w:tab w:val="clear" w:pos="4680"/>
          <w:tab w:val="left" w:pos="567"/>
          <w:tab w:val="left" w:pos="1134"/>
        </w:tabs>
        <w:rPr>
          <w:b/>
          <w:bCs/>
          <w:sz w:val="24"/>
          <w:lang w:val="ru-RU"/>
        </w:rPr>
      </w:pPr>
      <w:commentRangeStart w:id="0"/>
      <w:r>
        <w:rPr>
          <w:b/>
          <w:bCs/>
          <w:sz w:val="24"/>
          <w:lang w:val="ru-RU"/>
        </w:rPr>
        <w:t>Комитет</w:t>
      </w:r>
      <w:commentRangeEnd w:id="0"/>
      <w:r w:rsidR="00D63928">
        <w:rPr>
          <w:rStyle w:val="CommentReference"/>
          <w:lang w:val="ru-RU" w:eastAsia="ru-RU"/>
        </w:rPr>
        <w:commentReference w:id="0"/>
      </w:r>
      <w:r>
        <w:rPr>
          <w:b/>
          <w:bCs/>
          <w:sz w:val="24"/>
          <w:lang w:val="ru-RU"/>
        </w:rPr>
        <w:t xml:space="preserve"> по ликвидации дискриминации </w:t>
      </w:r>
    </w:p>
    <w:p w:rsidR="00835A84" w:rsidRDefault="00835A84" w:rsidP="00D62133">
      <w:pPr>
        <w:tabs>
          <w:tab w:val="left" w:pos="-720"/>
          <w:tab w:val="left" w:pos="567"/>
          <w:tab w:val="left" w:pos="1134"/>
        </w:tabs>
        <w:spacing w:line="240" w:lineRule="exact"/>
        <w:rPr>
          <w:b/>
          <w:bCs/>
          <w:sz w:val="24"/>
        </w:rPr>
      </w:pPr>
      <w:r>
        <w:rPr>
          <w:b/>
          <w:bCs/>
          <w:sz w:val="24"/>
        </w:rPr>
        <w:t xml:space="preserve">   в отношении женщин</w:t>
      </w:r>
    </w:p>
    <w:p w:rsidR="00835A84" w:rsidRDefault="00835A84" w:rsidP="00835A84">
      <w:pPr>
        <w:pStyle w:val="Heading1"/>
        <w:tabs>
          <w:tab w:val="clear" w:pos="4680"/>
          <w:tab w:val="left" w:pos="567"/>
          <w:tab w:val="left" w:pos="1134"/>
        </w:tabs>
        <w:ind w:firstLine="567"/>
        <w:rPr>
          <w:b/>
          <w:sz w:val="24"/>
          <w:lang w:val="ru-RU"/>
        </w:rPr>
      </w:pPr>
    </w:p>
    <w:p w:rsidR="00835A84" w:rsidRDefault="00835A84" w:rsidP="00835A84">
      <w:pPr>
        <w:tabs>
          <w:tab w:val="left" w:pos="567"/>
          <w:tab w:val="left" w:pos="1134"/>
        </w:tabs>
        <w:ind w:firstLine="567"/>
        <w:rPr>
          <w:b/>
        </w:rPr>
      </w:pPr>
    </w:p>
    <w:p w:rsidR="00835A84" w:rsidRDefault="00835A84" w:rsidP="00835A84">
      <w:pPr>
        <w:tabs>
          <w:tab w:val="left" w:pos="567"/>
          <w:tab w:val="left" w:pos="1134"/>
        </w:tabs>
        <w:ind w:firstLine="567"/>
        <w:rPr>
          <w:b/>
        </w:rPr>
      </w:pPr>
    </w:p>
    <w:p w:rsidR="00835A84" w:rsidRDefault="00835A84" w:rsidP="00835A84">
      <w:pPr>
        <w:tabs>
          <w:tab w:val="left" w:pos="567"/>
          <w:tab w:val="left" w:pos="1134"/>
        </w:tabs>
        <w:ind w:firstLine="567"/>
        <w:rPr>
          <w:b/>
        </w:rPr>
      </w:pPr>
    </w:p>
    <w:p w:rsidR="00835A84" w:rsidRPr="00C961F0" w:rsidRDefault="00835A84" w:rsidP="00875A8E">
      <w:pPr>
        <w:pStyle w:val="Heading7"/>
        <w:tabs>
          <w:tab w:val="left" w:pos="567"/>
          <w:tab w:val="left" w:pos="2268"/>
        </w:tabs>
        <w:ind w:left="1276"/>
        <w:jc w:val="left"/>
      </w:pPr>
      <w:r w:rsidRPr="00C961F0">
        <w:t xml:space="preserve">Рассмотрение докладов, представленных </w:t>
      </w:r>
      <w:r w:rsidR="00C961F0" w:rsidRPr="00C961F0">
        <w:br/>
      </w:r>
      <w:r w:rsidRPr="00C961F0">
        <w:t>государствами-участниками</w:t>
      </w:r>
      <w:r w:rsidR="00C961F0" w:rsidRPr="00C961F0">
        <w:t xml:space="preserve"> </w:t>
      </w:r>
      <w:r w:rsidRPr="00C961F0">
        <w:t xml:space="preserve">в соответствии </w:t>
      </w:r>
      <w:r w:rsidR="00C961F0" w:rsidRPr="00C961F0">
        <w:br/>
      </w:r>
      <w:r w:rsidRPr="00C961F0">
        <w:t>со статьей 18 Конвенции о ликвидации</w:t>
      </w:r>
    </w:p>
    <w:p w:rsidR="00835A84" w:rsidRPr="00C961F0" w:rsidRDefault="00835A84" w:rsidP="00875A8E">
      <w:pPr>
        <w:tabs>
          <w:tab w:val="left" w:pos="567"/>
          <w:tab w:val="left" w:pos="1276"/>
        </w:tabs>
        <w:ind w:left="1276"/>
        <w:rPr>
          <w:b/>
          <w:sz w:val="28"/>
          <w:szCs w:val="28"/>
        </w:rPr>
      </w:pPr>
      <w:r w:rsidRPr="00C961F0">
        <w:rPr>
          <w:b/>
          <w:sz w:val="28"/>
          <w:szCs w:val="28"/>
        </w:rPr>
        <w:t>всех форм дискриминации в отношении женщин</w:t>
      </w:r>
    </w:p>
    <w:p w:rsidR="00835A84" w:rsidRDefault="00835A84" w:rsidP="00835A84">
      <w:pPr>
        <w:tabs>
          <w:tab w:val="left" w:pos="567"/>
          <w:tab w:val="left" w:pos="1134"/>
        </w:tabs>
        <w:ind w:firstLine="567"/>
        <w:rPr>
          <w:b/>
          <w:sz w:val="24"/>
        </w:rPr>
      </w:pPr>
    </w:p>
    <w:p w:rsidR="00835A84" w:rsidRDefault="00835A84" w:rsidP="00835A84">
      <w:pPr>
        <w:tabs>
          <w:tab w:val="left" w:pos="567"/>
          <w:tab w:val="left" w:pos="1134"/>
        </w:tabs>
        <w:ind w:firstLine="567"/>
        <w:jc w:val="center"/>
        <w:rPr>
          <w:b/>
          <w:sz w:val="24"/>
        </w:rPr>
      </w:pPr>
    </w:p>
    <w:p w:rsidR="00835A84" w:rsidRPr="00C961F0" w:rsidRDefault="00C961F0" w:rsidP="00875A8E">
      <w:pPr>
        <w:tabs>
          <w:tab w:val="left" w:pos="567"/>
        </w:tabs>
        <w:ind w:left="1276"/>
        <w:rPr>
          <w:b/>
          <w:sz w:val="24"/>
          <w:szCs w:val="24"/>
        </w:rPr>
      </w:pPr>
      <w:r w:rsidRPr="00C961F0">
        <w:rPr>
          <w:b/>
          <w:sz w:val="24"/>
          <w:szCs w:val="24"/>
        </w:rPr>
        <w:t>Четвертый периодический доклад государств-участников</w:t>
      </w:r>
    </w:p>
    <w:p w:rsidR="00835A84" w:rsidRDefault="00835A84" w:rsidP="00835A84">
      <w:pPr>
        <w:tabs>
          <w:tab w:val="left" w:pos="567"/>
          <w:tab w:val="left" w:pos="1134"/>
        </w:tabs>
        <w:ind w:firstLine="567"/>
        <w:jc w:val="center"/>
        <w:rPr>
          <w:u w:val="single"/>
        </w:rPr>
      </w:pPr>
    </w:p>
    <w:p w:rsidR="00835A84" w:rsidRDefault="00835A84" w:rsidP="00835A84">
      <w:pPr>
        <w:tabs>
          <w:tab w:val="left" w:pos="567"/>
          <w:tab w:val="left" w:pos="1134"/>
        </w:tabs>
        <w:ind w:firstLine="567"/>
        <w:jc w:val="center"/>
        <w:rPr>
          <w:u w:val="single"/>
        </w:rPr>
      </w:pPr>
    </w:p>
    <w:p w:rsidR="00835A84" w:rsidRDefault="00835A84" w:rsidP="00875A8E">
      <w:pPr>
        <w:tabs>
          <w:tab w:val="left" w:pos="567"/>
        </w:tabs>
        <w:ind w:left="1276"/>
        <w:rPr>
          <w:b/>
          <w:bCs/>
          <w:sz w:val="28"/>
        </w:rPr>
      </w:pPr>
      <w:r>
        <w:rPr>
          <w:b/>
          <w:bCs/>
          <w:sz w:val="28"/>
        </w:rPr>
        <w:t>Литва</w:t>
      </w:r>
      <w:r>
        <w:rPr>
          <w:rStyle w:val="FootnoteReference"/>
          <w:sz w:val="24"/>
          <w:vertAlign w:val="baseline"/>
        </w:rPr>
        <w:footnoteReference w:customMarkFollows="1" w:id="1"/>
        <w:t>*</w:t>
      </w: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pStyle w:val="FootnoteText"/>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p>
    <w:p w:rsidR="00835A84" w:rsidRDefault="00835A84" w:rsidP="00835A84">
      <w:pPr>
        <w:tabs>
          <w:tab w:val="left" w:pos="567"/>
          <w:tab w:val="left" w:pos="1134"/>
        </w:tabs>
        <w:ind w:firstLine="567"/>
      </w:pPr>
      <w:r>
        <w:rPr>
          <w:noProof/>
        </w:rPr>
        <w:pict>
          <v:shapetype id="_x0000_t202" coordsize="21600,21600" o:spt="202" path="m,l,21600r21600,l21600,xe">
            <v:stroke joinstyle="miter"/>
            <v:path gradientshapeok="t" o:connecttype="rect"/>
          </v:shapetype>
          <v:shape id="_x0000_s1028" type="#_x0000_t202" style="position:absolute;left:0;text-align:left;margin-left:-3.85pt;margin-top:97.35pt;width:239.45pt;height:32.35pt;z-index:1" stroked="f">
            <v:textbox style="mso-next-textbox:#_x0000_s1028">
              <w:txbxContent>
                <w:p w:rsidR="00E5489D" w:rsidRDefault="00D63928">
                  <w:pPr>
                    <w:rPr>
                      <w:lang w:val="en-US"/>
                    </w:rPr>
                  </w:pPr>
                  <w:r>
                    <w:rPr>
                      <w:lang w:val="en-US"/>
                    </w:rPr>
                    <w:t>07-64515</w:t>
                  </w:r>
                  <w:r>
                    <w:t>.</w:t>
                  </w:r>
                  <w:r>
                    <w:rPr>
                      <w:lang w:val="en-US"/>
                    </w:rPr>
                    <w:t>R</w:t>
                  </w:r>
                </w:p>
                <w:p w:rsidR="00D63928" w:rsidRPr="00E5489D" w:rsidRDefault="00E5489D">
                  <w:pPr>
                    <w:rPr>
                      <w:rFonts w:ascii="3 of 9 Barcode" w:hAnsi="3 of 9 Barcode"/>
                      <w:lang w:val="en-US"/>
                    </w:rPr>
                  </w:pPr>
                  <w:r w:rsidRPr="00E5489D">
                    <w:rPr>
                      <w:rFonts w:ascii="3 of 9 Barcode" w:hAnsi="3 of 9 Barcode"/>
                      <w:lang w:val="en-US"/>
                    </w:rPr>
                    <w:t>*0764515*</w:t>
                  </w:r>
                </w:p>
              </w:txbxContent>
            </v:textbox>
          </v:shape>
        </w:pict>
      </w:r>
    </w:p>
    <w:p w:rsidR="00835A84" w:rsidRDefault="00835A84" w:rsidP="00835A84">
      <w:pPr>
        <w:tabs>
          <w:tab w:val="left" w:pos="567"/>
          <w:tab w:val="left" w:pos="1134"/>
        </w:tabs>
        <w:ind w:firstLine="567"/>
        <w:jc w:val="center"/>
        <w:sectPr w:rsidR="00835A84" w:rsidSect="00E5489D">
          <w:headerReference w:type="default" r:id="rId8"/>
          <w:pgSz w:w="12242" w:h="15842" w:code="1"/>
          <w:pgMar w:top="1138" w:right="1195" w:bottom="1138" w:left="1195" w:header="562" w:footer="1296" w:gutter="0"/>
          <w:cols w:space="720"/>
        </w:sectPr>
      </w:pPr>
    </w:p>
    <w:p w:rsidR="00835A84" w:rsidRDefault="00835A84" w:rsidP="00835A84">
      <w:pPr>
        <w:pStyle w:val="Heading8"/>
        <w:tabs>
          <w:tab w:val="clear" w:pos="680"/>
          <w:tab w:val="clear" w:pos="1021"/>
          <w:tab w:val="left" w:pos="567"/>
          <w:tab w:val="left" w:pos="1134"/>
        </w:tabs>
        <w:spacing w:before="0"/>
        <w:ind w:firstLine="567"/>
        <w:rPr>
          <w:bCs/>
          <w:szCs w:val="20"/>
        </w:rPr>
      </w:pPr>
      <w:r>
        <w:rPr>
          <w:bCs/>
          <w:szCs w:val="20"/>
        </w:rPr>
        <w:t>ПРАВИТЕЛЬСТВО ЛИТОВСКОЙ РЕСПУБЛИКИ</w:t>
      </w:r>
    </w:p>
    <w:p w:rsidR="00835A84" w:rsidRDefault="00835A84" w:rsidP="00835A84">
      <w:pPr>
        <w:tabs>
          <w:tab w:val="left" w:pos="567"/>
          <w:tab w:val="left" w:pos="1134"/>
        </w:tabs>
        <w:spacing w:before="240"/>
        <w:ind w:firstLine="567"/>
        <w:jc w:val="center"/>
        <w:rPr>
          <w:b/>
          <w:bCs/>
          <w:sz w:val="22"/>
        </w:rPr>
      </w:pPr>
      <w:r>
        <w:rPr>
          <w:b/>
          <w:bCs/>
          <w:sz w:val="22"/>
        </w:rPr>
        <w:t>ПОСТАНОВЛЕНИЕ № </w:t>
      </w:r>
      <w:r w:rsidR="009B2CBF" w:rsidRPr="00F36E1B">
        <w:rPr>
          <w:b/>
          <w:bCs/>
          <w:noProof/>
          <w:sz w:val="24"/>
          <w:szCs w:val="24"/>
        </w:rPr>
        <w:t>1094</w:t>
      </w:r>
    </w:p>
    <w:p w:rsidR="00835A84" w:rsidRDefault="00835A84" w:rsidP="00835A84">
      <w:pPr>
        <w:tabs>
          <w:tab w:val="left" w:pos="567"/>
          <w:tab w:val="left" w:pos="1134"/>
        </w:tabs>
        <w:spacing w:before="240"/>
        <w:ind w:firstLine="567"/>
        <w:jc w:val="center"/>
        <w:rPr>
          <w:b/>
          <w:bCs/>
          <w:sz w:val="22"/>
        </w:rPr>
      </w:pPr>
      <w:r>
        <w:rPr>
          <w:b/>
          <w:bCs/>
          <w:sz w:val="22"/>
        </w:rPr>
        <w:t xml:space="preserve"> </w:t>
      </w:r>
      <w:r w:rsidR="009B2CBF" w:rsidRPr="00F36E1B">
        <w:rPr>
          <w:b/>
          <w:sz w:val="24"/>
          <w:szCs w:val="24"/>
        </w:rPr>
        <w:t>10</w:t>
      </w:r>
      <w:r w:rsidR="009B2CBF" w:rsidRPr="00F36E1B">
        <w:rPr>
          <w:b/>
          <w:bCs/>
          <w:sz w:val="24"/>
          <w:szCs w:val="24"/>
        </w:rPr>
        <w:t xml:space="preserve"> </w:t>
      </w:r>
      <w:r w:rsidR="009B2CBF" w:rsidRPr="00F36E1B">
        <w:rPr>
          <w:b/>
          <w:sz w:val="24"/>
          <w:szCs w:val="24"/>
        </w:rPr>
        <w:t>октября 2007 года</w:t>
      </w:r>
    </w:p>
    <w:p w:rsidR="00835A84" w:rsidRDefault="00835A84" w:rsidP="000A4C97">
      <w:pPr>
        <w:tabs>
          <w:tab w:val="left" w:pos="567"/>
          <w:tab w:val="left" w:pos="1134"/>
        </w:tabs>
        <w:spacing w:before="240" w:line="288" w:lineRule="auto"/>
        <w:jc w:val="center"/>
        <w:rPr>
          <w:b/>
          <w:bCs/>
          <w:sz w:val="22"/>
        </w:rPr>
      </w:pPr>
      <w:r>
        <w:rPr>
          <w:b/>
          <w:bCs/>
          <w:sz w:val="22"/>
        </w:rPr>
        <w:t xml:space="preserve">ОБ УТВЕРЖДЕНИИ ДОКЛАДА, ПРЕДСТАВЛЯЕМОГО В СООТВЕТСТВИИ </w:t>
      </w:r>
      <w:r>
        <w:rPr>
          <w:b/>
          <w:bCs/>
          <w:sz w:val="22"/>
        </w:rPr>
        <w:br/>
        <w:t xml:space="preserve">С КОНВЕНЦИЕЙ ОРГАНИЗАЦИИ ОБЪЕДИНЕННЫХ НАЦИЙ О ЛИКВИДАЦИИ </w:t>
      </w:r>
      <w:r>
        <w:rPr>
          <w:b/>
          <w:bCs/>
          <w:sz w:val="22"/>
        </w:rPr>
        <w:br/>
        <w:t>ВСЕХ ФОРМ ДИСКРИМИНАЦИИ В ОТНОШЕНИИ ЖЕНЩИН</w:t>
      </w:r>
    </w:p>
    <w:p w:rsidR="00835A84" w:rsidRDefault="00835A84" w:rsidP="00835A84">
      <w:pPr>
        <w:tabs>
          <w:tab w:val="left" w:pos="567"/>
          <w:tab w:val="left" w:pos="1134"/>
        </w:tabs>
        <w:spacing w:before="240"/>
        <w:ind w:firstLine="567"/>
        <w:jc w:val="center"/>
        <w:rPr>
          <w:sz w:val="22"/>
        </w:rPr>
      </w:pPr>
      <w:r>
        <w:rPr>
          <w:sz w:val="22"/>
        </w:rPr>
        <w:t>Вильнюс</w:t>
      </w:r>
    </w:p>
    <w:p w:rsidR="00835A84" w:rsidRDefault="00835A84" w:rsidP="00835A84">
      <w:pPr>
        <w:pStyle w:val="Header"/>
        <w:tabs>
          <w:tab w:val="clear" w:pos="4677"/>
          <w:tab w:val="clear" w:pos="9355"/>
          <w:tab w:val="left" w:pos="567"/>
          <w:tab w:val="left" w:pos="1134"/>
        </w:tabs>
        <w:spacing w:before="240"/>
        <w:ind w:firstLine="567"/>
        <w:rPr>
          <w:sz w:val="22"/>
        </w:rPr>
      </w:pPr>
    </w:p>
    <w:p w:rsidR="00835A84" w:rsidRPr="009B2CBF" w:rsidRDefault="009B2CBF" w:rsidP="00835A84">
      <w:pPr>
        <w:tabs>
          <w:tab w:val="left" w:pos="567"/>
          <w:tab w:val="left" w:pos="1134"/>
        </w:tabs>
        <w:spacing w:before="240"/>
        <w:ind w:firstLine="567"/>
        <w:jc w:val="both"/>
        <w:rPr>
          <w:sz w:val="22"/>
        </w:rPr>
      </w:pPr>
      <w:r w:rsidRPr="009B2CBF">
        <w:rPr>
          <w:bCs/>
          <w:sz w:val="22"/>
          <w:szCs w:val="22"/>
        </w:rPr>
        <w:t>Во исполнение пункта 836 таблицы 2 "Мер по осуществлению обязательств согласно Программе правительства Литовской Республики на 2006–2008 годы" "Мер по осуществлению Программы правительства Литовской Республики на 2006–2008 годы", утвержденных Постановлением правительства Литовской Республики № 1020 от 17 октября 2006 года (</w:t>
      </w:r>
      <w:r w:rsidRPr="009B2CBF">
        <w:rPr>
          <w:i/>
          <w:iCs/>
          <w:sz w:val="22"/>
          <w:szCs w:val="22"/>
          <w:lang w:val="en-GB"/>
        </w:rPr>
        <w:t>Valstyb</w:t>
      </w:r>
      <w:r w:rsidRPr="009B2CBF">
        <w:rPr>
          <w:i/>
          <w:iCs/>
          <w:sz w:val="22"/>
          <w:szCs w:val="22"/>
        </w:rPr>
        <w:t>ė</w:t>
      </w:r>
      <w:r w:rsidRPr="009B2CBF">
        <w:rPr>
          <w:i/>
          <w:iCs/>
          <w:sz w:val="22"/>
          <w:szCs w:val="22"/>
          <w:lang w:val="en-GB"/>
        </w:rPr>
        <w:t>s</w:t>
      </w:r>
      <w:r w:rsidRPr="009B2CBF">
        <w:rPr>
          <w:i/>
          <w:iCs/>
          <w:sz w:val="22"/>
          <w:szCs w:val="22"/>
        </w:rPr>
        <w:t xml:space="preserve"> ž</w:t>
      </w:r>
      <w:r w:rsidRPr="009B2CBF">
        <w:rPr>
          <w:i/>
          <w:iCs/>
          <w:sz w:val="22"/>
          <w:szCs w:val="22"/>
          <w:lang w:val="en-GB"/>
        </w:rPr>
        <w:t>inios</w:t>
      </w:r>
      <w:r w:rsidRPr="009B2CBF">
        <w:rPr>
          <w:i/>
          <w:iCs/>
          <w:sz w:val="22"/>
          <w:szCs w:val="22"/>
        </w:rPr>
        <w:t xml:space="preserve"> </w:t>
      </w:r>
      <w:r w:rsidRPr="009B2CBF">
        <w:rPr>
          <w:bCs/>
          <w:sz w:val="22"/>
          <w:szCs w:val="22"/>
        </w:rPr>
        <w:t>(Правительственная газета) № 112</w:t>
      </w:r>
      <w:r w:rsidRPr="009B2CBF">
        <w:rPr>
          <w:bCs/>
          <w:sz w:val="22"/>
          <w:szCs w:val="22"/>
        </w:rPr>
        <w:noBreakHyphen/>
        <w:t>4273, 2006 год), и пункта 1 b) статьи 18 Конвенции Организации Объединенных Наций о ликвидации всех форм дискриминации в отношении женщин (</w:t>
      </w:r>
      <w:r w:rsidRPr="009B2CBF">
        <w:rPr>
          <w:i/>
          <w:iCs/>
          <w:sz w:val="22"/>
          <w:szCs w:val="22"/>
          <w:lang w:val="en-GB"/>
        </w:rPr>
        <w:t>Valstyb</w:t>
      </w:r>
      <w:r w:rsidRPr="009B2CBF">
        <w:rPr>
          <w:i/>
          <w:iCs/>
          <w:sz w:val="22"/>
          <w:szCs w:val="22"/>
        </w:rPr>
        <w:t>ė</w:t>
      </w:r>
      <w:r w:rsidRPr="009B2CBF">
        <w:rPr>
          <w:i/>
          <w:iCs/>
          <w:sz w:val="22"/>
          <w:szCs w:val="22"/>
          <w:lang w:val="en-GB"/>
        </w:rPr>
        <w:t>s</w:t>
      </w:r>
      <w:r w:rsidRPr="009B2CBF">
        <w:rPr>
          <w:i/>
          <w:iCs/>
          <w:sz w:val="22"/>
          <w:szCs w:val="22"/>
        </w:rPr>
        <w:t xml:space="preserve"> ž</w:t>
      </w:r>
      <w:r w:rsidRPr="009B2CBF">
        <w:rPr>
          <w:i/>
          <w:iCs/>
          <w:sz w:val="22"/>
          <w:szCs w:val="22"/>
          <w:lang w:val="en-GB"/>
        </w:rPr>
        <w:t>inios</w:t>
      </w:r>
      <w:r w:rsidRPr="009B2CBF">
        <w:rPr>
          <w:i/>
          <w:iCs/>
          <w:sz w:val="22"/>
          <w:szCs w:val="22"/>
        </w:rPr>
        <w:t xml:space="preserve"> </w:t>
      </w:r>
      <w:r w:rsidRPr="009B2CBF">
        <w:rPr>
          <w:bCs/>
          <w:sz w:val="22"/>
          <w:szCs w:val="22"/>
        </w:rPr>
        <w:t>(Правительственная газета) № 21</w:t>
      </w:r>
      <w:r w:rsidRPr="009B2CBF">
        <w:rPr>
          <w:bCs/>
          <w:sz w:val="22"/>
          <w:szCs w:val="22"/>
        </w:rPr>
        <w:noBreakHyphen/>
        <w:t>549, 1996 год), ратифицированной Постановлением сейма Литовской Республики № I-1035 "О ратификации Конвенции Организации Объединенных Наций о ликвидации всех форм дискриминации в отношении женщин" от 10 сентября 1995 года (</w:t>
      </w:r>
      <w:r w:rsidRPr="009B2CBF">
        <w:rPr>
          <w:i/>
          <w:iCs/>
          <w:sz w:val="22"/>
          <w:szCs w:val="22"/>
          <w:lang w:val="en-GB"/>
        </w:rPr>
        <w:t>Valstyb</w:t>
      </w:r>
      <w:r w:rsidRPr="009B2CBF">
        <w:rPr>
          <w:i/>
          <w:iCs/>
          <w:sz w:val="22"/>
          <w:szCs w:val="22"/>
        </w:rPr>
        <w:t>ė</w:t>
      </w:r>
      <w:r w:rsidRPr="009B2CBF">
        <w:rPr>
          <w:i/>
          <w:iCs/>
          <w:sz w:val="22"/>
          <w:szCs w:val="22"/>
          <w:lang w:val="en-GB"/>
        </w:rPr>
        <w:t>s</w:t>
      </w:r>
      <w:r w:rsidRPr="009B2CBF">
        <w:rPr>
          <w:i/>
          <w:iCs/>
          <w:sz w:val="22"/>
          <w:szCs w:val="22"/>
        </w:rPr>
        <w:t xml:space="preserve"> ž</w:t>
      </w:r>
      <w:r w:rsidRPr="009B2CBF">
        <w:rPr>
          <w:i/>
          <w:iCs/>
          <w:sz w:val="22"/>
          <w:szCs w:val="22"/>
          <w:lang w:val="en-GB"/>
        </w:rPr>
        <w:t>inios</w:t>
      </w:r>
      <w:r w:rsidRPr="009B2CBF">
        <w:rPr>
          <w:i/>
          <w:iCs/>
          <w:sz w:val="22"/>
          <w:szCs w:val="22"/>
        </w:rPr>
        <w:t xml:space="preserve"> </w:t>
      </w:r>
      <w:r w:rsidRPr="009B2CBF">
        <w:rPr>
          <w:bCs/>
          <w:sz w:val="22"/>
          <w:szCs w:val="22"/>
        </w:rPr>
        <w:t>(Правительственная газета) № 76</w:t>
      </w:r>
      <w:r w:rsidRPr="009B2CBF">
        <w:rPr>
          <w:bCs/>
          <w:sz w:val="22"/>
          <w:szCs w:val="22"/>
        </w:rPr>
        <w:noBreakHyphen/>
        <w:t>1764, 1995 год), правительство Литовской Республики постановляет:</w:t>
      </w:r>
    </w:p>
    <w:p w:rsidR="00835A84" w:rsidRPr="00835A84" w:rsidRDefault="00835A84" w:rsidP="00835A84">
      <w:pPr>
        <w:tabs>
          <w:tab w:val="left" w:pos="567"/>
          <w:tab w:val="left" w:pos="1134"/>
        </w:tabs>
        <w:spacing w:before="240"/>
        <w:ind w:firstLine="567"/>
        <w:jc w:val="both"/>
        <w:rPr>
          <w:sz w:val="22"/>
        </w:rPr>
      </w:pPr>
      <w:r>
        <w:rPr>
          <w:sz w:val="22"/>
        </w:rPr>
        <w:t>1.</w:t>
      </w:r>
      <w:r>
        <w:rPr>
          <w:sz w:val="22"/>
        </w:rPr>
        <w:tab/>
      </w:r>
      <w:r w:rsidRPr="00835A84">
        <w:rPr>
          <w:bCs/>
          <w:sz w:val="22"/>
          <w:szCs w:val="22"/>
        </w:rPr>
        <w:t>Утвердить четвертый доклад об осуществлении в Литовской Республике Конвенции Организации Объединенных Наций о ликвидации всех форм дискриминации в отношении женщин (прилагается);</w:t>
      </w:r>
    </w:p>
    <w:p w:rsidR="00835A84" w:rsidRPr="00835A84" w:rsidRDefault="00835A84" w:rsidP="00835A84">
      <w:pPr>
        <w:tabs>
          <w:tab w:val="left" w:pos="567"/>
          <w:tab w:val="left" w:pos="1134"/>
        </w:tabs>
        <w:spacing w:before="240"/>
        <w:ind w:firstLine="567"/>
        <w:jc w:val="both"/>
        <w:rPr>
          <w:sz w:val="22"/>
        </w:rPr>
      </w:pPr>
      <w:r>
        <w:rPr>
          <w:sz w:val="22"/>
        </w:rPr>
        <w:t>2.</w:t>
      </w:r>
      <w:r>
        <w:rPr>
          <w:sz w:val="22"/>
        </w:rPr>
        <w:tab/>
      </w:r>
      <w:r w:rsidRPr="00835A84">
        <w:rPr>
          <w:bCs/>
          <w:sz w:val="22"/>
          <w:szCs w:val="22"/>
        </w:rPr>
        <w:t>Поручить Министерству иностранных дел представить в установленном порядке вышеупомянутый доклад Генеральному секретарю Организации Объединенных Наций.</w:t>
      </w:r>
    </w:p>
    <w:p w:rsidR="00835A84" w:rsidRDefault="00835A84" w:rsidP="00835A84">
      <w:pPr>
        <w:tabs>
          <w:tab w:val="left" w:pos="567"/>
          <w:tab w:val="left" w:pos="1134"/>
        </w:tabs>
        <w:spacing w:before="240"/>
        <w:ind w:firstLine="567"/>
        <w:jc w:val="both"/>
        <w:rPr>
          <w:sz w:val="22"/>
        </w:rPr>
      </w:pPr>
    </w:p>
    <w:p w:rsidR="00835A84" w:rsidRDefault="00835A84" w:rsidP="0091164C">
      <w:pPr>
        <w:tabs>
          <w:tab w:val="left" w:pos="567"/>
          <w:tab w:val="left" w:pos="1134"/>
        </w:tabs>
        <w:spacing w:before="240"/>
        <w:jc w:val="both"/>
        <w:rPr>
          <w:sz w:val="22"/>
        </w:rPr>
      </w:pPr>
      <w:r w:rsidRPr="00270CFA">
        <w:rPr>
          <w:sz w:val="22"/>
          <w:szCs w:val="22"/>
        </w:rPr>
        <w:t>Премьер-министр</w:t>
      </w:r>
      <w:r>
        <w:rPr>
          <w:sz w:val="22"/>
        </w:rPr>
        <w:tab/>
      </w:r>
      <w:r>
        <w:rPr>
          <w:sz w:val="22"/>
        </w:rPr>
        <w:tab/>
      </w:r>
      <w:r>
        <w:rPr>
          <w:sz w:val="22"/>
        </w:rPr>
        <w:tab/>
      </w:r>
      <w:r w:rsidR="00875A8E">
        <w:rPr>
          <w:sz w:val="22"/>
        </w:rPr>
        <w:tab/>
      </w:r>
      <w:r w:rsidRPr="00270CFA">
        <w:rPr>
          <w:sz w:val="22"/>
          <w:szCs w:val="22"/>
        </w:rPr>
        <w:t>Гедиминас Киркилас</w:t>
      </w:r>
    </w:p>
    <w:p w:rsidR="00835A84" w:rsidRDefault="00835A84" w:rsidP="0091164C">
      <w:pPr>
        <w:tabs>
          <w:tab w:val="left" w:pos="567"/>
          <w:tab w:val="left" w:pos="1134"/>
        </w:tabs>
        <w:spacing w:before="120"/>
        <w:jc w:val="both"/>
        <w:rPr>
          <w:sz w:val="22"/>
        </w:rPr>
      </w:pPr>
      <w:r w:rsidRPr="00270CFA">
        <w:rPr>
          <w:sz w:val="22"/>
          <w:szCs w:val="22"/>
        </w:rPr>
        <w:t>Министр иностранных дел</w:t>
      </w:r>
      <w:r>
        <w:rPr>
          <w:sz w:val="22"/>
        </w:rPr>
        <w:tab/>
      </w:r>
      <w:r>
        <w:rPr>
          <w:sz w:val="22"/>
        </w:rPr>
        <w:tab/>
      </w:r>
      <w:r w:rsidRPr="00270CFA">
        <w:rPr>
          <w:sz w:val="22"/>
          <w:szCs w:val="22"/>
        </w:rPr>
        <w:t>Пятрас Вайтекунас</w:t>
      </w:r>
    </w:p>
    <w:p w:rsidR="00835A84" w:rsidRDefault="00835A84" w:rsidP="00835A84">
      <w:pPr>
        <w:tabs>
          <w:tab w:val="left" w:pos="567"/>
          <w:tab w:val="left" w:pos="1134"/>
          <w:tab w:val="left" w:pos="4111"/>
        </w:tabs>
        <w:spacing w:before="120"/>
        <w:ind w:firstLine="567"/>
        <w:jc w:val="both"/>
        <w:rPr>
          <w:sz w:val="22"/>
        </w:rPr>
      </w:pPr>
      <w:r>
        <w:rPr>
          <w:sz w:val="22"/>
        </w:rPr>
        <w:br w:type="page"/>
      </w:r>
      <w:r>
        <w:rPr>
          <w:sz w:val="22"/>
        </w:rPr>
        <w:tab/>
      </w:r>
      <w:r>
        <w:rPr>
          <w:sz w:val="22"/>
        </w:rPr>
        <w:tab/>
      </w:r>
      <w:r>
        <w:rPr>
          <w:sz w:val="22"/>
        </w:rPr>
        <w:tab/>
      </w:r>
      <w:r>
        <w:rPr>
          <w:sz w:val="22"/>
        </w:rPr>
        <w:tab/>
      </w:r>
      <w:r>
        <w:rPr>
          <w:sz w:val="22"/>
        </w:rPr>
        <w:tab/>
        <w:t>УТВЕРЖДЕНО</w:t>
      </w:r>
    </w:p>
    <w:p w:rsidR="00835A84" w:rsidRDefault="00835A84" w:rsidP="00835A84">
      <w:pPr>
        <w:tabs>
          <w:tab w:val="left" w:pos="567"/>
          <w:tab w:val="left" w:pos="1134"/>
          <w:tab w:val="left" w:pos="4111"/>
        </w:tabs>
        <w:spacing w:before="120"/>
        <w:ind w:firstLine="567"/>
        <w:jc w:val="both"/>
        <w:rPr>
          <w:sz w:val="22"/>
        </w:rPr>
      </w:pPr>
      <w:r>
        <w:rPr>
          <w:sz w:val="22"/>
        </w:rPr>
        <w:tab/>
      </w:r>
      <w:r>
        <w:rPr>
          <w:sz w:val="22"/>
        </w:rPr>
        <w:tab/>
      </w:r>
      <w:r>
        <w:rPr>
          <w:sz w:val="22"/>
        </w:rPr>
        <w:tab/>
      </w:r>
      <w:r>
        <w:rPr>
          <w:sz w:val="22"/>
        </w:rPr>
        <w:tab/>
      </w:r>
      <w:r>
        <w:rPr>
          <w:sz w:val="22"/>
        </w:rPr>
        <w:tab/>
        <w:t>постановлением № </w:t>
      </w:r>
      <w:r w:rsidRPr="00835A84">
        <w:rPr>
          <w:sz w:val="22"/>
          <w:szCs w:val="22"/>
        </w:rPr>
        <w:t>1094</w:t>
      </w:r>
      <w:r>
        <w:rPr>
          <w:sz w:val="22"/>
        </w:rPr>
        <w:t xml:space="preserve"> </w:t>
      </w:r>
    </w:p>
    <w:p w:rsidR="00835A84" w:rsidRDefault="00835A84" w:rsidP="00835A84">
      <w:pPr>
        <w:tabs>
          <w:tab w:val="left" w:pos="567"/>
          <w:tab w:val="left" w:pos="1134"/>
          <w:tab w:val="left" w:pos="4111"/>
        </w:tabs>
        <w:spacing w:before="120"/>
        <w:ind w:firstLine="567"/>
        <w:jc w:val="both"/>
        <w:rPr>
          <w:sz w:val="22"/>
        </w:rPr>
      </w:pPr>
      <w:r>
        <w:rPr>
          <w:sz w:val="22"/>
        </w:rPr>
        <w:tab/>
      </w:r>
      <w:r>
        <w:rPr>
          <w:sz w:val="22"/>
        </w:rPr>
        <w:tab/>
      </w:r>
      <w:r>
        <w:rPr>
          <w:sz w:val="22"/>
        </w:rPr>
        <w:tab/>
      </w:r>
      <w:r>
        <w:rPr>
          <w:sz w:val="22"/>
        </w:rPr>
        <w:tab/>
      </w:r>
      <w:r>
        <w:rPr>
          <w:sz w:val="22"/>
        </w:rPr>
        <w:tab/>
        <w:t xml:space="preserve">Правительства Литовской Республики </w:t>
      </w:r>
    </w:p>
    <w:p w:rsidR="00835A84" w:rsidRDefault="00835A84" w:rsidP="00835A84">
      <w:pPr>
        <w:tabs>
          <w:tab w:val="left" w:pos="567"/>
          <w:tab w:val="left" w:pos="1134"/>
          <w:tab w:val="left" w:pos="4111"/>
        </w:tabs>
        <w:spacing w:before="120"/>
        <w:ind w:firstLine="567"/>
        <w:jc w:val="both"/>
        <w:rPr>
          <w:sz w:val="22"/>
        </w:rPr>
      </w:pPr>
      <w:r>
        <w:rPr>
          <w:sz w:val="22"/>
        </w:rPr>
        <w:tab/>
      </w:r>
      <w:r>
        <w:rPr>
          <w:sz w:val="22"/>
        </w:rPr>
        <w:tab/>
      </w:r>
      <w:r>
        <w:rPr>
          <w:sz w:val="22"/>
        </w:rPr>
        <w:tab/>
      </w:r>
      <w:r>
        <w:rPr>
          <w:sz w:val="22"/>
        </w:rPr>
        <w:tab/>
      </w:r>
      <w:r>
        <w:rPr>
          <w:sz w:val="22"/>
        </w:rPr>
        <w:tab/>
        <w:t>о</w:t>
      </w:r>
      <w:r w:rsidRPr="00F36E1B">
        <w:rPr>
          <w:sz w:val="24"/>
          <w:szCs w:val="24"/>
        </w:rPr>
        <w:t>т 10 октября 2007 года</w:t>
      </w:r>
      <w:r>
        <w:rPr>
          <w:sz w:val="22"/>
        </w:rPr>
        <w:t xml:space="preserve"> </w:t>
      </w:r>
    </w:p>
    <w:p w:rsidR="00835A84" w:rsidRDefault="00835A84" w:rsidP="00835A84">
      <w:pPr>
        <w:tabs>
          <w:tab w:val="left" w:pos="567"/>
          <w:tab w:val="left" w:pos="1134"/>
        </w:tabs>
        <w:spacing w:before="240"/>
        <w:ind w:firstLine="567"/>
        <w:jc w:val="both"/>
        <w:rPr>
          <w:sz w:val="22"/>
        </w:rPr>
      </w:pPr>
    </w:p>
    <w:p w:rsidR="00835A84" w:rsidRDefault="00835A84" w:rsidP="00C603EC">
      <w:pPr>
        <w:tabs>
          <w:tab w:val="left" w:pos="567"/>
          <w:tab w:val="left" w:pos="1134"/>
        </w:tabs>
        <w:spacing w:before="240"/>
        <w:jc w:val="center"/>
        <w:rPr>
          <w:b/>
          <w:bCs/>
          <w:sz w:val="22"/>
        </w:rPr>
      </w:pPr>
      <w:r w:rsidRPr="009F0266">
        <w:rPr>
          <w:b/>
          <w:bCs/>
          <w:sz w:val="24"/>
          <w:szCs w:val="24"/>
        </w:rPr>
        <w:t>ЧЕТВЕРТ</w:t>
      </w:r>
      <w:r>
        <w:rPr>
          <w:b/>
          <w:bCs/>
          <w:sz w:val="24"/>
          <w:szCs w:val="24"/>
        </w:rPr>
        <w:t>ЫЙ</w:t>
      </w:r>
      <w:r w:rsidRPr="009F0266">
        <w:rPr>
          <w:b/>
          <w:bCs/>
          <w:sz w:val="24"/>
          <w:szCs w:val="24"/>
        </w:rPr>
        <w:t xml:space="preserve"> </w:t>
      </w:r>
      <w:r>
        <w:rPr>
          <w:b/>
          <w:bCs/>
          <w:sz w:val="24"/>
          <w:szCs w:val="24"/>
        </w:rPr>
        <w:t>Д</w:t>
      </w:r>
      <w:r w:rsidRPr="009F0266">
        <w:rPr>
          <w:b/>
          <w:bCs/>
          <w:sz w:val="24"/>
          <w:szCs w:val="24"/>
        </w:rPr>
        <w:t>О</w:t>
      </w:r>
      <w:r>
        <w:rPr>
          <w:b/>
          <w:bCs/>
          <w:sz w:val="24"/>
          <w:szCs w:val="24"/>
        </w:rPr>
        <w:t>КЛАД</w:t>
      </w:r>
      <w:r w:rsidRPr="009F0266">
        <w:rPr>
          <w:b/>
          <w:bCs/>
          <w:sz w:val="24"/>
          <w:szCs w:val="24"/>
        </w:rPr>
        <w:t xml:space="preserve"> О</w:t>
      </w:r>
      <w:r>
        <w:rPr>
          <w:b/>
          <w:bCs/>
          <w:sz w:val="24"/>
          <w:szCs w:val="24"/>
        </w:rPr>
        <w:t>Б</w:t>
      </w:r>
      <w:r w:rsidRPr="009F0266">
        <w:rPr>
          <w:b/>
          <w:bCs/>
          <w:sz w:val="24"/>
          <w:szCs w:val="24"/>
        </w:rPr>
        <w:t xml:space="preserve"> О</w:t>
      </w:r>
      <w:r>
        <w:rPr>
          <w:b/>
          <w:bCs/>
          <w:sz w:val="24"/>
          <w:szCs w:val="24"/>
        </w:rPr>
        <w:t>СУЩЕСТВЛ</w:t>
      </w:r>
      <w:r w:rsidRPr="009F0266">
        <w:rPr>
          <w:b/>
          <w:bCs/>
          <w:sz w:val="24"/>
          <w:szCs w:val="24"/>
        </w:rPr>
        <w:t>ЕНИ</w:t>
      </w:r>
      <w:r>
        <w:rPr>
          <w:b/>
          <w:bCs/>
          <w:sz w:val="24"/>
          <w:szCs w:val="24"/>
        </w:rPr>
        <w:t>И</w:t>
      </w:r>
      <w:r w:rsidRPr="009F0266">
        <w:rPr>
          <w:b/>
          <w:bCs/>
          <w:sz w:val="24"/>
          <w:szCs w:val="24"/>
        </w:rPr>
        <w:t xml:space="preserve"> ЛИТ</w:t>
      </w:r>
      <w:r>
        <w:rPr>
          <w:b/>
          <w:bCs/>
          <w:sz w:val="24"/>
          <w:szCs w:val="24"/>
        </w:rPr>
        <w:t>О</w:t>
      </w:r>
      <w:r w:rsidRPr="009F0266">
        <w:rPr>
          <w:b/>
          <w:bCs/>
          <w:sz w:val="24"/>
          <w:szCs w:val="24"/>
        </w:rPr>
        <w:t>В</w:t>
      </w:r>
      <w:r>
        <w:rPr>
          <w:b/>
          <w:bCs/>
          <w:sz w:val="24"/>
          <w:szCs w:val="24"/>
        </w:rPr>
        <w:t>СКОЙ РЕСПУБЛИКОЙ</w:t>
      </w:r>
      <w:r w:rsidRPr="009F0266">
        <w:rPr>
          <w:b/>
          <w:bCs/>
          <w:sz w:val="24"/>
          <w:szCs w:val="24"/>
        </w:rPr>
        <w:t xml:space="preserve"> </w:t>
      </w:r>
      <w:r>
        <w:rPr>
          <w:b/>
          <w:bCs/>
          <w:sz w:val="24"/>
          <w:szCs w:val="24"/>
        </w:rPr>
        <w:t>КОНВЕНЦИИ</w:t>
      </w:r>
      <w:r w:rsidRPr="009F0266">
        <w:rPr>
          <w:b/>
          <w:bCs/>
          <w:sz w:val="24"/>
          <w:szCs w:val="24"/>
        </w:rPr>
        <w:t xml:space="preserve"> ОРГАНИЗАЦИИ ОБЪЕДИНЕННЫХ НАЦИЙ </w:t>
      </w:r>
      <w:r>
        <w:rPr>
          <w:b/>
          <w:bCs/>
          <w:sz w:val="24"/>
          <w:szCs w:val="24"/>
        </w:rPr>
        <w:t>О ЛИКВИДАЦИИ ВСЕХ ФОРМ ДИСКРИМИНАЦИИ В ОТНОШЕНИИ ЖЕНЩИН</w:t>
      </w:r>
    </w:p>
    <w:p w:rsidR="00835A84" w:rsidRDefault="00835A84" w:rsidP="0091164C">
      <w:pPr>
        <w:spacing w:before="240"/>
        <w:jc w:val="center"/>
        <w:rPr>
          <w:b/>
          <w:bCs/>
          <w:sz w:val="22"/>
        </w:rPr>
      </w:pPr>
      <w:smartTag w:uri="urn:schemas-microsoft-com:office:smarttags" w:element="place">
        <w:r>
          <w:rPr>
            <w:b/>
            <w:bCs/>
            <w:sz w:val="22"/>
            <w:lang w:val="en-US"/>
          </w:rPr>
          <w:t>I</w:t>
        </w:r>
        <w:r>
          <w:rPr>
            <w:b/>
            <w:bCs/>
            <w:sz w:val="22"/>
          </w:rPr>
          <w:t>.</w:t>
        </w:r>
      </w:smartTag>
      <w:r>
        <w:rPr>
          <w:b/>
          <w:bCs/>
          <w:sz w:val="22"/>
        </w:rPr>
        <w:t xml:space="preserve">  ВВЕДЕНИЕ</w:t>
      </w:r>
    </w:p>
    <w:p w:rsidR="00835A84" w:rsidRPr="009F0266" w:rsidRDefault="00835A84" w:rsidP="00835A84">
      <w:pPr>
        <w:pStyle w:val="BodyTextIndent"/>
        <w:tabs>
          <w:tab w:val="clear" w:pos="680"/>
          <w:tab w:val="clear" w:pos="1021"/>
          <w:tab w:val="left" w:pos="567"/>
          <w:tab w:val="left" w:pos="1134"/>
        </w:tabs>
        <w:ind w:left="4253" w:firstLine="567"/>
        <w:rPr>
          <w:sz w:val="24"/>
        </w:rPr>
      </w:pP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szCs w:val="22"/>
          <w:lang w:val="ru-RU"/>
        </w:rPr>
        <w:t>Правительство</w:t>
      </w:r>
      <w:r w:rsidRPr="00F04E0A">
        <w:rPr>
          <w:b w:val="0"/>
          <w:bCs/>
          <w:szCs w:val="22"/>
          <w:lang w:val="ru-RU"/>
        </w:rPr>
        <w:t xml:space="preserve"> Литовской Республики (в дальнейшем именуемое "правительство") настоящим представляет четвертый периодический доклад об осуществлении Литовской Республикой Конвенции Организации Объединенных Наций о ликвидации всех форм дискриминации в отношении женщин (в дальнейшем именуемой "Конвенция") в соответствии с пунктом 1 </w:t>
      </w:r>
      <w:r w:rsidRPr="00F04E0A">
        <w:rPr>
          <w:b w:val="0"/>
          <w:bCs/>
          <w:szCs w:val="22"/>
        </w:rPr>
        <w:t>b</w:t>
      </w:r>
      <w:r w:rsidRPr="00F04E0A">
        <w:rPr>
          <w:b w:val="0"/>
          <w:bCs/>
          <w:szCs w:val="22"/>
          <w:lang w:val="ru-RU"/>
        </w:rPr>
        <w:t>) статьи 18 Конвенции (в дальнейшем именуемый "этот доклад"). Этот доклад был подготовлен в соответствии с Руководящими принципами и общими рекомендациями по подготовке докладов, одобренными Комитетом Организации Объединенных Наций по ликвидации дискриминации в отношении женщин. Этот доклад содержит информацию об успехах, достигнутых Литовской Республикой при осуществлении Конвенции в период с 4</w:t>
      </w:r>
      <w:r w:rsidRPr="00F04E0A">
        <w:rPr>
          <w:b w:val="0"/>
          <w:bCs/>
          <w:szCs w:val="22"/>
          <w:lang w:val="ru-RU"/>
        </w:rPr>
        <w:noBreakHyphen/>
        <w:t>го квартала 2004</w:t>
      </w:r>
      <w:r w:rsidRPr="00F04E0A">
        <w:rPr>
          <w:b w:val="0"/>
          <w:szCs w:val="22"/>
          <w:lang w:val="ru-RU"/>
        </w:rPr>
        <w:t> </w:t>
      </w:r>
      <w:r w:rsidRPr="00F04E0A">
        <w:rPr>
          <w:b w:val="0"/>
          <w:bCs/>
          <w:szCs w:val="22"/>
          <w:lang w:val="ru-RU"/>
        </w:rPr>
        <w:t>года по 1</w:t>
      </w:r>
      <w:r w:rsidRPr="00F04E0A">
        <w:rPr>
          <w:b w:val="0"/>
          <w:bCs/>
          <w:szCs w:val="22"/>
          <w:lang w:val="ru-RU"/>
        </w:rPr>
        <w:noBreakHyphen/>
        <w:t>й квартал 2007 года, и информацию, представленную в соответствии с заключительными замечаниями Комитета Организации Объединенных Наций по ликвидации дискриминации в отношении женщин по поводу первоначального доклада и второго периодического доклада Литвы, которые были рассмотрены Комитетом на его 23</w:t>
      </w:r>
      <w:r w:rsidRPr="00F04E0A">
        <w:rPr>
          <w:b w:val="0"/>
          <w:bCs/>
          <w:szCs w:val="22"/>
          <w:lang w:val="ru-RU"/>
        </w:rPr>
        <w:noBreakHyphen/>
        <w:t>й сессии 12–30</w:t>
      </w:r>
      <w:r w:rsidRPr="00F04E0A">
        <w:rPr>
          <w:b w:val="0"/>
          <w:szCs w:val="22"/>
          <w:lang w:val="ru-RU"/>
        </w:rPr>
        <w:t> </w:t>
      </w:r>
      <w:r w:rsidRPr="00F04E0A">
        <w:rPr>
          <w:b w:val="0"/>
          <w:bCs/>
          <w:szCs w:val="22"/>
          <w:lang w:val="ru-RU"/>
        </w:rPr>
        <w:t>июня 2000 года в Нью-Йорке, с дополнением информации, предоставленной в третьем периодическом докладе об осуществлении Литовской Республикой Конвенции Организации Объединенных Наций о ликвидации всех форм дискриминации в отношении женщин, утвержденном Постановлением № 1497 от 25 ноября 2004 года правительства Литовской Республики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bCs/>
          <w:szCs w:val="22"/>
          <w:lang w:val="ru-RU"/>
        </w:rPr>
        <w:t>(Правительственная газета) № 173-6395, 2004 год) (в дальнейшем именуемым "третий доклад").</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Этот доклад подготовлен Комиссией, учрежденной министром социального обеспечения и труда. В состав Комиссии входят представители Министерства социального обеспечения и труда, Министерства здравоохранения, Министерства образования и науки, Министерства юстиции, Министерства внутренних дел и Министерства иностранных дел. Проект доклада рассматривался Комиссией по вопросам равных возможностей женщин и мужчин, в которую входят представители не только из правительственных учреждений, но также и из НПО. Проект доклада был также представлен другим неправительственным организациям Литвы, которые присутствовали в заседании вышеупомянутой Комиссии, и им была предоставлена возможность представить свои замечания и комментарии.</w:t>
      </w:r>
    </w:p>
    <w:p w:rsidR="00835A84" w:rsidRPr="00F04E0A" w:rsidRDefault="00835A84" w:rsidP="00835A84">
      <w:pPr>
        <w:pStyle w:val="BodyText"/>
        <w:tabs>
          <w:tab w:val="left" w:pos="567"/>
          <w:tab w:val="left" w:pos="1134"/>
        </w:tabs>
        <w:spacing w:before="0" w:after="200"/>
        <w:ind w:firstLine="567"/>
        <w:rPr>
          <w:b w:val="0"/>
          <w:bCs/>
          <w:szCs w:val="22"/>
          <w:lang w:val="ru-RU"/>
        </w:rPr>
      </w:pPr>
    </w:p>
    <w:p w:rsidR="00835A84" w:rsidRPr="00835A84" w:rsidRDefault="00835A84" w:rsidP="00835A84">
      <w:pPr>
        <w:pStyle w:val="BodyText"/>
        <w:tabs>
          <w:tab w:val="left" w:pos="567"/>
          <w:tab w:val="left" w:pos="1134"/>
        </w:tabs>
        <w:spacing w:before="0" w:after="200"/>
        <w:ind w:firstLine="567"/>
        <w:rPr>
          <w:b w:val="0"/>
          <w:bCs/>
          <w:szCs w:val="22"/>
          <w:lang w:val="ru-RU"/>
        </w:rPr>
      </w:pPr>
    </w:p>
    <w:p w:rsidR="00835A84" w:rsidRPr="00F04E0A" w:rsidRDefault="00835A84" w:rsidP="00C603EC">
      <w:pPr>
        <w:pStyle w:val="BodyText"/>
        <w:tabs>
          <w:tab w:val="left" w:pos="567"/>
          <w:tab w:val="left" w:pos="1134"/>
        </w:tabs>
        <w:spacing w:before="0" w:after="200"/>
        <w:jc w:val="center"/>
        <w:rPr>
          <w:bCs/>
          <w:szCs w:val="22"/>
          <w:lang w:val="ru-RU"/>
        </w:rPr>
      </w:pPr>
      <w:r w:rsidRPr="00F04E0A">
        <w:rPr>
          <w:caps/>
          <w:szCs w:val="22"/>
        </w:rPr>
        <w:t>II</w:t>
      </w:r>
      <w:r w:rsidRPr="00F04E0A">
        <w:rPr>
          <w:caps/>
          <w:szCs w:val="22"/>
          <w:lang w:val="ru-RU"/>
        </w:rPr>
        <w:t xml:space="preserve">. </w:t>
      </w:r>
      <w:r>
        <w:rPr>
          <w:caps/>
          <w:szCs w:val="22"/>
          <w:lang w:val="ru-RU"/>
        </w:rPr>
        <w:t xml:space="preserve"> </w:t>
      </w:r>
      <w:r w:rsidRPr="00F04E0A">
        <w:rPr>
          <w:bCs/>
          <w:caps/>
          <w:szCs w:val="22"/>
          <w:lang w:val="ru-RU"/>
        </w:rPr>
        <w:t>ИНФОРМАЦИЯ</w:t>
      </w:r>
      <w:r w:rsidRPr="00F04E0A">
        <w:rPr>
          <w:caps/>
          <w:szCs w:val="22"/>
          <w:lang w:val="ru-RU"/>
        </w:rPr>
        <w:t xml:space="preserve"> ОБ ОСУЩЕСТВЛЕНИИ СТАТЕЙ КОНВЕНЦИИ</w:t>
      </w:r>
    </w:p>
    <w:p w:rsidR="00835A84" w:rsidRPr="00F04E0A" w:rsidRDefault="00835A84" w:rsidP="00C603EC">
      <w:pPr>
        <w:tabs>
          <w:tab w:val="left" w:pos="567"/>
          <w:tab w:val="left" w:pos="1134"/>
        </w:tabs>
        <w:spacing w:after="200"/>
        <w:jc w:val="center"/>
        <w:rPr>
          <w:b/>
          <w:bCs/>
          <w:sz w:val="22"/>
          <w:szCs w:val="22"/>
        </w:rPr>
      </w:pPr>
      <w:r w:rsidRPr="00F04E0A">
        <w:rPr>
          <w:b/>
          <w:bCs/>
          <w:sz w:val="22"/>
          <w:szCs w:val="22"/>
        </w:rPr>
        <w:t>Статья 1</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18 июня 2002 года сейм Литовской Республики (в дальнейшем именуемый "сейм") исправил и дополнил Закон Литовской Республики о равных возможностях женщин и мужчин (</w:t>
      </w:r>
      <w:r w:rsidRPr="00F04E0A">
        <w:rPr>
          <w:b w:val="0"/>
          <w:bCs/>
          <w:i/>
          <w:iCs/>
          <w:szCs w:val="22"/>
          <w:lang w:val="ru-RU"/>
        </w:rPr>
        <w:t>Valstybės žinios</w:t>
      </w:r>
      <w:r w:rsidRPr="00F04E0A">
        <w:rPr>
          <w:b w:val="0"/>
          <w:bCs/>
          <w:szCs w:val="22"/>
          <w:lang w:val="ru-RU"/>
        </w:rPr>
        <w:t xml:space="preserve"> (Правительственная газета) № 112-2100, 1998 год) (в дальнейшем именуемый "Закон о равных возможностях женщин и мужчин"), в котором говорится, что любая дискриминация, не только прямая, но и косвенная, запрещается. В 2005 году понятие "дискриминация" было еще более расширено. С июля 2005 года это понятие, по определению Закона о равных возможностях женщин и мужчин (в соответствии с поправками к Закону № </w:t>
      </w:r>
      <w:r w:rsidRPr="00F04E0A">
        <w:rPr>
          <w:b w:val="0"/>
          <w:bCs/>
          <w:szCs w:val="22"/>
        </w:rPr>
        <w:t>X</w:t>
      </w:r>
      <w:r w:rsidRPr="00F04E0A">
        <w:rPr>
          <w:b w:val="0"/>
          <w:bCs/>
          <w:szCs w:val="22"/>
          <w:lang w:val="ru-RU"/>
        </w:rPr>
        <w:noBreakHyphen/>
        <w:t xml:space="preserve">304 от 5 июля 2005 года), охватывает не только прямую, косвенную дискриминацию и сексуальные домогательства, но также и дискриминацию по признаку пола и указания подвергнуть кого-либо дискриминации по признаку пола. Все эти формы дискриминации запрещаются. Дискриминация по признаку пола определяется как нежелательное поведение, которое оскорбляет или может оскорбить достоинство человека и создает или может создать угрожающую, враждебную, унизительную или причиняющую неудобства обстановку. Кроме того, оговаривается, что если дискриминация по признаку пола также связана с семьей или семейным положением, то это рассматривается как особо дискриминационный акт.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Была усилена защита против дискриминации. В Законе о равных возможностях женщин и мужчин (в соответствии с поправками к Закону № </w:t>
      </w:r>
      <w:r w:rsidRPr="00F04E0A">
        <w:rPr>
          <w:b w:val="0"/>
          <w:bCs/>
          <w:szCs w:val="22"/>
        </w:rPr>
        <w:t>X</w:t>
      </w:r>
      <w:r w:rsidRPr="00F04E0A">
        <w:rPr>
          <w:b w:val="0"/>
          <w:bCs/>
          <w:szCs w:val="22"/>
          <w:lang w:val="ru-RU"/>
        </w:rPr>
        <w:noBreakHyphen/>
        <w:t xml:space="preserve">304 от 5 июля 2005 года) предусмотрено, что отказ лица от дискриминационного поведения или подчинение ему не может использоваться как основание для вынесения решения против этого лица. В Законе также конкретизируется оговорка, касающаяся определения прямой дискриминации в отношении женщин и мужчин пенсионного возраста: пенсионный возраст женщин и мужчин в профессиональных программах пенсионного обеспечения должен быть равным. Кроме того, оговорка была добавлена к определению прямой дискриминации: продажа товаров или предоставление услуг исключительно или главным образом людям одного пола не будет считаться прямой дискриминацией по признаку пола, когда такая продажа товаров или предоставление услуг оправдывается законной целью, а средства достижения этой цели являются уместными и необходимыми. </w:t>
      </w:r>
    </w:p>
    <w:p w:rsidR="00835A84" w:rsidRPr="00F04E0A" w:rsidRDefault="00835A84" w:rsidP="00C603EC">
      <w:pPr>
        <w:pStyle w:val="BodyText"/>
        <w:tabs>
          <w:tab w:val="left" w:pos="567"/>
          <w:tab w:val="left" w:pos="1134"/>
        </w:tabs>
        <w:spacing w:before="0" w:after="200"/>
        <w:jc w:val="center"/>
        <w:rPr>
          <w:szCs w:val="22"/>
          <w:lang w:val="ru-RU"/>
        </w:rPr>
      </w:pPr>
      <w:r w:rsidRPr="00F04E0A">
        <w:rPr>
          <w:bCs/>
          <w:szCs w:val="22"/>
          <w:lang w:val="ru-RU"/>
        </w:rPr>
        <w:t>Статья</w:t>
      </w:r>
      <w:r w:rsidRPr="00F04E0A">
        <w:rPr>
          <w:szCs w:val="22"/>
          <w:lang w:val="ru-RU"/>
        </w:rPr>
        <w:t xml:space="preserve"> 2 </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a</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Принцип равенства между женщинами и мужчинами и положения о гендерном </w:t>
      </w:r>
      <w:r w:rsidRPr="00F04E0A">
        <w:rPr>
          <w:b w:val="0"/>
          <w:szCs w:val="22"/>
          <w:lang w:val="ru-RU"/>
        </w:rPr>
        <w:t>равенстве</w:t>
      </w:r>
      <w:r w:rsidRPr="00F04E0A">
        <w:rPr>
          <w:b w:val="0"/>
          <w:bCs/>
          <w:szCs w:val="22"/>
          <w:lang w:val="ru-RU"/>
        </w:rPr>
        <w:t xml:space="preserve"> были последовательным образом интегрированы в законодательные акты в широком диапазоне областей, в первую очередь в трудовых отношениях, социальном обеспечении, образовании и науке. Самыми последними из них является Закон Литовской Республики о поддержке занятости (</w:t>
      </w:r>
      <w:r w:rsidRPr="00F04E0A">
        <w:rPr>
          <w:b w:val="0"/>
          <w:bCs/>
          <w:i/>
          <w:iCs/>
          <w:szCs w:val="22"/>
          <w:lang w:val="ru-RU"/>
        </w:rPr>
        <w:t>Valstybės žinios</w:t>
      </w:r>
      <w:r w:rsidRPr="00F04E0A">
        <w:rPr>
          <w:b w:val="0"/>
          <w:bCs/>
          <w:szCs w:val="22"/>
          <w:lang w:val="ru-RU"/>
        </w:rPr>
        <w:t xml:space="preserve"> (Правительственная газета) № 73</w:t>
      </w:r>
      <w:r w:rsidRPr="00F04E0A">
        <w:rPr>
          <w:b w:val="0"/>
          <w:bCs/>
          <w:szCs w:val="22"/>
          <w:lang w:val="ru-RU"/>
        </w:rPr>
        <w:noBreakHyphen/>
        <w:t>2762) (в дальнейшем именуемый "Закон о поддержке занятости"), Закон Литовской Республики о социальных предприятиях (</w:t>
      </w:r>
      <w:r w:rsidRPr="00F04E0A">
        <w:rPr>
          <w:b w:val="0"/>
          <w:bCs/>
          <w:i/>
          <w:iCs/>
          <w:szCs w:val="22"/>
          <w:lang w:val="ru-RU"/>
        </w:rPr>
        <w:t>Valstybės žinios</w:t>
      </w:r>
      <w:r w:rsidRPr="00F04E0A">
        <w:rPr>
          <w:b w:val="0"/>
          <w:bCs/>
          <w:szCs w:val="22"/>
          <w:lang w:val="ru-RU"/>
        </w:rPr>
        <w:t xml:space="preserve"> (Правительственная газета) № 96</w:t>
      </w:r>
      <w:r w:rsidRPr="00F04E0A">
        <w:rPr>
          <w:b w:val="0"/>
          <w:bCs/>
          <w:szCs w:val="22"/>
          <w:lang w:val="ru-RU"/>
        </w:rPr>
        <w:noBreakHyphen/>
        <w:t>3519, 2004 год) (в дальнейшем именуемый "Закон о социальных предприятиях") и другие законы, принятые ранее и исправленные или пересмотренные в 2005</w:t>
      </w:r>
      <w:r w:rsidRPr="00F04E0A">
        <w:rPr>
          <w:b w:val="0"/>
          <w:bCs/>
          <w:szCs w:val="22"/>
          <w:lang w:val="ru-RU"/>
        </w:rPr>
        <w:noBreakHyphen/>
        <w:t>2006 годах. Законы по существу гарантируют равенство полов</w:t>
      </w:r>
      <w:r w:rsidRPr="00F04E0A">
        <w:rPr>
          <w:b w:val="0"/>
          <w:bCs/>
          <w:i/>
          <w:iCs/>
          <w:szCs w:val="22"/>
          <w:lang w:val="ru-RU"/>
        </w:rPr>
        <w:t xml:space="preserve"> </w:t>
      </w:r>
      <w:r w:rsidRPr="00F04E0A">
        <w:rPr>
          <w:b w:val="0"/>
          <w:bCs/>
          <w:iCs/>
          <w:szCs w:val="22"/>
          <w:lang w:val="ru-RU"/>
        </w:rPr>
        <w:t>де-юре,</w:t>
      </w:r>
      <w:r w:rsidRPr="00F04E0A">
        <w:rPr>
          <w:b w:val="0"/>
          <w:bCs/>
          <w:szCs w:val="22"/>
          <w:lang w:val="ru-RU"/>
        </w:rPr>
        <w:t xml:space="preserve"> поэтому основное внимание уделяется осуществлению положений нормативных актов на практике, для чего принимаются различные программы, проекты и меры. Положения о гендерном равенстве были интегрированы в Литовский единый программный документ на 2004–2006 годы, утвержденный Постановлением правительства № 935 от 2 августа 2004 года (</w:t>
      </w:r>
      <w:r w:rsidRPr="00F04E0A">
        <w:rPr>
          <w:b w:val="0"/>
          <w:bCs/>
          <w:i/>
          <w:iCs/>
          <w:szCs w:val="22"/>
          <w:lang w:val="ru-RU"/>
        </w:rPr>
        <w:t>Valstybės žinios</w:t>
      </w:r>
      <w:r w:rsidRPr="00F04E0A">
        <w:rPr>
          <w:b w:val="0"/>
          <w:bCs/>
          <w:szCs w:val="22"/>
          <w:lang w:val="ru-RU"/>
        </w:rPr>
        <w:t xml:space="preserve"> (Правительственная газета) № 123</w:t>
      </w:r>
      <w:r w:rsidRPr="00F04E0A">
        <w:rPr>
          <w:b w:val="0"/>
          <w:bCs/>
          <w:szCs w:val="22"/>
          <w:lang w:val="ru-RU"/>
        </w:rPr>
        <w:noBreakHyphen/>
        <w:t xml:space="preserve">4486, 2004 год) (в дальнейшем именуемый "Единый программный документ"), а также в последние программные документы для структурных фондов Европейского союза (в дальнейшем именуемого ЕС) 2007–2013 годов, тем самым создавая условия для финансирования мер, нацеленных на решение вопросов равенства полов, не только из государственного бюджета Литовской Республики (в дальнейшем именуемого "государственный бюджет"), но также и из структурных фондов ЕС. </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b</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Санкции за дискриминацию по признаку пола ужесточаются. 9 ноября 2004 года Закон о равных возможностях женщин и мужчин был дополнен статьей 24</w:t>
      </w:r>
      <w:r w:rsidRPr="00F04E0A">
        <w:rPr>
          <w:b w:val="0"/>
          <w:bCs/>
          <w:szCs w:val="22"/>
          <w:vertAlign w:val="superscript"/>
          <w:lang w:val="ru-RU"/>
        </w:rPr>
        <w:t>1</w:t>
      </w:r>
      <w:r w:rsidRPr="00F04E0A">
        <w:rPr>
          <w:b w:val="0"/>
          <w:bCs/>
          <w:szCs w:val="22"/>
          <w:lang w:val="ru-RU"/>
        </w:rPr>
        <w:t>, предусматривающей, что лицо, пострадавшее от дискриминации по признаку пола или сексуальных или других домогательств, имеет право потребовать возмещения финансового и морального ущерба у ответственных лиц в соответствии с порядком, установленным в Гражданском кодексе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 74</w:t>
      </w:r>
      <w:r w:rsidRPr="00F04E0A">
        <w:rPr>
          <w:b w:val="0"/>
          <w:bCs/>
          <w:szCs w:val="22"/>
          <w:lang w:val="ru-RU"/>
        </w:rPr>
        <w:noBreakHyphen/>
        <w:t xml:space="preserve">2262, 2000 год) (в дальнейшем именуемом "Гражданский кодекс").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Предпринимаются усилия для того, чтобы гарантировать равенство женщин и мужчин во всех сферах не только</w:t>
      </w:r>
      <w:r w:rsidRPr="00F04E0A">
        <w:rPr>
          <w:b w:val="0"/>
          <w:bCs/>
          <w:i/>
          <w:iCs/>
          <w:szCs w:val="22"/>
          <w:lang w:val="ru-RU"/>
        </w:rPr>
        <w:t xml:space="preserve"> </w:t>
      </w:r>
      <w:r w:rsidRPr="00F04E0A">
        <w:rPr>
          <w:b w:val="0"/>
          <w:bCs/>
          <w:iCs/>
          <w:szCs w:val="22"/>
          <w:lang w:val="ru-RU"/>
        </w:rPr>
        <w:t>де</w:t>
      </w:r>
      <w:r w:rsidRPr="00F04E0A">
        <w:rPr>
          <w:b w:val="0"/>
          <w:bCs/>
          <w:iCs/>
          <w:szCs w:val="22"/>
          <w:lang w:val="ru-RU"/>
        </w:rPr>
        <w:noBreakHyphen/>
        <w:t>юре</w:t>
      </w:r>
      <w:r w:rsidRPr="00F04E0A">
        <w:rPr>
          <w:b w:val="0"/>
          <w:bCs/>
          <w:i/>
          <w:iCs/>
          <w:szCs w:val="22"/>
          <w:lang w:val="ru-RU"/>
        </w:rPr>
        <w:t>,</w:t>
      </w:r>
      <w:r w:rsidRPr="00F04E0A">
        <w:rPr>
          <w:b w:val="0"/>
          <w:bCs/>
          <w:szCs w:val="22"/>
          <w:lang w:val="ru-RU"/>
        </w:rPr>
        <w:t xml:space="preserve"> но и</w:t>
      </w:r>
      <w:r w:rsidRPr="00F04E0A">
        <w:rPr>
          <w:b w:val="0"/>
          <w:bCs/>
          <w:i/>
          <w:iCs/>
          <w:szCs w:val="22"/>
          <w:lang w:val="ru-RU"/>
        </w:rPr>
        <w:t xml:space="preserve"> </w:t>
      </w:r>
      <w:r w:rsidRPr="00F04E0A">
        <w:rPr>
          <w:b w:val="0"/>
          <w:bCs/>
          <w:iCs/>
          <w:szCs w:val="22"/>
          <w:lang w:val="ru-RU"/>
        </w:rPr>
        <w:t>де</w:t>
      </w:r>
      <w:r w:rsidRPr="00F04E0A">
        <w:rPr>
          <w:b w:val="0"/>
          <w:bCs/>
          <w:iCs/>
          <w:szCs w:val="22"/>
          <w:lang w:val="ru-RU"/>
        </w:rPr>
        <w:noBreakHyphen/>
        <w:t>факто</w:t>
      </w:r>
      <w:r w:rsidRPr="00F04E0A">
        <w:rPr>
          <w:b w:val="0"/>
          <w:bCs/>
          <w:szCs w:val="22"/>
          <w:lang w:val="ru-RU"/>
        </w:rPr>
        <w:t>. Постановлением № 1042 от 26 сентября 2005 года (</w:t>
      </w:r>
      <w:r w:rsidRPr="00F04E0A">
        <w:rPr>
          <w:b w:val="0"/>
          <w:bCs/>
          <w:i/>
          <w:iCs/>
          <w:szCs w:val="22"/>
          <w:lang w:val="ru-RU"/>
        </w:rPr>
        <w:t>Valstybės žinios</w:t>
      </w:r>
      <w:r w:rsidRPr="00F04E0A">
        <w:rPr>
          <w:b w:val="0"/>
          <w:bCs/>
          <w:szCs w:val="22"/>
          <w:lang w:val="ru-RU"/>
        </w:rPr>
        <w:t xml:space="preserve"> (Правительственная газета), № 116</w:t>
      </w:r>
      <w:r w:rsidRPr="00F04E0A">
        <w:rPr>
          <w:b w:val="0"/>
          <w:bCs/>
          <w:szCs w:val="22"/>
          <w:lang w:val="ru-RU"/>
        </w:rPr>
        <w:noBreakHyphen/>
        <w:t xml:space="preserve">4202, 2005 год) правительство Литовской Республики утвердило Национальную программу по обеспечению равных возможностей для женщин и мужчин на 2005–2009 годы. Основной целью этой межведомственной Программы является выполнение комплекса мер, нацеленных на обеспечение равных возможностей женщин и мужчин во всех сферах жизни. Меры согласно этой Программе осуществляются всеми министерствами, главным образом в сотрудничестве с женскими НПО. Целью Программы является последовательное, комплексное и систематическое решение вопросов равенства полов; обеспечение учета гендерной проблематики во всех сферах; разрешение конкретных проблем женщин и мужчин. Основными направлениями Программы являются обеспечение равных возможностей женщин и мужчин в сферах занятости, образования и науки, политики и принятия решений; обеспечение равных прав, в том числе путем борьбы с насилием в отношении женщин и торговли женщинами; учет гендерной проблематики в сферах здравоохранения и защиты окружающей среды; усиление институциональных механизмов и средств обеспечения гендерного равенства, включая укрепление институциональных возможностей и усовершенствование статистики. Многие из задач Программы соответствуют статьям Конвенции, а ряд мер посвящен дальнейшему осуществлению требований согласно положениям Конвенции, в связи с чем этот доклад содержит много информации </w:t>
      </w:r>
      <w:r w:rsidRPr="00F04E0A">
        <w:rPr>
          <w:b w:val="0"/>
          <w:szCs w:val="22"/>
          <w:lang w:val="ru-RU"/>
        </w:rPr>
        <w:t>о</w:t>
      </w:r>
      <w:r w:rsidRPr="00F04E0A">
        <w:rPr>
          <w:b w:val="0"/>
          <w:bCs/>
          <w:szCs w:val="22"/>
          <w:lang w:val="ru-RU"/>
        </w:rPr>
        <w:t xml:space="preserve"> результатах выполнения данной междисциплинарной Программы.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Одним из приоритетов Национальной программы по обеспечению равных возможностей для женщин и мужчин на 2005–2009 годы является борьба с насилием в отношении женщин. В 2006 году в качестве составной части этой Программы был осуществлен анализ опыта иностранных государств при применении законных мер, нацеленных на изоляцию виновников насилия от семьи. Предметом анализа стали законы Канады, Германии и Австрии по защите жертв от насилия в семье; были разработаны предварительные предложения, подлежащие обсуждению. Принимая во внимание выводы, сделанные на основе вышеупомянутого анализа опыта иностранных государств, и положения действующих в настоящее время законодательных актов Литовской Республики, в 2007 году был сформулирован ряд правовых норм, с тем чтобы обеспечить более эффективную правовую защиту жертв насилия в семье, включая меры, которые создадут условия для более длительной изоляции виновников от пострадавшей семьи.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Дальнейшая поддержка оказывается проектам, осуществляемым женскими НПО, задачей которых является предоставление помощи женщинам, пострадавшим от насилия в семье. В 2005 году по вышеупомянутой Программе было совместно профинансировано (80 тыс. литов) 12 проектов, инициированных НПО, задачей которых является предоставление социальной помощи жертвам насилия в семье и работа с виновниками насилия. Социальные, психологические и юридические услуги были предоставлены 341 лицу, к числу которых относятся 314 жертв насилия в семье и 27 </w:t>
      </w:r>
      <w:r w:rsidRPr="00F04E0A">
        <w:rPr>
          <w:b w:val="0"/>
          <w:szCs w:val="22"/>
          <w:lang w:val="ru-RU"/>
        </w:rPr>
        <w:t>виновников насилия</w:t>
      </w:r>
      <w:r w:rsidRPr="00F04E0A">
        <w:rPr>
          <w:b w:val="0"/>
          <w:bCs/>
          <w:szCs w:val="22"/>
          <w:lang w:val="ru-RU"/>
        </w:rPr>
        <w:t xml:space="preserve">, захотевших покончить с агрессивным поведением. В 2006 году по Программе было совместно профинансировано (80 тыс. литов) 20 проектов НПО. Социальные, психологические и юридические услуги были предоставлены 1245 лицам: 1212 женщинам и 33 мужчинам, 191 из которых было предложено временное безопасное размещение, психологическое консультирование (722 часа), юридическое консультирование (240 часов) и социальное обслуживание (1997 часов).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 учетом того, что проблема насилия в отношении женщин, особенно насилия в семье, является очень болезненной и жертвы нуждаются в сложном комплексе услуг по поддержке, правительство Постановлением № 1330 от 22 декабря 2006 года (</w:t>
      </w:r>
      <w:r w:rsidRPr="00F04E0A">
        <w:rPr>
          <w:b w:val="0"/>
          <w:bCs/>
          <w:i/>
          <w:iCs/>
          <w:szCs w:val="22"/>
          <w:lang w:val="ru-RU"/>
        </w:rPr>
        <w:t>Valstybės žinios</w:t>
      </w:r>
      <w:r w:rsidRPr="00F04E0A">
        <w:rPr>
          <w:b w:val="0"/>
          <w:bCs/>
          <w:szCs w:val="22"/>
          <w:lang w:val="ru-RU"/>
        </w:rPr>
        <w:t xml:space="preserve"> (Правительственная газета) № 144</w:t>
      </w:r>
      <w:r w:rsidRPr="00F04E0A">
        <w:rPr>
          <w:b w:val="0"/>
          <w:bCs/>
          <w:szCs w:val="22"/>
          <w:lang w:val="ru-RU"/>
        </w:rPr>
        <w:noBreakHyphen/>
        <w:t xml:space="preserve">5474, 2006 год) утвердило Национальную стратегию борьбы с насилием в отношении женщин (в дальнейшем именуемую "Стратегия") и план осуществления мер 2007–2009 годов. Целью этой долгосрочной Стратегии является последовательное, комплексное и систематическое сокращение на национальном уровне масштабов домашнего насилия в отношении женщин. Основными приоритетами Стратегии являются: усовершенствование юридической базы в области борьбы с насилием в отношении женщин; анализ ситуации в области домашнего насилия в отношении женщин; эффективное предотвращение домашнего насилия в отношении женщин; предоставление жертвам домашнего насилия в отношении женщин комплекса услуг по поддержке; санкции против виновников насилия; укрепление институциональных возможностей. Задачи, поставленные в Стратегии, планируется решить в период до 2015 года, а меры по ее осуществлению будут разрабатываться каждые три года. Первый план мер охватывает период с 2007 по 2009 год.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К осуществлению мер в рамках Стратегии приступили в начале 2007 года. В соответствии с приказом министра юстиции № 1</w:t>
      </w:r>
      <w:r w:rsidRPr="00F04E0A">
        <w:rPr>
          <w:b w:val="0"/>
          <w:bCs/>
          <w:szCs w:val="22"/>
        </w:rPr>
        <w:t>R</w:t>
      </w:r>
      <w:r w:rsidRPr="00F04E0A">
        <w:rPr>
          <w:b w:val="0"/>
          <w:bCs/>
          <w:szCs w:val="22"/>
          <w:lang w:val="ru-RU"/>
        </w:rPr>
        <w:noBreakHyphen/>
        <w:t xml:space="preserve">352 от 13 сентября 2007 года была учреждена рабочая группа, целью которой является пересмотр и </w:t>
      </w:r>
      <w:r w:rsidRPr="00F04E0A">
        <w:rPr>
          <w:b w:val="0"/>
          <w:szCs w:val="22"/>
          <w:lang w:val="ru-RU"/>
        </w:rPr>
        <w:t>совершенствование</w:t>
      </w:r>
      <w:r w:rsidRPr="00F04E0A">
        <w:rPr>
          <w:b w:val="0"/>
          <w:bCs/>
          <w:szCs w:val="22"/>
          <w:lang w:val="ru-RU"/>
        </w:rPr>
        <w:t xml:space="preserve"> юридических действий; рабочая группа несет ответственность за проведение анализа действующих законов и других нормативных актов Литовской Республики, регламентирующих процедуру выселения виновников насилия из помещения, принадлежащего семье, за любой акт домашнего насилия, например Уголовного кодекса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w:t>
      </w:r>
      <w:r w:rsidRPr="00F04E0A">
        <w:rPr>
          <w:b w:val="0"/>
          <w:szCs w:val="22"/>
          <w:lang w:val="ru-RU"/>
        </w:rPr>
        <w:t> </w:t>
      </w:r>
      <w:r w:rsidRPr="00F04E0A">
        <w:rPr>
          <w:b w:val="0"/>
          <w:bCs/>
          <w:szCs w:val="22"/>
          <w:lang w:val="ru-RU"/>
        </w:rPr>
        <w:t>89</w:t>
      </w:r>
      <w:r w:rsidRPr="00F04E0A">
        <w:rPr>
          <w:b w:val="0"/>
          <w:bCs/>
          <w:szCs w:val="22"/>
          <w:lang w:val="ru-RU"/>
        </w:rPr>
        <w:noBreakHyphen/>
        <w:t>2741, 2000 год) (в дальнейшем именуемого "Уголовный кодекс"), Уголовно-процессуального кодекса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 37</w:t>
      </w:r>
      <w:r w:rsidRPr="00F04E0A">
        <w:rPr>
          <w:b w:val="0"/>
          <w:bCs/>
          <w:szCs w:val="22"/>
          <w:lang w:val="ru-RU"/>
        </w:rPr>
        <w:noBreakHyphen/>
        <w:t>1341, 2002 год), Гражданского кодекса, Гражданско-процессуального кодекса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 36</w:t>
      </w:r>
      <w:r w:rsidRPr="00F04E0A">
        <w:rPr>
          <w:b w:val="0"/>
          <w:bCs/>
          <w:szCs w:val="22"/>
          <w:lang w:val="ru-RU"/>
        </w:rPr>
        <w:noBreakHyphen/>
        <w:t xml:space="preserve">1340, 2002 год) и т. д. На основе этого анализа и анализа юридических действий, упомянутых в пункте 8 этого доклада, можно будет подготовить законодательные предложения, являющиеся более эффективными с точки зрения правовой защиты жертв насилия, включая меры, создающие условия для более длительной изоляции виновников насилия от семьи.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Предоставление жертвам домашнего насилия комплекса услуг по поддержке является одним из приоритетов С</w:t>
      </w:r>
      <w:r w:rsidRPr="00F04E0A">
        <w:rPr>
          <w:b w:val="0"/>
          <w:szCs w:val="22"/>
          <w:lang w:val="ru-RU"/>
        </w:rPr>
        <w:t>тратегии</w:t>
      </w:r>
      <w:r w:rsidRPr="00F04E0A">
        <w:rPr>
          <w:b w:val="0"/>
          <w:bCs/>
          <w:szCs w:val="22"/>
          <w:lang w:val="ru-RU"/>
        </w:rPr>
        <w:t xml:space="preserve">. Одна из задач Стратегии заключается в том, чтобы предоставить жертвам насилия в семье услуги по необходимому временному безопасному размещению. Эта задача осуществляется путем создания и содействия деятельности по крайней мере одного учреждения или организации в каждом районе для предоставления социальных услуг жертвам домашнего насилия и обеспечения сотрудничества между соответствующими учреждениями; начало деятельности в рамках осуществления этой меры Стратегии относится к 2007 году. Для предоставления жертвам домашнего насилия в отношении женщин комплекса услуг по поддержке посредством тендера, проведенного в 2007 году, был отобран 21 проект муниципальных и женских НПО; этим проектам оказывается финансовая поддержка. Задачей этих проектов является предоставление женщинам, пострадавшим от насилия в семье, безопасного жилья, квалифицированной психологической помощи, консультаций юриста, социальной помощи или другой необходимой поддержки. На финансирование поддержки таких проектов в государственном бюджете было выделено 500 тыс. литов. Результаты осуществления проекта публикуются ежегодно.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 2004 года для женщин, подвергшихся избиению, была предоставлена бесплатная телефонная горячая линия. Линия финансируется из государственного бюджета и обслуживается центром социальной и психологической помощи в Клайпеде. Как указывается в правительственном Постановлении № 1054 от 2 октября 2007 года, вносящем изменения в Постановление № 1330 от 22 декабря 2006 года правительства Литовской Республики "Об утверждении Национальной стратегии борьбы с насилием в отношении женщин и плана осуществления мер 2007–2009</w:t>
      </w:r>
      <w:r w:rsidRPr="00F04E0A">
        <w:rPr>
          <w:b w:val="0"/>
          <w:bCs/>
          <w:szCs w:val="22"/>
        </w:rPr>
        <w:t> </w:t>
      </w:r>
      <w:r w:rsidRPr="00F04E0A">
        <w:rPr>
          <w:b w:val="0"/>
          <w:bCs/>
          <w:szCs w:val="22"/>
          <w:lang w:val="ru-RU"/>
        </w:rPr>
        <w:t>годов" (</w:t>
      </w:r>
      <w:r w:rsidRPr="00F04E0A">
        <w:rPr>
          <w:b w:val="0"/>
          <w:bCs/>
          <w:i/>
          <w:iCs/>
          <w:szCs w:val="22"/>
          <w:lang w:val="ru-RU"/>
        </w:rPr>
        <w:t>Valstybės žinios</w:t>
      </w:r>
      <w:r w:rsidRPr="00F04E0A">
        <w:rPr>
          <w:b w:val="0"/>
          <w:bCs/>
          <w:szCs w:val="22"/>
          <w:lang w:val="ru-RU"/>
        </w:rPr>
        <w:t xml:space="preserve"> (Правительственная газета) № 106</w:t>
      </w:r>
      <w:r w:rsidRPr="00F04E0A">
        <w:rPr>
          <w:b w:val="0"/>
          <w:bCs/>
          <w:szCs w:val="22"/>
          <w:lang w:val="ru-RU"/>
        </w:rPr>
        <w:noBreakHyphen/>
        <w:t xml:space="preserve">4341, 2007 год), начиная с 2008 года женщинам, подвергающимся избиениям, по всей стране будет оказываться непрерывная (круглосуточная) специализированная помощь по телефону.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Усилия по борьбе с насилием в отношении женщин не были бы достаточно </w:t>
      </w:r>
      <w:r w:rsidRPr="00F04E0A">
        <w:rPr>
          <w:b w:val="0"/>
          <w:szCs w:val="22"/>
          <w:lang w:val="ru-RU"/>
        </w:rPr>
        <w:t>эффективны</w:t>
      </w:r>
      <w:r w:rsidRPr="00F04E0A">
        <w:rPr>
          <w:b w:val="0"/>
          <w:bCs/>
          <w:szCs w:val="22"/>
          <w:lang w:val="ru-RU"/>
        </w:rPr>
        <w:t xml:space="preserve">, если бы должное внимание не уделялось работе с виновниками насилия, охватывающей не только применение санкций, но и расширение альтернативных мер воздействия. Одной из задач Стратегии является усовершенствование применения альтернативных мер воздействия на виновников насилия и поддержка деятельности организаций, работающих с виновниками насилия, которые хотят покончить с агрессивным поведением. В 2007 году в качестве составной части осуществления мер в рамках Стратегии получили поддержку 6 проектов, посвященных работе с виновниками насилия, желающими покончить с агрессивным поведением. На финансирование поддержки этих проектов в государственном бюджете было выделено 100 тыс. литов.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Деятельность женских НПО в области борьбы с насилием в отношении женщин является весьма эффективной. Одной из целей Стратегии является поддержка организационной деятельности, задача которой состоит в предотвращении домашнего насилия в отношении женщин и обеспечении тесного сотрудничества между стражами порядка и учреждениями, предоставляющими юридическую, социальную, психологическую и медицинскую помощь жертве, а также координации действий, направленных на борьбу с домашним насилием в отношении женщин. В 2007 году поддержку получили 13 проектов, реализуемых женскими НПО, задачей которых является борьба с насилием в отношении женщин. Эти проекты будут завершены в конце 2007 года; в государственном бюджете было выделено 400 тыс. литов на финансирование поддержки этих проектов.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Женские организации успешно реализуют проекты, субсидируемые из международных фондов; их задачей является предотвращение насилия в отношении женщин и оказание помощи жертвам насилия. В 2005–2006 годах ассоциация "Информационный центр по проблемам женщин" (в дальнейшем именуемый ИЦЖ) осуществила в сотрудничестве с партнерами из государств Северной Европы и стран Балтии проект "Анализ оптимальных видов практики и развития сотрудничества для борьбы с насилием в отношении женщин в 5 странах Балтии и Северной Европы согласно Программе действий общины (с 2004 по 2008 год) по предупреждению насилия в отношении детей, молодых людей и женщин, борьбе с ним и защите жертв и групп, подвергающихся риску (программа "</w:t>
      </w:r>
      <w:r w:rsidRPr="00F04E0A">
        <w:rPr>
          <w:b w:val="0"/>
          <w:szCs w:val="22"/>
          <w:lang w:val="ru-RU"/>
        </w:rPr>
        <w:t>Дафна-</w:t>
      </w:r>
      <w:r w:rsidRPr="00F04E0A">
        <w:rPr>
          <w:b w:val="0"/>
          <w:szCs w:val="22"/>
        </w:rPr>
        <w:t>II</w:t>
      </w:r>
      <w:r w:rsidRPr="00F04E0A">
        <w:rPr>
          <w:b w:val="0"/>
          <w:szCs w:val="22"/>
          <w:lang w:val="ru-RU"/>
        </w:rPr>
        <w:t>"</w:t>
      </w:r>
      <w:r w:rsidRPr="00F04E0A">
        <w:rPr>
          <w:b w:val="0"/>
          <w:bCs/>
          <w:szCs w:val="22"/>
          <w:lang w:val="ru-RU"/>
        </w:rPr>
        <w:t>), принятой Решением № 803/2004/</w:t>
      </w:r>
      <w:r w:rsidRPr="00F04E0A">
        <w:rPr>
          <w:b w:val="0"/>
          <w:bCs/>
          <w:szCs w:val="22"/>
        </w:rPr>
        <w:t>EC</w:t>
      </w:r>
      <w:r w:rsidRPr="00F04E0A">
        <w:rPr>
          <w:b w:val="0"/>
          <w:bCs/>
          <w:szCs w:val="22"/>
          <w:lang w:val="ru-RU"/>
        </w:rPr>
        <w:t xml:space="preserve"> Европейского парламента и Совета от 21 апреля 2004 года (</w:t>
      </w:r>
      <w:r w:rsidRPr="00F04E0A">
        <w:rPr>
          <w:b w:val="0"/>
          <w:bCs/>
          <w:szCs w:val="22"/>
        </w:rPr>
        <w:t>OJ</w:t>
      </w:r>
      <w:r w:rsidRPr="00F04E0A">
        <w:rPr>
          <w:b w:val="0"/>
          <w:bCs/>
          <w:szCs w:val="22"/>
          <w:lang w:val="ru-RU"/>
        </w:rPr>
        <w:t xml:space="preserve"> 2004 год, Специальное издание на литовском языке, глава 05, том 05, стр. 15). В качестве части этого проекта в каждой стране были учреждены национальные рабочие группы, сблизившие множество учреждений, как правительственных, так и неправительственных, непосредственно вовлеченных в борьбу с насилием в отношении женщин и детей. В результате проекта была создана сеть сотрудничества стран Северной Европы и Балтии для борьбы с насилием в отношении женщин. Финансовая поддержка сети осуществляется за счет ежегодных ассигнований из государственного бюджета в размере 10 тыс. литов.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С 2004 года ИЦЖ бесплатно предоставляет женщинам услуги по юридическому консультированию по проекту "Юридическое консультирование и информирование женщин", реализуемому в сотрудничестве с Центром юридической помощи для женщин, Осло. Цель проекта состоит в предоставлении юридических консультаций женщинам (в особенности пострадавшим от насилия в семье), не имеющим доступа к </w:t>
      </w:r>
      <w:r w:rsidRPr="00F04E0A">
        <w:rPr>
          <w:b w:val="0"/>
          <w:szCs w:val="22"/>
          <w:lang w:val="ru-RU"/>
        </w:rPr>
        <w:t>юридической</w:t>
      </w:r>
      <w:r w:rsidRPr="00F04E0A">
        <w:rPr>
          <w:b w:val="0"/>
          <w:bCs/>
          <w:szCs w:val="22"/>
          <w:lang w:val="ru-RU"/>
        </w:rPr>
        <w:t xml:space="preserve"> информации по экономическим или социальным причинам, или направлении их в другие соответствующие учреждения, которые могли бы оказать им помощь.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Укрепляются меры по предупреждению насилия в отношении женщин. Полицейские в сотрудничестве с другими соответствующими институтами (службами по защите прав ребенка, социальными работниками по опеке, кризисными центрами для женщин) осуществляют постоянную консультационно-образовательную деятельность. Местные полицейские инспекторы наблюдают за лицами, часто провоцирующими конфликты, и вносят данные о них в районные реестры, которые ведут местные полицейские инспекторы. В 2005–2006 годах Главный полицейский комиссариат Клайпеды участвовал в превентивном образовательном проекте "Кто меня защитит", организованном службой по защите прав ребенка муниципальной администрации Клайпеды и детским кризисным центром, выявляющим семьи, члены которых подвергаются насилию. В качестве части этого проекта склонным к насилию родителям были прочитаны лекции об альтернативах телесным наказаниям. В рамках проекта более часто проводилась инспекция семей, подверженных социальному риску, и семей с несовершеннолетними приемными детьми.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2006 году городские полицейские Вильнюса участвовали в польско-латвийско-финско-литовском международном проекте "Остановитесь – хватит терпеть тихий сговор! Сначала свяжитесь с полицейскими – союзниками жертв насилия в семье". Для обсуждения потребности объединить усилия по борьбе с насилием в семье, а также новых методов его предотвращения и сотрудничества с НПО в каждой участвующей стране были организованы семинары. Литва активно участвовала в кампании по борьбе с насилием в отношении женщин, начатой Советом Европы в ноябре 2006 года. Задачи кампании нашли свое отражение в целях Стратегии. Для осуществления этих целей в рамках Стратегии предусматриваются образовательные, профилактические и другие соответствующие меры, включая кампанию по повышению информированности населения в отношении насилия; осуществление этих мер было начато в начале 2007 года и будет продолжено до 2009 года.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По данным о женщинах – жертвах преступных действий Департамента информатики и коммуникаций при Министерстве внутренних дел, в 2005 году 464 женщины стали жертвами насилия со стороны своих мужей или сожителей, причем 74 процента из них составляли женщины в возрасте 30 лет и старше. В 2006 году жертвами стали 448 женщин, 75 процентов из них – женщины в возрасте 30 лет и старше (см. таблицы 1 и 2 Приложения).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Предпринимаются усилия по подготовке проекта специального закона о борьбе с насилием в отношении женщин. Постановлением № 1315 от 13 декабря 2006 года совета сейма для подготовки проекта Концептуальной структуры для защиты от насилия в семье и соответствующих поправок к имеющим отношение к данному вопросу нормативным актам была учреждена рабочая группа. Задача Концептуальной структуры для защиты от насилия в семье состоит в содействии Закону Литовской Республики о защите от насилия в семье (в дальнейшем именуемому "Закон о защите от насилия в семье"). Закон о защите от насилия в семье (и соответствующие поправки к другим имеющим отношение к данному вопросу нормативным актам) будет служить основанием для эффективного осуществления и защиты неотъемлемых прав человека в целях ликвидации насилия в семье. </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c</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Как женщины, так и мужчины, пострадавшие от прямой или косвенной дискриминации по признаку пола, сексуальных домогательств или преследования по признаку пола, имеют право подать жалобу омбудсмену по вопросам равных возможностей о нарушении равных прав. Жалоба рассматривается в течение месяца; при необходимости продолжительность расследования может быть продлена еще на месяц. Управление омбудсмена по вопросам равных возможностей проводит расследования жалоб, касающихся дискриминации на различных основаниях, с 2005 года; большинство жалоб, поданных в 2005–2006 годах, касались дискриминации по признаку пола. В 2005 году было подано 33 жалобы на дискриминацию по признаку пола, причем 3 из них были связаны с сексуальными домогательствами; в 2006 году число таких жалоб составило 29 и 2 соответственно. Управление омбудсмена по вопросам равных возможностей наложило санкции за нарушения Закона о равных возможностях женщин и мужчин на 4 лиц в 2005 году и 1 лицо в 2006 году. Решения в отношении других жалоб были следующими: по приблизительно 30 процентам жалоб были выданы предупреждения; по приблизительно 30 процентам других жалоб лица, совершившие нарушения, были призваны прекратить действия, нарушающие равные права, или аннулировать соответствующий акт; а по другим 30 процентам жалоб расследования были прекращены в связи с недостаточностью объективных доказательств фактического совершения нарушений.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Лицо, пострадавшее от дискриминации по признаку пола, имеет право обратиться в суды, а не только в Управление омбудсмена по вопросам равных возможностей. По данным Национального судебного управления, в 2005–2006 годах национальными судами не было расследовано ни одного дела, непосредственно связанного с дискриминацией по признаку пола. </w:t>
      </w:r>
    </w:p>
    <w:p w:rsidR="00835A84" w:rsidRPr="00F04E0A" w:rsidRDefault="00835A84" w:rsidP="00C603EC">
      <w:pPr>
        <w:pStyle w:val="BodyText"/>
        <w:keepNext/>
        <w:tabs>
          <w:tab w:val="left" w:pos="567"/>
          <w:tab w:val="left" w:pos="1134"/>
        </w:tabs>
        <w:spacing w:before="0" w:after="200"/>
        <w:jc w:val="center"/>
        <w:rPr>
          <w:szCs w:val="22"/>
          <w:lang w:val="ru-RU"/>
        </w:rPr>
      </w:pPr>
      <w:r w:rsidRPr="00F04E0A">
        <w:rPr>
          <w:szCs w:val="22"/>
        </w:rPr>
        <w:t>d</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Как указано в Законе о равных возможностях женщин и м</w:t>
      </w:r>
      <w:r w:rsidRPr="00F04E0A">
        <w:rPr>
          <w:b w:val="0"/>
          <w:szCs w:val="22"/>
          <w:lang w:val="ru-RU"/>
        </w:rPr>
        <w:t>ужчин</w:t>
      </w:r>
      <w:r w:rsidRPr="00F04E0A">
        <w:rPr>
          <w:b w:val="0"/>
          <w:bCs/>
          <w:szCs w:val="22"/>
          <w:lang w:val="ru-RU"/>
        </w:rPr>
        <w:t>, государственные органы власти и учреждения должны обеспечить, в пределах своей компетенции, чтобы равные права для женщин и мужчин гарантировались во всех юридических актах, разработанных и принятых ими, а также разрабатывать и осуществлять программы и меры, задачей которых является обеспечение равных возможностей женщин и мужчин.</w:t>
      </w:r>
    </w:p>
    <w:p w:rsidR="00835A84" w:rsidRPr="00F04E0A" w:rsidRDefault="00835A84" w:rsidP="00C603EC">
      <w:pPr>
        <w:pStyle w:val="BodyText"/>
        <w:keepNext/>
        <w:tabs>
          <w:tab w:val="left" w:pos="567"/>
          <w:tab w:val="left" w:pos="1134"/>
        </w:tabs>
        <w:spacing w:before="0" w:after="200"/>
        <w:jc w:val="center"/>
        <w:rPr>
          <w:szCs w:val="22"/>
          <w:lang w:val="ru-RU"/>
        </w:rPr>
      </w:pPr>
      <w:r w:rsidRPr="00F04E0A">
        <w:rPr>
          <w:szCs w:val="22"/>
        </w:rPr>
        <w:t>e</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Поправки к Закону о равных возможностях женщин и м</w:t>
      </w:r>
      <w:r w:rsidRPr="00F04E0A">
        <w:rPr>
          <w:b w:val="0"/>
          <w:szCs w:val="22"/>
          <w:lang w:val="ru-RU"/>
        </w:rPr>
        <w:t>ужчин,</w:t>
      </w:r>
      <w:r w:rsidRPr="00F04E0A">
        <w:rPr>
          <w:b w:val="0"/>
          <w:bCs/>
          <w:szCs w:val="22"/>
          <w:lang w:val="ru-RU"/>
        </w:rPr>
        <w:t xml:space="preserve"> принятые в 2005 году (Закон № </w:t>
      </w:r>
      <w:r w:rsidRPr="00F04E0A">
        <w:rPr>
          <w:b w:val="0"/>
          <w:bCs/>
          <w:szCs w:val="22"/>
        </w:rPr>
        <w:t>X</w:t>
      </w:r>
      <w:r w:rsidRPr="00F04E0A">
        <w:rPr>
          <w:b w:val="0"/>
          <w:bCs/>
          <w:szCs w:val="22"/>
          <w:lang w:val="ru-RU"/>
        </w:rPr>
        <w:noBreakHyphen/>
        <w:t xml:space="preserve">304 от 5 июля 2005 года), закрепили обязанности работодателя по обеспечению равных прав женщин и мужчин. Закон налагает на работодателя обязанность принимать меры по защите сотрудников от враждебного отношения, негативных последствий и любого другого плохого обращения в качестве ответных действий на жалобу сотрудника о дискриминации. </w:t>
      </w:r>
    </w:p>
    <w:p w:rsidR="00835A84" w:rsidRPr="00F04E0A" w:rsidRDefault="00835A84" w:rsidP="00C603EC">
      <w:pPr>
        <w:pStyle w:val="BodyText"/>
        <w:keepNext/>
        <w:tabs>
          <w:tab w:val="left" w:pos="567"/>
          <w:tab w:val="left" w:pos="1134"/>
        </w:tabs>
        <w:spacing w:before="0" w:after="200"/>
        <w:jc w:val="center"/>
        <w:rPr>
          <w:szCs w:val="22"/>
          <w:lang w:val="ru-RU"/>
        </w:rPr>
      </w:pPr>
      <w:r w:rsidRPr="00F04E0A">
        <w:rPr>
          <w:szCs w:val="22"/>
        </w:rPr>
        <w:t>f</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Если </w:t>
      </w:r>
      <w:r w:rsidRPr="00F04E0A">
        <w:rPr>
          <w:b w:val="0"/>
          <w:szCs w:val="22"/>
          <w:lang w:val="ru-RU"/>
        </w:rPr>
        <w:t xml:space="preserve">в ходе расследования жалоб о дискриминации по признаку пола </w:t>
      </w:r>
      <w:r w:rsidRPr="00F04E0A">
        <w:rPr>
          <w:rFonts w:cs="TimesNewRoman"/>
          <w:b w:val="0"/>
          <w:szCs w:val="22"/>
          <w:lang w:val="ru-RU" w:eastAsia="ru-RU"/>
        </w:rPr>
        <w:t>Управление омбудсмена по вопросам равных возможностей</w:t>
      </w:r>
      <w:r w:rsidRPr="00F04E0A">
        <w:rPr>
          <w:b w:val="0"/>
          <w:szCs w:val="22"/>
          <w:lang w:val="ru-RU"/>
        </w:rPr>
        <w:t xml:space="preserve"> обнаружит, что юридический </w:t>
      </w:r>
      <w:r w:rsidRPr="00F04E0A">
        <w:rPr>
          <w:b w:val="0"/>
          <w:bCs/>
          <w:szCs w:val="22"/>
          <w:lang w:val="ru-RU"/>
        </w:rPr>
        <w:t>акт</w:t>
      </w:r>
      <w:r w:rsidRPr="00F04E0A">
        <w:rPr>
          <w:b w:val="0"/>
          <w:szCs w:val="22"/>
          <w:lang w:val="ru-RU"/>
        </w:rPr>
        <w:t xml:space="preserve"> вступает в конфликт с принципом равных возможностей женщин и мужчин, Управление имеет право обратиться к соответствующему учреждению и рекомендовать ему аннулировать или внести изменения в такой юридический акт. Ежегодно происходит от 8 до 10 случаев, когда Управление дает рекомендации аннулировать или внести изменения в юридические акты, нарушающие равные права женщин и мужчин. </w:t>
      </w:r>
    </w:p>
    <w:p w:rsidR="00835A84" w:rsidRPr="00F04E0A" w:rsidRDefault="00835A84" w:rsidP="00C603EC">
      <w:pPr>
        <w:pStyle w:val="BodyText"/>
        <w:keepNext/>
        <w:tabs>
          <w:tab w:val="left" w:pos="567"/>
          <w:tab w:val="left" w:pos="1134"/>
        </w:tabs>
        <w:spacing w:before="0" w:after="200"/>
        <w:jc w:val="center"/>
        <w:rPr>
          <w:szCs w:val="22"/>
          <w:lang w:val="ru-RU"/>
        </w:rPr>
      </w:pPr>
      <w:r w:rsidRPr="00F04E0A">
        <w:rPr>
          <w:bCs/>
          <w:szCs w:val="22"/>
          <w:lang w:val="ru-RU"/>
        </w:rPr>
        <w:t>Статья</w:t>
      </w:r>
      <w:r w:rsidRPr="00F04E0A">
        <w:rPr>
          <w:szCs w:val="22"/>
          <w:lang w:val="ru-RU"/>
        </w:rPr>
        <w:t xml:space="preserve"> 3</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Кроме Национальной программы по обеспечению равных возможностей для женщин и мужчин на 2005–2009 годы, посвященной вопросам гендерного равенства в ряде различных областей, другие программы, принятые правительством и находящиеся в процессе осуществления, также предусматривают меры, направленные на обеспечение гендерного равенства, включая специальные меры для улучшения положения женщин. К таким программам учета гендерных аспектов,</w:t>
      </w:r>
      <w:r w:rsidRPr="00F04E0A">
        <w:rPr>
          <w:b w:val="0"/>
          <w:bCs/>
          <w:i/>
          <w:iCs/>
          <w:szCs w:val="22"/>
          <w:lang w:val="ru-RU"/>
        </w:rPr>
        <w:t xml:space="preserve"> </w:t>
      </w:r>
      <w:r w:rsidRPr="00F04E0A">
        <w:rPr>
          <w:b w:val="0"/>
          <w:bCs/>
          <w:iCs/>
          <w:szCs w:val="22"/>
          <w:lang w:val="ru-RU"/>
        </w:rPr>
        <w:t>среди прочего</w:t>
      </w:r>
      <w:r w:rsidRPr="00F04E0A">
        <w:rPr>
          <w:b w:val="0"/>
          <w:bCs/>
          <w:szCs w:val="22"/>
          <w:lang w:val="ru-RU"/>
        </w:rPr>
        <w:t>, относится Национальная стратегия по смягчению последствий старения населения, утвержденная Постановлением правительства № 737 от 14 июня 2004 года (</w:t>
      </w:r>
      <w:r w:rsidRPr="00F04E0A">
        <w:rPr>
          <w:b w:val="0"/>
          <w:bCs/>
          <w:i/>
          <w:iCs/>
          <w:szCs w:val="22"/>
          <w:lang w:val="ru-RU"/>
        </w:rPr>
        <w:t>Valstybės žinios</w:t>
      </w:r>
      <w:r w:rsidRPr="00F04E0A">
        <w:rPr>
          <w:b w:val="0"/>
          <w:bCs/>
          <w:szCs w:val="22"/>
          <w:lang w:val="ru-RU"/>
        </w:rPr>
        <w:t xml:space="preserve"> (Правительственная газета) № 3501</w:t>
      </w:r>
      <w:r w:rsidRPr="00F04E0A">
        <w:rPr>
          <w:b w:val="0"/>
          <w:bCs/>
          <w:szCs w:val="22"/>
          <w:lang w:val="ru-RU"/>
        </w:rPr>
        <w:noBreakHyphen/>
        <w:t>95, 2004 год); Национальная стратегия демографической политики (по вопросам народонаселения), утвержденная Постановлением правительства № 1350 от 28 октября 2004 года (</w:t>
      </w:r>
      <w:r w:rsidRPr="00F04E0A">
        <w:rPr>
          <w:b w:val="0"/>
          <w:bCs/>
          <w:i/>
          <w:iCs/>
          <w:szCs w:val="22"/>
          <w:lang w:val="ru-RU"/>
        </w:rPr>
        <w:t>Valstybės žinios</w:t>
      </w:r>
      <w:r w:rsidRPr="00F04E0A">
        <w:rPr>
          <w:b w:val="0"/>
          <w:bCs/>
          <w:szCs w:val="22"/>
          <w:lang w:val="ru-RU"/>
        </w:rPr>
        <w:t xml:space="preserve"> (Правительственная газета) № 159</w:t>
      </w:r>
      <w:r w:rsidRPr="00F04E0A">
        <w:rPr>
          <w:b w:val="0"/>
          <w:bCs/>
          <w:szCs w:val="22"/>
          <w:lang w:val="ru-RU"/>
        </w:rPr>
        <w:noBreakHyphen/>
        <w:t>5795, 2004 год); Национальная программа матери и ребенка на 2007 год, утвержденная в соответствии с приказом № </w:t>
      </w:r>
      <w:r w:rsidRPr="00F04E0A">
        <w:rPr>
          <w:b w:val="0"/>
          <w:bCs/>
          <w:szCs w:val="22"/>
        </w:rPr>
        <w:t>V</w:t>
      </w:r>
      <w:r w:rsidRPr="00F04E0A">
        <w:rPr>
          <w:b w:val="0"/>
          <w:bCs/>
          <w:szCs w:val="22"/>
          <w:lang w:val="ru-RU"/>
        </w:rPr>
        <w:noBreakHyphen/>
        <w:t>561 от 5 июля 2007 года министра здравоохранения (</w:t>
      </w:r>
      <w:r w:rsidRPr="00F04E0A">
        <w:rPr>
          <w:b w:val="0"/>
          <w:bCs/>
          <w:i/>
          <w:iCs/>
          <w:szCs w:val="22"/>
          <w:lang w:val="ru-RU"/>
        </w:rPr>
        <w:t>Valstybės žinios</w:t>
      </w:r>
      <w:r w:rsidRPr="00F04E0A">
        <w:rPr>
          <w:b w:val="0"/>
          <w:bCs/>
          <w:szCs w:val="22"/>
          <w:lang w:val="ru-RU"/>
        </w:rPr>
        <w:t xml:space="preserve"> (Правительственная газета) № 77</w:t>
      </w:r>
      <w:r w:rsidRPr="00F04E0A">
        <w:rPr>
          <w:b w:val="0"/>
          <w:bCs/>
          <w:szCs w:val="22"/>
          <w:lang w:val="ru-RU"/>
        </w:rPr>
        <w:noBreakHyphen/>
        <w:t>3107, 2007 год); и Программа предупреждения торговли людьми и борьбы с ней на 2005–2008 годы, утвержденная Постановлением правительства № 558 от 19 мая 2005 года (</w:t>
      </w:r>
      <w:r w:rsidRPr="00F04E0A">
        <w:rPr>
          <w:b w:val="0"/>
          <w:bCs/>
          <w:i/>
          <w:iCs/>
          <w:szCs w:val="22"/>
          <w:lang w:val="ru-RU"/>
        </w:rPr>
        <w:t>Valstybės žinios</w:t>
      </w:r>
      <w:r w:rsidRPr="00F04E0A">
        <w:rPr>
          <w:b w:val="0"/>
          <w:bCs/>
          <w:szCs w:val="22"/>
          <w:lang w:val="ru-RU"/>
        </w:rPr>
        <w:t xml:space="preserve"> (Правительственная газета) № 65</w:t>
      </w:r>
      <w:r w:rsidRPr="00F04E0A">
        <w:rPr>
          <w:b w:val="0"/>
          <w:bCs/>
          <w:szCs w:val="22"/>
          <w:lang w:val="ru-RU"/>
        </w:rPr>
        <w:noBreakHyphen/>
        <w:t xml:space="preserve">2333, 2005 год).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Постановлением № 1270 от 22 ноября 2005 года (</w:t>
      </w:r>
      <w:r w:rsidRPr="00F04E0A">
        <w:rPr>
          <w:b w:val="0"/>
          <w:bCs/>
          <w:i/>
          <w:iCs/>
          <w:szCs w:val="22"/>
          <w:lang w:val="ru-RU"/>
        </w:rPr>
        <w:t>Valstybės žinios</w:t>
      </w:r>
      <w:r w:rsidRPr="00F04E0A">
        <w:rPr>
          <w:b w:val="0"/>
          <w:bCs/>
          <w:szCs w:val="22"/>
          <w:lang w:val="ru-RU"/>
        </w:rPr>
        <w:t xml:space="preserve"> (Правительственная газета) № 139</w:t>
      </w:r>
      <w:r w:rsidRPr="00F04E0A">
        <w:rPr>
          <w:b w:val="0"/>
          <w:bCs/>
          <w:szCs w:val="22"/>
          <w:lang w:val="ru-RU"/>
        </w:rPr>
        <w:noBreakHyphen/>
        <w:t xml:space="preserve">5019, 2005 год), правительство Литовской Республики утвердило Национальную программу осуществления Лиссабонской стратегии. В задачи этой Программы входит укрепление партнерств; осуществление более гибких методов организации рабочего времени; обеспечение адекватных и безопасных для здоровья условий труда; повышение эффективности работы; обеспечение увеличения предложения квалифицированной рабочей силы; повышение внутренней трудовой мобильности; создание условий для обучения в продолжение всей жизни, а также для получения начального профессионального образования и непрерывного производственного обучения; более гармоничное сочетание производственных и семейных обязанностей. Выполнение этих задач осуществляется путем совершенствования законодательства в области трудовых отношений и политики в области занятости; улучшения организации рабочего времени; осуществления мер, направленных на содействие развитию гибких форм организации дошкольного и предшкольного образования и образовательной помощи для обеспечения образования ребенка, ухода за ним и посещаемости образовательных учреждений, а также создания условий для родителей, выполняющих семейные обязанности, для участия на рынке труда; содействия развитию корпоративной социальной ответственности и развития форм занятости, дружественных по отношению к семье.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Правительство Постановлением № 1002 от 13 сентября 2005 года (</w:t>
      </w:r>
      <w:r w:rsidRPr="00F04E0A">
        <w:rPr>
          <w:b w:val="0"/>
          <w:bCs/>
          <w:i/>
          <w:iCs/>
          <w:szCs w:val="22"/>
          <w:lang w:val="ru-RU"/>
        </w:rPr>
        <w:t>Valstybės žinios</w:t>
      </w:r>
      <w:r w:rsidRPr="00F04E0A">
        <w:rPr>
          <w:b w:val="0"/>
          <w:bCs/>
          <w:szCs w:val="22"/>
          <w:lang w:val="ru-RU"/>
        </w:rPr>
        <w:t xml:space="preserve"> (Правительственная газета) № 112</w:t>
      </w:r>
      <w:r w:rsidRPr="00F04E0A">
        <w:rPr>
          <w:b w:val="0"/>
          <w:bCs/>
          <w:szCs w:val="22"/>
          <w:lang w:val="ru-RU"/>
        </w:rPr>
        <w:noBreakHyphen/>
        <w:t xml:space="preserve">4091, 2005 год) утвердило меры на 2005–2006 годы для осуществления Национального плана действий по борьбе с бедностью и социальной изоляцией на 2004–2006 годы, направленного на улучшение положения наиболее ущемленных групп населения, расширение их возможностей и сокращение масштабов бедности и социальной изоляции. Цели, преследуемые этими мерами, заключаются в предоставлении женщинам и мужчинам, принадлежащим к малоимущим слоям и социально изолированным группам населения, не только материальных благ или социальных услуг, но также и возможности получения соответствующего образования и качественных медицинских услуг, возможности иметь отвечающее установленным государственным стандартам жилье и безопасные для здоровья условия труда, возможности выбора и влияния на принятие решений в важнейших сферах жизни. Особое внимание уделяется матерям-одиночкам, женщинам, подвергшимся избиению, жертвам торговли людьми и уязвимым группам женщин.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По данным Департамента статистики при правительстве Литовской Республики (в дальнейшем именуемого "Департамент статистики"), проведшего исследование уровня доходов и условий жизни в 2005 году, риск бедности среди женщин составил 21 процент; этот показатель ненамного отличался от риска бедности среди мужчин, составившего 20 процентов. Пособия по социальному обеспечению помогли сократить риск бедности и разницу в показателях между мужчинами и женщинами. Риск бедности до выплаты социальных пособий отличался для мужчин и женщин на два процентных пункта и составлял 27 процентов для женщин и 25 процентов для мужчин.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Постановлением № 948 от 5 сентября 2007 года (</w:t>
      </w:r>
      <w:r w:rsidRPr="00F04E0A">
        <w:rPr>
          <w:b w:val="0"/>
          <w:bCs/>
          <w:i/>
          <w:iCs/>
          <w:szCs w:val="22"/>
          <w:lang w:val="ru-RU"/>
        </w:rPr>
        <w:t>Valstybės žinios</w:t>
      </w:r>
      <w:r w:rsidRPr="00F04E0A">
        <w:rPr>
          <w:b w:val="0"/>
          <w:bCs/>
          <w:szCs w:val="22"/>
          <w:lang w:val="ru-RU"/>
        </w:rPr>
        <w:t xml:space="preserve"> (Правительственная газета) № 98</w:t>
      </w:r>
      <w:r w:rsidRPr="00F04E0A">
        <w:rPr>
          <w:b w:val="0"/>
          <w:bCs/>
          <w:szCs w:val="22"/>
          <w:lang w:val="ru-RU"/>
        </w:rPr>
        <w:noBreakHyphen/>
        <w:t xml:space="preserve">3977, 2007 год) правительство утвердило План мероприятий на 2008–2010 годы по обеспечению семейного благосостояния согласно Национальной стратегии демографической политики (по вопросам народонаселения), в цели которой входит: повышение уровня занятости молодежи и разработка гибких методов организации рабочего времени; создание для женщин и мужчин условий для сочетания производственных и семейных обязанностей; повышение качества услуг по уходу за детьми и образовательных услуг; развитие возможностей семьи по преодолению психологических и социальных проблем; обеспечение безопасности детей; расширение возможностей выбора жилья для семей с детьми; сокращение масштабов бедности и социальной изоляции семей; анализ динамики и факторов деторождения в семье; определение потребности в поддержке семей; развитие чувства коллективной ответственности общества и учреждений за воспитание детей.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Целью Национальной программы по обеспечению равных возможностей для женщин и мужчин на 2005–2009 годы является достижение гендерного равенства во всех сферах. К задачам Программы относится: изменение стереотипных представлений о ролях мужчин и женщин в экономической жизни страны; создание для женщин и мужчин условий для сочетания производственных и семейных обязанностей, а также совмещения профессиональной военной службы с выполнением обязанностей в семье; расширение возможностей женщин по возобновлению трудовой деятельности после длительного перерыва в работе и возможностей занятости женщин старшего возраста; расширение возможностей женщин начать и развивать свой бизнес и содействие более активному участию женщин в экономической деятельности; побуждение работодателей устанавливать равную оплату за равный труд для мужчин и женщин; содействие созданию социального партнерства и развитию социального диалога путем обеспечения гендерного равенства на рынке труда; включение вопросов гендерного равенства в программы формального и неформального образования; обеспечение более широкого доступа женщин к образованию, карьерному росту, повышению квалификации; расширение возможностей женщин занимать руководящие посты и должности, связанные с принятием решений; содействие развитию активного участия женщин в общественной и политической жизни; совершенствование существующей юридической базы, предусматривающее более длительную изоляцию виновника насилия от семьи и регулирующее механизм ее соблюдения; поддержка проектов НПО, в особенности проектов кризисных центров, задачей которых является предоставление социальной помощи жертвам насилия в семье и работа с виновниками насилия; рассмотрение конкретных вопросов охраны здоровья женщин и мужчин; поиск возможностей увеличения продолжительности жизни мужчин, то есть сокращения разрыва между ожидаемой средней продолжительностью жизни мужчин и женщин; обучение и повышение информированности по вопросам планирования семьи и охраны репродуктивного здоровья, в особенности в сельских районах; обеспечение учета гендерной проблематики при решении вопросов защиты окружающей среды; содействие развитию сотрудничества между центральными и муниципальными органами власти и учреждениями и между образовательными, научными учреждениями и НПО, направленного на обеспечение гендерного равенства; стремление усилить институциональный механизм обеспечения равных возможностей женщин и мужчин на уровне районов и муниципалитетов; расширение возможностей государственных служащих и другого персонала по обеспечению равных возможностей женщин и мужчин; повышение квалификации преподавателей, сотрудников правоприменительных органов и органов охраны правопорядка, а также специалистов-экологов по вопросам гендерного равенства; распространение на международном уровне опыта Литвы по обеспечению равных возможностей женщин и мужчин; проведение детализированной оценки изменений в положении женщин и мужчин; повышение достоверности и доступности статистических данных в разбивке в признаку пола (в сотрудничестве с другими учреждениями и неправительственными организациями, занимающимися сбором информации и проведением исследований). Мероприятия по осуществлению этой Программы финансируются из государственного бюджета, а также по линии структурных фондов Европейского союза.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Осуществление Национальной программы по обеспечению равных возможностей для женщин и мужчин на 2005–2009 годы привело к положительным результатам: росту уровня занятости женщин, снижению уровня безработицы среди женщин, сокращению разрыва между показателями занятости мужчин и женщин. По данным Департамента статистики, разрыв между показателями занятости женщин и мужчин сократился с 7,6 процента в 2005 году до 5,3 процента в 2006 году. Уровень занятости женщин вырос с 59,4 процента в 2005 году до 61 процента в 2006 году, превысив, таким образом, намеченный показатель на 2010 год, установленный в Лиссабонской стратегии (60 процентов). Уровень безработицы женщин снизился с 8,3 процента в 2005 году (по сравнению с 8,2 процента для мужчин) до 5,4 процента в 2006 году, что ниже уровня безработицы мужчин (5,8 процента) (см. таблицы</w:t>
      </w:r>
      <w:r w:rsidRPr="00F04E0A">
        <w:rPr>
          <w:b w:val="0"/>
          <w:bCs/>
          <w:szCs w:val="22"/>
        </w:rPr>
        <w:t> </w:t>
      </w:r>
      <w:r w:rsidRPr="00F04E0A">
        <w:rPr>
          <w:b w:val="0"/>
          <w:bCs/>
          <w:szCs w:val="22"/>
          <w:lang w:val="ru-RU"/>
        </w:rPr>
        <w:t xml:space="preserve">9, 10, 11 и 12 Приложения). Женщины теперь располагают более широкими возможностями в области занятости, в особенности в сельских районах, и имеют более благоприятные условия для начала и развития бизнеса. Женщины активно используют возможности в области поиска работы или открытия частных предприятий. Тем не менее доля женщин-руководителей составила только 26 процентов, как показано в исследовании малых и средних предприятий, проведенном Департаментом статистики в 2006 году. По данным Статистического бюро Европейских сообществ (в дальнейшем именуемого "Евростат"), представленным в докладе Европейской комиссии Совету, Европейскому парламенту, Европейскому экономическому и социальному комитету и Комитету регионов в 2006 году, Литва занимает четвертое место в Европейском союзе по разрыву между показателями занятости мужчин и женщин. По уровню занятости женщин старшего возраста Литва занимает восьмое место в Европейском союзе.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Создаются более благоприятные условия для сочетания производственных и семейных обязанностей. По уровню занятости женщин, имеющих детей в возрасте до 12 лет, Литва в 2006 году заняла второе место в Европейском союзе. В Литве этой проблеме уделили первостепенное внимание, выделив ее из восьми других тем, которым предусмотрено оказание поддержки в соответствии с инициативой </w:t>
      </w:r>
      <w:r w:rsidRPr="00F04E0A">
        <w:rPr>
          <w:b w:val="0"/>
          <w:bCs/>
          <w:szCs w:val="22"/>
        </w:rPr>
        <w:t>EQUAL</w:t>
      </w:r>
      <w:r w:rsidRPr="00F04E0A">
        <w:rPr>
          <w:b w:val="0"/>
          <w:bCs/>
          <w:szCs w:val="22"/>
          <w:lang w:val="ru-RU"/>
        </w:rPr>
        <w:t xml:space="preserve"> Европейских сообществ. По инициативе </w:t>
      </w:r>
      <w:r w:rsidRPr="00F04E0A">
        <w:rPr>
          <w:b w:val="0"/>
          <w:bCs/>
          <w:szCs w:val="22"/>
        </w:rPr>
        <w:t>EQUAL</w:t>
      </w:r>
      <w:r w:rsidRPr="00F04E0A">
        <w:rPr>
          <w:b w:val="0"/>
          <w:bCs/>
          <w:szCs w:val="22"/>
          <w:lang w:val="ru-RU"/>
        </w:rPr>
        <w:t xml:space="preserve"> поддержка была оказана 7 проектам, сосредоточившим внимание на сочетании производственных и семейных обязанностей и на реинтеграции мужчин и женщин в рынок труда путем развития более гибких и эффективных методов организации рабочего времени и осуществления мероприятий по поддержке. Для финансирования этих проектов было выделено около 9,2 млн. литов. В соответствии с этими проектами была разработана модель дружественных по отношению к семье форм занятости; она будет применена в 2007–2013 годах. В 2006 году Европейский социальный фонд оказал поддержку 20 проектам женских НПО и других учреждений и организаций, внеся с этой целью 13,2 млн. литов. Задачей этих проектов является содействие занятости женщин, в особенности женщин старшего возраста и женщин, желающих возобновить трудовую деятельность после декретного отпуска; обеспечение гендерной сбалансированности при принятии решений; изменение традиционных стереотипных представлений о роли мужчин и женщин в экономической деятельности; сокращение горизонтальной сегрегации на рынке труда и разницы в заработной плате мужчин и женщин.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В Литве образовательный уровень женщин по-прежнему выше, чем уровень мужчин. Доля женщин, обучающихся в высших учебных заведениях Литвы, составляла 59,9 процента в 2005 году и 60 процентов в 2006 году. По данным Евростата за 2006 год, доля женщин в возрасте 18–24 лет, оставивших школу преждевременно, не получив среднего образования, намного ниже, чем доля мужчин: 7 процентов женщин против 13,3 процента мужчин. По сравнению с 2000 годом число таких женщин снизилось намного быстрее, чем число мужчин. Доля женщин в возрасте 18–24 лет, оставивших школу преждевременно, без получения среднего образования, в этой возрастной группе снизилась с 14,9 процента до 7 процентов, тогда как соответствующая доля мужчин снизилась с 18,5 процента до 13,3 процента.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Расширились возможности государственных служащих по рассмотрению вопросов равенства полов. В 2005–2006 годах для государственных служащих многих министерств был организован учебный курс по вопросам равенства полов. В 2006 году около 300 служащих приняли участие в обучающих курсах, организованных в рамках различных проектов.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Укрепляется сотрудничество с женскими НПО Литвы. Постановление правительства № 198 от 13 февраля 2007 года (</w:t>
      </w:r>
      <w:r w:rsidRPr="00F04E0A">
        <w:rPr>
          <w:b w:val="0"/>
          <w:bCs/>
          <w:i/>
          <w:iCs/>
          <w:szCs w:val="22"/>
          <w:lang w:val="ru-RU"/>
        </w:rPr>
        <w:t>Valstybės žinios</w:t>
      </w:r>
      <w:r w:rsidRPr="00F04E0A">
        <w:rPr>
          <w:b w:val="0"/>
          <w:bCs/>
          <w:szCs w:val="22"/>
          <w:lang w:val="ru-RU"/>
        </w:rPr>
        <w:t xml:space="preserve"> (Правительственная газета) № 23</w:t>
      </w:r>
      <w:r w:rsidRPr="00F04E0A">
        <w:rPr>
          <w:b w:val="0"/>
          <w:bCs/>
          <w:szCs w:val="22"/>
          <w:lang w:val="ru-RU"/>
        </w:rPr>
        <w:noBreakHyphen/>
        <w:t>883, 2007 год) предусматривает реальное членство женских и мужских НПО в Комиссии по вопросам равных возможностей женщин и мужчин. В соответствии с предписаниями Комиссии женские и мужские НПО имеют право независимо выбирать и делегировать до 4 представителей в Комиссию. Женские НПО делегировали в Комиссию 2 представителей. Личный состав Комиссии по вопросам равных возможностей женщин и мужчин был утвержден в соответствии с приказом № </w:t>
      </w:r>
      <w:r w:rsidRPr="00F04E0A">
        <w:rPr>
          <w:b w:val="0"/>
          <w:bCs/>
          <w:szCs w:val="22"/>
        </w:rPr>
        <w:t>A</w:t>
      </w:r>
      <w:r w:rsidRPr="00F04E0A">
        <w:rPr>
          <w:b w:val="0"/>
          <w:bCs/>
          <w:szCs w:val="22"/>
          <w:lang w:val="ru-RU"/>
        </w:rPr>
        <w:t>1</w:t>
      </w:r>
      <w:r w:rsidRPr="00F04E0A">
        <w:rPr>
          <w:b w:val="0"/>
          <w:bCs/>
          <w:szCs w:val="22"/>
          <w:lang w:val="ru-RU"/>
        </w:rPr>
        <w:noBreakHyphen/>
        <w:t>131 министра социального обеспечения и труда от 14 мая 2004 года (</w:t>
      </w:r>
      <w:r w:rsidRPr="00F04E0A">
        <w:rPr>
          <w:b w:val="0"/>
          <w:bCs/>
          <w:i/>
          <w:iCs/>
          <w:szCs w:val="22"/>
          <w:lang w:val="ru-RU"/>
        </w:rPr>
        <w:t>Valstybės žinios</w:t>
      </w:r>
      <w:r w:rsidRPr="00F04E0A">
        <w:rPr>
          <w:b w:val="0"/>
          <w:bCs/>
          <w:szCs w:val="22"/>
          <w:lang w:val="ru-RU"/>
        </w:rPr>
        <w:t xml:space="preserve"> (Правительственная газета) № 54</w:t>
      </w:r>
      <w:r w:rsidRPr="00F04E0A">
        <w:rPr>
          <w:b w:val="0"/>
          <w:bCs/>
          <w:szCs w:val="22"/>
          <w:lang w:val="ru-RU"/>
        </w:rPr>
        <w:noBreakHyphen/>
        <w:t>2114, 2007 год). Правительство профинансировало четвертую Литовскую конференцию женщин, посвященную 100</w:t>
      </w:r>
      <w:r w:rsidRPr="00F04E0A">
        <w:rPr>
          <w:b w:val="0"/>
          <w:bCs/>
          <w:szCs w:val="22"/>
          <w:lang w:val="ru-RU"/>
        </w:rPr>
        <w:noBreakHyphen/>
        <w:t>й годовщине первой Литовской конференции женщин. Четвертую конференцию женщин посетило более 2000 женщин из всех регионов страны; в рамках Национальной программы по обеспечению равных возможностей для женщин и мужчин на 2005–2009 годы была оказана финансовая поддержка распространению информации о результатах Конференции в малых городах всех регионов. В ходе этой кампании распространения были осуществлены поездки в 22 города; во встречах участвовали более 1000 женщин и мужчин, сельские общины, НПО. Основной целью является не только распространение информации о результатах Конференции, но и содействие развитию более активного</w:t>
      </w:r>
      <w:r w:rsidRPr="00F04E0A">
        <w:rPr>
          <w:b w:val="0"/>
          <w:bCs/>
          <w:i/>
          <w:iCs/>
          <w:szCs w:val="22"/>
          <w:lang w:val="ru-RU"/>
        </w:rPr>
        <w:t xml:space="preserve"> </w:t>
      </w:r>
      <w:r w:rsidRPr="00F04E0A">
        <w:rPr>
          <w:b w:val="0"/>
          <w:bCs/>
          <w:iCs/>
          <w:szCs w:val="22"/>
          <w:lang w:val="ru-RU"/>
        </w:rPr>
        <w:t>фактического</w:t>
      </w:r>
      <w:r w:rsidRPr="00F04E0A">
        <w:rPr>
          <w:b w:val="0"/>
          <w:bCs/>
          <w:i/>
          <w:iCs/>
          <w:szCs w:val="22"/>
          <w:lang w:val="ru-RU"/>
        </w:rPr>
        <w:t xml:space="preserve"> </w:t>
      </w:r>
      <w:r w:rsidRPr="00F04E0A">
        <w:rPr>
          <w:b w:val="0"/>
          <w:bCs/>
          <w:szCs w:val="22"/>
          <w:lang w:val="ru-RU"/>
        </w:rPr>
        <w:t>осуществления равных возможностей женщин и мужчин на уровне местного самоуправления. Для поддержания членства женских организаций Литвы в Европейском женском лобби в государственном бюджете предусмотрены ежегодные ассигнования. Поддержка была также оказана участию женских организаций в четвертой Конференции государств Северной Европы и Балтии "Женщины и демократия" В 2001 году эта Конференция была проведена в Вильнюсе. С 2005 года государственный бюджет оказывал поддержку сети женских НПО стран Северной Европы и Балтии для борьбы с насилием в отношении женщин.</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Улучшается представление статистических данных, дезагрегированных по признаку пола. В статистической публикации "Женщины и мужчины в Литве в 2005 году", изданной Департаментом статистики в 2006 году, представлена, в дополнение к основным дезагрегированным по признаку пола показателям, информация о насилии в семье и преступности. Принимая во внимание потребности пользователей, данные разбиты по районам, муниципалитетам и государствам – членам Европейского союза.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Достижения Литвы в области обеспечения гендерного равенства получили положительную оценку на международном уровне. Во Всемирном докладе о разнице в положении мужчин и женщин, опубликованном Всемирным экономическим форумом в конце 2006 года, Латвия и Литва получили </w:t>
      </w:r>
      <w:r w:rsidRPr="00F04E0A">
        <w:rPr>
          <w:b w:val="0"/>
          <w:szCs w:val="22"/>
          <w:lang w:val="ru-RU"/>
        </w:rPr>
        <w:t>наиболее высокую оценку среди новых государств-членов:</w:t>
      </w:r>
      <w:bookmarkStart w:id="1" w:name="YANDEX_89"/>
      <w:bookmarkEnd w:id="1"/>
      <w:r w:rsidRPr="00F04E0A">
        <w:rPr>
          <w:b w:val="0"/>
          <w:szCs w:val="22"/>
          <w:lang w:val="ru-RU"/>
        </w:rPr>
        <w:t xml:space="preserve"> Латвия заняла 19</w:t>
      </w:r>
      <w:r w:rsidRPr="00F04E0A">
        <w:rPr>
          <w:b w:val="0"/>
          <w:szCs w:val="22"/>
          <w:lang w:val="ru-RU"/>
        </w:rPr>
        <w:noBreakHyphen/>
        <w:t>е место, а Литва – 21</w:t>
      </w:r>
      <w:r w:rsidRPr="00F04E0A">
        <w:rPr>
          <w:b w:val="0"/>
          <w:szCs w:val="22"/>
          <w:lang w:val="ru-RU"/>
        </w:rPr>
        <w:noBreakHyphen/>
        <w:t>е место.</w:t>
      </w:r>
    </w:p>
    <w:p w:rsidR="00835A84" w:rsidRPr="00F04E0A" w:rsidRDefault="00835A84" w:rsidP="00181332">
      <w:pPr>
        <w:pStyle w:val="BodyText"/>
        <w:numPr>
          <w:ilvl w:val="0"/>
          <w:numId w:val="2"/>
        </w:numPr>
        <w:tabs>
          <w:tab w:val="clear" w:pos="2088"/>
          <w:tab w:val="left" w:pos="567"/>
          <w:tab w:val="left" w:pos="1134"/>
        </w:tabs>
        <w:spacing w:before="0" w:after="200"/>
        <w:ind w:left="43" w:firstLine="567"/>
        <w:rPr>
          <w:b w:val="0"/>
          <w:bCs/>
          <w:szCs w:val="22"/>
          <w:lang w:val="ru-RU"/>
        </w:rPr>
      </w:pPr>
      <w:r w:rsidRPr="00F04E0A">
        <w:rPr>
          <w:b w:val="0"/>
          <w:bCs/>
          <w:szCs w:val="22"/>
          <w:lang w:val="ru-RU"/>
        </w:rPr>
        <w:t xml:space="preserve">Самым высоким признанием достижений Литвы в области гендерного равенства стало решение, достигнутое с общего согласия представителей правительств государств – членов Европейского союза 11 декабря 2006 года (со вступлением в силу с 18 января 2007 года), по учреждению в Вильнюсе Европейского института по вопросам гендерного равенства. Европейский институт по вопросам гендерного равенства будет независимым ведомством Европейского союза, занимающимся вопросами равенства полов. Институт предоставит техническо-информационную поддержку Комиссии и государствам – членам Европейского союза по вопросам гендерного равенства; будет заниматься сбором, систематизацией и анализом информации, статистических и исследовательских данных; разрабатывать инструменты методологического учета гендерной проблематики; организовывать конференции, мероприятия и т. д. Институт начнет свою деятельность в 2008 году.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Учет гендерных аспектов в различных сферах реализуется посредством ряда проектов, осуществляемых женскими НПО, государственными и частными учреждениями и организациями. Приоритет отдается достижению гендерного равенства на местном уровне. Фонд социальных инноваций и Коалиция неправительственных организаций по защите прав человека женщин, работу которых координирует Фонд, – это одни из наиболее активных женских организаций, работающих в этой области. Фонд социальных инноваций ежегодно организует круглые столы во всех районах, обсуждает вопросы, касающиеся гендерного равенства, собирает и систематизирует полученную информацию и выходит с конструктивными предложениями в правительство по вопросам гендерного равенства, которыми впоследствии занимаются на местном уровне. Многие проекты финансируются не только из государственного бюджета, но также и из структурных фондов Европейского союза или других международных фондов. Гендерному равенству на местном уровне посвящена работа в рамках проекта "Равенство в интересах развития на местном уровне: учет гендерной проблематики в деятельности муниципалитетов", который поддерживается за счет средств структурных фондов Европейского союза и государственного бюджета. Проект охватывает период 2006–2007 годов и осуществляется Управлением омбудсмена по вопросам равных возможностей в сотрудничестве с Министерством социального обеспечения и труда и другими партнерами. Проект нацелен на решение следующих задач: обучение учету гендерных аспектов и улучшение навыков учета гендерной проблематики в работе муниципалитетов; больший учет гендерных аспектов в политике местной администрации; поощрение дискуссий о преимуществах и необходимости достижения гендерного равенства. </w:t>
      </w:r>
    </w:p>
    <w:p w:rsidR="00835A84" w:rsidRPr="00F04E0A" w:rsidRDefault="00835A84" w:rsidP="00C603EC">
      <w:pPr>
        <w:pStyle w:val="BodyText"/>
        <w:keepNext/>
        <w:tabs>
          <w:tab w:val="left" w:pos="567"/>
          <w:tab w:val="left" w:pos="1134"/>
        </w:tabs>
        <w:spacing w:before="0" w:after="200"/>
        <w:jc w:val="center"/>
        <w:rPr>
          <w:bCs/>
          <w:szCs w:val="22"/>
          <w:lang w:val="ru-RU"/>
        </w:rPr>
      </w:pPr>
      <w:r w:rsidRPr="00F04E0A">
        <w:rPr>
          <w:bCs/>
          <w:szCs w:val="22"/>
          <w:lang w:val="ru-RU"/>
        </w:rPr>
        <w:t>Статья 4</w:t>
      </w:r>
    </w:p>
    <w:p w:rsidR="00835A84" w:rsidRPr="00F04E0A" w:rsidRDefault="00835A84" w:rsidP="00C603EC">
      <w:pPr>
        <w:tabs>
          <w:tab w:val="left" w:pos="567"/>
          <w:tab w:val="left" w:pos="1134"/>
        </w:tabs>
        <w:suppressAutoHyphens/>
        <w:spacing w:after="200"/>
        <w:jc w:val="center"/>
        <w:rPr>
          <w:b/>
          <w:bCs/>
          <w:sz w:val="22"/>
          <w:szCs w:val="22"/>
        </w:rPr>
      </w:pPr>
      <w:r w:rsidRPr="00F04E0A">
        <w:rPr>
          <w:b/>
          <w:bCs/>
          <w:sz w:val="22"/>
          <w:szCs w:val="22"/>
        </w:rPr>
        <w:t>Пункт 1</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Для применения специальных мер по </w:t>
      </w:r>
      <w:r w:rsidRPr="00F04E0A">
        <w:rPr>
          <w:b w:val="0"/>
          <w:szCs w:val="22"/>
          <w:lang w:val="ru-RU"/>
        </w:rPr>
        <w:t>обеспечению соблюдения гендерного равенства</w:t>
      </w:r>
      <w:r w:rsidRPr="00F04E0A">
        <w:rPr>
          <w:b w:val="0"/>
          <w:bCs/>
          <w:szCs w:val="22"/>
          <w:lang w:val="ru-RU"/>
        </w:rPr>
        <w:t xml:space="preserve"> в Литовской Республике были созданы предварительные юридические условия. Как указано в статье 2(4)(6) Закона о равных возможностях женщин и мужчин, определенные временные обязательные меры, целью которых является ускорение достижения</w:t>
      </w:r>
      <w:r w:rsidRPr="00F04E0A">
        <w:rPr>
          <w:b w:val="0"/>
          <w:bCs/>
          <w:i/>
          <w:iCs/>
          <w:szCs w:val="22"/>
          <w:lang w:val="ru-RU"/>
        </w:rPr>
        <w:t xml:space="preserve"> </w:t>
      </w:r>
      <w:r w:rsidRPr="00F04E0A">
        <w:rPr>
          <w:b w:val="0"/>
          <w:bCs/>
          <w:iCs/>
          <w:szCs w:val="22"/>
          <w:lang w:val="ru-RU"/>
        </w:rPr>
        <w:t>фактического</w:t>
      </w:r>
      <w:r w:rsidRPr="00F04E0A">
        <w:rPr>
          <w:b w:val="0"/>
          <w:bCs/>
          <w:szCs w:val="22"/>
          <w:lang w:val="ru-RU"/>
        </w:rPr>
        <w:t xml:space="preserve"> равенства между мужчинами и женщинами и которые прекращают свое действие после достижения равных прав и равных возможностей для женщин и мужчин </w:t>
      </w:r>
      <w:r w:rsidRPr="00F04E0A">
        <w:rPr>
          <w:b w:val="0"/>
          <w:bCs/>
          <w:iCs/>
          <w:szCs w:val="22"/>
          <w:lang w:val="ru-RU"/>
        </w:rPr>
        <w:t>де-факто</w:t>
      </w:r>
      <w:r w:rsidRPr="00F04E0A">
        <w:rPr>
          <w:b w:val="0"/>
          <w:bCs/>
          <w:szCs w:val="22"/>
          <w:lang w:val="ru-RU"/>
        </w:rPr>
        <w:t>, не считаются дискриминацией по признаку пола. Однако применение таких специальных мер на практике проблематично.</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Одна из причин неадекватного применения этих мер лежит в области права. Специальные меры должны определяться специальном законом, но эксперты по конституционному законодательству выражают мнение, что определение специальных мер законом может вступать в противоречие с Конституцией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 33</w:t>
      </w:r>
      <w:r w:rsidRPr="00F04E0A">
        <w:rPr>
          <w:b w:val="0"/>
          <w:bCs/>
          <w:szCs w:val="22"/>
          <w:lang w:val="ru-RU"/>
        </w:rPr>
        <w:noBreakHyphen/>
        <w:t>1014, 1992 год) (в дальнейшем именуемой "Конституция"). Для обеспечения</w:t>
      </w:r>
      <w:r w:rsidRPr="00F04E0A">
        <w:rPr>
          <w:b w:val="0"/>
          <w:szCs w:val="22"/>
          <w:lang w:val="ru-RU"/>
        </w:rPr>
        <w:t xml:space="preserve"> </w:t>
      </w:r>
      <w:r w:rsidRPr="00F04E0A">
        <w:rPr>
          <w:b w:val="0"/>
          <w:bCs/>
          <w:szCs w:val="22"/>
          <w:lang w:val="ru-RU"/>
        </w:rPr>
        <w:t>соблюдения</w:t>
      </w:r>
      <w:r w:rsidRPr="00F04E0A">
        <w:rPr>
          <w:b w:val="0"/>
          <w:szCs w:val="22"/>
          <w:lang w:val="ru-RU"/>
        </w:rPr>
        <w:t xml:space="preserve"> гендерного </w:t>
      </w:r>
      <w:r w:rsidRPr="00F04E0A">
        <w:rPr>
          <w:b w:val="0"/>
          <w:bCs/>
          <w:szCs w:val="22"/>
          <w:lang w:val="ru-RU"/>
        </w:rPr>
        <w:t>равенства в политике в действительности поступали предложения установить специальные меры в законодательном порядке. Однако, по мнению экспертов по конституционному законодательству, закон, устанавливающий квоту сейма на кандидатов одного пола, вступает в прямое противоречие с конституционным принципом равенства всех людей. В связи с этим они предложили в первую очередь, до внесения в законы специальных мер по обеспечению</w:t>
      </w:r>
      <w:r w:rsidRPr="00F04E0A">
        <w:rPr>
          <w:b w:val="0"/>
          <w:bCs/>
          <w:i/>
          <w:iCs/>
          <w:szCs w:val="22"/>
          <w:lang w:val="ru-RU"/>
        </w:rPr>
        <w:t xml:space="preserve"> </w:t>
      </w:r>
      <w:r w:rsidRPr="00F04E0A">
        <w:rPr>
          <w:b w:val="0"/>
          <w:bCs/>
          <w:iCs/>
          <w:szCs w:val="22"/>
          <w:lang w:val="ru-RU"/>
        </w:rPr>
        <w:t>фактического</w:t>
      </w:r>
      <w:r w:rsidRPr="00F04E0A">
        <w:rPr>
          <w:b w:val="0"/>
          <w:bCs/>
          <w:szCs w:val="22"/>
          <w:lang w:val="ru-RU"/>
        </w:rPr>
        <w:t xml:space="preserve"> равенства мужчин и женщин, внести поправки в Конституцию. В Управление омбудсмена по вопросам равных возможностей поступила жалоба, касающаяся возможности применения специальных мер; жалоба была отклонена, поскольку никаких нарушений установлено не было. </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В рамках системы высшего образования Литвы не применялось каких-либо специальных мер для обеспечения</w:t>
      </w:r>
      <w:r w:rsidRPr="00F04E0A">
        <w:rPr>
          <w:b w:val="0"/>
          <w:bCs/>
          <w:i/>
          <w:iCs/>
          <w:szCs w:val="22"/>
          <w:lang w:val="ru-RU"/>
        </w:rPr>
        <w:t xml:space="preserve"> </w:t>
      </w:r>
      <w:r w:rsidRPr="00F04E0A">
        <w:rPr>
          <w:b w:val="0"/>
          <w:bCs/>
          <w:iCs/>
          <w:szCs w:val="22"/>
          <w:lang w:val="ru-RU"/>
        </w:rPr>
        <w:t>фактического</w:t>
      </w:r>
      <w:r w:rsidRPr="00F04E0A">
        <w:rPr>
          <w:b w:val="0"/>
          <w:bCs/>
          <w:szCs w:val="22"/>
          <w:lang w:val="ru-RU"/>
        </w:rPr>
        <w:t xml:space="preserve"> равенства между мужчинами и женщинами. В Литве и мужчинам и женщинам предоставляются равные условия в том, что касается выбора профессии, обучения по одинаковым учебным программам, сдачи одинаковых экзаменов, а также обеспечения равного доступа к грантам на обучение, образованию, получению диплома, обучению в аспирантуре и т. д. </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lang w:val="ru-RU"/>
        </w:rPr>
        <w:t>Статья 5</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a</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Одной из основных задач Национальной программы по обеспечению равных возможностей для женщин и мужчин на 2005–2009</w:t>
      </w:r>
      <w:r w:rsidRPr="00F04E0A">
        <w:rPr>
          <w:b w:val="0"/>
          <w:bCs/>
          <w:szCs w:val="22"/>
        </w:rPr>
        <w:t> </w:t>
      </w:r>
      <w:r w:rsidRPr="00F04E0A">
        <w:rPr>
          <w:b w:val="0"/>
          <w:bCs/>
          <w:szCs w:val="22"/>
          <w:lang w:val="ru-RU"/>
        </w:rPr>
        <w:t>годы является изменение традиционного стереотипного представления о роли мужчин и женщин в экономической деятельности. Для выполнения этой задачи в сотрудничестве с Центром по изучению гендерных вопросов Вильнюсского университета ежегодно проводятся семинары для сотрудников государственной инспекции труда, учреждений рынка труда, муниципалитетов и социальных партнеров. Задачей семинаров является изменение стереотипных представлений о роли мужчин и женщин в экономической деятельности, влияющих на возможность трудоустройства мужчин и женщин и усугубляющих разрыв между мужчинами и женщинами в области занятости, заработной платы и экономического положенияи.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2005–2006 годах Министерство культуры оказало поддержку 19 проектам НПО, пропагандирующим нестереотипное представление о мужских и женских ролях. Для поддержки этих проектов из государственного бюджета было выделено 37 тыс. литов.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szCs w:val="22"/>
          <w:lang w:val="ru-RU"/>
        </w:rPr>
        <w:t xml:space="preserve">В 2005–2006 годах </w:t>
      </w:r>
      <w:r w:rsidRPr="00F04E0A">
        <w:rPr>
          <w:b w:val="0"/>
          <w:szCs w:val="22"/>
          <w:lang w:val="ru-RU" w:eastAsia="ru-RU"/>
        </w:rPr>
        <w:t>Центр профессионального совершенствования педагогов</w:t>
      </w:r>
      <w:r w:rsidRPr="00F04E0A">
        <w:rPr>
          <w:b w:val="0"/>
          <w:szCs w:val="22"/>
          <w:lang w:val="ru-RU"/>
        </w:rPr>
        <w:t xml:space="preserve"> реализовал множество квалификационных программ по вопросам ликвидации дискриминационных социальных и культурных схем и применения образовательных мер воздействия в сфере семейного образования и создания надлежащего понимания ролей и обязанностей полов по темам: "Развитие жизненных навыков" (для 80 учителей общеобразовательных школ), "Анализ программы обучения по вопросам </w:t>
      </w:r>
      <w:r w:rsidRPr="00F04E0A">
        <w:rPr>
          <w:b w:val="0"/>
          <w:bCs/>
          <w:szCs w:val="22"/>
          <w:lang w:val="ru-RU"/>
        </w:rPr>
        <w:t>семьи</w:t>
      </w:r>
      <w:r w:rsidRPr="00F04E0A">
        <w:rPr>
          <w:b w:val="0"/>
          <w:szCs w:val="22"/>
          <w:lang w:val="ru-RU"/>
        </w:rPr>
        <w:t xml:space="preserve"> и полового воспитания" (120 учителей общеобразовательных школ), "Физическое, эмоциональное и сексуальное надругательство над детьми" (100 учителей общеобразовательных школ), "Помощь детям, подвергшимся насилию" (20 социальных педагогов), "Социальная дискриминация среди детей и подростков. Стимулирование заинтересованности детей и подростков в полноценной жизни и образовании" (40 классных руководителей, педагогов общеобразовательных школ и профессионально-технических училищ).</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Для изменения стереотипных представлений и повышения доступности и эффективности психологической поддержки в рамках муниципалитетов были учреждены 53 педагогических и психологических бюро; они полностью задействованы, и штат их сотрудников расширяется. Эти службы предоставляют консультации детям, семьям и школам. Образовательные учреждения все чаще вводят должности социального педагога, психолога, помощника преподавателя и других специалистов. Важную роль в формировании культурных поведенческих схем играют классные руководители; другие преподаватели также имеют большое влияние на самооценку и самопознание детей.</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Для изменения традиционных стереотипных представлений понадобится много усилий и времени. Для решения этой проблемы Европейский союз использует структурные фонды для поддержания проектов, осуществляемых организациями женщин, исследовательскими учреждениями и другими организациями. Одним из самых успешных проектов является проект "Стереотипные представления о гендерных ролях в области занятости: экстенсивная система контроля и образования", осуществляемый в 2006–2008 годах Центром по изучению гендерных вопросов Вильнюсского университета. Цель проекта состоит в слаженном и профессиональном изменении традиционных гендерных стереотипов, отрицательно воздействующих на равные возможности женщин и мужчин в области занятости.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Управление омбудсмена по вопросам равных возможностей принимает активное участие в качестве координатора или партнера в проектах, координируемых другими организациями, задачей которых является изменение стереотипного представления о ролях мужчин и женщин в обществе и освещения их ролей в средствах массовой информации. Одним из таких проектов является проект "Инновационные стратегии обучения социальных партнеров, задачей которых является осуществление принципа равных возможностей на практике", реализованный Информационным центром занятости женщин Каунаса в 2006–2007 годах. В задачи проекта входят: повышение информированности общественности и пропаганда нетерпимости к любым проявлениям дискриминации по признаку пола; изменение стереотипных представлений о ролях мужчин и женщин в обществе и о различных изолированных группах; стимулирование мужчин к принятию на себя равной ответственности за детей; изменение отношения работодателя к женщинам как к группе риска.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Сотрудники Управления омбудсмена по вопросам равных возможностей активно участвуют в радио- и телепередачах, пропагандирующих равенство женщин и мужчин, организуют встречи с общественностью, а также семинары и другие мероприятия. Они анализируют методы представления женщин и мужчин в средствах массовой информации и информирования об изменениях в ролях мужчин и женщин в современном обществе; кроме того, они принимают участие в организации обучения полицейских, представителей государственных органов власти и сотрудников муниципалитетов по вопросу о равенстве полов.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 2006 года ассоциация "Женский кризисный центр округа Каунас" (в дальнейшем именуемая "Каунасский женский кризисный центр") осуществляет проект "Обеспечение гендерного равенства путем ликвидации стереотипов". Целью этого проекта является обеспечение равных возможностей женщин и мужчин в профессиональной и общинной деятельности путем изменения стереотипных представлений о ролях женщин и мужчин в экономической деятельности района. В целевую группу проекта входят лица, которые могли бы сыграть самую важную роль в изменении стереотипного представления о ролях женщин и мужчин в экономической деятельности. В том же году Женский центр занятости и информации Аникщяя начал проект "Формирование социальных навыков и карьеры женщин с целью улучшения их социального статуса, независимости и положительной самооценки".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Рекламирование как одна из общественных информационных функций средств массовой информации также влияет на формирование представления о женщинах и мужчинах. Закон о равных возможностях женщин и мужчин запрещает рекламу товаров и услуг, которая формирует у общественности мнение о том, что один пол имеет превосходство над другим; Закон также запрещает дискриминацию потребителей по половому признаку. Однако реклама в Литве до сих пор не является нейтральной в гендерном отношении.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Жалобы на рекламу товаров и услуг в 2005 году составили 9 процентов всех жалоб, поданных в Управление омбудсмена по вопросам равных возможностей, и в 2006 году – приблизительно 10 процентов. В этих рекламных объявлениях женщины зачастую изображаются стереотипно, то есть путем показа определенных частей тела, с подчеркиванием слабостей, представления женщины как легкомысленного и невежественного существа, способного только на соблазнение и совращение мужчин. В рекламных объявлениях женщины зачастую приравниваются к предметам, например реклама предлагает выбрать либо рекламируемый продукт, либо привлекательную женщину. В частности, части тела женщины часто сопоставляются рекламируемым продуктам и сравниваются с ними. На такое непочтительное отображение женщины в рекламных объявлениях жалуются и отдельные женщины, и женщины – представители НПО.</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После проведения расследования по жалобе Управление омбудсмена по вопросам равных возможностей всегда предупреждает создателя такой оскорбительной рекламы или рекламодателя о дискриминационном характере рекламы и пытается разъяснить сущность неэтичной рекламы. Рекламодатели и создатели рекламных объявлений зачастую заранее консультируются с Управлением об этнической принадлежности будущей рекламы и обсуждают способы создания рекламы и отображения рекламируемой продукции, с тем чтобы не сформировать у общественности мнение, что определенная группа лиц имеет превосходство над другими группами.</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b</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Предпринимаются усилия, способствующие развитию равной ответственности женщин и мужчин в воспитании детей и равного разделения обязанностей в семье. 1 июля 2006 года вступили в силу поправки к Закону Литовской Республики о Трудовом кодексе (</w:t>
      </w:r>
      <w:r w:rsidRPr="00F04E0A">
        <w:rPr>
          <w:b w:val="0"/>
          <w:bCs/>
          <w:i/>
          <w:iCs/>
          <w:szCs w:val="22"/>
          <w:lang w:val="ru-RU"/>
        </w:rPr>
        <w:t>Valstybės žinios</w:t>
      </w:r>
      <w:r w:rsidRPr="00F04E0A">
        <w:rPr>
          <w:b w:val="0"/>
          <w:bCs/>
          <w:szCs w:val="22"/>
          <w:lang w:val="ru-RU"/>
        </w:rPr>
        <w:t xml:space="preserve"> (Правительственная газета) № 64</w:t>
      </w:r>
      <w:r w:rsidRPr="00F04E0A">
        <w:rPr>
          <w:b w:val="0"/>
          <w:bCs/>
          <w:szCs w:val="22"/>
          <w:lang w:val="ru-RU"/>
        </w:rPr>
        <w:noBreakHyphen/>
        <w:t>2569, 2002 год) (в дальнейшем именуемом "Трудовой кодекс") (с поправками по Закону № </w:t>
      </w:r>
      <w:r w:rsidRPr="00F04E0A">
        <w:rPr>
          <w:b w:val="0"/>
          <w:bCs/>
          <w:szCs w:val="22"/>
        </w:rPr>
        <w:t>X</w:t>
      </w:r>
      <w:r w:rsidRPr="00F04E0A">
        <w:rPr>
          <w:b w:val="0"/>
          <w:bCs/>
          <w:szCs w:val="22"/>
          <w:lang w:val="ru-RU"/>
        </w:rPr>
        <w:noBreakHyphen/>
        <w:t>660 от 8 июня 2006 года); поправки предусматривают возможность для мужчин брать отпуск в связи с рождением ребенка. С того времени в соответствии со статьей 179</w:t>
      </w:r>
      <w:r w:rsidRPr="00F04E0A">
        <w:rPr>
          <w:b w:val="0"/>
          <w:bCs/>
          <w:szCs w:val="22"/>
          <w:vertAlign w:val="superscript"/>
          <w:lang w:val="ru-RU"/>
        </w:rPr>
        <w:t>1</w:t>
      </w:r>
      <w:r w:rsidRPr="00F04E0A">
        <w:rPr>
          <w:b w:val="0"/>
          <w:bCs/>
          <w:szCs w:val="22"/>
          <w:lang w:val="ru-RU"/>
        </w:rPr>
        <w:t xml:space="preserve"> Трудового кодекса мужчины могут брать отцовский отпуск на один месяц с момента рождения ребенка. 1 июля 2006 года вступили в силу поправки к определенным статьям Закона Литовской Республики об организации системы национальной обороны и военной службы (</w:t>
      </w:r>
      <w:r w:rsidRPr="00F04E0A">
        <w:rPr>
          <w:b w:val="0"/>
          <w:bCs/>
          <w:i/>
          <w:iCs/>
          <w:szCs w:val="22"/>
          <w:lang w:val="ru-RU"/>
        </w:rPr>
        <w:t>Valstybės žinios</w:t>
      </w:r>
      <w:r w:rsidRPr="00F04E0A">
        <w:rPr>
          <w:b w:val="0"/>
          <w:bCs/>
          <w:szCs w:val="22"/>
          <w:lang w:val="ru-RU"/>
        </w:rPr>
        <w:t xml:space="preserve"> (Правительственная газета) № 49</w:t>
      </w:r>
      <w:r w:rsidRPr="00F04E0A">
        <w:rPr>
          <w:b w:val="0"/>
          <w:bCs/>
          <w:szCs w:val="22"/>
          <w:lang w:val="ru-RU"/>
        </w:rPr>
        <w:noBreakHyphen/>
        <w:t>1325, 1998 год) (с поправками по Закону № </w:t>
      </w:r>
      <w:r w:rsidRPr="00F04E0A">
        <w:rPr>
          <w:b w:val="0"/>
          <w:bCs/>
          <w:szCs w:val="22"/>
        </w:rPr>
        <w:t>X</w:t>
      </w:r>
      <w:r w:rsidRPr="00F04E0A">
        <w:rPr>
          <w:b w:val="0"/>
          <w:bCs/>
          <w:szCs w:val="22"/>
          <w:lang w:val="ru-RU"/>
        </w:rPr>
        <w:noBreakHyphen/>
        <w:t>662 от 8 июня 2006 года); поправки предусматривают возможность для мужчин, находящихся на профессиональной военной службе, брать отцовский отпуск.</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 </w:t>
      </w:r>
      <w:r w:rsidRPr="00F04E0A">
        <w:rPr>
          <w:b w:val="0"/>
          <w:szCs w:val="22"/>
          <w:lang w:val="ru-RU"/>
        </w:rPr>
        <w:t>Во время отцовского отпуска по уходу за ребенком, упомянутого в пункте 56, выше, отцу выплачивается родительское пособие (в соответствии с Законом Литовской Республики о социальном страховании в случае болезни и в связи с рождением ребенка (</w:t>
      </w:r>
      <w:r w:rsidRPr="00F04E0A">
        <w:rPr>
          <w:b w:val="0"/>
          <w:i/>
          <w:iCs/>
          <w:szCs w:val="22"/>
          <w:lang w:val="ru-RU"/>
        </w:rPr>
        <w:t>Valstybės žinios</w:t>
      </w:r>
      <w:r w:rsidRPr="00F04E0A">
        <w:rPr>
          <w:b w:val="0"/>
          <w:szCs w:val="22"/>
          <w:lang w:val="ru-RU"/>
        </w:rPr>
        <w:t xml:space="preserve"> (Правительственная газета) № 111</w:t>
      </w:r>
      <w:r w:rsidRPr="00F04E0A">
        <w:rPr>
          <w:b w:val="0"/>
          <w:szCs w:val="22"/>
          <w:lang w:val="ru-RU"/>
        </w:rPr>
        <w:noBreakHyphen/>
        <w:t xml:space="preserve">3574, 2000 год)). </w:t>
      </w:r>
      <w:r w:rsidRPr="00F04E0A">
        <w:rPr>
          <w:b w:val="0"/>
          <w:bCs/>
          <w:szCs w:val="22"/>
          <w:lang w:val="ru-RU"/>
        </w:rPr>
        <w:t>Отец имеет право на получение родительского пособия в следующих случаях: страхование в соответствии со статьей 4(1) данного Закона; предоставление в установленном законодательством порядке отцовского отпуска до исполнения ребенку одного месяца; распространение на него социального страхования в случае болезни и в связи с рождением ребенка на срок не менее 7 месяцев в течение 24 месяцев, следующих сразу после его первого отцовства; женитьба на матери ребенка. В настоящее время существует законопроект о замене последнего условия о предоставлении страховки отцам, неженатым на матери ребенка. Пособие по уходу за ребенком, предоставляемое отцу, составляет 100 процентов от оклада получателя пособия. Пособие не может быть ниже трети застрахованного дохода за текущий год, в пересчете на месяц, за который был предоставлен отцовский отпуск. 3085 мужчин взяли отцовский отпуск во второй половине 2006 года, и 4207 – в первой половине 2007 года.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случае невозможности предоставить отцовский отпуск профессиональному военнослужащему, находящемуся в воинском подразделении, осуществляющем международные операции, в связи с местоположением воинского подразделения или требованиями к боеготовности, ему выплатят единовременное пособие в размере средней заработной платы, рассчитанной в установленном правительством порядке.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13 октября 2005 года вступили в силу поправки к статье 59 Закона Литовской Республики об организации системы национальной обороны и военной службы (</w:t>
      </w:r>
      <w:r w:rsidRPr="00F04E0A">
        <w:rPr>
          <w:b w:val="0"/>
          <w:bCs/>
          <w:i/>
          <w:iCs/>
          <w:szCs w:val="22"/>
          <w:lang w:val="ru-RU"/>
        </w:rPr>
        <w:t>Valstybės žinios</w:t>
      </w:r>
      <w:r w:rsidRPr="00F04E0A">
        <w:rPr>
          <w:b w:val="0"/>
          <w:bCs/>
          <w:szCs w:val="22"/>
          <w:lang w:val="ru-RU"/>
        </w:rPr>
        <w:t xml:space="preserve"> (Правительственная газета) № 122</w:t>
      </w:r>
      <w:r w:rsidRPr="00F04E0A">
        <w:rPr>
          <w:b w:val="0"/>
          <w:bCs/>
          <w:szCs w:val="22"/>
          <w:lang w:val="ru-RU"/>
        </w:rPr>
        <w:noBreakHyphen/>
        <w:t>4362, 2005 год); поправки предусматривают более длительный отпуск по уходу за ребенком для профессиональных военнослужащих и аннулируют условие, по которому, если на конец отпуска по уходу за ребенком не предусмотрено назначений, соответствующих квалификации военнослужащего, он переводится в запас. В поправках предусматривается, что отпуск по уходу за ребенком будет предоставлен до исполнения ребенку трех лет; после окончания отпуска по уходу за ребенком военнослужащий назначается на должность, соответствующую его званию.</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Возможность совмещать производственные и семейные обязанности является существенной предпосылкой для оказания содействия развитию общей ответственности женщин и мужчин по воспитанию детей. Одной из основных задач Национальной программы по обеспечению равных возможностей для женщин и мужчин на 2005–2009 годы является создание условий для женщин и мужчин, позволяющих сочетать производственные и семейные обязанности. Мероприятия, целью которых является осуществление этой задачи, включают усовершенствование законодательства, организацию для социальных партнеров семинаров о применении гибких методов организации рабочего времени, проведение образовательных мероприятий по информированию семей о возможности брать отпуск по уходу за ребенком, оказание содействия отцам в получении не только отпуска в связи с рождением ребенка, но и отпуска по уходу за ребенком до тех пор, пока ему не исполнится три года.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В рамках реализации проектов, содействующих сочетанию производственных и семейных обязанностей, при поддержке инициативы </w:t>
      </w:r>
      <w:r w:rsidRPr="00F04E0A">
        <w:rPr>
          <w:b w:val="0"/>
          <w:bCs/>
          <w:szCs w:val="22"/>
        </w:rPr>
        <w:t>EQUAL</w:t>
      </w:r>
      <w:r w:rsidRPr="00F04E0A">
        <w:rPr>
          <w:b w:val="0"/>
          <w:bCs/>
          <w:szCs w:val="22"/>
          <w:lang w:val="ru-RU"/>
        </w:rPr>
        <w:t xml:space="preserve"> Европейских сообществ 500 лицам, имеющим семейные обязанности, была представлена возможность совмещать производственную деятельность и выполнение семейных обязанностей, сохранить свои рабочие места или получить работу. 450 из них приняли участие в программе по получению специальности или повышению профессиональной квалификации, приобретению специальных профессиональных знаний и навыков. В обучающих курсах приняли участие 130 рабочих, специалистов и добровольцев, совмещающих работу и семейные обязанности. Была разработана модель дружественных по отношению к семье форм занятости.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 2005 года Институт гендерных исследований Шауляйского университета осуществляет один из самых успешных проектов "Семейная вселенная: организация, дружественная по отношению к семье", задачей которого является создание дружественных по отношению к семье условий учебы и работы в Шауляйском университете путем развития и испытания инновационной методологии и мер, пропагандирующих сочетание производственных и семейных обязанностей, и изменения стереотипных представлений о ролях полов в семье и на работе.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С 2005 года Информационный центр по проблемам женщин осуществляет проект "ВПЕРЕД! Более гармоничное сочетание производственных и семейных обязанностей", задачей которого является сокращение изоляции семей с маленькими детьми путем применения современных эффективных методик и оказание влияния на принятие политических решений на основании таких методик. В целевые группы проекта входят полные и неполные семьи с низким доходом с маленькими детьми: всего 60 семей, 40 из которых живут в городских районах, а 20 – в сельских. Целями проекта являются разработка, с использованием международного опыта, и апробирование двух моделей, нацеленных на сочетание производственных и семейных обязанностей, одна из которых предназначена для сельских, а другая – для городских общин.</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pacing w:val="-1"/>
          <w:szCs w:val="22"/>
          <w:lang w:val="ru-RU"/>
        </w:rPr>
      </w:pPr>
      <w:r w:rsidRPr="00F04E0A">
        <w:rPr>
          <w:b w:val="0"/>
          <w:bCs/>
          <w:szCs w:val="22"/>
          <w:lang w:val="ru-RU"/>
        </w:rPr>
        <w:t>В 2004–2005 годах Управление омбудсмена по вопросам равных возможностей осуществляло при поддержке ЕС проект "Современные мужчины в расширенной Европе". Проект был продлен на 2005–2006 годы и получил новое название "Современные мужчины в расширенной Европе: дружественные по отношению к семье производственные условия". Основными целями этих проектов являются поощрение мужчин к совмещению производственной деятельности и семейных обязанностей и к более активному участию в семейной жизни, а также стимулирование работодателей к введению инновационных методов организации рабочего времени, содействующих более гармоничному сочетанию производственных и семейных обязанностей, и принятию новых инициатив по созданию более продуктивной рабочей атмосферы.</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lang w:val="ru-RU"/>
        </w:rPr>
        <w:t>Статья 6</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szCs w:val="22"/>
          <w:lang w:val="ru-RU"/>
        </w:rPr>
        <w:t>Правительство</w:t>
      </w:r>
      <w:r w:rsidRPr="00F04E0A">
        <w:rPr>
          <w:b w:val="0"/>
          <w:bCs/>
          <w:szCs w:val="22"/>
          <w:lang w:val="ru-RU"/>
        </w:rPr>
        <w:t xml:space="preserve"> продолжает проводить последовательную и целенаправленную политику по обеспечению контроля и предотвращению торговли людьми в соответствии с международными юридическими нормами.</w:t>
      </w:r>
    </w:p>
    <w:p w:rsidR="00835A84" w:rsidRPr="00F04E0A" w:rsidRDefault="00835A84" w:rsidP="00835A84">
      <w:pPr>
        <w:pStyle w:val="BodyText"/>
        <w:tabs>
          <w:tab w:val="left" w:pos="567"/>
          <w:tab w:val="left" w:pos="1134"/>
        </w:tabs>
        <w:spacing w:before="0" w:after="200"/>
        <w:ind w:firstLine="567"/>
        <w:rPr>
          <w:b w:val="0"/>
          <w:bCs/>
          <w:szCs w:val="22"/>
          <w:lang w:val="ru-RU"/>
        </w:rPr>
      </w:pPr>
      <w:r w:rsidRPr="00F04E0A">
        <w:rPr>
          <w:b w:val="0"/>
          <w:bCs/>
          <w:szCs w:val="22"/>
          <w:lang w:val="ru-RU"/>
        </w:rPr>
        <w:t xml:space="preserve">Ниже представлена подробная </w:t>
      </w:r>
      <w:r w:rsidRPr="00F04E0A">
        <w:rPr>
          <w:b w:val="0"/>
          <w:szCs w:val="22"/>
          <w:lang w:val="ru-RU"/>
        </w:rPr>
        <w:t>информация</w:t>
      </w:r>
      <w:r w:rsidRPr="00F04E0A">
        <w:rPr>
          <w:b w:val="0"/>
          <w:bCs/>
          <w:szCs w:val="22"/>
          <w:lang w:val="ru-RU"/>
        </w:rPr>
        <w:t xml:space="preserve"> о ситуации в Литве в области юридически регулируемой и фактической борьбы с торговлей людьми.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2004 году Литва ратифицировала Факультативный протокол  2000 года к Конвенции Организации Объединенных Наций о правах ребенка 1989 года, касающийся торговли детьми, детской проституции и детской порнографии, путем принятия Закона Литовской Республики о ратификации Факультативного протокола к Конвенции Организации Объединенных Наций о правах ребенка, касающегося торговли детьми, детской проституции и детской порнографии (</w:t>
      </w:r>
      <w:r w:rsidRPr="00F04E0A">
        <w:rPr>
          <w:b w:val="0"/>
          <w:bCs/>
          <w:i/>
          <w:iCs/>
          <w:szCs w:val="22"/>
          <w:lang w:val="ru-RU"/>
        </w:rPr>
        <w:t>Valstybės žinios</w:t>
      </w:r>
      <w:r w:rsidRPr="00F04E0A">
        <w:rPr>
          <w:b w:val="0"/>
          <w:bCs/>
          <w:szCs w:val="22"/>
          <w:lang w:val="ru-RU"/>
        </w:rPr>
        <w:t xml:space="preserve"> (Правительственная газета) № 108</w:t>
      </w:r>
      <w:r w:rsidRPr="00F04E0A">
        <w:rPr>
          <w:b w:val="0"/>
          <w:bCs/>
          <w:szCs w:val="22"/>
          <w:lang w:val="ru-RU"/>
        </w:rPr>
        <w:noBreakHyphen/>
        <w:t>4028, 2004 год). Условия Протокола вступили в силу в Литовской Республике 5 сентября 2004 года. 7 февраля 2007 года правительство утвердило Постановлением № 208 (</w:t>
      </w:r>
      <w:r w:rsidRPr="00F04E0A">
        <w:rPr>
          <w:b w:val="0"/>
          <w:bCs/>
          <w:i/>
          <w:iCs/>
          <w:szCs w:val="22"/>
          <w:lang w:val="ru-RU"/>
        </w:rPr>
        <w:t>Valstybės žinios</w:t>
      </w:r>
      <w:r w:rsidRPr="00F04E0A">
        <w:rPr>
          <w:b w:val="0"/>
          <w:bCs/>
          <w:szCs w:val="22"/>
          <w:lang w:val="ru-RU"/>
        </w:rPr>
        <w:t xml:space="preserve"> (Правительственная газета) № 26</w:t>
      </w:r>
      <w:r w:rsidRPr="00F04E0A">
        <w:rPr>
          <w:b w:val="0"/>
          <w:bCs/>
          <w:szCs w:val="22"/>
          <w:lang w:val="ru-RU"/>
        </w:rPr>
        <w:noBreakHyphen/>
        <w:t>957, 2007 год) доклад об исполнении Факультативного протокола к Конвенции Организации Объединенных Наций о правах ребенка, касающегося торговли детьми, детской проституции и детской порнографии.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Литва активно участвовала в разработке Конвенции Совета Европы о противодействии торговле людьми. Конвенция была открыта для подписания государствами-членами 16 мая 2005 года на 3</w:t>
      </w:r>
      <w:r w:rsidR="00A70C63">
        <w:rPr>
          <w:b w:val="0"/>
          <w:bCs/>
          <w:szCs w:val="22"/>
          <w:lang w:val="ru-RU"/>
        </w:rPr>
        <w:t>-</w:t>
      </w:r>
      <w:r w:rsidRPr="00F04E0A">
        <w:rPr>
          <w:b w:val="0"/>
          <w:bCs/>
          <w:szCs w:val="22"/>
          <w:lang w:val="ru-RU"/>
        </w:rPr>
        <w:t>й Европейской встрече на высшем уровне в Варшаве. В соответствии с Конвенцией осуществляется регулирование предотвращения торговли людьми, защиты жертв и уголовной ответственности торговцев людьми. В соответствии с Конвенцией осуществляется учет гендерных факторов с особым вниманием на помощи жертвам торговцев людьми и их реинтеграции в общество. В своем стремлении к скорейшему присоединению к Конвенции Совета Европы о противодействии торговле людьми Литва уже инициировала всю необходимую к исполнению деятельность по подписанию Конвенции.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Уголовная ответственность за торговлю людьми ужесточается. 23 июня 2005 года сейм принял Закон с поправками к статьям 48, 60, 145, 147, 157, 212, 213, 214, 215, 226, 249, 251, 252, 256, 267, 270, 272, 274 и 280 Уголовного кодекса Литовской Республики, поправками и дополнениями к приложению к Кодексу и дополнениями к Кодексу статьями 147</w:t>
      </w:r>
      <w:r w:rsidRPr="00F04E0A">
        <w:rPr>
          <w:b w:val="0"/>
          <w:bCs/>
          <w:szCs w:val="22"/>
          <w:vertAlign w:val="superscript"/>
          <w:lang w:val="ru-RU"/>
        </w:rPr>
        <w:t>1</w:t>
      </w:r>
      <w:r w:rsidRPr="00F04E0A">
        <w:rPr>
          <w:b w:val="0"/>
          <w:bCs/>
          <w:szCs w:val="22"/>
          <w:lang w:val="ru-RU"/>
        </w:rPr>
        <w:t>, 199</w:t>
      </w:r>
      <w:r w:rsidRPr="00F04E0A">
        <w:rPr>
          <w:b w:val="0"/>
          <w:bCs/>
          <w:szCs w:val="22"/>
          <w:vertAlign w:val="superscript"/>
          <w:lang w:val="ru-RU"/>
        </w:rPr>
        <w:t>1</w:t>
      </w:r>
      <w:r w:rsidRPr="00F04E0A">
        <w:rPr>
          <w:b w:val="0"/>
          <w:bCs/>
          <w:szCs w:val="22"/>
          <w:lang w:val="ru-RU"/>
        </w:rPr>
        <w:t>, 199</w:t>
      </w:r>
      <w:r w:rsidRPr="00F04E0A">
        <w:rPr>
          <w:b w:val="0"/>
          <w:bCs/>
          <w:szCs w:val="22"/>
          <w:vertAlign w:val="superscript"/>
          <w:lang w:val="ru-RU"/>
        </w:rPr>
        <w:t>2</w:t>
      </w:r>
      <w:r w:rsidRPr="00F04E0A">
        <w:rPr>
          <w:b w:val="0"/>
          <w:bCs/>
          <w:szCs w:val="22"/>
          <w:lang w:val="ru-RU"/>
        </w:rPr>
        <w:t>, 267</w:t>
      </w:r>
      <w:r w:rsidRPr="00F04E0A">
        <w:rPr>
          <w:b w:val="0"/>
          <w:bCs/>
          <w:szCs w:val="22"/>
          <w:vertAlign w:val="superscript"/>
          <w:lang w:val="ru-RU"/>
        </w:rPr>
        <w:t>1</w:t>
      </w:r>
      <w:r w:rsidRPr="00F04E0A">
        <w:rPr>
          <w:b w:val="0"/>
          <w:bCs/>
          <w:szCs w:val="22"/>
          <w:lang w:val="ru-RU"/>
        </w:rPr>
        <w:t>, 270</w:t>
      </w:r>
      <w:r w:rsidRPr="00F04E0A">
        <w:rPr>
          <w:b w:val="0"/>
          <w:bCs/>
          <w:szCs w:val="22"/>
          <w:vertAlign w:val="superscript"/>
          <w:lang w:val="ru-RU"/>
        </w:rPr>
        <w:t>1</w:t>
      </w:r>
      <w:r w:rsidRPr="00F04E0A">
        <w:rPr>
          <w:b w:val="0"/>
          <w:bCs/>
          <w:szCs w:val="22"/>
          <w:lang w:val="ru-RU"/>
        </w:rPr>
        <w:t>, 308</w:t>
      </w:r>
      <w:r w:rsidRPr="00F04E0A">
        <w:rPr>
          <w:b w:val="0"/>
          <w:bCs/>
          <w:szCs w:val="22"/>
          <w:vertAlign w:val="superscript"/>
          <w:lang w:val="ru-RU"/>
        </w:rPr>
        <w:t>1</w:t>
      </w:r>
      <w:r w:rsidRPr="00F04E0A">
        <w:rPr>
          <w:b w:val="0"/>
          <w:bCs/>
          <w:szCs w:val="22"/>
          <w:lang w:val="ru-RU"/>
        </w:rPr>
        <w:t xml:space="preserve"> (</w:t>
      </w:r>
      <w:r w:rsidRPr="00F04E0A">
        <w:rPr>
          <w:b w:val="0"/>
          <w:bCs/>
          <w:i/>
          <w:iCs/>
          <w:szCs w:val="22"/>
          <w:lang w:val="ru-RU"/>
        </w:rPr>
        <w:t>Valstybės žinios</w:t>
      </w:r>
      <w:r w:rsidRPr="00F04E0A">
        <w:rPr>
          <w:b w:val="0"/>
          <w:bCs/>
          <w:szCs w:val="22"/>
          <w:lang w:val="ru-RU"/>
        </w:rPr>
        <w:t xml:space="preserve"> (Правительственная газета) № 81</w:t>
      </w:r>
      <w:r w:rsidRPr="00F04E0A">
        <w:rPr>
          <w:b w:val="0"/>
          <w:bCs/>
          <w:szCs w:val="22"/>
          <w:lang w:val="ru-RU"/>
        </w:rPr>
        <w:noBreakHyphen/>
        <w:t>2945, 2005 год). В статье 147 (</w:t>
      </w:r>
      <w:r w:rsidRPr="00F04E0A">
        <w:rPr>
          <w:b w:val="0"/>
          <w:bCs/>
          <w:iCs/>
          <w:szCs w:val="22"/>
          <w:lang w:val="ru-RU"/>
        </w:rPr>
        <w:t>Торговля людьми</w:t>
      </w:r>
      <w:r w:rsidRPr="00F04E0A">
        <w:rPr>
          <w:b w:val="0"/>
          <w:bCs/>
          <w:szCs w:val="22"/>
          <w:lang w:val="ru-RU"/>
        </w:rPr>
        <w:t>) Уголовного кодекса и статье 157 (</w:t>
      </w:r>
      <w:r w:rsidRPr="00F04E0A">
        <w:rPr>
          <w:b w:val="0"/>
          <w:bCs/>
          <w:iCs/>
          <w:szCs w:val="22"/>
          <w:lang w:val="ru-RU"/>
        </w:rPr>
        <w:t>Приобретение или продажа детей)</w:t>
      </w:r>
      <w:r w:rsidRPr="00F04E0A">
        <w:rPr>
          <w:b w:val="0"/>
          <w:bCs/>
          <w:szCs w:val="22"/>
          <w:lang w:val="ru-RU"/>
        </w:rPr>
        <w:t xml:space="preserve"> Уголовного кодекса с поправками предусмотрено наложение более строгих санкций за эти действия и устанавливается уголовная ответственность за эти действия</w:t>
      </w:r>
      <w:r w:rsidRPr="00F04E0A" w:rsidDel="008C2476">
        <w:rPr>
          <w:b w:val="0"/>
          <w:bCs/>
          <w:szCs w:val="22"/>
          <w:lang w:val="ru-RU"/>
        </w:rPr>
        <w:t xml:space="preserve"> </w:t>
      </w:r>
      <w:r w:rsidRPr="00F04E0A">
        <w:rPr>
          <w:b w:val="0"/>
          <w:bCs/>
          <w:szCs w:val="22"/>
          <w:lang w:val="ru-RU"/>
        </w:rPr>
        <w:t>юридических лиц. В Уголовный кодекс было также добавлено новое преступное действие – эксплуатация с целью принудительного труда (статья 147</w:t>
      </w:r>
      <w:r w:rsidRPr="00F04E0A">
        <w:rPr>
          <w:b w:val="0"/>
          <w:bCs/>
          <w:szCs w:val="22"/>
          <w:vertAlign w:val="superscript"/>
          <w:lang w:val="ru-RU"/>
        </w:rPr>
        <w:t>1</w:t>
      </w:r>
      <w:r w:rsidRPr="00F04E0A">
        <w:rPr>
          <w:b w:val="0"/>
          <w:bCs/>
          <w:szCs w:val="22"/>
          <w:lang w:val="ru-RU"/>
        </w:rPr>
        <w:t xml:space="preserve"> Уголовного кодекса) – для установления уголовной ответственности лиц, которые при использовании физической силы, либо угрозы, либо иного лишения лица возможности к сопротивлению, либо игре на зависимости лица незаконно принуждают лицо выполнять определенную работу или к рабству или к работе в других жестоких условиях. В этом законе были переняты условия рамочного решения Совета ЕС № 2002/629/</w:t>
      </w:r>
      <w:r w:rsidRPr="00F04E0A">
        <w:rPr>
          <w:b w:val="0"/>
          <w:bCs/>
          <w:szCs w:val="22"/>
        </w:rPr>
        <w:t>JHA</w:t>
      </w:r>
      <w:r w:rsidRPr="00F04E0A">
        <w:rPr>
          <w:b w:val="0"/>
          <w:bCs/>
          <w:szCs w:val="22"/>
          <w:lang w:val="ru-RU"/>
        </w:rPr>
        <w:t xml:space="preserve"> от 19 июля 2002 года о борьбе с торговлей людьми (Специальное издание, 2004 год, другой уровень (</w:t>
      </w:r>
      <w:r w:rsidRPr="00F04E0A">
        <w:rPr>
          <w:b w:val="0"/>
          <w:bCs/>
          <w:szCs w:val="22"/>
        </w:rPr>
        <w:t>OL</w:t>
      </w:r>
      <w:r w:rsidRPr="00F04E0A">
        <w:rPr>
          <w:b w:val="0"/>
          <w:bCs/>
          <w:szCs w:val="22"/>
          <w:lang w:val="ru-RU"/>
        </w:rPr>
        <w:t>), глава 19, том 6, с. 52). Статистическая информация за 2005–2006 годы, связанная со статьей 147 Уголовного кодекса, представлена в таблице 3 Приложения к этому докладу.</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течение 2005 года были начаты 24 предварительных судебных расследования по статье 307 (</w:t>
      </w:r>
      <w:r w:rsidRPr="00F04E0A">
        <w:rPr>
          <w:b w:val="0"/>
          <w:bCs/>
          <w:iCs/>
          <w:szCs w:val="22"/>
          <w:lang w:val="ru-RU"/>
        </w:rPr>
        <w:t>Извлечение прибыли от занятия проституцией другого лица</w:t>
      </w:r>
      <w:r w:rsidRPr="00F04E0A">
        <w:rPr>
          <w:b w:val="0"/>
          <w:bCs/>
          <w:szCs w:val="22"/>
          <w:lang w:val="ru-RU"/>
        </w:rPr>
        <w:t>) Уголовного кодекса, 7 из которых были связаны с извлечением прибыли от проституции несовершеннолетних. В соответствии со статьей 308 (</w:t>
      </w:r>
      <w:r w:rsidRPr="00F04E0A">
        <w:rPr>
          <w:b w:val="0"/>
          <w:bCs/>
          <w:iCs/>
          <w:szCs w:val="22"/>
          <w:lang w:val="ru-RU"/>
        </w:rPr>
        <w:t>Привлечение другого лица к проституции</w:t>
      </w:r>
      <w:r w:rsidRPr="00F04E0A">
        <w:rPr>
          <w:b w:val="0"/>
          <w:bCs/>
          <w:szCs w:val="22"/>
          <w:lang w:val="ru-RU"/>
        </w:rPr>
        <w:t>) Уголовного кодекса были начаты 6 предварительных судебных расследований. Необходимо отметить, что эта преступная деятельность включает торговлю людьми. Были случаи, когда преступная деятельность по торговле людьми переквалифицировалась, при невозможности доказать это, в преступную деятельность по извлечению прибыли от проституции другого лица или привлечению другого лица к проституции. Во многих случаях торговля людьми раскрывалась путем применения модели имитации преступной деятельности или перехвата женщин, которыми осуществляется торговля, на пограничных контрольно-пропускных пунктах.</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2006 году были начаты 3 предварительных судебных расследования в соответствии со статьей 157 (</w:t>
      </w:r>
      <w:r w:rsidRPr="00F04E0A">
        <w:rPr>
          <w:b w:val="0"/>
          <w:bCs/>
          <w:i/>
          <w:iCs/>
          <w:szCs w:val="22"/>
          <w:lang w:val="ru-RU"/>
        </w:rPr>
        <w:t>Приобретение или продажа детей</w:t>
      </w:r>
      <w:r w:rsidRPr="00F04E0A">
        <w:rPr>
          <w:b w:val="0"/>
          <w:bCs/>
          <w:szCs w:val="22"/>
          <w:lang w:val="ru-RU"/>
        </w:rPr>
        <w:t>) Уголовного кодекса и 33 предварительных судебных расследования по статье 307 (</w:t>
      </w:r>
      <w:r w:rsidRPr="00F04E0A">
        <w:rPr>
          <w:b w:val="0"/>
          <w:bCs/>
          <w:i/>
          <w:iCs/>
          <w:szCs w:val="22"/>
          <w:lang w:val="ru-RU"/>
        </w:rPr>
        <w:t>Извлечение прибыли от занятия проституцией другого лица</w:t>
      </w:r>
      <w:r w:rsidRPr="00F04E0A">
        <w:rPr>
          <w:b w:val="0"/>
          <w:bCs/>
          <w:szCs w:val="22"/>
          <w:lang w:val="ru-RU"/>
        </w:rPr>
        <w:t>), 17 из которых были связаны с извлечением прибыли от проституции</w:t>
      </w:r>
      <w:r w:rsidRPr="00F04E0A" w:rsidDel="007F4835">
        <w:rPr>
          <w:b w:val="0"/>
          <w:bCs/>
          <w:szCs w:val="22"/>
          <w:lang w:val="ru-RU"/>
        </w:rPr>
        <w:t xml:space="preserve"> </w:t>
      </w:r>
      <w:r w:rsidRPr="00F04E0A">
        <w:rPr>
          <w:b w:val="0"/>
          <w:bCs/>
          <w:szCs w:val="22"/>
          <w:lang w:val="ru-RU"/>
        </w:rPr>
        <w:t>несовершеннолетних. В соответствии со статьей 308 (</w:t>
      </w:r>
      <w:r w:rsidRPr="00F04E0A">
        <w:rPr>
          <w:b w:val="0"/>
          <w:bCs/>
          <w:i/>
          <w:iCs/>
          <w:szCs w:val="22"/>
          <w:lang w:val="ru-RU"/>
        </w:rPr>
        <w:t>Привлечение другого лица к проституции</w:t>
      </w:r>
      <w:r w:rsidRPr="00F04E0A">
        <w:rPr>
          <w:b w:val="0"/>
          <w:bCs/>
          <w:szCs w:val="22"/>
          <w:lang w:val="ru-RU"/>
        </w:rPr>
        <w:t>) Уголовного кодекса были начаты 17 предварительных судебных расследований. Эти преступления также включают торговлю людьми. В 2006 году не были начаты какие-либо предварительные судебные расследования в соответствии со статьей 147</w:t>
      </w:r>
      <w:r w:rsidRPr="00F04E0A">
        <w:rPr>
          <w:b w:val="0"/>
          <w:bCs/>
          <w:szCs w:val="22"/>
          <w:vertAlign w:val="superscript"/>
          <w:lang w:val="ru-RU"/>
        </w:rPr>
        <w:t>1</w:t>
      </w:r>
      <w:r w:rsidRPr="00F04E0A">
        <w:rPr>
          <w:b w:val="0"/>
          <w:bCs/>
          <w:szCs w:val="22"/>
          <w:lang w:val="ru-RU"/>
        </w:rPr>
        <w:t xml:space="preserve"> (</w:t>
      </w:r>
      <w:r w:rsidRPr="00F04E0A">
        <w:rPr>
          <w:b w:val="0"/>
          <w:bCs/>
          <w:i/>
          <w:iCs/>
          <w:szCs w:val="22"/>
          <w:lang w:val="ru-RU"/>
        </w:rPr>
        <w:t>Эксплуатация с целью принудительного труда</w:t>
      </w:r>
      <w:r w:rsidRPr="00F04E0A">
        <w:rPr>
          <w:b w:val="0"/>
          <w:bCs/>
          <w:szCs w:val="22"/>
          <w:lang w:val="ru-RU"/>
        </w:rPr>
        <w:t>) Уголовного кодекса.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Усовершенствования, осуществляемые в соответствии с юридическими нормами, производятся с целью борьбы с сексуальной эксплуатацией и порнографией. Эти проблемы особенно затрагивают женщин. Принятием Закона с поправками к статьям 149, 150, 162, 260, 265, 266, 307, 308 и 309 Уголовного кодекса, поправками и дополнениями к приложению к Кодексу и дополнением к Кодексу статьей 151</w:t>
      </w:r>
      <w:r w:rsidRPr="00F04E0A">
        <w:rPr>
          <w:b w:val="0"/>
          <w:bCs/>
          <w:szCs w:val="22"/>
          <w:vertAlign w:val="superscript"/>
          <w:lang w:val="ru-RU"/>
        </w:rPr>
        <w:t>1</w:t>
      </w:r>
      <w:r w:rsidRPr="00F04E0A">
        <w:rPr>
          <w:b w:val="0"/>
          <w:bCs/>
          <w:szCs w:val="22"/>
          <w:lang w:val="ru-RU"/>
        </w:rPr>
        <w:t xml:space="preserve"> (</w:t>
      </w:r>
      <w:r w:rsidRPr="00F04E0A">
        <w:rPr>
          <w:b w:val="0"/>
          <w:bCs/>
          <w:i/>
          <w:iCs/>
          <w:szCs w:val="22"/>
          <w:lang w:val="ru-RU"/>
        </w:rPr>
        <w:t>Valstybės žinios</w:t>
      </w:r>
      <w:r w:rsidRPr="00F04E0A">
        <w:rPr>
          <w:b w:val="0"/>
          <w:bCs/>
          <w:szCs w:val="22"/>
          <w:lang w:val="ru-RU"/>
        </w:rPr>
        <w:t xml:space="preserve"> (Правительственная газета) № 77-2961, 2006 год) были внесены поправки к статье 162 (</w:t>
      </w:r>
      <w:r w:rsidRPr="00F04E0A">
        <w:rPr>
          <w:b w:val="0"/>
          <w:bCs/>
          <w:i/>
          <w:iCs/>
          <w:szCs w:val="22"/>
          <w:lang w:val="ru-RU"/>
        </w:rPr>
        <w:t>Эксплуатация детей в порнографических целях</w:t>
      </w:r>
      <w:r w:rsidRPr="00F04E0A">
        <w:rPr>
          <w:b w:val="0"/>
          <w:bCs/>
          <w:szCs w:val="22"/>
          <w:lang w:val="ru-RU"/>
        </w:rPr>
        <w:t>) и статье 309 (</w:t>
      </w:r>
      <w:r w:rsidRPr="00F04E0A">
        <w:rPr>
          <w:b w:val="0"/>
          <w:bCs/>
          <w:i/>
          <w:iCs/>
          <w:szCs w:val="22"/>
          <w:lang w:val="ru-RU"/>
        </w:rPr>
        <w:t>Работа с наименованиями порнографического содержания</w:t>
      </w:r>
      <w:r w:rsidRPr="00F04E0A">
        <w:rPr>
          <w:b w:val="0"/>
          <w:bCs/>
          <w:szCs w:val="22"/>
          <w:lang w:val="ru-RU"/>
        </w:rPr>
        <w:t xml:space="preserve">) Уголовного кодекса. В поправках ужесточается ответственность за эти преступления. Максимальное наказание в виде тюремного заключения, установленное в санкционной части статьи 162(1) Уголовного кодекса, было поднято до пяти лет. Статья 309 Уголовного кодекса была дополнена новым пунктом 3, в котором выделяется и ужесточается ответственность за производство, владение или распространение больших объемов порнографических наименований с изображениями детей </w:t>
      </w:r>
      <w:r w:rsidRPr="00F04E0A">
        <w:rPr>
          <w:b w:val="0"/>
          <w:szCs w:val="22"/>
          <w:lang w:val="ru-RU"/>
        </w:rPr>
        <w:t>младшего возраста</w:t>
      </w:r>
      <w:r w:rsidRPr="00F04E0A">
        <w:rPr>
          <w:b w:val="0"/>
          <w:bCs/>
          <w:szCs w:val="22"/>
          <w:lang w:val="ru-RU"/>
        </w:rPr>
        <w:t>. В санкционной части этого нового пункта налагается единственное возможное наказание – заключение до пяти лет.</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2005 году был исправлен Кодекс законов об административных правонарушениях Литовской Республики (</w:t>
      </w:r>
      <w:r w:rsidRPr="00F04E0A">
        <w:rPr>
          <w:b w:val="0"/>
          <w:bCs/>
          <w:i/>
          <w:iCs/>
          <w:szCs w:val="22"/>
          <w:lang w:val="ru-RU"/>
        </w:rPr>
        <w:t>Valstybės žinios</w:t>
      </w:r>
      <w:r w:rsidRPr="00F04E0A">
        <w:rPr>
          <w:b w:val="0"/>
          <w:bCs/>
          <w:szCs w:val="22"/>
          <w:lang w:val="ru-RU"/>
        </w:rPr>
        <w:t xml:space="preserve"> (Правительственная газета) № 1</w:t>
      </w:r>
      <w:r w:rsidRPr="00F04E0A">
        <w:rPr>
          <w:b w:val="0"/>
          <w:bCs/>
          <w:szCs w:val="22"/>
          <w:lang w:val="ru-RU"/>
        </w:rPr>
        <w:noBreakHyphen/>
        <w:t>1, 1985 год) (Закон № </w:t>
      </w:r>
      <w:r w:rsidRPr="00F04E0A">
        <w:rPr>
          <w:b w:val="0"/>
          <w:bCs/>
          <w:szCs w:val="22"/>
        </w:rPr>
        <w:t>X</w:t>
      </w:r>
      <w:r w:rsidRPr="00F04E0A">
        <w:rPr>
          <w:b w:val="0"/>
          <w:bCs/>
          <w:szCs w:val="22"/>
          <w:lang w:val="ru-RU"/>
        </w:rPr>
        <w:noBreakHyphen/>
        <w:t>249 от 16 июня 2005 года) для наложения административной ответственности за использование услуг проституток за плату. В соответствии со статьей 182</w:t>
      </w:r>
      <w:r w:rsidRPr="00F04E0A">
        <w:rPr>
          <w:b w:val="0"/>
          <w:bCs/>
          <w:szCs w:val="22"/>
          <w:vertAlign w:val="superscript"/>
          <w:lang w:val="ru-RU"/>
        </w:rPr>
        <w:t>1</w:t>
      </w:r>
      <w:r w:rsidRPr="00F04E0A">
        <w:rPr>
          <w:b w:val="0"/>
          <w:bCs/>
          <w:szCs w:val="22"/>
          <w:lang w:val="ru-RU"/>
        </w:rPr>
        <w:t xml:space="preserve"> Кодекса законов об административных правонарушениях Литовской Республики (в дальнейшем именуемого КЗАП) предоставление или использование услуг проституции за плату влечет наложение штрафа от 300 до 500 литов. КЗАП был также дополнен положением о том, что административная ответственность не должна применяться к лицу, привлеченному к проституции в связи с его материальной, профессиональной или иной зависимостью или с использованием физического либо психологического принуждения, либо мошенничества, либо привлеченных к проституции любым образом в несовершеннолетнем возрасте и/или ставших жертвой торговли людьми и признанных жертвами в ходе уголовного судопроизводства. Были зарегистрированы 7 таких преступлений в 2005–2006 годах и 4 преступления – за первые пять месяцев 2007 года. К правонарушителям была применена административная ответственность, на них были наложены штрафы от 300 до </w:t>
      </w:r>
      <w:r w:rsidR="000A4C97">
        <w:rPr>
          <w:b w:val="0"/>
          <w:bCs/>
          <w:szCs w:val="22"/>
          <w:lang w:val="ru-RU"/>
        </w:rPr>
        <w:br/>
      </w:r>
      <w:r w:rsidRPr="00F04E0A">
        <w:rPr>
          <w:b w:val="0"/>
          <w:bCs/>
          <w:szCs w:val="22"/>
          <w:lang w:val="ru-RU"/>
        </w:rPr>
        <w:t>500 литов.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28 ноября 2006 года Закон Литовской Республики о правовом статусе иностранцев (</w:t>
      </w:r>
      <w:r w:rsidRPr="00F04E0A">
        <w:rPr>
          <w:b w:val="0"/>
          <w:bCs/>
          <w:i/>
          <w:iCs/>
          <w:szCs w:val="22"/>
          <w:lang w:val="ru-RU"/>
        </w:rPr>
        <w:t xml:space="preserve">Valstybės </w:t>
      </w:r>
      <w:r w:rsidRPr="00F04E0A">
        <w:rPr>
          <w:b w:val="0"/>
          <w:bCs/>
          <w:szCs w:val="22"/>
          <w:lang w:val="ru-RU"/>
        </w:rPr>
        <w:t>žinios (Правительственная газета) № 73</w:t>
      </w:r>
      <w:r w:rsidRPr="00F04E0A">
        <w:rPr>
          <w:b w:val="0"/>
          <w:bCs/>
          <w:szCs w:val="22"/>
          <w:lang w:val="ru-RU"/>
        </w:rPr>
        <w:noBreakHyphen/>
        <w:t>2539, 2004 год) был дополнен статьей 49</w:t>
      </w:r>
      <w:r w:rsidRPr="00F04E0A">
        <w:rPr>
          <w:b w:val="0"/>
          <w:bCs/>
          <w:szCs w:val="22"/>
          <w:vertAlign w:val="superscript"/>
          <w:lang w:val="ru-RU"/>
        </w:rPr>
        <w:t>1</w:t>
      </w:r>
      <w:r w:rsidRPr="00F04E0A">
        <w:rPr>
          <w:b w:val="0"/>
          <w:bCs/>
          <w:szCs w:val="22"/>
          <w:lang w:val="ru-RU"/>
        </w:rPr>
        <w:t>, регулирующей выдачу временного вида на жительство для иностранцев, сотрудничающих с органом предварительного судебного расследования или с судом по борьбе с торговлей людьми или по другим преступлениям, включающим торговлю людьми. В статье оговорено, что иностранцу, за которого ходатайствует орган предварительного судебного расследования или суд, выдается временный вид на жительство на 6 месяцев.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11 сентября 2006 года вступили в силу поправки к Закону Литовской Республики об информировании общественности (</w:t>
      </w:r>
      <w:r w:rsidRPr="00F04E0A">
        <w:rPr>
          <w:b w:val="0"/>
          <w:bCs/>
          <w:i/>
          <w:iCs/>
          <w:szCs w:val="22"/>
          <w:lang w:val="ru-RU"/>
        </w:rPr>
        <w:t>Valstybės žinios</w:t>
      </w:r>
      <w:r w:rsidRPr="00F04E0A">
        <w:rPr>
          <w:b w:val="0"/>
          <w:bCs/>
          <w:szCs w:val="22"/>
          <w:lang w:val="ru-RU"/>
        </w:rPr>
        <w:t xml:space="preserve"> (Правительственная газета) № 82</w:t>
      </w:r>
      <w:r w:rsidRPr="00F04E0A">
        <w:rPr>
          <w:b w:val="0"/>
          <w:bCs/>
          <w:szCs w:val="22"/>
          <w:lang w:val="ru-RU"/>
        </w:rPr>
        <w:noBreakHyphen/>
        <w:t>3254, 2006 год); в поправках представлено определение информации порнографического характера, установлены ограничения на публикацию и распространение информации порнографического характера, излагаются принципы защиты несовершеннолетних от вредного воздействия информации на их развитие, представлено определение концепции рекламирования и требований по его содержанию, представлено определение компетенции Комиссии Литвы по телевидению и радио и инспектора по журналистской этике по контролю за соблюдением Закона Литовской Республики о защите несовершеннолетних от вредного воздействия общественной информации (</w:t>
      </w:r>
      <w:r w:rsidRPr="00F04E0A">
        <w:rPr>
          <w:b w:val="0"/>
          <w:bCs/>
          <w:i/>
          <w:iCs/>
          <w:szCs w:val="22"/>
          <w:lang w:val="ru-RU"/>
        </w:rPr>
        <w:t>Valstybės žinios</w:t>
      </w:r>
      <w:r w:rsidRPr="00F04E0A">
        <w:rPr>
          <w:b w:val="0"/>
          <w:bCs/>
          <w:szCs w:val="22"/>
          <w:lang w:val="ru-RU"/>
        </w:rPr>
        <w:t xml:space="preserve"> (Правительственная газета) № 91</w:t>
      </w:r>
      <w:r w:rsidRPr="00F04E0A">
        <w:rPr>
          <w:b w:val="0"/>
          <w:bCs/>
          <w:szCs w:val="22"/>
          <w:lang w:val="ru-RU"/>
        </w:rPr>
        <w:noBreakHyphen/>
        <w:t xml:space="preserve">3890, 2002 год) и так далее. Поправки вносятся с целью повышения контроля над публикацией и распространением этого вида информации, </w:t>
      </w:r>
      <w:r w:rsidR="00C603EC">
        <w:rPr>
          <w:b w:val="0"/>
          <w:bCs/>
          <w:szCs w:val="22"/>
          <w:lang w:val="ru-RU"/>
        </w:rPr>
        <w:br/>
      </w:r>
      <w:r w:rsidRPr="00F04E0A">
        <w:rPr>
          <w:b w:val="0"/>
          <w:bCs/>
          <w:szCs w:val="22"/>
          <w:lang w:val="ru-RU"/>
        </w:rPr>
        <w:t>так как функция по обеспечению контроля теперь будет осуществляться государственными чиновниками. В соответствии с более ранней версией Закона об информировании о</w:t>
      </w:r>
      <w:r w:rsidR="00A70C63">
        <w:rPr>
          <w:b w:val="0"/>
          <w:bCs/>
          <w:szCs w:val="22"/>
          <w:lang w:val="ru-RU"/>
        </w:rPr>
        <w:t>бщественности (Закон </w:t>
      </w:r>
      <w:r w:rsidRPr="00F04E0A">
        <w:rPr>
          <w:b w:val="0"/>
          <w:bCs/>
          <w:szCs w:val="22"/>
          <w:lang w:val="ru-RU"/>
        </w:rPr>
        <w:t>№ </w:t>
      </w:r>
      <w:r w:rsidRPr="00F04E0A">
        <w:rPr>
          <w:b w:val="0"/>
          <w:bCs/>
          <w:szCs w:val="22"/>
        </w:rPr>
        <w:t>I</w:t>
      </w:r>
      <w:r w:rsidRPr="00F04E0A">
        <w:rPr>
          <w:b w:val="0"/>
          <w:bCs/>
          <w:szCs w:val="22"/>
          <w:lang w:val="ru-RU"/>
        </w:rPr>
        <w:noBreakHyphen/>
        <w:t>1418 от 2 июля 1996 год) функция по обеспечению контроля осуществлялась Комиссией журналистской и издательской этики. В соответствии со статьей 247</w:t>
      </w:r>
      <w:r w:rsidRPr="00F04E0A">
        <w:rPr>
          <w:b w:val="0"/>
          <w:bCs/>
          <w:szCs w:val="22"/>
          <w:vertAlign w:val="superscript"/>
          <w:lang w:val="ru-RU"/>
        </w:rPr>
        <w:t>8</w:t>
      </w:r>
      <w:r w:rsidRPr="00F04E0A">
        <w:rPr>
          <w:b w:val="0"/>
          <w:bCs/>
          <w:szCs w:val="22"/>
          <w:lang w:val="ru-RU"/>
        </w:rPr>
        <w:t xml:space="preserve"> КЗАП инспектор по журналистской этике получает полномочия по применению административной ответственности в соответствии со статьей 214</w:t>
      </w:r>
      <w:r w:rsidRPr="00F04E0A">
        <w:rPr>
          <w:b w:val="0"/>
          <w:bCs/>
          <w:szCs w:val="22"/>
          <w:vertAlign w:val="superscript"/>
          <w:lang w:val="ru-RU"/>
        </w:rPr>
        <w:t>19</w:t>
      </w:r>
      <w:r w:rsidRPr="00F04E0A">
        <w:rPr>
          <w:b w:val="0"/>
          <w:bCs/>
          <w:szCs w:val="22"/>
          <w:lang w:val="ru-RU"/>
        </w:rPr>
        <w:t xml:space="preserve"> КЗАП о средствах массовой информации за нарушения требований к публикации и распространению информации, оказывающей вредное воздействие на развитие несовершеннолетних, публикация и распространение которой ограничены или запрещены.</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Все больше содействия оказывается жертвам торговли людьми. 1 сентября 2006 года вступил в силу Закон о поддержке занятости. В соответствии с этим Законом дополнительную поддержку на рынке труда получают жертвы торговли людьми, окончившие программы психосоциальной и/или профессионально-технической реабилитации. На этом основании лица, представившие сертификаты об окончании таких программ, имеют право на пользование поддерживающими мерами по предоставлению работы, финансируемыми из фонда занятости. Положения Закона осуществляются в сотрудничестве с биржами труда и учреждениями, а также НПО, предоставляющими жертве социальную помощь.</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Общей целью Программы мер по предупреждению торговли людьми и по борьбе с ней на 2005–2008 годы является развитие и установление в Литовской Республике целенаправленной, долгосрочной и комплексной системы мер контроля и предотвращения торговли людьми. Цель программы состоит в комплексном, последовательном и систематическом рассмотрении на национальном уровне проблем, связанных с торговлей людьми, предотвращением и контролем проституции. Основными направлениями Программы являются усиление защиты прав и свобод жертв торговли людьми; эффективное предотвращение торговли людьми; социальная помощь жертвам торговли людьми (особенно детям и женщинам), их защита и реинтеграция в общество; эффективная борьба с организованной преступностью и отдельными преступлениями, включающими торговлю людьми; тесное и координированное сотрудничество государственных и муниципальных властей, учреждений, негосударственных и международных организаций в борьбе с торговлей людьми и в предоставлении комплекса помощи жертвам по обеспечению их защиты и реинтеграции в общество.</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Реинтеграция жертв торговли людьми в общество и рынок труда входит в число приоритетов Программы мер по предупреждению торговли людьми и по борьбе с ней на 2005–2008 годы. Для достижения этой цели в государственный бюджет ежегодно осуществляются ассигнования для поддержания проектов государственных властей и НПО, задачей которых являются предоставление социальной помощи жертвам торговли людьми, их защита и реинтеграция в общество. Для примера, в 2005 году из государственного бюджета получили поддержку 11 проектов; была оказана поддержка 287 жертвам торговли людьми (все они женщины), 73 из них было предоставлено размещение, а остальным – услуги по консультированию и информированию. Из 287 жертв торговли людьми, участвовавших в проектах, 76 получили общеобразовательное и/или профессионально-техническое образование, 63 были интегрированы в рынок труда, а 107 были реинтегрированы в общество. Большинство жертв торговли людьми, принявших участие в проектах, были относительно молодыми девочками и женщинами: около 70 процентов из них были моложе 26 лет.</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2006 году 13 проектов получили поддержку из государственного бюджета, в них были задействованы 402 жертвы торговли людьми, 3 из них мужчины, а 399 – женщины (включая 111 матерей). 83 жертвам (35 с детьми) было предоставлено размещение, а 319 (76 с детьми) – консультационные и информационные услуги. Из 402 жертв торговли людьми, участвовавших в проектах, 90 получили среднее и/или профессионально-техническое образование, 122 были интегрированы в рынок труда, 149 были реинтегрированы в общество, а 245 посещали курсы переквалификации и/или курсы компьютерной грамотности, возобновили занятия и посетили различные лекции, и им были предоставлены консультационные услуги. Ежегодно в государственный бюджет для таких проектов выделяется 400 тыс. литов.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Вильнюсе представлены 4 специализированных врачебных кабинета (2 для гинекологических, 1 для психологических консультаций и 1 для социальных услуг), в которых женщины, занимающиеся проституцией, могут получить медицинскую и социальную помощь. По данным Министерства здравоохранения, в 2006 году с 213 из таких женщин были установлены первичные контакты: 144 из них была предложена медицинская и другая помощь, 72 сдали анализы и получили консультации по болезням, передаваемым половым путем; 36 женщинам были предоставлены дальнейшие консультации и лечение. Для оказания таким женщинам помощи по реинтеграции в общество были организованы курсы социального образования; их посещала 41 женщина. Кроме того, были организованы группы взаимопомощи, на которых женщины делились важной для них информацией (участвовали 12 женщин), и проведены психологические сеансы (всего 18 сеансов), на которых 27 женщин обучали самостоятельности и навыкам установления доверия. Кроме того, была сформирована и прошла обучение группа добровольцев (7 добровольцев) для предоставления помощи женщинам, предлагающим сексуальные услуги на улице.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2006 году Центр социальных исследования и консультаций провел исследование "Краткий обзор положения несовершеннолетних в Литве, ставших жертвами торговли людьми, и основные принципы программы реабилитации несовершеннолетних, ставших жертвами торговли людьми". В заключениях исследования представлены описание и тенденции развития жертв торговли людьми, дана оценка предоставляемых им услуг, проведен анализ современных методов, применяемых государствами – членами ЕС в области реабилитации несовершеннолетних, ставших жертвами торговли людьми, определена степень развития этой проблемы в Литве и представлена схема программы реабилитации  несовершеннолетних, ставших жертвами торговли людьми.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Для борьбы с торговлей людьми был образован институциональный механизм правоприменительной деятельности: в 2006 году в рамках Литовского бюро уголовной полиции было учреждено специализированное подразделение по расследованию дел о торговле людьми; по приказу генерального прокурора для организации, координации и регулирования расследования уголовных дел о торговле людьми были назначены 32 специализированных обвинителя из генеральной прокуратуры и региональных прокуратур, а также из окружных прокуратур; отделению контроля за досудебными расследованиями генеральной прокуратуры была поставлена задача по проведению периодического анализа и подведению итогов положения в Литве уголовного преследования по досудебным расследованиям дел о торговле людьми и прокурорскому контролю, а отделению общественного обвинения – задача периодического анализа и подведения итогов общественного обвинения и методов судопроизводства при уголовном преследовании торговли людьми. В 2007 году для усиления этой системы и в целях выполнения задачи борьбы с торговлей людьми в 10 полицейских подразделениях высокого уровня были учреждены 10 постов. Таким образом, задачи контроля и предотвращения торговли людьми становятся все более децентрализованными и лучше скоординированными.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Возможности для работы с жертвами торговли людьми расширяются в различных областях. В 2005 году был организован учебный курс в рамках образовательной программы "Особенности работы с жертвами торговли людьми и формы оказания им содействия". Задачей курса стало ознакомление социальных работников, социальных педагогов, полицейских и других социальных партнеров с понятием торговли людьми, динамикой и распространенностью этого явления и формами содействия жертвам. Кроме того, была обновлена и переиздана методологическая публикация "Торговля женщинами: проблемы, предотвращение, помощь жертвам", подготовленная для социальных работников Международной организацией по миграции в сотрудничестве с Вильнюсским университетом.</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Командующий Службы охраны государственной границы при Министерстве внутренних дел (в дальнейшем именуемой СОГГ) утвердил приказом № 4</w:t>
      </w:r>
      <w:r w:rsidRPr="00F04E0A">
        <w:rPr>
          <w:b w:val="0"/>
          <w:bCs/>
          <w:szCs w:val="22"/>
          <w:lang w:val="ru-RU"/>
        </w:rPr>
        <w:noBreakHyphen/>
        <w:t>711 от 28 декабря 2005 года методологические руководящие принципы для офицеров-пограничников государственной границы "О раннем предотвращении незаконной транспортировки несовершеннолетних за границу с намерением торговли ими".</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В 2006 году Литовское бюро уголовной полиции организовало учебный курс (семинары) для полицейских "Специфические особенности расследований дел о торговле людьми" в Литовском полицейском учебном центре. СОГГ организовала учебный курс для офицеров-пограничников государственной границы "Торговля людьми, предотвращение и контроль проституции" на Каунасском полицейском факультете Университета им. Миколаса Ромериса.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2006 году Министерство социального обеспечения и труда организовало семинар "Предотвращение торговли людьми, реинтеграция жертв и пробелы в правовом регулировании". В семинаре участвовали 46 муниципальных социальных работников, социальных педагогов и сотрудники служб по защите прав детей. Кроме того, для менеджеров, специалистов по финансам и социальных работников организаций, осуществляющих проекты, финансируемые Министерством социального обеспечения и труда, был организован семинар "Проблемы реинтеграции жертв торговли людьми и их решение".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Государственные органы и учреждения активно сотрудничают с НПО в решении проблемы торговли людьми. В 2006 году Министерство внутренних дел в сотрудничестве с Министерством социального обеспечения и труда и Департамент полиции Министерства внутренних дел (в дальнейшем именуемый "Департамент полиции") организовали заседания с самыми активными НПО, предоставляющими содействие жертвам торговли людьми, для обсуждения возможностей улучшения сотрудничества. В 2006 году Департамент полиции подписал соглашение о сотрудничестве с литовской организацией Каритас об обмене информацией о торговле людьми и предоставлении содействия ж"ертвам. Это второе соглашение такого типа в Балтийских государствах (первое было подписано в 2004 году между Департаментом полиции и Центром по оказанию поддержки семьям пропавших без вести лиц).</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Улучшается сбор информации о жертвах торговли людьми. В 2006 году для использования учреждениями социальной помощи была разработана деперсонифицированная общая база данных о жертвах торговли людьми и начато ее заполнение. База данных облегчает обмен информацией о жертвах торговли людьми между НПО. Статистическая и аналитическая информация обновляется два раза в год и доступна государственным органам. База данных пополняется не только количественными данными, например о возрасте и образовании жертв и стране их назначения, но также и качественными данными, например о средствах искушения и о содействии, предоставляемом жертвам со стороны НПО.</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Активно проводится политика по предотвращению торговли людьми. Ежегодно организуются кампании по информированию населения о торговле людьми. В 2006 году был создан и передан по национальному телевидению видеоклип, а на самой популярной среди молодежи радиостанции был звучал аудиоролик. В ночных клубах организуются специальные информационные акции. Размещены на остановках транспорта и специальных стендах и опубликованы в газетах плакаты с лозунгом "Отличите жизнь от иллюзии. Не станьте предметом потребления". Во все школы Литвы направлены информационные материалы: 10 тыс. плакатов, 10 тыс. карманных календариков, 4 тыс. ручек, 60 тыс. открыток, 40 тыс. наклеек и другие предметы с информацией об опасности торговли людьми и об источниках содействия жертвам. Кроме того, приблизительно 10 тыс. школьникам бесплатно показали игровой фильм "Лилиджа навсегда" основанный на реальной истории девочки, которая была продана.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Литва активно вносит вклад в международное и региональное сотрудничество по борьбе с торговлей людьми. Она также является активным участником целевой группы по борьбе с торговлей людьми Совета государств Балтийского моря (СГБМ), а также рабочей группы по борьбе с торговлей людьми Европейского полицейского управления (Европол) и оперативной экспертной группы по борьбе с торговлей людьми целевой группы СГБМ по борьбе с торговлей людьми. Литва также активно участвовала в деятельности Скандинавско-балтийской целевой группы по борьбе с торговлей людьми, работающей на высоком политическом уровне, действовавшей до июня 2006 года.</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Департамент полиции активно участвовал в работе руководящего комитета целевой группы по борьбе с торговлей женщинами в целях сексуальной эксплуатации Международной организации уголовной полиции (Интерпол). На заседании Комитета 18–19 апреля 2006 года в Бухаресте (Румыния) представитель Департамента полиции был назначен представителем Комитета в Европе.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Вильнюс стал принимающей стороной международного семинара "Предотвращение торговли людьми в Литве: проблемы и решения", организованного 26 апреля 2005 года. 14–15 декабря 2006 года в Вильнюсе также была проведена международная научно-практическая конференция "Международное сотрудничество по борьбе с торговлей людьми". В этом году на 25–26 октября 2007 года в Вильнюсе была намечена конференция "Предотвращение торговли людьми: проблемы и решения", организованная совместно с правительством, </w:t>
      </w:r>
      <w:r w:rsidRPr="00F04E0A">
        <w:rPr>
          <w:b w:val="0"/>
          <w:szCs w:val="22"/>
          <w:lang w:val="ru-RU"/>
        </w:rPr>
        <w:t>Организацией по безопасности и сотрудничеству в Европе</w:t>
      </w:r>
      <w:r w:rsidRPr="00F04E0A">
        <w:rPr>
          <w:b w:val="0"/>
          <w:bCs/>
          <w:szCs w:val="22"/>
          <w:lang w:val="ru-RU"/>
        </w:rPr>
        <w:t xml:space="preserve"> (ОБСЕ) и Управлением по контролю над наркотиками и предупреждению преступности. Конференция посвящена дискуссиям о снижении спроса на торговлю людьми и роли фирм, средств массовой информации и образования в предотвращении торговли людьми.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2005–2006 годах Министерство иностранных дел через дипломатические миссии и консульские учреждения Литовской Республики содействовало дальнейшему развитию международного сотрудничества, призывая к более активному обмену информацией в рамках предоставления содействия жертвам торговли людьми. По данным Министерства иностранных дел, произошло существенное снижение числа жертв торговли людьми, обратившихся в 2006 году к иностранным посольствам Литовской Республики за помощью. В 2005–2006 годах дипломатические миссии и консульские учреждения Литовской Республики предоставили помощь 53 жертвам торговли людьми: 39 лицам в 2005 году и 14 лицам в 2006 году. Можно сделать вывод, что снижение числа жертв стало результатом эффективного сотрудничества между литовскими и иностранными компетентными органами.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Женские НПО активно осуществляют проекты, задачей которых является предотвращение торговли женщинами и предоставление жертвам содействия. С 2006 года ИЦЖ участвует в проекте "Европейская сеть против торговли женщинами в 2006 году". Цель проекта состоит в объединении европейских организаций в борьбе против торговли людьми, привлечении внимания к этой проблеме высокопоставленных чиновников и политических деятелей и предложение эффективных решений. В рамках этого проекта в семи государствах – членах ЕС проводится международное исследование. Цель исследования состоит в гарантировании достижения высокопоставленными чиновниками и компетентными органами определенного уровня знаний о проблеме торговли людьми в отдельных государствах. Исследование анонимно; его итоги будут представлены на веб-сайте </w:t>
      </w:r>
      <w:hyperlink r:id="rId9" w:history="1">
        <w:r w:rsidRPr="00F04E0A">
          <w:rPr>
            <w:b w:val="0"/>
            <w:szCs w:val="22"/>
            <w:lang w:val="en-GB"/>
          </w:rPr>
          <w:t>www</w:t>
        </w:r>
        <w:r w:rsidRPr="00F04E0A">
          <w:rPr>
            <w:b w:val="0"/>
            <w:szCs w:val="22"/>
            <w:lang w:val="ru-RU"/>
          </w:rPr>
          <w:t>.</w:t>
        </w:r>
        <w:r w:rsidRPr="00F04E0A">
          <w:rPr>
            <w:b w:val="0"/>
            <w:szCs w:val="22"/>
            <w:lang w:val="en-GB"/>
          </w:rPr>
          <w:t>aretusa</w:t>
        </w:r>
        <w:r w:rsidRPr="00F04E0A">
          <w:rPr>
            <w:b w:val="0"/>
            <w:szCs w:val="22"/>
            <w:lang w:val="ru-RU"/>
          </w:rPr>
          <w:t>.</w:t>
        </w:r>
        <w:r w:rsidRPr="00F04E0A">
          <w:rPr>
            <w:b w:val="0"/>
            <w:szCs w:val="22"/>
            <w:lang w:val="en-GB"/>
          </w:rPr>
          <w:t>net</w:t>
        </w:r>
      </w:hyperlink>
      <w:r w:rsidRPr="00F04E0A">
        <w:rPr>
          <w:b w:val="0"/>
          <w:bCs/>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 xml:space="preserve">С 2006 года ИЦЖ осуществлял проект, поддерживаемый европейским лобби женщин, озаглавленный "Содействие, защита, безопасная репатриация и реабилитация женщин, ставших объектами торговли в целях сексуальной эксплуатации". Целью проекта являются установление </w:t>
      </w:r>
      <w:r w:rsidRPr="00F04E0A">
        <w:rPr>
          <w:b w:val="0"/>
          <w:szCs w:val="22"/>
          <w:lang w:val="ru-RU"/>
        </w:rPr>
        <w:t>межорганизационной</w:t>
      </w:r>
      <w:r w:rsidRPr="00F04E0A">
        <w:rPr>
          <w:b w:val="0"/>
          <w:bCs/>
          <w:szCs w:val="22"/>
          <w:lang w:val="ru-RU"/>
        </w:rPr>
        <w:t xml:space="preserve"> балтийско-скандинавской сети, которая сведет воедино государственные органы и НПО, предоставляющие содействие жертвам торговли женщинами, и разработка жизнеспособной региональной модели. Задачей проекта являются предоставление юридической, социальной, экономической, медицинской и психологической помощи и оказание содействия по обеспечению безопасности жертвам торговли женщинами, что обеспечит безопасное возвращение жертв в страны их происхождения, их реинтеграцию и получение ими доступа ко всем необходимым услугам.</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zCs w:val="22"/>
          <w:lang w:val="ru-RU"/>
        </w:rPr>
      </w:pPr>
      <w:r w:rsidRPr="00F04E0A">
        <w:rPr>
          <w:b w:val="0"/>
          <w:bCs/>
          <w:szCs w:val="22"/>
          <w:lang w:val="ru-RU"/>
        </w:rPr>
        <w:t>Вильнюсское представительство Международной организации по миграции открыло новый веб-сайт (</w:t>
      </w:r>
      <w:hyperlink r:id="rId10" w:history="1">
        <w:r w:rsidRPr="00F04E0A">
          <w:rPr>
            <w:b w:val="0"/>
            <w:szCs w:val="22"/>
            <w:lang w:val="en-GB"/>
          </w:rPr>
          <w:t>www</w:t>
        </w:r>
        <w:r w:rsidRPr="00F04E0A">
          <w:rPr>
            <w:b w:val="0"/>
            <w:szCs w:val="22"/>
            <w:lang w:val="ru-RU"/>
          </w:rPr>
          <w:t>.</w:t>
        </w:r>
        <w:r w:rsidRPr="00F04E0A">
          <w:rPr>
            <w:b w:val="0"/>
            <w:szCs w:val="22"/>
            <w:lang w:val="en-GB"/>
          </w:rPr>
          <w:t>darbaz</w:t>
        </w:r>
        <w:r w:rsidRPr="00F04E0A">
          <w:rPr>
            <w:b w:val="0"/>
            <w:szCs w:val="22"/>
            <w:lang w:val="ru-RU"/>
          </w:rPr>
          <w:t>.</w:t>
        </w:r>
        <w:r w:rsidRPr="00F04E0A">
          <w:rPr>
            <w:b w:val="0"/>
            <w:szCs w:val="22"/>
            <w:lang w:val="en-GB"/>
          </w:rPr>
          <w:t>lt</w:t>
        </w:r>
      </w:hyperlink>
      <w:r w:rsidRPr="00F04E0A">
        <w:rPr>
          <w:b w:val="0"/>
          <w:bCs/>
          <w:szCs w:val="22"/>
          <w:lang w:val="ru-RU"/>
        </w:rPr>
        <w:t>), на котором представлена в адаптированной для молодых людей форме общая информация о торговле людьми и ее потенциальных угрозах. На веб-сайте также предлагается информация о том, где можно получить помощь людям, попавшим в руки торговцев людьми, и какие меры необходимо принять в этом случае. Кроме того, потенциальные или фактические жертвы торговли людьми могут проконсультироваться здесь с компетентным социальным работником, психологом и адвокатом (консультации также предоставляются по бесплатной телефонной линии 8 800 25252 (номер указан на веб-сайте)).</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Государственный департамент США ежегодно осуществляет оценку деятельности иностранных правительств по проведению борьбы с торговлей людьми в соответствии с Законом США о защите жертв торговли людьми и насилия 2000 года. Существует классификация всех стран по четырем группам: страны, полностью отвечающие минимальным стандартам и предпринимающие максимальные усилия (уровень 1); страны, предпринимающие меньше усилий (уровень 2); страны, имеющие серьезные проблемы в борьбе с торговлей людьми (уровень 3); и страны в </w:t>
      </w:r>
      <w:r w:rsidRPr="00F04E0A">
        <w:rPr>
          <w:b w:val="0"/>
          <w:szCs w:val="22"/>
          <w:lang w:val="ru-RU"/>
        </w:rPr>
        <w:t>контрольном списке</w:t>
      </w:r>
      <w:r w:rsidRPr="00F04E0A">
        <w:rPr>
          <w:b w:val="0"/>
          <w:bCs/>
          <w:szCs w:val="22"/>
          <w:lang w:val="ru-RU"/>
        </w:rPr>
        <w:t xml:space="preserve"> (в промежутке между уровнем 1 и уровнем 3). В 2006 году Государственный департамент подготовил рейтинг 150 стран мира в области борьбы с торговлей людьми; рейтинг был составлен на основе информации, собранной дипломатическими миссиями, государственными органами и НПО, и полученной из других независимых источников. 25 стран были отнесены к уровню 1, 79 стран – к уровню 2, 12 стран – к уровню 3, а оставшиеся страны – к уровню 4. Благодаря осуществлению национальных мер по борьбе с торговлей людьми Литва была оценена как страна уровня 1, то есть как страна, предпринимающая максимальные усилия в борьбе с торговлей людьми в течение уже 4 лет подряд.</w:t>
      </w:r>
    </w:p>
    <w:p w:rsidR="00835A84" w:rsidRPr="00F04E0A" w:rsidRDefault="00835A84" w:rsidP="00C603EC">
      <w:pPr>
        <w:pStyle w:val="BodyText"/>
        <w:tabs>
          <w:tab w:val="left" w:pos="567"/>
          <w:tab w:val="left" w:pos="1134"/>
        </w:tabs>
        <w:spacing w:before="0" w:after="200"/>
        <w:jc w:val="center"/>
        <w:rPr>
          <w:szCs w:val="22"/>
          <w:lang w:val="ru-RU"/>
        </w:rPr>
      </w:pPr>
      <w:r w:rsidRPr="00F04E0A">
        <w:rPr>
          <w:bCs/>
          <w:szCs w:val="22"/>
          <w:lang w:val="en-GB"/>
        </w:rPr>
        <w:t>Статья</w:t>
      </w:r>
      <w:r w:rsidRPr="00F04E0A">
        <w:rPr>
          <w:szCs w:val="22"/>
          <w:lang w:val="ru-RU"/>
        </w:rPr>
        <w:t xml:space="preserve"> 7</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a</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 женщин появляется все больше мотивации, компетенции и возможностей для участия в принятии решений. Все больше женщин пользуются своим правом быть избранными в общественные выборные органы и участвовать в разработке и осуществлении правительственной политики. По данным Центральной избирательной комиссии, 31 женщина (20,57 процента) и 110 мужчин (79,43 процента) были избраны в сейм, и 5 женщин и 8 мужчин – в Европейский парламент в ходе выборов, состоявшихся в 2004 году. В ходе выборов в муниципальные советы в 2002 году была избрана 321 (21 процент) женщина. В 2007 году произошло небольшое увеличение их числа: из 1504 кандидатов, избранных в муниципальные советы, 337 (22 процента) женщин. В некоторых регионах уровень участия женщин в муниципальных советах достиг 40 процентов.</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На выборах в муниципальные советы в 2007 году в списках различных политических партий или коалиций женщины составили 39,44 процента от общего числа кандидатов. Во многих городах и областях число женщин, стоящих за № 1 в списке, колебалось от 8 до 30 процентов; в двух областях число женщин и мужчин, возглавляющих списки, было равно. Только в нескольких городах и областях доля женщин среди первых десяти кандидатов была ниже 30 процентов, и ни в одном из них не была ниже 20 процентов. В общем числе первых десяти кандидатов во всех списках на выборах в муниципальные советы 2007 года женщины составили 34 процента (данные Центральной избирательной комиссии).</w:t>
      </w:r>
    </w:p>
    <w:p w:rsidR="00835A84" w:rsidRPr="00F04E0A" w:rsidRDefault="00835A84" w:rsidP="00C603EC">
      <w:pPr>
        <w:pStyle w:val="BodyText"/>
        <w:tabs>
          <w:tab w:val="left" w:pos="567"/>
          <w:tab w:val="left" w:pos="1134"/>
        </w:tabs>
        <w:spacing w:before="0" w:after="200"/>
        <w:jc w:val="center"/>
        <w:rPr>
          <w:bCs/>
          <w:szCs w:val="22"/>
          <w:lang w:val="ru-RU"/>
        </w:rPr>
      </w:pPr>
      <w:r w:rsidRPr="00F04E0A">
        <w:rPr>
          <w:szCs w:val="22"/>
        </w:rPr>
        <w:t>b</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Участие женщин в политике и принятии решений является одним из приоритетных направлений Национальной программы по обеспечению равных возможностей для женщин и мужчин на 2005–2009 годы. С 2005 года ежегодно в качестве составной части осуществления мер по вышеупомянутой программе в сотрудничестве с Информационным центром занятости женщин Каунаса организовываются семинары "Сбалансированное гендерное участие при принятии решений в органах местного самоуправления". Задачей семинаров является содействие развитию мотивации женщин в участии в процессах принятия политических и экономических решений. С 2004 года проблема сбалансированного гендерного участия в принятии решений решалась с помощью проектов, поддержка которым оказывалась структурными фондами ЕС. Семинары и курсы обучения, организованные Управлением омбудсмена по вопросам равных возможностей и НПО, также оказывают положительное воздействие на участие женщин в общественной и политической жизни.</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В ознаменование 100</w:t>
      </w:r>
      <w:r w:rsidRPr="00F04E0A">
        <w:rPr>
          <w:b w:val="0"/>
          <w:bCs/>
          <w:szCs w:val="22"/>
          <w:lang w:val="ru-RU"/>
        </w:rPr>
        <w:noBreakHyphen/>
        <w:t>й годовщины первой Конференции женщин Литвы женские организации, муниципалитеты и правительство организовали совместными усилиями в 2005 году четвертую Конференцию женщин Литвы. На руководящем комитете Конференции председателем выступила г</w:t>
      </w:r>
      <w:r w:rsidRPr="00F04E0A">
        <w:rPr>
          <w:b w:val="0"/>
          <w:bCs/>
          <w:szCs w:val="22"/>
          <w:lang w:val="ru-RU"/>
        </w:rPr>
        <w:noBreakHyphen/>
        <w:t>жа Вилиа Блинкявичюте, министр социального обеспечения и труда. Женщинам из всех областей Литвы представилась возможность обсудить самые важные события, произошедшие в жизни женского сообщества, оценить и сравнить развитие положения женщин в муниципалитетах и округах за 15 лет со времени восстановления независимости Литвы, определить наиболее насущные проблемы, обсудить и предложить конкретные решения этих проблем. Женскими организациями, уполномоченными на представление руководящего комитета Конференции, в каждом округе или муниципалитете была выполнена подготовительная работа. Итоги четвертой Конференции женщин Литвы были распространены в рамках кампании по информированию, в ходе которой были нанесены визиты в 22 малых города (с населением менее 2000 человек) во всех округах.</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i/>
          <w:iCs/>
          <w:szCs w:val="22"/>
          <w:lang w:val="ru-RU"/>
        </w:rPr>
      </w:pPr>
      <w:r w:rsidRPr="00F04E0A">
        <w:rPr>
          <w:b w:val="0"/>
          <w:bCs/>
          <w:szCs w:val="22"/>
          <w:lang w:val="ru-RU"/>
        </w:rPr>
        <w:t>По данным Управления государственной службы при Министерстве внутренних дел, женщины составили приблизительно 70 процентов государственных служащих, за исключением избранных на основании закона государственных служащих, и приблизительно 60 процентов государственных служащих политической (персональной) направленности в 2006 году. Однако около 70 процентов высших руководящих должностей в государственных органах занимали мужчины. В таблице 4 Приложения к этому докладу представлены количественные данные по государственным служащим в разбивке по должностям, за исключением избранных на основании закона государственных служащих, и по половому признаку за 2005–2006 годы.</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Доля женщин на руководящих должностях любого уровня составила в 2006 году в Литве 40 процентов. По данным Евростата, представленным в докладе 2006 года, поданным Европейской комиссией в Совет, Европейский парламент, </w:t>
      </w:r>
      <w:r w:rsidRPr="00F04E0A">
        <w:rPr>
          <w:b w:val="0"/>
          <w:szCs w:val="22"/>
          <w:lang w:val="ru-RU"/>
        </w:rPr>
        <w:t>Европейский экономический и социальный комитет</w:t>
      </w:r>
      <w:r w:rsidRPr="00F04E0A">
        <w:rPr>
          <w:b w:val="0"/>
          <w:bCs/>
          <w:szCs w:val="22"/>
          <w:lang w:val="ru-RU"/>
        </w:rPr>
        <w:t xml:space="preserve"> и Комитет регионов, Литва занимает второе место в ЕС по числу женщин-менеджеров любого уровня. По данным базы данных ЕС "Женщины и мужчины в процессе принятия решений", Литва занимает седьмое место в ЕС по количеству женщин на высших руководящих должностях в крупнейших коммерческих компаниях.</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lang w:val="ru-RU"/>
        </w:rPr>
        <w:t>Статья 8</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Растет число женщин, работающих на дипломатической службе с перспективой занимать ведущие должности. По данным за 2007 год, доля женщин, работающих на дипломатической службе, составляет более 53 процентов, а доля женщин, занимающих ведущие должности на дипломатической службе, выросла до 16 процентов. Количественные данные по женщинам, работающим на дипломатической службе, за 2005–2007 годы представлены в таблице 5 Приложения к этому докладу.</w:t>
      </w:r>
    </w:p>
    <w:p w:rsidR="00835A84" w:rsidRPr="00F04E0A" w:rsidRDefault="00835A84" w:rsidP="00C603EC">
      <w:pPr>
        <w:pStyle w:val="BodyText"/>
        <w:tabs>
          <w:tab w:val="left" w:pos="567"/>
          <w:tab w:val="left" w:pos="1134"/>
        </w:tabs>
        <w:spacing w:before="0" w:after="200"/>
        <w:jc w:val="center"/>
        <w:rPr>
          <w:szCs w:val="22"/>
          <w:lang w:val="ru-RU"/>
        </w:rPr>
      </w:pPr>
      <w:r w:rsidRPr="00F04E0A">
        <w:rPr>
          <w:bCs/>
          <w:szCs w:val="22"/>
          <w:lang w:val="en-GB"/>
        </w:rPr>
        <w:t>Статья</w:t>
      </w:r>
      <w:r w:rsidRPr="00F04E0A">
        <w:rPr>
          <w:szCs w:val="22"/>
          <w:lang w:val="ru-RU"/>
        </w:rPr>
        <w:t xml:space="preserve"> 9</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bCs/>
          <w:szCs w:val="22"/>
          <w:lang w:val="ru-RU"/>
        </w:rPr>
      </w:pPr>
      <w:r w:rsidRPr="00F04E0A">
        <w:rPr>
          <w:b w:val="0"/>
          <w:bCs/>
          <w:szCs w:val="22"/>
          <w:lang w:val="ru-RU"/>
        </w:rPr>
        <w:t xml:space="preserve">Информация </w:t>
      </w:r>
      <w:r w:rsidRPr="00F04E0A">
        <w:rPr>
          <w:b w:val="0"/>
          <w:szCs w:val="22"/>
          <w:lang w:val="ru-RU"/>
        </w:rPr>
        <w:t>о</w:t>
      </w:r>
      <w:r w:rsidRPr="00F04E0A">
        <w:rPr>
          <w:b w:val="0"/>
          <w:bCs/>
          <w:szCs w:val="22"/>
          <w:lang w:val="ru-RU"/>
        </w:rPr>
        <w:t xml:space="preserve"> выполнении статьи 9 Конвенции была представлена в третьем докладе. В 2005–2006 годах в этой области каких-либо изменений в законодательстве введено не было.</w:t>
      </w:r>
    </w:p>
    <w:p w:rsidR="00835A84" w:rsidRPr="00F04E0A" w:rsidRDefault="00835A84" w:rsidP="00C603EC">
      <w:pPr>
        <w:pStyle w:val="BodyText"/>
        <w:tabs>
          <w:tab w:val="left" w:pos="567"/>
          <w:tab w:val="left" w:pos="1134"/>
        </w:tabs>
        <w:spacing w:before="0" w:after="200"/>
        <w:jc w:val="center"/>
        <w:rPr>
          <w:szCs w:val="22"/>
          <w:lang w:val="ru-RU"/>
        </w:rPr>
      </w:pPr>
      <w:r w:rsidRPr="00F04E0A">
        <w:rPr>
          <w:bCs/>
          <w:szCs w:val="22"/>
          <w:lang w:val="ru-RU"/>
        </w:rPr>
        <w:t>Статья</w:t>
      </w:r>
      <w:r w:rsidRPr="00F04E0A">
        <w:rPr>
          <w:szCs w:val="22"/>
          <w:lang w:val="ru-RU"/>
        </w:rPr>
        <w:t xml:space="preserve"> 10</w:t>
      </w:r>
    </w:p>
    <w:p w:rsidR="00835A84" w:rsidRPr="00F04E0A" w:rsidRDefault="00835A84" w:rsidP="00C603EC">
      <w:pPr>
        <w:pStyle w:val="BodyText"/>
        <w:tabs>
          <w:tab w:val="left" w:pos="567"/>
          <w:tab w:val="left" w:pos="1134"/>
        </w:tabs>
        <w:spacing w:before="0" w:after="200"/>
        <w:jc w:val="center"/>
        <w:rPr>
          <w:szCs w:val="22"/>
          <w:lang w:val="ru-RU"/>
        </w:rPr>
      </w:pPr>
      <w:r w:rsidRPr="00F04E0A">
        <w:rPr>
          <w:szCs w:val="22"/>
        </w:rPr>
        <w:t>a</w:t>
      </w:r>
      <w:r w:rsidRPr="00F04E0A">
        <w:rPr>
          <w:szCs w:val="22"/>
          <w:lang w:val="ru-RU"/>
        </w:rPr>
        <w:t>)</w:t>
      </w:r>
    </w:p>
    <w:p w:rsidR="00835A84" w:rsidRPr="00F04E0A" w:rsidRDefault="00835A84" w:rsidP="00181332">
      <w:pPr>
        <w:pStyle w:val="BodyText"/>
        <w:numPr>
          <w:ilvl w:val="0"/>
          <w:numId w:val="2"/>
        </w:numPr>
        <w:tabs>
          <w:tab w:val="clear" w:pos="2088"/>
          <w:tab w:val="left" w:pos="567"/>
          <w:tab w:val="left" w:pos="1134"/>
        </w:tabs>
        <w:spacing w:before="0" w:after="200"/>
        <w:ind w:left="0" w:firstLine="567"/>
        <w:rPr>
          <w:b w:val="0"/>
          <w:spacing w:val="-1"/>
          <w:szCs w:val="22"/>
          <w:lang w:val="ru-RU"/>
        </w:rPr>
      </w:pPr>
      <w:r w:rsidRPr="00F04E0A">
        <w:rPr>
          <w:b w:val="0"/>
          <w:bCs/>
          <w:szCs w:val="22"/>
          <w:lang w:val="ru-RU"/>
        </w:rPr>
        <w:t>В общеобразовательных школах были гарантированы равные возможности для каждого по получению образования. Дошкольное, начальное, базовое и среднее образование являются одними из главных приоритетов образовательной политики и формируют основу для обучения в течение всей жизни. Законодательные акты, регулирующие базовое и среднее образование (приказ № </w:t>
      </w:r>
      <w:r w:rsidRPr="00F04E0A">
        <w:rPr>
          <w:b w:val="0"/>
          <w:bCs/>
          <w:szCs w:val="22"/>
        </w:rPr>
        <w:t>ISAK</w:t>
      </w:r>
      <w:r w:rsidRPr="00F04E0A">
        <w:rPr>
          <w:b w:val="0"/>
          <w:bCs/>
          <w:szCs w:val="22"/>
          <w:lang w:val="ru-RU"/>
        </w:rPr>
        <w:noBreakHyphen/>
        <w:t>1387 от 30 июня 2006 года министра образования и науки "Об утверждении учебного плана среднего образования" (</w:t>
      </w:r>
      <w:r w:rsidRPr="00F04E0A">
        <w:rPr>
          <w:b w:val="0"/>
          <w:bCs/>
          <w:i/>
          <w:iCs/>
          <w:szCs w:val="22"/>
          <w:lang w:val="ru-RU"/>
        </w:rPr>
        <w:t>Valstybės žinios</w:t>
      </w:r>
      <w:r w:rsidRPr="00F04E0A">
        <w:rPr>
          <w:b w:val="0"/>
          <w:bCs/>
          <w:szCs w:val="22"/>
          <w:lang w:val="ru-RU"/>
        </w:rPr>
        <w:t xml:space="preserve"> (Правительственная газета) № 76</w:t>
      </w:r>
      <w:r w:rsidRPr="00F04E0A">
        <w:rPr>
          <w:b w:val="0"/>
          <w:bCs/>
          <w:szCs w:val="22"/>
          <w:lang w:val="ru-RU"/>
        </w:rPr>
        <w:noBreakHyphen/>
        <w:t>2930, 2006 год) и приказ № </w:t>
      </w:r>
      <w:r w:rsidRPr="00F04E0A">
        <w:rPr>
          <w:b w:val="0"/>
          <w:bCs/>
          <w:szCs w:val="22"/>
        </w:rPr>
        <w:t>ISAK</w:t>
      </w:r>
      <w:r w:rsidRPr="00F04E0A">
        <w:rPr>
          <w:b w:val="0"/>
          <w:bCs/>
          <w:szCs w:val="22"/>
          <w:lang w:val="ru-RU"/>
        </w:rPr>
        <w:t>-604 от 4 апреля 2007 года министра образования и науки "Об общеобразовательных планах на 2007–2008 годы" (</w:t>
      </w:r>
      <w:r w:rsidRPr="00F04E0A">
        <w:rPr>
          <w:b w:val="0"/>
          <w:bCs/>
          <w:i/>
          <w:iCs/>
          <w:szCs w:val="22"/>
          <w:lang w:val="ru-RU"/>
        </w:rPr>
        <w:t>Valstybės žinios</w:t>
      </w:r>
      <w:r w:rsidRPr="00F04E0A">
        <w:rPr>
          <w:b w:val="0"/>
          <w:bCs/>
          <w:szCs w:val="22"/>
          <w:lang w:val="ru-RU"/>
        </w:rPr>
        <w:t xml:space="preserve"> (Правительственная газета) № 44-1691, 2007 год)), предусматривают все необходимые меры по гарантированию равных возможностей. Все школьники имеют равные возможности по осуществлению выбора из дополнительных предметов и модулей и участию во внеклассной деятельности и выборах в органы школьного самоуправления. Учебный план среднего образования выстраивается по принципу индивидуализации и дифференциации образования согласно потребностям, вкусам и возможностям школьников; предпринимаются усилия по предоставлению им возможности по планированию их профессиональной карьеры и выбору предметов, относящихся к выбранному направлению обучения, и различных курсов. Задачей повышения индивидуализации и дифференциации образования является улучшение качества среднего образования, с тем чтобы каждый школьник мог выбрать направление обучения согласно его/ее талантам, вкусам и потребностям; повышение доступности среднего образования; адаптация содержания академического учебного плана к текущим потребностям жизни; усиление связи между общим образованием и профессиональным обучением; создание более широких возможностей для продолжения занятий в учреждениях высшего образования для школьников, выбравших другие направления обучения.</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105.</w:t>
      </w:r>
      <w:r w:rsidRPr="00F04E0A">
        <w:rPr>
          <w:sz w:val="22"/>
          <w:szCs w:val="22"/>
        </w:rPr>
        <w:tab/>
        <w:t>Министр образования и науки приказом № ISAK</w:t>
      </w:r>
      <w:r w:rsidRPr="00F04E0A">
        <w:rPr>
          <w:sz w:val="22"/>
          <w:szCs w:val="22"/>
        </w:rPr>
        <w:noBreakHyphen/>
        <w:t xml:space="preserve">970 от 23 мая 2007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63</w:t>
      </w:r>
      <w:r w:rsidRPr="00F04E0A">
        <w:rPr>
          <w:sz w:val="22"/>
          <w:szCs w:val="22"/>
        </w:rPr>
        <w:noBreakHyphen/>
        <w:t>2440, 2007 год) утвердил Стратегию создания, оценки, обновления и осуществления учебных планов в системе общего образования. Основной целью Стратегии является определение целей и принципов процесса составления учебного плана, а также функций и обязанностей на всех уровнях образования в данном процессе, установление приоритетов в содержании программ обучения на период до 2012 года и определение показателей их выполнения. Цели процесса составления учебного плана заключаются в создании в рамках учебных программ возможностей для становления личности каждого школьника в соответствии с его/ее потребностями и способностями, формирования гражданского и этического самосознания и приобретения знаний, необходимых для дальнейшего образования и полноценного и активного участия в жизни современного общества.</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106.</w:t>
      </w:r>
      <w:r w:rsidRPr="00F04E0A">
        <w:rPr>
          <w:sz w:val="22"/>
          <w:szCs w:val="22"/>
        </w:rPr>
        <w:tab/>
        <w:t xml:space="preserve">Закон Литовской Республики об образовании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23</w:t>
      </w:r>
      <w:r w:rsidRPr="00F04E0A">
        <w:rPr>
          <w:sz w:val="22"/>
          <w:szCs w:val="22"/>
        </w:rPr>
        <w:noBreakHyphen/>
        <w:t>593, 1991 год; № 63</w:t>
      </w:r>
      <w:r w:rsidRPr="00F04E0A">
        <w:rPr>
          <w:sz w:val="22"/>
          <w:szCs w:val="22"/>
        </w:rPr>
        <w:noBreakHyphen/>
        <w:t xml:space="preserve">2853, 2003 год) (в дальнейшем именуемый "Закон об образовании") дает право каждому, независимо от пола, выбирать и получать необходимое профессиональное образование и пользоваться преимуществами, предоставляемыми для учащихся. По уважительным причинам, например по болезни, студенты могут брать академический отпуск, в том числе отпуск по беременности и родами и отпуск по </w:t>
      </w:r>
      <w:r w:rsidRPr="00F04E0A">
        <w:rPr>
          <w:bCs/>
          <w:sz w:val="22"/>
          <w:szCs w:val="22"/>
        </w:rPr>
        <w:t>уходу</w:t>
      </w:r>
      <w:r w:rsidRPr="00F04E0A">
        <w:rPr>
          <w:sz w:val="22"/>
          <w:szCs w:val="22"/>
        </w:rPr>
        <w:t xml:space="preserve"> </w:t>
      </w:r>
      <w:r w:rsidRPr="00F04E0A">
        <w:rPr>
          <w:bCs/>
          <w:sz w:val="22"/>
          <w:szCs w:val="22"/>
        </w:rPr>
        <w:t>за</w:t>
      </w:r>
      <w:r w:rsidRPr="00F04E0A">
        <w:rPr>
          <w:sz w:val="22"/>
          <w:szCs w:val="22"/>
        </w:rPr>
        <w:t xml:space="preserve"> </w:t>
      </w:r>
      <w:r w:rsidRPr="00F04E0A">
        <w:rPr>
          <w:bCs/>
          <w:sz w:val="22"/>
          <w:szCs w:val="22"/>
        </w:rPr>
        <w:t>ребенком</w:t>
      </w:r>
      <w:r w:rsidRPr="00F04E0A">
        <w:rPr>
          <w:sz w:val="22"/>
          <w:szCs w:val="22"/>
        </w:rPr>
        <w:t xml:space="preserve"> </w:t>
      </w:r>
      <w:r w:rsidRPr="00F04E0A">
        <w:rPr>
          <w:bCs/>
          <w:sz w:val="22"/>
          <w:szCs w:val="22"/>
        </w:rPr>
        <w:t>до</w:t>
      </w:r>
      <w:r w:rsidRPr="00F04E0A">
        <w:rPr>
          <w:sz w:val="22"/>
          <w:szCs w:val="22"/>
        </w:rPr>
        <w:t xml:space="preserve"> </w:t>
      </w:r>
      <w:r w:rsidRPr="00F04E0A">
        <w:rPr>
          <w:bCs/>
          <w:sz w:val="22"/>
          <w:szCs w:val="22"/>
        </w:rPr>
        <w:t>достижения</w:t>
      </w:r>
      <w:r w:rsidRPr="00F04E0A">
        <w:rPr>
          <w:sz w:val="22"/>
          <w:szCs w:val="22"/>
        </w:rPr>
        <w:t xml:space="preserve"> им возраста </w:t>
      </w:r>
      <w:r w:rsidRPr="00F04E0A">
        <w:rPr>
          <w:bCs/>
          <w:sz w:val="22"/>
          <w:szCs w:val="22"/>
        </w:rPr>
        <w:t>трех</w:t>
      </w:r>
      <w:r w:rsidRPr="00F04E0A">
        <w:rPr>
          <w:sz w:val="22"/>
          <w:szCs w:val="22"/>
        </w:rPr>
        <w:t xml:space="preserve"> </w:t>
      </w:r>
      <w:r w:rsidRPr="00F04E0A">
        <w:rPr>
          <w:bCs/>
          <w:sz w:val="22"/>
          <w:szCs w:val="22"/>
        </w:rPr>
        <w:t>лет</w:t>
      </w:r>
      <w:r w:rsidRPr="00F04E0A">
        <w:rPr>
          <w:sz w:val="22"/>
          <w:szCs w:val="22"/>
        </w:rPr>
        <w:t xml:space="preserve"> </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107.</w:t>
      </w:r>
      <w:r w:rsidRPr="00F04E0A">
        <w:rPr>
          <w:sz w:val="22"/>
          <w:szCs w:val="22"/>
        </w:rPr>
        <w:tab/>
        <w:t>Приказ № ISAK</w:t>
      </w:r>
      <w:r w:rsidRPr="00F04E0A">
        <w:rPr>
          <w:sz w:val="22"/>
          <w:szCs w:val="22"/>
        </w:rPr>
        <w:noBreakHyphen/>
        <w:t>604 от 4 апреля 2007 года министра образования и науки предписывает организовать процесс подготовки в школах профессионально-технического обучения с учетом специфики программ профессиональной подготовки. Методика преподавания должна учитывать способности учащихся, особый характер учебных программ и специфику преподавательского состава без установления каких-либо разграничений по признаку пола.</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108.</w:t>
      </w:r>
      <w:r w:rsidRPr="00F04E0A">
        <w:rPr>
          <w:sz w:val="22"/>
          <w:szCs w:val="22"/>
        </w:rPr>
        <w:tab/>
        <w:t>Оценка и аттестация успехов и достижений учащегося является нейтральной в гендерном отношении. Если успехи учащегося на протяжении соответствующего года по всем дисциплинам учебного плана оцениваются как удовлетворительные или хорошие, то этот студент считается успешно завершившим основную программу профессионально-технического обучения и получает возможность сдавать квалификационные экзамены; в случае их успешной сдачи учащийся получает свидетельство о приобретении профессиональной квалификации.</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109.</w:t>
      </w:r>
      <w:r w:rsidRPr="00F04E0A">
        <w:rPr>
          <w:sz w:val="22"/>
          <w:szCs w:val="22"/>
        </w:rPr>
        <w:tab/>
        <w:t>Процедура выпускных квалификационных экзаменов на основном уровне профессионально-технической подготовки, утвержденная приказом № ISAK</w:t>
      </w:r>
      <w:r w:rsidRPr="00F04E0A">
        <w:rPr>
          <w:sz w:val="22"/>
          <w:szCs w:val="22"/>
        </w:rPr>
        <w:noBreakHyphen/>
        <w:t xml:space="preserve">991 от 1 июня 2005 года министром образования и науки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72</w:t>
      </w:r>
      <w:r w:rsidRPr="00F04E0A">
        <w:rPr>
          <w:sz w:val="22"/>
          <w:szCs w:val="22"/>
        </w:rPr>
        <w:noBreakHyphen/>
        <w:t>2622, 2005 год), регулирует получение квалификации, свидетельства об образовании и оценку успехов независимо от пола; кроме того, лица, которые учатся самостоятельно, также имеют возможность приобрести профессиональную подготовку</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110.</w:t>
      </w:r>
      <w:r w:rsidRPr="00F04E0A">
        <w:rPr>
          <w:sz w:val="22"/>
          <w:szCs w:val="22"/>
        </w:rPr>
        <w:tab/>
        <w:t>Другие меры касаются сбора и распространения информации по вопросам профессионально-технического обучения, создания системы консультирования и управления, учреждения информационных центров по вопросам профессионального обучения, их технического оснащения и обучения специалистов для работы в них. Министр образования и науки и министр социального обеспечения и труда утвердили приказом № ISAK</w:t>
      </w:r>
      <w:r w:rsidRPr="00F04E0A">
        <w:rPr>
          <w:sz w:val="22"/>
          <w:szCs w:val="22"/>
        </w:rPr>
        <w:noBreakHyphen/>
        <w:t xml:space="preserve">739/А1 116 от 29 апреля 2005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60</w:t>
      </w:r>
      <w:r w:rsidRPr="00F04E0A">
        <w:rPr>
          <w:sz w:val="22"/>
          <w:szCs w:val="22"/>
        </w:rPr>
        <w:noBreakHyphen/>
        <w:t>2132, 2005 год) Требования по предоставлению профессионально-технической информации и консультационных услуг в рамках оказания помощи гражданам по использованию возможностей в сфере образования, профессиональной подготовки и занятости и активного стремления к профессиональному росту. Эти услуги, независимо от пола, адресованы как тем, кто еще не начал свою профессиональную карьеру, так и тем, кто уже имеет рабочий стаж, а также безработным и работодателям.</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111.</w:t>
      </w:r>
      <w:r w:rsidRPr="00F04E0A">
        <w:rPr>
          <w:sz w:val="22"/>
          <w:szCs w:val="22"/>
        </w:rPr>
        <w:tab/>
        <w:t>В 2005 году в колледжах обучалось 56 тыс. учащихся, и среди них насчитывалось 33 тыс (58,9 процента) женщин. Во многих сферах число женщин среди учащихся колледжей в несколько раз превышает число мужчин. По ряду специальностей, таких как информационно-коммуникационные технологии, машиностроение, производство и переработка, архитектура и строительство, сельское хозяйство, лесная, рыбная промышленность и транспорт, число мужчин среди учащихся превышает число женщин, но количество таких специальностей невелико.</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112.</w:t>
      </w:r>
      <w:r w:rsidRPr="00F04E0A">
        <w:rPr>
          <w:sz w:val="22"/>
          <w:szCs w:val="22"/>
        </w:rPr>
        <w:tab/>
        <w:t>В 2005–2006 годах в высших учебных заведениях обучалось 138 тыс. студентов, и среди них насчитывалось 83 тыс. (60 процентов) женщин. Из общего числа специалистов, прошедших профессиональное обучение, число женщин вдвое превысило число мужчин. На всех уровнях обучения женщины превалируют над мужчинами. В рамках изучения большинства учебных программ число обучающихся женщин превышает число мужчин, за исключением таких областей знаний, как инженерное дело и смежные профессии, архитектура и строительство, транспорт и охрана окружающей среды. Кроме того, женщины составляют большинство среди обучающихся в аспирантуре по таким направлениям, как гуманитарные, общественные, естественные науки и биомедицина. Единственным исключением являются технические науки, где среди 548 студентов насчитывается только 207 женщин. Статистические данные, касающиеся числа специалистов, обучающихся в вузах в 2005–2006 годах в разбивке по этапам обучения, представлены в таблице 6 Приложения, ниже.</w:t>
      </w:r>
    </w:p>
    <w:p w:rsidR="00835A84" w:rsidRPr="00F04E0A" w:rsidRDefault="00835A84" w:rsidP="00C603EC">
      <w:pPr>
        <w:tabs>
          <w:tab w:val="left" w:pos="567"/>
          <w:tab w:val="left" w:pos="1134"/>
        </w:tabs>
        <w:spacing w:after="200"/>
        <w:jc w:val="center"/>
        <w:rPr>
          <w:b/>
          <w:sz w:val="22"/>
          <w:szCs w:val="22"/>
        </w:rPr>
      </w:pPr>
      <w:r w:rsidRPr="00F04E0A">
        <w:rPr>
          <w:b/>
          <w:sz w:val="22"/>
          <w:szCs w:val="22"/>
        </w:rPr>
        <w:t>b)</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113.</w:t>
      </w:r>
      <w:r w:rsidRPr="00F04E0A">
        <w:rPr>
          <w:sz w:val="22"/>
          <w:szCs w:val="22"/>
        </w:rPr>
        <w:tab/>
        <w:t>Закон об образовании гарантирует равный доступ к прохождению одинаковых курсов обучения, методам обучения и учебным пособиям, а также равные условия доступа к равноценно оснащенным помещениям в общеобразовательных школах.</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114.</w:t>
      </w:r>
      <w:r w:rsidRPr="00F04E0A">
        <w:rPr>
          <w:sz w:val="22"/>
          <w:szCs w:val="22"/>
        </w:rPr>
        <w:tab/>
        <w:t>Учебные планы профессионально-технического обучения разработаны согласно потребностям в профессиональных знаниях и общих навыках в соответствующей области, независимо от того, осуществляется ли обучение в сельской или городской школе. В Реестре учебных программ и программ профессиональной подготовки нет единого учебного плана профессионально-технического обучения, который был бы разработан только для женщин или только для мужчин (приказ № ISAK</w:t>
      </w:r>
      <w:r w:rsidRPr="00F04E0A">
        <w:rPr>
          <w:sz w:val="22"/>
          <w:szCs w:val="22"/>
        </w:rPr>
        <w:noBreakHyphen/>
        <w:t xml:space="preserve">90 от 17 января 2006 года Министерства образования и науки "Об утверждении процедуры разработки и апробации основных программ профессионально-технического обучения"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8</w:t>
      </w:r>
      <w:r w:rsidRPr="00F04E0A">
        <w:rPr>
          <w:sz w:val="22"/>
          <w:szCs w:val="22"/>
        </w:rPr>
        <w:noBreakHyphen/>
        <w:t>302, 2006 год)).</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115.</w:t>
      </w:r>
      <w:r w:rsidRPr="00F04E0A">
        <w:rPr>
          <w:sz w:val="22"/>
          <w:szCs w:val="22"/>
        </w:rPr>
        <w:tab/>
        <w:t xml:space="preserve">Профессионально-технические училища обеспечивают, в рамках своих административных положений, равный доступ всех учащихся к пользованию школьной библиотекой, спортивным залом, учебниками, учебными пособиями и помещениями равного качества, к проживанию в общежитии, школьному самоуправлению, спортивным мероприятиям и занятиям физкультурой, а также равные возможности выбора иных средств самовыражения и т. д. </w:t>
      </w:r>
    </w:p>
    <w:p w:rsidR="00835A84" w:rsidRPr="00F04E0A" w:rsidRDefault="00C603EC" w:rsidP="00C603EC">
      <w:pPr>
        <w:tabs>
          <w:tab w:val="left" w:pos="567"/>
          <w:tab w:val="left" w:pos="1134"/>
        </w:tabs>
        <w:spacing w:after="200"/>
        <w:jc w:val="center"/>
        <w:rPr>
          <w:b/>
          <w:sz w:val="22"/>
          <w:szCs w:val="22"/>
        </w:rPr>
      </w:pPr>
      <w:r>
        <w:rPr>
          <w:b/>
          <w:sz w:val="22"/>
          <w:szCs w:val="22"/>
        </w:rPr>
        <w:br w:type="page"/>
      </w:r>
      <w:r w:rsidR="00835A84" w:rsidRPr="00F04E0A">
        <w:rPr>
          <w:b/>
          <w:sz w:val="22"/>
          <w:szCs w:val="22"/>
        </w:rPr>
        <w:t>с)</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116.</w:t>
      </w:r>
      <w:r w:rsidRPr="00F04E0A">
        <w:rPr>
          <w:sz w:val="22"/>
          <w:szCs w:val="22"/>
        </w:rPr>
        <w:tab/>
        <w:t xml:space="preserve">Одним из основных направлений </w:t>
      </w:r>
      <w:r w:rsidRPr="00F04E0A">
        <w:rPr>
          <w:bCs/>
          <w:sz w:val="22"/>
          <w:szCs w:val="22"/>
        </w:rPr>
        <w:t>Национальной программы по обеспечению равных возможностей для женщин и мужчин на 2005–2009 годы</w:t>
      </w:r>
      <w:r w:rsidRPr="00F04E0A">
        <w:rPr>
          <w:b/>
          <w:bCs/>
          <w:sz w:val="22"/>
          <w:szCs w:val="22"/>
        </w:rPr>
        <w:t xml:space="preserve"> </w:t>
      </w:r>
      <w:r w:rsidRPr="00F04E0A">
        <w:rPr>
          <w:sz w:val="22"/>
          <w:szCs w:val="22"/>
        </w:rPr>
        <w:t>является обеспечение равного доступа мужчин и женщин к образованию и научным исследованиям. Программа указывает на следующие проблемные аспекты: учителя недостаточно осведомлены в области гендерного равенства; хотя в высшей школе большинство студентов составляют женщины, они выбирают менее привлекательные профессии с точки зрения карьерного роста и дохода; отмечается значительная диспропорция между числом мужчин и женщин на высшем уровне обучения. Направленные на решение этих проблем меры включают в себя усилия по актуализации гендерной проблематики в рамках учебных программ формального и неформального образования, организацию курсов профессиональной подготовки для учителей и социальных работников по вопросам гендерного равенства, развитие стратегии "Женщины и образование".</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117.</w:t>
      </w:r>
      <w:r w:rsidRPr="00F04E0A">
        <w:rPr>
          <w:sz w:val="22"/>
          <w:szCs w:val="22"/>
        </w:rPr>
        <w:tab/>
        <w:t>Методика снабжения школ учебниками и учебными пособиями по преподаванию предметов общеобразовательного курса, утвержденная приказом № ISAK</w:t>
      </w:r>
      <w:r w:rsidRPr="00F04E0A">
        <w:rPr>
          <w:sz w:val="22"/>
          <w:szCs w:val="22"/>
        </w:rPr>
        <w:noBreakHyphen/>
        <w:t xml:space="preserve">2 от 4 января 2005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87</w:t>
      </w:r>
      <w:r w:rsidRPr="00F04E0A">
        <w:rPr>
          <w:sz w:val="22"/>
          <w:szCs w:val="22"/>
        </w:rPr>
        <w:noBreakHyphen/>
        <w:t>216, 2005 год), предусматривает разработку и последующую оценку учебников на основе соблюдения принципа равных возможностей, т. е. учебники должны пропагандировать равенство независимо от пола, возраста, наличия особых потребностей (инвалидности), социального положения, расы или принадлежности к определенной этнической группе, религии или убеждений.</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118.</w:t>
      </w:r>
      <w:r w:rsidRPr="00F04E0A">
        <w:rPr>
          <w:sz w:val="22"/>
          <w:szCs w:val="22"/>
        </w:rPr>
        <w:tab/>
        <w:t>Ранее входившее в программу обучения рукоделие и домоводство заменено программами общей технологии. Эти программы включают в себя уроки предпринимательства и понимания потребительского рынка. Все они построены таким образом, чтобы подходить и мальчикам, и девочкам, и поэтому школьники учатся в смешанных группах.</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119.</w:t>
      </w:r>
      <w:r w:rsidRPr="00F04E0A">
        <w:rPr>
          <w:sz w:val="22"/>
          <w:szCs w:val="22"/>
        </w:rPr>
        <w:tab/>
      </w:r>
      <w:r w:rsidRPr="00F04E0A">
        <w:rPr>
          <w:bCs/>
          <w:sz w:val="22"/>
          <w:szCs w:val="22"/>
        </w:rPr>
        <w:t>Управление омбудсмена по вопросам равных возможностей</w:t>
      </w:r>
      <w:r w:rsidRPr="00F04E0A">
        <w:rPr>
          <w:b/>
          <w:bCs/>
          <w:sz w:val="22"/>
          <w:szCs w:val="22"/>
        </w:rPr>
        <w:t xml:space="preserve"> </w:t>
      </w:r>
      <w:r w:rsidRPr="00F04E0A">
        <w:rPr>
          <w:sz w:val="22"/>
          <w:szCs w:val="22"/>
        </w:rPr>
        <w:t>получило жалобы о предполагаемой дискриминации в области образования по признаку пола; результаты расследования таких жалоб показали, что уровень знаний девочек выше, чем у мальчиков. В этой связи во исполнение статьи 3(2) Закона о равных возможностях женщин и мужчин, согласно которой государственные органы власти и ведомства должны разработать и осуществить в рамках своей компетенции программы и меры, направленные на обеспечение равных возможностей женщин и мужчин, Министерству образования и науки было предложено рассмотреть возможность разработки специальных программ обучения, направленных на стимулирование мальчиков добиваться лучших результатов в школе и получать более глубокие знания.</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120.</w:t>
      </w:r>
      <w:r w:rsidRPr="00F04E0A">
        <w:rPr>
          <w:sz w:val="22"/>
          <w:szCs w:val="22"/>
        </w:rPr>
        <w:tab/>
        <w:t xml:space="preserve">В 2006 году в </w:t>
      </w:r>
      <w:r w:rsidRPr="00F04E0A">
        <w:rPr>
          <w:bCs/>
          <w:sz w:val="22"/>
          <w:szCs w:val="22"/>
        </w:rPr>
        <w:t>Управление омбудсмена по вопросам равных возможностей</w:t>
      </w:r>
      <w:r w:rsidRPr="00F04E0A">
        <w:rPr>
          <w:b/>
          <w:bCs/>
          <w:sz w:val="22"/>
          <w:szCs w:val="22"/>
        </w:rPr>
        <w:t xml:space="preserve"> </w:t>
      </w:r>
      <w:r w:rsidRPr="00F04E0A">
        <w:rPr>
          <w:sz w:val="22"/>
          <w:szCs w:val="22"/>
        </w:rPr>
        <w:t>поступила жалоба о ненадлежащем и унизительном изображении женщин в учебных пособиях. Рассмотрение жалобы относительно дискриминации в отношении женщин в одном из учебников по изучению двоичной системы счисления, где женщина приравнивается к нулю, показало, что в учебнике пропагандируется дискриминация в отношении женщин. В этой связи Центру развития образования и Министерству образования и науки было предложено исключить из учебника литовского языка методы или приемы, которые поощряют дискриминацию в отношении женщин. Предложение было принято, и пропаганда стереотипного дискриминационного отношения к женщинам в учебных программах запрещена.</w:t>
      </w:r>
    </w:p>
    <w:p w:rsidR="00835A84" w:rsidRPr="00F04E0A" w:rsidRDefault="00C603EC" w:rsidP="00C603EC">
      <w:pPr>
        <w:tabs>
          <w:tab w:val="left" w:pos="567"/>
          <w:tab w:val="left" w:pos="1134"/>
        </w:tabs>
        <w:spacing w:after="200"/>
        <w:jc w:val="center"/>
        <w:rPr>
          <w:b/>
          <w:sz w:val="22"/>
          <w:szCs w:val="22"/>
        </w:rPr>
      </w:pPr>
      <w:r>
        <w:rPr>
          <w:b/>
          <w:sz w:val="22"/>
          <w:szCs w:val="22"/>
        </w:rPr>
        <w:br w:type="page"/>
      </w:r>
      <w:r w:rsidR="00835A84" w:rsidRPr="00F04E0A">
        <w:rPr>
          <w:b/>
          <w:sz w:val="22"/>
          <w:szCs w:val="22"/>
        </w:rPr>
        <w:t>d)</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121.</w:t>
      </w:r>
      <w:r w:rsidRPr="00F04E0A">
        <w:rPr>
          <w:sz w:val="22"/>
          <w:szCs w:val="22"/>
        </w:rPr>
        <w:tab/>
        <w:t>Во исполнение Закона о равных возможностях женщин и мужчин учебные и научные учреждения должны обеспечивать равные возможности для женщин и мужчин в плане получения стипендий и грантов.</w:t>
      </w:r>
    </w:p>
    <w:p w:rsidR="00835A84" w:rsidRPr="00F04E0A" w:rsidRDefault="00835A84" w:rsidP="00C603EC">
      <w:pPr>
        <w:tabs>
          <w:tab w:val="left" w:pos="567"/>
          <w:tab w:val="left" w:pos="1134"/>
        </w:tabs>
        <w:spacing w:after="200"/>
        <w:jc w:val="center"/>
        <w:rPr>
          <w:b/>
          <w:sz w:val="22"/>
          <w:szCs w:val="22"/>
        </w:rPr>
      </w:pPr>
      <w:r w:rsidRPr="00F04E0A">
        <w:rPr>
          <w:b/>
          <w:sz w:val="22"/>
          <w:szCs w:val="22"/>
        </w:rPr>
        <w:t>е)</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122.</w:t>
      </w:r>
      <w:r w:rsidRPr="00F04E0A">
        <w:rPr>
          <w:sz w:val="22"/>
          <w:szCs w:val="22"/>
        </w:rPr>
        <w:tab/>
        <w:t xml:space="preserve">Новая формулировка Закона Литовской Республики о профессионально-техническом образовании и подготовке была принята 3 апреля 2007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43</w:t>
      </w:r>
      <w:r w:rsidRPr="00F04E0A">
        <w:rPr>
          <w:sz w:val="22"/>
          <w:szCs w:val="22"/>
        </w:rPr>
        <w:noBreakHyphen/>
        <w:t>1627, 2007 год). Цель Закона – осуществление политики непрерывного образования на протяжении всей жизни.</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123.</w:t>
      </w:r>
      <w:r w:rsidRPr="00F04E0A">
        <w:rPr>
          <w:sz w:val="22"/>
          <w:szCs w:val="22"/>
        </w:rPr>
        <w:tab/>
        <w:t xml:space="preserve">В течение 2005 года в центрах по подготовке трудовых ресурсов прошли обучение 28,2 тыс. человек, в том числе 10,9 тыс. женщин. Из числа направленных на профессиональное обучение 8,8 тыс. женщин (61 процент) были направлены местными биржами труда, 0,8 тыс. женщин (8,6 процента) – работодателями и 1,1 тыс. женщин (24 процента) прошли обучение за свой счет. В 2006 году в центрах по подготовке трудовых ресурсов прошли обучение 29,1 тыс. человек, в том числе 10,5 тыс. женщин. Из числа направленных на профессиональное обучение 7,5 тыс. женщин (60 процентов) были направлены местными биржами труда, 0,7 тыс. женщин (6,9 процента) – предпринимателями и 1,1 тыс. женщин (23,4 процента) прошли обучение за свой счет. </w:t>
      </w:r>
    </w:p>
    <w:p w:rsidR="00835A84" w:rsidRPr="00F04E0A" w:rsidRDefault="00835A84" w:rsidP="00C603EC">
      <w:pPr>
        <w:tabs>
          <w:tab w:val="left" w:pos="567"/>
          <w:tab w:val="left" w:pos="1134"/>
        </w:tabs>
        <w:spacing w:after="200"/>
        <w:jc w:val="center"/>
        <w:rPr>
          <w:b/>
          <w:sz w:val="22"/>
          <w:szCs w:val="22"/>
        </w:rPr>
      </w:pPr>
      <w:r w:rsidRPr="00F04E0A">
        <w:rPr>
          <w:b/>
          <w:sz w:val="22"/>
          <w:szCs w:val="22"/>
        </w:rPr>
        <w:t>f)</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124.</w:t>
      </w:r>
      <w:r w:rsidRPr="00F04E0A">
        <w:rPr>
          <w:sz w:val="22"/>
          <w:szCs w:val="22"/>
        </w:rPr>
        <w:tab/>
        <w:t>Начиная с 2005 года Министерство образования и науки осуществляет проект "Возвращение в школу", который субсидируется за счет структурных фондов ЕС. Проект ставит своей целью поощрять вернуться в общеобразовательную школу учащихся, не окончивших школу, посредством улучшения доступа, эффективности и качества педагогической и психологической помощи, повышения профессиональной квалификации педагогических и психологических служб и укрепления их методической базы. Прилагаются усилия в плане разработки модели возвращения не окончивших школу учащихся для продолжения образования и предотвращения дальнейшего отсева.</w:t>
      </w:r>
    </w:p>
    <w:p w:rsidR="00835A84" w:rsidRPr="00F04E0A" w:rsidRDefault="00835A84" w:rsidP="000A4C97">
      <w:pPr>
        <w:tabs>
          <w:tab w:val="left" w:pos="567"/>
          <w:tab w:val="left" w:pos="1134"/>
        </w:tabs>
        <w:spacing w:after="200"/>
        <w:jc w:val="center"/>
        <w:rPr>
          <w:b/>
          <w:sz w:val="22"/>
          <w:szCs w:val="22"/>
        </w:rPr>
      </w:pPr>
      <w:r w:rsidRPr="00F04E0A">
        <w:rPr>
          <w:b/>
          <w:sz w:val="22"/>
          <w:szCs w:val="22"/>
        </w:rPr>
        <w:t>g)</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125.</w:t>
      </w:r>
      <w:r w:rsidRPr="00F04E0A">
        <w:rPr>
          <w:sz w:val="22"/>
          <w:szCs w:val="22"/>
        </w:rPr>
        <w:tab/>
        <w:t>В Литве все школьники имеют равные возможности для общей физической подготовки и образования. Кроме того, равные возможности предоставлены для активного участия в спортивных мероприятиях и занятиях физической культурой. Содержание формального и дополнительного образования зависит от возраста и пола школьников. Так, учитываются анатомические, физиологические, психологические и социальные специфические особенности полов. В общеобразовательных школах и профессионально-технических училищах, а также в спортивных школах девочки и молодые девушки могут выбрать любой вид неформальной спортивной деятельности ( в рамках дополнительного образования) в соответствии со своими склонностями и способностями наравне с мальчиками и юношами. Тем не менее спортом занимаются гораздо больше мальчиков и юношей, чем девочек и девушек. Это объясняется недостаточной мотивацией девушек заниматься спортом. Девушки более требовательны к качеству гигиенических условий; кроме того, они более прилежны и поэтому больше времени уделяют учебе.</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Школьники, желающие учиться в Военной академии Литвы им. генерала Йонаса Земаитиса, должны выполнить нормы физической подготовки, применимые к военнослужащим; эти нормы различаются в зависимости от пола и возраста.</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126.</w:t>
      </w:r>
      <w:r w:rsidRPr="00F04E0A">
        <w:rPr>
          <w:sz w:val="22"/>
          <w:szCs w:val="22"/>
        </w:rPr>
        <w:tab/>
        <w:t xml:space="preserve">Согласно данным Статистического спортивного ежегодника Литвы, в 2006 году в стране функционировало 97 спортивных школ; в них занималось 46 253 школьника, в том числе 13 098 девочек. В Литве общее число детей, посещающих спортивные школы, уменьшается, и девочки не являются исключением. Напротив, число женщин, занимающихся спортом, с 2000 года возрастает (27,8 процента в 2000 году, 27,19 процента в 2002 году, 27,98 процента в 2004 году и 29,55 процента в 2006 году). Молодые женщины занимаются даже чисто "мужскими" видами спорта: в настоящее время 13 молодых женщин занимаются боксом, 411 –футболом, 472 – дзюдо, 32 – греко-римской борьбой, 12 – самбо, 24 – вольной борьбой, 19 – тяжелой атлетикой, 11 – кекусинкай-каратэ, 8 – каратэ, 16 – армрестлингом, 43 – регби, 10 – фехтованием, 4 – водным поло, 48 – парусным спортом, 36 – подводным плаванием. </w:t>
      </w:r>
    </w:p>
    <w:p w:rsidR="00835A84" w:rsidRPr="00F04E0A" w:rsidRDefault="00835A84" w:rsidP="00C603EC">
      <w:pPr>
        <w:tabs>
          <w:tab w:val="left" w:pos="567"/>
          <w:tab w:val="left" w:pos="1134"/>
        </w:tabs>
        <w:spacing w:after="200"/>
        <w:jc w:val="center"/>
        <w:rPr>
          <w:b/>
          <w:sz w:val="22"/>
          <w:szCs w:val="22"/>
        </w:rPr>
      </w:pPr>
      <w:r w:rsidRPr="00F04E0A">
        <w:rPr>
          <w:b/>
          <w:sz w:val="22"/>
          <w:szCs w:val="22"/>
        </w:rPr>
        <w:t>h)</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127.</w:t>
      </w:r>
      <w:r w:rsidRPr="00F04E0A">
        <w:rPr>
          <w:sz w:val="22"/>
          <w:szCs w:val="22"/>
        </w:rPr>
        <w:tab/>
        <w:t>Все школьные программы пропагандируют без различий по признаку пола социальные и этнические ценности, которые содействуют семейной и общественной морали, а также развитию критического мышления и способности давать правильную оценку этическим нормам. Для того чтобы подготовить молодых людей к жизни, брачным и семейным отношениям, помочь им понять общую концепцию сексуальных отношений и воспитывать развитую и морально устойчивую личность, министр образования и науки приказом № ISAK</w:t>
      </w:r>
      <w:r w:rsidRPr="00F04E0A">
        <w:rPr>
          <w:sz w:val="22"/>
          <w:szCs w:val="22"/>
        </w:rPr>
        <w:noBreakHyphen/>
        <w:t xml:space="preserve">179 от 7 февраля 2007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19</w:t>
      </w:r>
      <w:r w:rsidRPr="00F04E0A">
        <w:rPr>
          <w:sz w:val="22"/>
          <w:szCs w:val="22"/>
        </w:rPr>
        <w:noBreakHyphen/>
        <w:t>740, 2007 год) утвердил Программу семейного и полового воспитания. Кроме того, приказом № ISAK</w:t>
      </w:r>
      <w:r w:rsidRPr="00F04E0A">
        <w:rPr>
          <w:sz w:val="22"/>
          <w:szCs w:val="22"/>
        </w:rPr>
        <w:noBreakHyphen/>
        <w:t xml:space="preserve">261 от 14 февраля 2006 года </w:t>
      </w:r>
      <w:r w:rsidRPr="00F04E0A">
        <w:rPr>
          <w:bCs/>
          <w:sz w:val="22"/>
          <w:szCs w:val="22"/>
        </w:rPr>
        <w:t>(</w:t>
      </w:r>
      <w:r w:rsidRPr="00F04E0A">
        <w:rPr>
          <w:bCs/>
          <w:i/>
          <w:iCs/>
          <w:sz w:val="22"/>
          <w:szCs w:val="22"/>
        </w:rPr>
        <w:t>Valstybės žinios</w:t>
      </w:r>
      <w:r w:rsidRPr="00F04E0A">
        <w:rPr>
          <w:bCs/>
          <w:sz w:val="22"/>
          <w:szCs w:val="22"/>
        </w:rPr>
        <w:t xml:space="preserve"> (Правительственная газета)</w:t>
      </w:r>
      <w:r w:rsidRPr="00F04E0A">
        <w:rPr>
          <w:b/>
          <w:bCs/>
          <w:sz w:val="22"/>
          <w:szCs w:val="22"/>
        </w:rPr>
        <w:t xml:space="preserve"> </w:t>
      </w:r>
      <w:r w:rsidRPr="00F04E0A">
        <w:rPr>
          <w:bCs/>
          <w:sz w:val="22"/>
          <w:szCs w:val="22"/>
        </w:rPr>
        <w:t>№</w:t>
      </w:r>
      <w:r w:rsidRPr="00F04E0A">
        <w:rPr>
          <w:b/>
          <w:bCs/>
          <w:sz w:val="22"/>
          <w:szCs w:val="22"/>
        </w:rPr>
        <w:t> </w:t>
      </w:r>
      <w:r w:rsidRPr="00F04E0A">
        <w:rPr>
          <w:sz w:val="22"/>
          <w:szCs w:val="22"/>
        </w:rPr>
        <w:t>23</w:t>
      </w:r>
      <w:r w:rsidRPr="00F04E0A">
        <w:rPr>
          <w:sz w:val="22"/>
          <w:szCs w:val="22"/>
        </w:rPr>
        <w:noBreakHyphen/>
        <w:t xml:space="preserve">766, 2006 год) министр образования и науки утвердил методические рекомендации по разработке программ семейного воспитания для детей и юношества, в которых определяются принципы разработки и осуществления таких программ, требования к их содержанию и т. д. Составлено методическое учебное пособие "Развитие программ семейного воспитания для детей и юношества". В настоящее время в рамках Министерства образования и науки создана рабочая группа, на которую возложена задача составления плана действий по распространению вышеупомянутых методических рекомендаций по разработке программ семейного воспитания для детей и юношества. Центр профессионального совершенствования педагогов организует учебные курсы и семинары для учителей по данным вопросам. </w:t>
      </w:r>
    </w:p>
    <w:p w:rsidR="00835A84" w:rsidRPr="00F04E0A" w:rsidRDefault="00835A84" w:rsidP="00C603EC">
      <w:pPr>
        <w:spacing w:after="200"/>
        <w:jc w:val="center"/>
        <w:rPr>
          <w:b/>
          <w:sz w:val="22"/>
          <w:szCs w:val="22"/>
        </w:rPr>
      </w:pPr>
      <w:r w:rsidRPr="00F04E0A">
        <w:rPr>
          <w:b/>
          <w:sz w:val="22"/>
          <w:szCs w:val="22"/>
        </w:rPr>
        <w:t>Статья 11</w:t>
      </w:r>
    </w:p>
    <w:p w:rsidR="00835A84" w:rsidRPr="00F04E0A" w:rsidRDefault="00835A84" w:rsidP="00C603EC">
      <w:pPr>
        <w:spacing w:after="200"/>
        <w:jc w:val="center"/>
        <w:rPr>
          <w:b/>
          <w:sz w:val="22"/>
          <w:szCs w:val="22"/>
        </w:rPr>
      </w:pPr>
      <w:r w:rsidRPr="00F04E0A">
        <w:rPr>
          <w:b/>
          <w:sz w:val="22"/>
          <w:szCs w:val="22"/>
        </w:rPr>
        <w:t>Пункт 1</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128.</w:t>
      </w:r>
      <w:r w:rsidRPr="00F04E0A">
        <w:rPr>
          <w:sz w:val="22"/>
          <w:szCs w:val="22"/>
        </w:rPr>
        <w:tab/>
        <w:t xml:space="preserve">В 2006 году был принят Закон о поддержке занятости. Закон ставит своей целью добиться полной занятости, сократить масштабы социальной маргинализации и укрепить социальную сплоченность. В Законе перечислены задачи системы поддержки занятости, а именно: сбалансировать спрос и предложение рабочей силы с целью обеспечения общего баланса на рынке труда и расширить возможности трудоустройства для лиц трудоспособного возраста. Помимо этого, в Законе излагаются следующие меры поддержки занятости: создание служб поддержки общей занятости; меры активной политики на рынке труда; программы поддержки занятости. Статья 3(4) Закона предусматривает выполнение задач в рамках системы поддержки занятости, а также осуществление мер в этой сфере при соблюдении принципа равных возможностей для мужчин и женщин и принципа недопущения дискриминации. </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129.</w:t>
      </w:r>
      <w:r w:rsidRPr="00F04E0A">
        <w:rPr>
          <w:sz w:val="22"/>
          <w:szCs w:val="22"/>
        </w:rPr>
        <w:tab/>
        <w:t>Во исполнение вышеупомянутого Закона дополнительное содействие при трудоустройстве должно оказываться следующим группам лиц: беременным женщинам; по выбору семьи матери (приемной матери) или отцу (приемному отцу); опекуну или попечителю, который фактически воспитывает ребенка в возрасте до 8 лет или ребенка-инвалида в возрасте до 18 лет, официально признанного инвалидом до 1 июля 2005 года; жертвам торговли людьми, которые прошли программы психо-социальной и/или профессиональной реабилитации.</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130.</w:t>
      </w:r>
      <w:r w:rsidRPr="00F04E0A">
        <w:rPr>
          <w:sz w:val="22"/>
          <w:szCs w:val="22"/>
        </w:rPr>
        <w:tab/>
        <w:t>В 2004 году был принят Закон о социальных предприятиях. В Законе излагаются права и обязанности юридических лиц, получивших статус социального предприятия, а также основа и процедура получения и утраты этого статуса; определяются целевые группы, которые могут быть наняты для работы на таких предприятиях; характеризуются особенности трудовых отношений на социальных предприятиях и регламентируется оказание государственной помощи этим предприятиям. Статья 4(1)(4) Закона предусматривает оказание матери/отцу содействия при трудоустройстве на социальные предприятия, если она/он в одиночку воспитывает ребенка в возрасте до 8 лет и если она/он является безработным более шести месяцев с момента регистрации на местной бирже труда.</w:t>
      </w:r>
    </w:p>
    <w:p w:rsidR="00835A84" w:rsidRPr="00F04E0A" w:rsidRDefault="00835A84" w:rsidP="00C603EC">
      <w:pPr>
        <w:spacing w:after="200"/>
        <w:jc w:val="center"/>
        <w:rPr>
          <w:b/>
          <w:sz w:val="22"/>
          <w:szCs w:val="22"/>
        </w:rPr>
      </w:pPr>
      <w:r w:rsidRPr="00F04E0A">
        <w:rPr>
          <w:b/>
          <w:sz w:val="22"/>
          <w:szCs w:val="22"/>
        </w:rPr>
        <w:t>b)</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131.</w:t>
      </w:r>
      <w:r w:rsidRPr="00F04E0A">
        <w:rPr>
          <w:sz w:val="22"/>
          <w:szCs w:val="22"/>
        </w:rPr>
        <w:tab/>
        <w:t>Одним из основных направлений Национальной программы по обеспечению равных возможностей для женщин и мужчин на 2005–2009 годы является обеспечение равных возможностей для них в области занятости. Эта часть Программы ставит своей целью изменение стереотипного представления о ролях мужчин и женщин в экономической деятельности страны; создание условий для женщин и мужчин сочетать свою работу, в том числе профессиональную военную службу, с семейными обязанностями; улучшение возможностей трудоустройства женщин, которые хотят возобновить свою карьеру после длительного перерыва в работе, а также для пожилых женщин, желающих работать; улучшение возможностей для женщин начать и развивать собственное дело и содействие более активному участию женщин в экономике; стимулирование работодателей устанавливать равную оплату за равный труд для мужчин и женщин; содействие социальному партнерству и развитию социального диалога на основе обеспечения гендерного равенства на рынке труда.</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132.</w:t>
      </w:r>
      <w:r w:rsidRPr="00F04E0A">
        <w:rPr>
          <w:sz w:val="22"/>
          <w:szCs w:val="22"/>
        </w:rPr>
        <w:tab/>
        <w:t>Задача содействия развитию предпринимательства среди женщин, содержащаяся в Национальной программе по обеспечению равных возможностей для женщин и мужчин на 2005–2009 годы, соответствует приоритетам Организации Объединенных Наций в деле сокращения масштабов нищеты и в области занятости, а это означает обеспечение равного участия женщин и мужчин в предпринимательской деятельности. Кроме того, эта задача включена в Стратегические цели развития малого и среднего бизнеса до 2015 года, изложенные в Национальной долгосрочной стратегии экономического развития на период до 2015 года, утвержденной Постановлением правительства № 853 от 12 июня 2002 года (</w:t>
      </w:r>
      <w:r w:rsidRPr="00F04E0A">
        <w:rPr>
          <w:i/>
          <w:iCs/>
          <w:sz w:val="22"/>
          <w:szCs w:val="22"/>
          <w:lang w:val="en-GB"/>
        </w:rPr>
        <w:t>Valstyb</w:t>
      </w:r>
      <w:r w:rsidRPr="00F04E0A">
        <w:rPr>
          <w:i/>
          <w:iCs/>
          <w:sz w:val="22"/>
          <w:szCs w:val="22"/>
        </w:rPr>
        <w:t>ė</w:t>
      </w:r>
      <w:r w:rsidRPr="00F04E0A">
        <w:rPr>
          <w:i/>
          <w:iCs/>
          <w:sz w:val="22"/>
          <w:szCs w:val="22"/>
          <w:lang w:val="en-GB"/>
        </w:rPr>
        <w:t>s</w:t>
      </w:r>
      <w:r w:rsidRPr="00F04E0A">
        <w:rPr>
          <w:i/>
          <w:iCs/>
          <w:sz w:val="22"/>
          <w:szCs w:val="22"/>
        </w:rPr>
        <w:t xml:space="preserve"> ž</w:t>
      </w:r>
      <w:r w:rsidRPr="00F04E0A">
        <w:rPr>
          <w:i/>
          <w:iCs/>
          <w:sz w:val="22"/>
          <w:szCs w:val="22"/>
          <w:lang w:val="en-GB"/>
        </w:rPr>
        <w:t>inios</w:t>
      </w:r>
      <w:r w:rsidRPr="00F04E0A">
        <w:rPr>
          <w:i/>
          <w:iCs/>
          <w:sz w:val="22"/>
          <w:szCs w:val="22"/>
        </w:rPr>
        <w:t xml:space="preserve"> </w:t>
      </w:r>
      <w:r w:rsidRPr="00F04E0A">
        <w:rPr>
          <w:iCs/>
          <w:sz w:val="22"/>
          <w:szCs w:val="22"/>
        </w:rPr>
        <w:t>(</w:t>
      </w:r>
      <w:r w:rsidRPr="00F04E0A">
        <w:rPr>
          <w:sz w:val="22"/>
          <w:szCs w:val="22"/>
        </w:rPr>
        <w:t>Правительственная газета) № 60</w:t>
      </w:r>
      <w:r w:rsidRPr="00F04E0A">
        <w:rPr>
          <w:sz w:val="22"/>
          <w:szCs w:val="22"/>
        </w:rPr>
        <w:noBreakHyphen/>
        <w:t>2424, 2002 год), и в мерах по осуществлению национальной программы Лиссабонской стратегии, направленной на содействие быстрому экономическому росту, конкурентоспособности, занятости и инвестирования в человеческий капитал.</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133.</w:t>
      </w:r>
      <w:r w:rsidRPr="00F04E0A">
        <w:rPr>
          <w:sz w:val="22"/>
          <w:szCs w:val="22"/>
        </w:rPr>
        <w:tab/>
        <w:t>Улучшаются возможности трудоустройства женщин в сельской местности, а также условия для начала и развития собственного дела. Женщины активно пользуются возможностями трудоустройства или открытия собственного дела. Согласно данным Национального бюро по трудоустройству в рамках Министерства социальной защиты и труда, в 2006 году 10,4 тыс. (54 процента) женщин были направлены на профессионально-техническое обучение, в том числе 1,8 тыс. женщин, зарегистрированных в бюро по трудоустройству после перерыва в работе в течение более 3 лет, и 1,2 тыс. женщин в возрасте старше 50 лет. В целях повышения возможностей трудоустройства и восстановления практических навыков 3 тыс. (73 процента) женщин были направлены на курсы профессиональной подготовки, рассчитанные на восстановление профессиональных знаний и практических навыков, в том числе 1,2 тыс. женщин, зарегистрированных в бюро по трудоустройству после перерыва в работе в течение более 3 лет, и 1,4 тыс. женщин в возрасте старше 50 лет. В 2006 году базовые курсы предпринимательства, организованные территориальными бюро по трудоустройству, закончили 4,4 тыс. желающих найти работу, в том числе 2,53 тыс. женщин.</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134.</w:t>
      </w:r>
      <w:r w:rsidRPr="00F04E0A">
        <w:rPr>
          <w:sz w:val="22"/>
          <w:szCs w:val="22"/>
        </w:rPr>
        <w:tab/>
        <w:t>Растет число женщин, открывающих и развивающих собственные предприятия. С 2005 года интернет-портал www.svv.lt представляет раздел "Женщины в бизнесе", в котором приводятся успешные примеры предпринимательской деятельности женщин, самые последние данные, касающиеся вопросов, обсуждаемых в портале, а также информация об инициативах Европейской комиссии и стран – членов Евросоюза, направленных на содействие предпринимательству среди женщин. Женщины-предприниматели, проекты которых публикуются в этом разделе, делятся информацией о том, как они открывали собственное дело, с какими проблемами сталкивались при открытии и развитии своего дела, как решались эти проблемы, а также выражают свое мнение о том, какими основными качествами должна обладать женщина-предприниматель, и поднимают другие вопросы. Всего в данном разделе уже размещена информация о 70 успешных примерах. Кроме того, информация о 50 успешных примерах была опубликована в издании "Женщины в бизнесе". В этом издании женщины-предприниматели анализируют мотивы, лежащие в основе их решения открыть свое дело, выражают свое мнение относительно факторов, имеющих решающее значение для успешного ведения дела, и предоставляют иную актуальную информацию.</w:t>
      </w:r>
    </w:p>
    <w:p w:rsidR="00835A84" w:rsidRPr="00F04E0A" w:rsidRDefault="00835A84" w:rsidP="00835A84">
      <w:pPr>
        <w:tabs>
          <w:tab w:val="left" w:pos="567"/>
          <w:tab w:val="left" w:pos="1134"/>
        </w:tabs>
        <w:spacing w:after="200"/>
        <w:ind w:firstLine="567"/>
        <w:jc w:val="both"/>
        <w:rPr>
          <w:sz w:val="22"/>
          <w:szCs w:val="22"/>
        </w:rPr>
      </w:pPr>
      <w:r w:rsidRPr="00F04E0A">
        <w:rPr>
          <w:sz w:val="22"/>
          <w:szCs w:val="22"/>
        </w:rPr>
        <w:t>135.</w:t>
      </w:r>
      <w:r w:rsidRPr="00F04E0A">
        <w:rPr>
          <w:sz w:val="22"/>
          <w:szCs w:val="22"/>
        </w:rPr>
        <w:tab/>
        <w:t>С целью оказания содействия предпринимательской деятельности женщин центры деловой информации организуют во всех округах информационные кампании для женщин-предпринимателей. Для участия в кампании приглашаются женщины-предприниматели и женщины, которые хотят открыть свое дело, а также женщины, завоевавшие звание лучшего предпринимателя года; в ходе кампании издаются и бесплатно распространяются брошюры о наиболее успешных примерах предпринимательской деятельности женщин.</w:t>
      </w:r>
    </w:p>
    <w:p w:rsidR="00835A84" w:rsidRPr="00F04E0A" w:rsidRDefault="00835A84" w:rsidP="00835A84">
      <w:pPr>
        <w:pStyle w:val="BodyText"/>
        <w:tabs>
          <w:tab w:val="left" w:pos="567"/>
          <w:tab w:val="left" w:pos="1134"/>
        </w:tabs>
        <w:spacing w:before="0" w:after="200"/>
        <w:ind w:firstLine="567"/>
        <w:rPr>
          <w:b w:val="0"/>
          <w:szCs w:val="22"/>
          <w:lang w:val="ru-RU"/>
        </w:rPr>
      </w:pPr>
      <w:r w:rsidRPr="00F04E0A">
        <w:rPr>
          <w:b w:val="0"/>
          <w:szCs w:val="22"/>
          <w:lang w:val="ru-RU" w:bidi="fa-IR"/>
        </w:rPr>
        <w:t>136.</w:t>
      </w:r>
      <w:r w:rsidRPr="00F04E0A">
        <w:rPr>
          <w:b w:val="0"/>
          <w:szCs w:val="22"/>
          <w:lang w:val="ru-RU" w:bidi="fa-IR"/>
        </w:rPr>
        <w:tab/>
        <w:t>Ежегодно женщинам-предпринимателям предоставляются информация</w:t>
      </w:r>
      <w:r w:rsidRPr="00F04E0A">
        <w:rPr>
          <w:b w:val="0"/>
          <w:szCs w:val="22"/>
          <w:lang w:val="ru-RU"/>
        </w:rPr>
        <w:t xml:space="preserve">, консультирование и обучение по вопросам использования финансовой помощи для развития предприятия. Центры деловой информации и деловые питомники предоставляют уже состоявшимся и потенциальным женщинам-предпринимателям деловую информацию и консультационное обслуживание и организуют мероприятия по распространению деловой информации и учебные курсы по вопросам, связанным с тем, как начать и организовать свое дело. Литовское агентство по развитию малых и средних предприятий </w:t>
      </w:r>
      <w:r w:rsidRPr="00F04E0A">
        <w:rPr>
          <w:b w:val="0"/>
          <w:szCs w:val="22"/>
          <w:lang w:val="ru-RU" w:bidi="fa-IR"/>
        </w:rPr>
        <w:t xml:space="preserve">опросило </w:t>
      </w:r>
      <w:r w:rsidRPr="00F04E0A">
        <w:rPr>
          <w:b w:val="0"/>
          <w:szCs w:val="22"/>
          <w:lang w:val="ru-RU"/>
        </w:rPr>
        <w:t>48</w:t>
      </w:r>
      <w:r w:rsidRPr="00F04E0A">
        <w:rPr>
          <w:b w:val="0"/>
          <w:szCs w:val="22"/>
        </w:rPr>
        <w:t> </w:t>
      </w:r>
      <w:r w:rsidRPr="00F04E0A">
        <w:rPr>
          <w:b w:val="0"/>
          <w:szCs w:val="22"/>
          <w:lang w:val="ru-RU"/>
        </w:rPr>
        <w:t>центров деловой информации; результаты опроса показали, что в 2006</w:t>
      </w:r>
      <w:r w:rsidRPr="00F04E0A">
        <w:rPr>
          <w:b w:val="0"/>
          <w:szCs w:val="22"/>
        </w:rPr>
        <w:t> </w:t>
      </w:r>
      <w:r w:rsidRPr="00F04E0A">
        <w:rPr>
          <w:b w:val="0"/>
          <w:szCs w:val="22"/>
          <w:lang w:val="ru-RU"/>
        </w:rPr>
        <w:t>году женщины составили 59,89</w:t>
      </w:r>
      <w:r w:rsidRPr="00F04E0A">
        <w:rPr>
          <w:b w:val="0"/>
          <w:szCs w:val="22"/>
        </w:rPr>
        <w:t> </w:t>
      </w:r>
      <w:r w:rsidRPr="00F04E0A">
        <w:rPr>
          <w:b w:val="0"/>
          <w:szCs w:val="22"/>
          <w:lang w:val="ru-RU"/>
        </w:rPr>
        <w:t>процента (12 810 человек) общего числа клиентов этих центров (по сравнению с 59,75</w:t>
      </w:r>
      <w:r w:rsidRPr="00F04E0A">
        <w:rPr>
          <w:b w:val="0"/>
          <w:szCs w:val="22"/>
        </w:rPr>
        <w:t> </w:t>
      </w:r>
      <w:r w:rsidRPr="00F04E0A">
        <w:rPr>
          <w:b w:val="0"/>
          <w:szCs w:val="22"/>
          <w:lang w:val="ru-RU"/>
        </w:rPr>
        <w:t xml:space="preserve">процента, или </w:t>
      </w:r>
      <w:r w:rsidR="000A4C97">
        <w:rPr>
          <w:b w:val="0"/>
          <w:szCs w:val="22"/>
          <w:lang w:val="ru-RU"/>
        </w:rPr>
        <w:br/>
      </w:r>
      <w:r w:rsidRPr="00F04E0A">
        <w:rPr>
          <w:b w:val="0"/>
          <w:szCs w:val="22"/>
          <w:lang w:val="ru-RU"/>
        </w:rPr>
        <w:t>10</w:t>
      </w:r>
      <w:r w:rsidRPr="00F04E0A">
        <w:rPr>
          <w:b w:val="0"/>
          <w:szCs w:val="22"/>
        </w:rPr>
        <w:t> </w:t>
      </w:r>
      <w:r w:rsidRPr="00F04E0A">
        <w:rPr>
          <w:b w:val="0"/>
          <w:szCs w:val="22"/>
          <w:lang w:val="ru-RU"/>
        </w:rPr>
        <w:t>817 человек, в 2005</w:t>
      </w:r>
      <w:r w:rsidRPr="00F04E0A">
        <w:rPr>
          <w:b w:val="0"/>
          <w:szCs w:val="22"/>
        </w:rPr>
        <w:t> </w:t>
      </w:r>
      <w:r w:rsidRPr="00F04E0A">
        <w:rPr>
          <w:b w:val="0"/>
          <w:szCs w:val="22"/>
          <w:lang w:val="ru-RU"/>
        </w:rPr>
        <w:t>году). Как показывает потребительская статистика, и в 2005 году, и в 2006 году женщины значительно активнее, чем мужчины, пользовались услугами учреждений, осуществляющих обучение торгово-промышленной деятельности.</w:t>
      </w:r>
    </w:p>
    <w:p w:rsidR="00835A84" w:rsidRPr="00F04E0A" w:rsidRDefault="00835A84" w:rsidP="00835A84">
      <w:pPr>
        <w:pStyle w:val="BodyText"/>
        <w:tabs>
          <w:tab w:val="left" w:pos="567"/>
          <w:tab w:val="left" w:pos="1134"/>
        </w:tabs>
        <w:spacing w:before="0" w:after="200"/>
        <w:ind w:firstLine="567"/>
        <w:rPr>
          <w:b w:val="0"/>
          <w:szCs w:val="22"/>
          <w:lang w:val="ru-RU"/>
        </w:rPr>
      </w:pPr>
      <w:r w:rsidRPr="00F04E0A">
        <w:rPr>
          <w:b w:val="0"/>
          <w:szCs w:val="22"/>
          <w:lang w:val="ru-RU"/>
        </w:rPr>
        <w:t>137.</w:t>
      </w:r>
      <w:r w:rsidRPr="00F04E0A">
        <w:rPr>
          <w:b w:val="0"/>
          <w:szCs w:val="22"/>
          <w:lang w:val="ru-RU"/>
        </w:rPr>
        <w:tab/>
        <w:t>Литовские женщины-предприниматели регулярно обмениваются опытом со своими зарубежными коллегами. Они принимают участие в деятельности Европейской сети по содействию предпринимательской деятельности женщин (</w:t>
      </w:r>
      <w:r w:rsidRPr="00F04E0A">
        <w:rPr>
          <w:b w:val="0"/>
          <w:szCs w:val="22"/>
          <w:lang w:val="en-GB"/>
        </w:rPr>
        <w:t>WES</w:t>
      </w:r>
      <w:r w:rsidRPr="00F04E0A">
        <w:rPr>
          <w:b w:val="0"/>
          <w:szCs w:val="22"/>
          <w:lang w:val="ru-RU"/>
        </w:rPr>
        <w:t>), распространяют информацию о состоянии предпринимательской деятельности женщин в Литве и об инициативах, осуществляемых в стране в целях содействия предпринимательской деятельности женщин; кроме того, они осуществляют совместные проекты с женщинами-предпринимателями других стран.</w:t>
      </w:r>
    </w:p>
    <w:p w:rsidR="00835A84" w:rsidRPr="00F04E0A" w:rsidRDefault="00835A84" w:rsidP="00835A84">
      <w:pPr>
        <w:pStyle w:val="BodyText"/>
        <w:tabs>
          <w:tab w:val="left" w:pos="567"/>
          <w:tab w:val="left" w:pos="1134"/>
        </w:tabs>
        <w:spacing w:before="0" w:after="200"/>
        <w:ind w:firstLine="567"/>
        <w:rPr>
          <w:b w:val="0"/>
          <w:szCs w:val="22"/>
          <w:lang w:val="ru-RU"/>
        </w:rPr>
      </w:pPr>
      <w:r w:rsidRPr="00F04E0A">
        <w:rPr>
          <w:b w:val="0"/>
          <w:szCs w:val="22"/>
          <w:lang w:val="ru-RU"/>
        </w:rPr>
        <w:t xml:space="preserve">138. </w:t>
      </w:r>
      <w:r w:rsidR="00C603EC">
        <w:rPr>
          <w:b w:val="0"/>
          <w:szCs w:val="22"/>
          <w:lang w:val="ru-RU"/>
        </w:rPr>
        <w:tab/>
      </w:r>
      <w:r w:rsidRPr="00F04E0A">
        <w:rPr>
          <w:b w:val="0"/>
          <w:szCs w:val="22"/>
          <w:lang w:val="ru-RU"/>
        </w:rPr>
        <w:t>При финансовой поддержке структурных фондов ЕС и частичном финансировании из государственного бюджета были осуществлены проекты, направленные на содействие занятости и предпринимательской деятельности женщин. Один из них – проект "</w:t>
      </w:r>
      <w:r w:rsidRPr="00F04E0A">
        <w:rPr>
          <w:b w:val="0"/>
          <w:szCs w:val="22"/>
          <w:lang w:val="en-GB"/>
        </w:rPr>
        <w:t>EQUAL</w:t>
      </w:r>
      <w:r w:rsidRPr="00F04E0A">
        <w:rPr>
          <w:b w:val="0"/>
          <w:szCs w:val="22"/>
          <w:lang w:val="ru-RU"/>
        </w:rPr>
        <w:t xml:space="preserve"> </w:t>
      </w:r>
      <w:r w:rsidRPr="00F04E0A">
        <w:rPr>
          <w:b w:val="0"/>
          <w:szCs w:val="22"/>
          <w:lang w:val="en-GB"/>
        </w:rPr>
        <w:t>HIGHWAY</w:t>
      </w:r>
      <w:r w:rsidRPr="00F04E0A">
        <w:rPr>
          <w:b w:val="0"/>
          <w:szCs w:val="22"/>
          <w:lang w:val="ru-RU"/>
        </w:rPr>
        <w:t>: партнерство в целях развития между Клайпедой и Вильнюсом", финансируемый в рамках инициативы Европейского экономического сообщества "</w:t>
      </w:r>
      <w:r w:rsidRPr="00F04E0A">
        <w:rPr>
          <w:b w:val="0"/>
          <w:szCs w:val="22"/>
          <w:lang w:val="en-GB"/>
        </w:rPr>
        <w:t>EQUAL</w:t>
      </w:r>
      <w:r w:rsidRPr="00F04E0A">
        <w:rPr>
          <w:b w:val="0"/>
          <w:szCs w:val="22"/>
          <w:lang w:val="ru-RU"/>
        </w:rPr>
        <w:t>" и осуществляемый с 2006 года; цель этого проекта заключается в оказании содействия женщинам, утратившим связь с рынком труда, в возвращении к активной жизни. Координатором проекта является Клайпедское бюро профессиональной подготовки и консультирования по вопросам рынка труда. Задача проекта заключается в совершенствовании мер, направленных на борьбу с социальной изоляцией целевых групп; улучшении профессиональной ориентации, социализации и потенциала в области использования передовых информационных технологий и телекоммуникационных средств; расширении возможностей женщин на рынке труда в рамках разработанных программ профессиональной подготовки. Одна из таких программ профессиональной подготовки – "Индивидуальное профилирование и планирование профессиональной карьеры" – предназначена для женщин, а также безработных, которые не могут трудоустроиться длительное время. Участниками проекта являются женщины предпенсионного возраста, представители этнических меньшинств, безработные, которые не могут трудоустроиться длительное время, и другие женщины.</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139. </w:t>
      </w:r>
      <w:r w:rsidR="00C603EC">
        <w:rPr>
          <w:b w:val="0"/>
          <w:szCs w:val="22"/>
          <w:lang w:val="ru-RU"/>
        </w:rPr>
        <w:tab/>
      </w:r>
      <w:r w:rsidRPr="00F04E0A">
        <w:rPr>
          <w:b w:val="0"/>
          <w:szCs w:val="22"/>
          <w:lang w:val="ru-RU"/>
        </w:rPr>
        <w:t>В 2006–2008 годах Фонд социальных инноваций осуществляет проект "Равные возможности женщин и мужчин в области занятости: меры, методики, достижения", финансируемый из структурных фондов ЕС. Основная цель проекта заключается в попытке обеспечить равные возможности в области трудоустройства и их эффективную реализацию на региональном уровне, а также обеспечить мониторинг изменений в данной области. Одним из участников проекта является Управление омбудсмена по вопросам равных возможностей. Проект ориентирован на следующие целевые группы: 10 муниципалитетов (по одному в каждом округе), ответственные лица, являющиеся членами общественных комиссий по вопросам равных возможностей женщин и мужчин, учрежденных в муниципалитетах в целях участия в осуществлении проекта, муниципальные НПО и профсоюзы, работодатели и представители организаций работодателей в муниципалитетах. Главным реализатором этого проекта является Коалиция неправительственных организаций в интересах защиты прав женщин; с 2000 года деятельность Коалиции координируется Фондом социальных инноваций.</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140. </w:t>
      </w:r>
      <w:r w:rsidR="00C603EC">
        <w:rPr>
          <w:b w:val="0"/>
          <w:szCs w:val="22"/>
          <w:lang w:val="ru-RU"/>
        </w:rPr>
        <w:tab/>
      </w:r>
      <w:r w:rsidRPr="00F04E0A">
        <w:rPr>
          <w:b w:val="0"/>
          <w:szCs w:val="22"/>
          <w:lang w:val="ru-RU"/>
        </w:rPr>
        <w:t>Информационный центр по проблемам женщин осуществляет проект под названием "</w:t>
      </w:r>
      <w:r w:rsidRPr="00F04E0A">
        <w:rPr>
          <w:b w:val="0"/>
          <w:szCs w:val="22"/>
          <w:lang w:val="en-GB"/>
        </w:rPr>
        <w:t>Let</w:t>
      </w:r>
      <w:r w:rsidRPr="00F04E0A">
        <w:rPr>
          <w:b w:val="0"/>
          <w:szCs w:val="22"/>
          <w:lang w:val="ru-RU"/>
        </w:rPr>
        <w:t>’</w:t>
      </w:r>
      <w:r w:rsidRPr="00F04E0A">
        <w:rPr>
          <w:b w:val="0"/>
          <w:szCs w:val="22"/>
          <w:lang w:val="en-GB"/>
        </w:rPr>
        <w:t>s</w:t>
      </w:r>
      <w:r w:rsidRPr="00F04E0A">
        <w:rPr>
          <w:b w:val="0"/>
          <w:szCs w:val="22"/>
          <w:lang w:val="ru-RU"/>
        </w:rPr>
        <w:t xml:space="preserve"> </w:t>
      </w:r>
      <w:r w:rsidRPr="00F04E0A">
        <w:rPr>
          <w:b w:val="0"/>
          <w:szCs w:val="22"/>
          <w:lang w:val="en-GB"/>
        </w:rPr>
        <w:t>Do</w:t>
      </w:r>
      <w:r w:rsidRPr="00F04E0A">
        <w:rPr>
          <w:b w:val="0"/>
          <w:szCs w:val="22"/>
          <w:lang w:val="ru-RU"/>
        </w:rPr>
        <w:t xml:space="preserve"> </w:t>
      </w:r>
      <w:r w:rsidRPr="00F04E0A">
        <w:rPr>
          <w:b w:val="0"/>
          <w:szCs w:val="22"/>
          <w:lang w:val="en-GB"/>
        </w:rPr>
        <w:t>Business</w:t>
      </w:r>
      <w:r w:rsidRPr="00F04E0A">
        <w:rPr>
          <w:b w:val="0"/>
          <w:szCs w:val="22"/>
          <w:lang w:val="ru-RU"/>
        </w:rPr>
        <w:t>!" (содействие развитию предпринимательской деятельности женщин в Вильнюсском, Клайпедском и Утенском округах с целью обеспечения сбалансированного участия женщин и мужчин в предпринимательской деятельности и их сбалансированной представленности на рынке труда), финансируемый из структурных фондов ЕС. Основная цель проекта заключается в предоставлении литовским женщинам возможности занимать равные</w:t>
      </w:r>
      <w:r w:rsidRPr="00F04E0A">
        <w:rPr>
          <w:b w:val="0"/>
          <w:szCs w:val="22"/>
          <w:lang w:val="ru-RU" w:bidi="fa-IR"/>
        </w:rPr>
        <w:t xml:space="preserve"> позиции на </w:t>
      </w:r>
      <w:r w:rsidRPr="00F04E0A">
        <w:rPr>
          <w:b w:val="0"/>
          <w:szCs w:val="22"/>
          <w:lang w:val="ru-RU"/>
        </w:rPr>
        <w:t>рынке труда путем обеспечения им необходимых знаний и поощрения их готовности начать или развивать свое собственное дело. Проект содействует обеспечению экономической независимости женщин, их предпринимательской деятельности, а также их честолюбивому стремлению к занятию высших руководящих должностей в сфере бизнеса, активному участию в деятельности нетрадиционных секторов и выбору нетрадиционных профессий. Данный проект способствует сокращению горизонтальной сегрегации на рынке труда.</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141. </w:t>
      </w:r>
      <w:r w:rsidR="00C603EC">
        <w:rPr>
          <w:b w:val="0"/>
          <w:szCs w:val="22"/>
          <w:lang w:val="ru-RU"/>
        </w:rPr>
        <w:tab/>
      </w:r>
      <w:r w:rsidRPr="00F04E0A">
        <w:rPr>
          <w:b w:val="0"/>
          <w:szCs w:val="22"/>
          <w:lang w:val="ru-RU"/>
        </w:rPr>
        <w:t>Каунасское бюро профессиональной подготовки и консультирования по вопросам рынка труда координирует осуществление проекта "Содействие развитию предпринимательской деятельности женщин в контексте развития информационного общества". Проект содействует обеспечению трудоустройства женщин, которые хотят возобновить карьеру после длительного отсутствия на рынке труда, а также женщин старшего возраста, сталкивающихся с трудностями при возвращении на рынок труда. В рамках этого проекта осуществляется программа дистанционного обучения; цель этой программы заключается в совершенствовании навыков женщин в области трудоустройства, развитии базовой компьютерной грамотности, укреплении их заинтересованности и активной позиции в отношении необходимости приспосабливаться к изменениям на рынке труда. К числу других мер, предпринимаемых в рамках данного проекта, относится организация ярмарок вакансий для целевых групп и работодателей, а также семинаров для обсуждения и решения связанных с трудоустройством проблем, с которыми женщины сталкиваются на региональном уровне.</w:t>
      </w:r>
    </w:p>
    <w:p w:rsidR="00835A84" w:rsidRPr="00F04E0A" w:rsidRDefault="00835A84" w:rsidP="00C603EC">
      <w:pPr>
        <w:pStyle w:val="BodyText"/>
        <w:tabs>
          <w:tab w:val="left" w:pos="567"/>
          <w:tab w:val="left" w:pos="1134"/>
        </w:tabs>
        <w:spacing w:before="0" w:after="200"/>
        <w:jc w:val="center"/>
        <w:rPr>
          <w:bCs/>
          <w:szCs w:val="22"/>
          <w:lang w:val="ru-RU"/>
        </w:rPr>
      </w:pPr>
      <w:r w:rsidRPr="00F04E0A">
        <w:rPr>
          <w:bCs/>
          <w:noProof/>
          <w:szCs w:val="22"/>
          <w:lang w:val="en-GB"/>
        </w:rPr>
        <w:t>c</w:t>
      </w:r>
      <w:r w:rsidRPr="00F04E0A">
        <w:rPr>
          <w:bCs/>
          <w:noProof/>
          <w:szCs w:val="22"/>
          <w:lang w:val="ru-RU"/>
        </w:rPr>
        <w:t>)</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142. </w:t>
      </w:r>
      <w:r w:rsidR="00C603EC">
        <w:rPr>
          <w:b w:val="0"/>
          <w:szCs w:val="22"/>
          <w:lang w:val="ru-RU"/>
        </w:rPr>
        <w:tab/>
      </w:r>
      <w:r w:rsidRPr="00F04E0A">
        <w:rPr>
          <w:b w:val="0"/>
          <w:szCs w:val="22"/>
          <w:lang w:val="ru-RU"/>
        </w:rPr>
        <w:t>5 июля 2005 года в статью 5 Закона о равных возможностях женщин и мужчин было добавлено положение о том, что работодатель обязан обеспечивать не только равные условия на рабочем месте, но и одинаковые возможности в области повышения квалификации, переквалификации и приобретения практического рабочего опыта.</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143. </w:t>
      </w:r>
      <w:r w:rsidR="00C603EC">
        <w:rPr>
          <w:b w:val="0"/>
          <w:szCs w:val="22"/>
          <w:lang w:val="ru-RU"/>
        </w:rPr>
        <w:tab/>
      </w:r>
      <w:r w:rsidRPr="00F04E0A">
        <w:rPr>
          <w:b w:val="0"/>
          <w:szCs w:val="22"/>
          <w:lang w:val="ru-RU"/>
        </w:rPr>
        <w:t>В числе мер, осуществляемых в рамках Национальной программы по обеспечению равных возможностей для женщин и мужчин на 2005–2009 годы, были организованы курсы подготовки для тех женщин, которые возвращаются на рынок труда после длительного отсутствия, а также для женщин старшего возраста; цель этих курсов подготовки заключалась в расширении их возможностей в области трудоустройства и восстановлении их практических навыков и возможностей. Местные управления профессиональной подготовки и консультирования по вопросам рынка труда Литовского управления профессиональной подготовки по вопросам рынка труда при Министерстве социального обеспечения и труда в 2005 году оказали консультационные услуги 53 тыс. взрослых лиц, в том числе 34,4 тыс. женщин, а в 2006 году – 46,2 тыс. взрослых лиц, в том числе 29,8 тыс. женщин. Литовским управлением профессиональной подготовки по вопросам рынка труда было разработано и реализовано более 30 программ группового консультирования. Эти программы ориентированы на отдельные целевые группы (особенно на социально уязвимых лиц) в соответствии с их потребностями.</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144. </w:t>
      </w:r>
      <w:r w:rsidR="00C603EC">
        <w:rPr>
          <w:b w:val="0"/>
          <w:szCs w:val="22"/>
          <w:lang w:val="ru-RU"/>
        </w:rPr>
        <w:tab/>
      </w:r>
      <w:r w:rsidRPr="00F04E0A">
        <w:rPr>
          <w:b w:val="0"/>
          <w:szCs w:val="22"/>
          <w:lang w:val="ru-RU"/>
        </w:rPr>
        <w:t>В результате принятия поправок к Закону Литовской Республики о профессиональном обучении и подготовке от 3 апреля 2007 года было обеспечено применение принципа равных возможностей в системе профессиональной подготовки: система профессиональной подготовки является справедливой в социальном отношении, она обеспечивает равенство всех людей независимо от пола, расовой принадлежности, национальности, языка, происхождения, социального положения, вероисповедания, убеждений и взглядов; она обеспечивает каждому возможность приобрести первую профессию и создает условия для совершенствования имеющейся профессии и приобретения новой.</w:t>
      </w:r>
    </w:p>
    <w:p w:rsidR="00835A84" w:rsidRPr="00F04E0A" w:rsidRDefault="00835A84" w:rsidP="00C603EC">
      <w:pPr>
        <w:pStyle w:val="BodyText"/>
        <w:tabs>
          <w:tab w:val="left" w:pos="567"/>
          <w:tab w:val="left" w:pos="1134"/>
        </w:tabs>
        <w:spacing w:before="0" w:after="200"/>
        <w:jc w:val="center"/>
        <w:rPr>
          <w:bCs/>
          <w:szCs w:val="22"/>
          <w:lang w:val="ru-RU"/>
        </w:rPr>
      </w:pPr>
      <w:r w:rsidRPr="00F04E0A">
        <w:rPr>
          <w:bCs/>
          <w:noProof/>
          <w:szCs w:val="22"/>
          <w:lang w:val="en-GB"/>
        </w:rPr>
        <w:t>d</w:t>
      </w:r>
      <w:r w:rsidRPr="00F04E0A">
        <w:rPr>
          <w:bCs/>
          <w:noProof/>
          <w:szCs w:val="22"/>
          <w:lang w:val="ru-RU"/>
        </w:rPr>
        <w:t>)</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145. </w:t>
      </w:r>
      <w:r w:rsidR="00C603EC">
        <w:rPr>
          <w:b w:val="0"/>
          <w:szCs w:val="22"/>
          <w:lang w:val="ru-RU"/>
        </w:rPr>
        <w:tab/>
      </w:r>
      <w:r w:rsidRPr="00F04E0A">
        <w:rPr>
          <w:b w:val="0"/>
          <w:szCs w:val="22"/>
          <w:lang w:val="ru-RU"/>
        </w:rPr>
        <w:t xml:space="preserve">5 июля 2005 года были внесены поправки в статью 6 Закона о равных возможностях женщин и мужчин, согласно которому такие действия работодателя, при которых он устанавливает в зависимости от принадлежности к тому или иному полу менее/более </w:t>
      </w:r>
      <w:r w:rsidRPr="00F04E0A">
        <w:rPr>
          <w:b w:val="0"/>
          <w:szCs w:val="22"/>
          <w:lang w:val="ru-RU" w:bidi="fa-IR"/>
        </w:rPr>
        <w:t>высоко</w:t>
      </w:r>
      <w:r w:rsidRPr="00F04E0A">
        <w:rPr>
          <w:b w:val="0"/>
          <w:szCs w:val="22"/>
          <w:lang w:val="ru-RU"/>
        </w:rPr>
        <w:t>е вознаграждение не только за равный труд, но и за равноценный труд, теперь считаются нарушением равенства прав женщин и мужчин. Это положение содействует сокращению разрыва в заработной плате и экономическом положении между женщинами и мужчинами.</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146. </w:t>
      </w:r>
      <w:r w:rsidR="00C603EC">
        <w:rPr>
          <w:b w:val="0"/>
          <w:szCs w:val="22"/>
          <w:lang w:val="ru-RU"/>
        </w:rPr>
        <w:tab/>
      </w:r>
      <w:r w:rsidRPr="00F04E0A">
        <w:rPr>
          <w:b w:val="0"/>
          <w:szCs w:val="22"/>
          <w:lang w:val="ru-RU"/>
        </w:rPr>
        <w:t>В рамках осуществления Национальной программы по обеспечению равных возможностей для женщин и мужчин на 2005–2009 годы работодатели настоятельно призываются к установлению равной платы за равный труд и за равноценный труд мужчин и женщин. В 2005 году Трехсторонний совет Литовской Республики вместе с Министерством социального обеспечения и труда и Институтом труда и социальных исследований разработали Методику оценки профессий и должностей, цель которой заключается в повышении транспарентности процедур вознаграждения, что способствует более объективной оценке сложностей профессий (должностей) и их уровней в предприятиях и организациях, а также в содействии созданию базовых тарифов заработной платы как в индивидуальных субъектах экономической деятельности, так и во всем секторе без дифференциации по признаку пола. Эта методика ежегодно представляется на семинарах, на которых собирается до 25 представителей различных профсоюзов, офицеров финансовой службы и руководителей кадровых служб частных компаний.</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147. </w:t>
      </w:r>
      <w:r w:rsidR="00C603EC">
        <w:rPr>
          <w:b w:val="0"/>
          <w:szCs w:val="22"/>
          <w:lang w:val="ru-RU"/>
        </w:rPr>
        <w:tab/>
      </w:r>
      <w:r w:rsidRPr="00F04E0A">
        <w:rPr>
          <w:b w:val="0"/>
          <w:szCs w:val="22"/>
          <w:lang w:val="ru-RU"/>
        </w:rPr>
        <w:t>З</w:t>
      </w:r>
      <w:r w:rsidRPr="00F04E0A">
        <w:rPr>
          <w:b w:val="0"/>
          <w:szCs w:val="22"/>
          <w:lang w:val="ru-RU" w:bidi="fa-IR"/>
        </w:rPr>
        <w:t>аконодательные акты</w:t>
      </w:r>
      <w:r w:rsidRPr="00F04E0A">
        <w:rPr>
          <w:b w:val="0"/>
          <w:szCs w:val="22"/>
          <w:lang w:val="ru-RU"/>
        </w:rPr>
        <w:t xml:space="preserve"> Литовской Республики явным образом предусматривают, что женщины и мужчины должны получать равную плату за равный труд или труд равной ценности. Ежемесячная средняя валовая заработная плата женщин в экономике страны в целом в 2005 году составила 82,4 процента, а в 2006 году – 82,1 процента ежемесячной средней валовой заработной платы мужчин. В частном секторе заработная плата женщин в 2005 году составила 82,2 процента, а в 2006 году – 80,9 процента заработной платы мужчин. В государственном секторе значения этого показателя составили соответственно 77,9 процента в 2005 году и 78,9 процента в 2006 году (см. таблицу 7 Приложения). Значение показателя разрыва в заработной плате между мужчинами и женщинами в Литве соответствует среднему значению этого показателя по ЕС. Разрыв в заработной плате сохраняется вследствие вертикальной и горизонтальной сегрегации на рынке труда. Женщины часто занимают более низкие, чем мужчины, позиции и работают в экономических секторах с низким уровнем оплаты.</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148. </w:t>
      </w:r>
      <w:r w:rsidR="00C603EC">
        <w:rPr>
          <w:b w:val="0"/>
          <w:szCs w:val="22"/>
          <w:lang w:val="ru-RU"/>
        </w:rPr>
        <w:tab/>
      </w:r>
      <w:r w:rsidRPr="00F04E0A">
        <w:rPr>
          <w:b w:val="0"/>
          <w:szCs w:val="22"/>
          <w:lang w:val="ru-RU"/>
        </w:rPr>
        <w:t>Разрыв в заработной плате несколько сократился по сравнению с его величиной по состоянию на 2004 год, когда ежемесячная средняя валовая заработная плата женщин составляла 81,4 процента ежемесячной средней валовой заработной платы мужчин. Как показывают статистические данные, заработные платы в секторах экономики с преобладанием женщин ниже, чем в секторах с преобладанием мужчин. Самый низкий уровень оплаты труда характерен для секторов медицинского обслуживания и социального обеспечения, образования, гостинично-ресторанного обслуживания, то есть для тех секторов, где преобладают женщины. Наиболее высокий уровень заработной платы характерен для секторов государственного управления и обороны, складских услуг и связи, электро-, газо- и водоснабжения, то есть тех экономических секторов, где преобладают мужчины (см. таблицу 8 Приложения).</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149. </w:t>
      </w:r>
      <w:r w:rsidR="00C603EC">
        <w:rPr>
          <w:b w:val="0"/>
          <w:szCs w:val="22"/>
          <w:lang w:val="ru-RU"/>
        </w:rPr>
        <w:tab/>
      </w:r>
      <w:r w:rsidRPr="00F04E0A">
        <w:rPr>
          <w:b w:val="0"/>
          <w:szCs w:val="22"/>
          <w:lang w:val="ru-RU"/>
        </w:rPr>
        <w:t>Как показывает анализ жалоб, поданных в Управление омбудсмена по вопросам равных возможностей, жалобы на нарушение принципа равенства мужчин и женщин в области занятости составляют до 50 процентов всех жалоб по поводу дискриминации по признаку пола. Женщины чаще жалуются на неравную оплату и худшие условия труда. После проведения расследования по таким жалобам Управление омбудсмена по вопросам равных возможностей чаще всего рекомендует работодателям прекратить подобные дискриминационные действия. Как правило, работодатели следуют этим рекомендациям.</w:t>
      </w:r>
    </w:p>
    <w:p w:rsidR="00835A84" w:rsidRPr="00F04E0A" w:rsidRDefault="00835A84" w:rsidP="00C603EC">
      <w:pPr>
        <w:tabs>
          <w:tab w:val="left" w:pos="567"/>
          <w:tab w:val="left" w:pos="1134"/>
        </w:tabs>
        <w:spacing w:after="200"/>
        <w:jc w:val="center"/>
        <w:rPr>
          <w:b/>
          <w:bCs/>
          <w:sz w:val="22"/>
          <w:szCs w:val="22"/>
        </w:rPr>
      </w:pPr>
      <w:r w:rsidRPr="00F04E0A">
        <w:rPr>
          <w:b/>
          <w:bCs/>
          <w:noProof/>
          <w:sz w:val="22"/>
          <w:szCs w:val="22"/>
        </w:rPr>
        <w:t>e)</w:t>
      </w:r>
    </w:p>
    <w:p w:rsidR="00835A84" w:rsidRPr="00F04E0A" w:rsidRDefault="00C603EC" w:rsidP="00C603EC">
      <w:pPr>
        <w:pStyle w:val="BodyText"/>
        <w:tabs>
          <w:tab w:val="left" w:pos="567"/>
          <w:tab w:val="left" w:pos="1134"/>
        </w:tabs>
        <w:spacing w:before="0" w:after="200"/>
        <w:ind w:firstLine="567"/>
        <w:rPr>
          <w:b w:val="0"/>
          <w:szCs w:val="22"/>
          <w:lang w:val="ru-RU"/>
        </w:rPr>
      </w:pPr>
      <w:r>
        <w:rPr>
          <w:b w:val="0"/>
          <w:szCs w:val="22"/>
          <w:lang w:val="ru-RU"/>
        </w:rPr>
        <w:t>150.</w:t>
      </w:r>
      <w:r>
        <w:rPr>
          <w:b w:val="0"/>
          <w:szCs w:val="22"/>
          <w:lang w:val="ru-RU"/>
        </w:rPr>
        <w:tab/>
      </w:r>
      <w:r w:rsidR="00835A84" w:rsidRPr="00F04E0A">
        <w:rPr>
          <w:b w:val="0"/>
          <w:szCs w:val="22"/>
          <w:lang w:val="ru-RU"/>
        </w:rPr>
        <w:t>1 января 2005 года вступил в силу Закон Литовской Республики о социальном страховании по безработице (</w:t>
      </w:r>
      <w:r w:rsidR="00835A84" w:rsidRPr="00F04E0A">
        <w:rPr>
          <w:b w:val="0"/>
          <w:i/>
          <w:iCs/>
          <w:szCs w:val="22"/>
          <w:lang w:val="en-GB"/>
        </w:rPr>
        <w:t>Valstyb</w:t>
      </w:r>
      <w:r w:rsidR="00835A84" w:rsidRPr="00F04E0A">
        <w:rPr>
          <w:b w:val="0"/>
          <w:i/>
          <w:iCs/>
          <w:szCs w:val="22"/>
          <w:lang w:val="ru-RU"/>
        </w:rPr>
        <w:t>ė</w:t>
      </w:r>
      <w:r w:rsidR="00835A84" w:rsidRPr="00F04E0A">
        <w:rPr>
          <w:b w:val="0"/>
          <w:i/>
          <w:iCs/>
          <w:szCs w:val="22"/>
          <w:lang w:val="en-GB"/>
        </w:rPr>
        <w:t>s</w:t>
      </w:r>
      <w:r w:rsidR="00835A84" w:rsidRPr="00F04E0A">
        <w:rPr>
          <w:b w:val="0"/>
          <w:i/>
          <w:iCs/>
          <w:szCs w:val="22"/>
          <w:lang w:val="ru-RU"/>
        </w:rPr>
        <w:t xml:space="preserve"> ž</w:t>
      </w:r>
      <w:r w:rsidR="00835A84" w:rsidRPr="00F04E0A">
        <w:rPr>
          <w:b w:val="0"/>
          <w:i/>
          <w:iCs/>
          <w:szCs w:val="22"/>
          <w:lang w:val="en-GB"/>
        </w:rPr>
        <w:t>inios</w:t>
      </w:r>
      <w:r w:rsidR="00835A84" w:rsidRPr="00F04E0A">
        <w:rPr>
          <w:b w:val="0"/>
          <w:i/>
          <w:iCs/>
          <w:szCs w:val="22"/>
          <w:lang w:val="ru-RU"/>
        </w:rPr>
        <w:t xml:space="preserve"> </w:t>
      </w:r>
      <w:r w:rsidR="00835A84" w:rsidRPr="00F04E0A">
        <w:rPr>
          <w:b w:val="0"/>
          <w:szCs w:val="22"/>
          <w:lang w:val="ru-RU"/>
        </w:rPr>
        <w:t>(Правительственная газета) № 4</w:t>
      </w:r>
      <w:r w:rsidR="00835A84" w:rsidRPr="00F04E0A">
        <w:rPr>
          <w:b w:val="0"/>
          <w:szCs w:val="22"/>
          <w:lang w:val="ru-RU"/>
        </w:rPr>
        <w:noBreakHyphen/>
        <w:t>26, 2004 год). Этим законом устанавливаются правовые отношения в области социального страхования по безработице, категории лиц, на которых распространяется страхование по безработице, а также лиц, имеющих право на пособия по социальному страхованию на случай безработицы, процедура назначения, расчета и выплаты этого пособия и механизмы финансирования и управления фондами, а также ответственность в связи с данным видом страхования. В соответствии с данным Законом были увеличены пособия по страхованию на случай безработицы, связанные с прежним уровнем заработной платы, и был снижен минимальный обязательный трудовой стаж, дающий право на получение пособия по безработице.</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151. </w:t>
      </w:r>
      <w:r w:rsidR="00C603EC">
        <w:rPr>
          <w:b w:val="0"/>
          <w:szCs w:val="22"/>
          <w:lang w:val="ru-RU"/>
        </w:rPr>
        <w:tab/>
      </w:r>
      <w:r w:rsidRPr="00F04E0A">
        <w:rPr>
          <w:b w:val="0"/>
          <w:szCs w:val="22"/>
          <w:lang w:val="ru-RU"/>
        </w:rPr>
        <w:t>Регулярно производится повышение пенсий. Это играет особенно важную роль в сокращении масштабов социальной изоляции женщин старшего возраста, тем более что число женщин-пенсионеров значительно больше числа мужчин-пенсионеров. Согласно данным Департамента статистики, женщины составляют 58,3 процента общего числа лиц в возрасте от 60 до 64 лет. С увеличением возраста это различие постепенно усиливается, достигая в возрастной группе от 95 лет и старше 70,1 процента.</w:t>
      </w:r>
    </w:p>
    <w:p w:rsidR="00835A84" w:rsidRPr="00F04E0A" w:rsidRDefault="00835A84" w:rsidP="00C603EC">
      <w:pPr>
        <w:pStyle w:val="BodyText"/>
        <w:tabs>
          <w:tab w:val="left" w:pos="-284"/>
          <w:tab w:val="left" w:pos="567"/>
          <w:tab w:val="left" w:pos="1134"/>
        </w:tabs>
        <w:spacing w:before="0" w:after="200"/>
        <w:ind w:firstLine="567"/>
        <w:rPr>
          <w:b w:val="0"/>
          <w:szCs w:val="22"/>
          <w:lang w:val="ru-RU"/>
        </w:rPr>
      </w:pPr>
      <w:r w:rsidRPr="00F04E0A">
        <w:rPr>
          <w:b w:val="0"/>
          <w:szCs w:val="22"/>
          <w:lang w:val="ru-RU"/>
        </w:rPr>
        <w:t xml:space="preserve">152. </w:t>
      </w:r>
      <w:r w:rsidR="00C603EC">
        <w:rPr>
          <w:b w:val="0"/>
          <w:szCs w:val="22"/>
          <w:lang w:val="ru-RU"/>
        </w:rPr>
        <w:tab/>
      </w:r>
      <w:r w:rsidRPr="00F04E0A">
        <w:rPr>
          <w:b w:val="0"/>
          <w:szCs w:val="22"/>
          <w:lang w:val="ru-RU"/>
        </w:rPr>
        <w:t>В связи с этим следует упомянуть Постановление правительства № 584 от 25 мая 2005 года "О повышении базовой пенсии государственного социального страхования и утверждении новых величин страхового дохода текущего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67</w:t>
      </w:r>
      <w:r w:rsidRPr="00F04E0A">
        <w:rPr>
          <w:b w:val="0"/>
          <w:szCs w:val="22"/>
          <w:lang w:val="ru-RU"/>
        </w:rPr>
        <w:noBreakHyphen/>
        <w:t>2411, 2005 год). С 1 июля 2005 года размер базовой пенсии государственного социального страхования (здесь и далее – базовой пенсии) был увеличен на 28 литов (со 172 литов до 200 литов), а размер страхового дохода текущего 2005 года (здесь и далее – страхового дохода) – на 94 лита (с 990 литов до 1084 литов). Увеличение базовой пенсии и страхового дохода коснулось всех получателей пенсий государственного социального страхования (881 тыс. лиц). С 1 июля 2005 года пенсии по старости пенсионеров с минимальным обязательным трудовым стажем выросли в среднем на 50 литов. Увеличение размера базовой пенсии повлекло за собой рост государственных социальных пособий (около 80 тыс. пособий). Размеры этих пособий, выплачиваемых детям с ограниченными возможностями, инвалидам, которые были признаны таковыми до достижения ими возраста 24 лет, включая инвалидов с детства, а также лицам, осуществляющим уход за ними, и многодетным матерям, также связаны с размером базовой пенсии. Величина социальных пособий увеличилась в среднем на 28 литов, а величина пособий по уходу, выплачиваемых лицам с полной инвалидностью (около 12 тыс. получателей), увеличилась на 42 лита. Кроме того, увеличились государственные пенсии, выплачиваемые офицерам и военнослужащим, ставшим инвалидами в ходе военной службы в Литовской армии или во время проведения военных учений.</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153. </w:t>
      </w:r>
      <w:r w:rsidR="00C603EC">
        <w:rPr>
          <w:b w:val="0"/>
          <w:szCs w:val="22"/>
          <w:lang w:val="ru-RU"/>
        </w:rPr>
        <w:tab/>
      </w:r>
      <w:r w:rsidRPr="00F04E0A">
        <w:rPr>
          <w:b w:val="0"/>
          <w:szCs w:val="22"/>
          <w:lang w:val="ru-RU"/>
        </w:rPr>
        <w:t>Кроме того, было принято Постановление правительства № 512 от 31 мая 2006 года "О повышении базовой пенсии государственного социального страхования и утверждении новых величин страхового дохода текущего 2006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62</w:t>
      </w:r>
      <w:r w:rsidRPr="00F04E0A">
        <w:rPr>
          <w:b w:val="0"/>
          <w:szCs w:val="22"/>
          <w:lang w:val="ru-RU"/>
        </w:rPr>
        <w:noBreakHyphen/>
        <w:t>2281, 2006 год). С 1 июля 2006 года размер базовой пенсии был увеличен на 30 литов (с 200 литов до 230 литов), а размер страхового дохода текущего 2006 года – на 128 литов (с 1084 литов до 1212 литов). Увеличение этих видов выплат коснулось всех получателей пенсий государственного социального страхования (875 тыс. лиц, в том числе 589 тыс. получателей пенсии по старости и 8,1 тыс. получателей пенсии до достижения старости, 210 тыс. инвалидов, 41,9 тыс. сирот, 15,3 тыс. получателей пенсии по случаю потери кормильца, 1,1 тыс. получателей пенсии за выслугу лет и 9 тыс. получателей компенсаций за чрезвычайные условия труда). Средняя величина пенсии по старости у пенсионеров с минимальным обязательным трудовым стажем увеличилась с 446 литов в декабре 2005 года до 517 литов в декабре 2006 года, то есть на 71 лит (около 16 процентов). Увеличение размера базовой пенсии привело к увеличению размера социальных пособий в среднем на 30 литов. Кроме того, увеличились государственные пенсии, выплачиваемые офицерам и военнослужащим, ставшим инвалидами в ходе военной службы в Литовской армии или во время проведения военных учений.</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154. </w:t>
      </w:r>
      <w:r w:rsidR="00C603EC">
        <w:rPr>
          <w:b w:val="0"/>
          <w:szCs w:val="22"/>
          <w:lang w:val="ru-RU"/>
        </w:rPr>
        <w:tab/>
      </w:r>
      <w:r w:rsidRPr="00F04E0A">
        <w:rPr>
          <w:b w:val="0"/>
          <w:szCs w:val="22"/>
          <w:lang w:val="ru-RU"/>
        </w:rPr>
        <w:t>В соответствии с Постановлением правительства № 1031 от 19 октября 2006 года о внесении поправок в Постановление правительства № 1156 от 18 ноября 1994 года "Об утверждении процедуры назначения и выплаты пенсий государственного социального страхования"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113</w:t>
      </w:r>
      <w:r w:rsidRPr="00F04E0A">
        <w:rPr>
          <w:b w:val="0"/>
          <w:szCs w:val="22"/>
          <w:lang w:val="ru-RU"/>
        </w:rPr>
        <w:noBreakHyphen/>
        <w:t>4304, 2006 год) все пенсии социального страхования, за исключением пенсий до достижения старости, с 2006 года выплачиваются за текущий месяц. Компенсация за чрезвычайные условия труда теперь также выплачивается за текущий месяц. Таким образом, процедура выплаты пенсий социального страхования была унифицирована. Когда пенсии начали выплачиваться за текущий месяц, те пенсионеры, которые прежде получали пенсии за прошедший месяц, в один месяц получили пенсии одновременно за два месяца. Только пенсии до достижения старости по-прежнему выплачиваются за прошедший месяц, поскольку их выплата связана с реальным получением страхового дохода.</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155. </w:t>
      </w:r>
      <w:r w:rsidR="00C603EC">
        <w:rPr>
          <w:b w:val="0"/>
          <w:szCs w:val="22"/>
          <w:lang w:val="ru-RU"/>
        </w:rPr>
        <w:tab/>
      </w:r>
      <w:r w:rsidRPr="00F04E0A">
        <w:rPr>
          <w:b w:val="0"/>
          <w:szCs w:val="22"/>
          <w:lang w:val="ru-RU"/>
        </w:rPr>
        <w:t>Условия и процедура организации накопления производственных пенсий регламентируются Законом Литовской Республики "О накоплении производственных пенсий", который был принят в 2006 году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82</w:t>
      </w:r>
      <w:r w:rsidRPr="00F04E0A">
        <w:rPr>
          <w:b w:val="0"/>
          <w:szCs w:val="22"/>
          <w:lang w:val="ru-RU"/>
        </w:rPr>
        <w:noBreakHyphen/>
        <w:t>3248, 2006 год). Этот Закон имеет целью приведение законодательства, регламентирующего накопление производственных пенсий, в соответствие с соответствующим законодательством ЕС. Согласно статье 23(1) данного Закона, запрещается устанавливать в статьях уставов пенсионных ассоциаций и правилах пенсионных фондов правила и условия участия, противоречащие принципу равенства женщин и мужчин.</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156. </w:t>
      </w:r>
      <w:r w:rsidR="00C603EC">
        <w:rPr>
          <w:b w:val="0"/>
          <w:szCs w:val="22"/>
          <w:lang w:val="ru-RU"/>
        </w:rPr>
        <w:tab/>
      </w:r>
      <w:r w:rsidRPr="00F04E0A">
        <w:rPr>
          <w:b w:val="0"/>
          <w:szCs w:val="22"/>
          <w:lang w:val="ru-RU"/>
        </w:rPr>
        <w:t>19 мая 2005 года был принят новый вариант Закона Литовской Республики о социальных пенсионных пособиях, вступивший в силу 1 июля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96</w:t>
      </w:r>
      <w:r w:rsidRPr="00F04E0A">
        <w:rPr>
          <w:b w:val="0"/>
          <w:szCs w:val="22"/>
          <w:lang w:val="ru-RU"/>
        </w:rPr>
        <w:noBreakHyphen/>
        <w:t>1873, 1994 год; № 71</w:t>
      </w:r>
      <w:r w:rsidRPr="00F04E0A">
        <w:rPr>
          <w:b w:val="0"/>
          <w:szCs w:val="22"/>
          <w:vertAlign w:val="superscript"/>
          <w:lang w:val="ru-RU"/>
        </w:rPr>
        <w:noBreakHyphen/>
      </w:r>
      <w:r w:rsidRPr="00F04E0A">
        <w:rPr>
          <w:b w:val="0"/>
          <w:szCs w:val="22"/>
          <w:lang w:val="ru-RU"/>
        </w:rPr>
        <w:t xml:space="preserve">2556, 2005 год). Цель данного Закона заключается в обеспечении выплаты пенсий по нетрудоспособности лицам, имеющим право на получение государственного социального пособия в связи с инвалидностью, возрастом или на других основаниях, изложенных в данном Законе. В Законе определяются виды государственных социальных пособий, источники финансирования, лица, имеющие право на их получение, а также условия и процедура назначения и выплаты этих пособий. С 1 июля 2005 года социальные пособия назначаются и выплачиваются полностью или частично нетрудоспособным лицам, утратившим трудоспособность на 60 процентов и более (до 1 июля 2005 такие лица признавались инвалидами </w:t>
      </w:r>
      <w:r w:rsidRPr="00F04E0A">
        <w:rPr>
          <w:b w:val="0"/>
          <w:szCs w:val="22"/>
          <w:lang w:val="en-GB"/>
        </w:rPr>
        <w:t>I</w:t>
      </w:r>
      <w:r w:rsidRPr="00F04E0A">
        <w:rPr>
          <w:b w:val="0"/>
          <w:szCs w:val="22"/>
          <w:lang w:val="ru-RU"/>
        </w:rPr>
        <w:t xml:space="preserve"> или </w:t>
      </w:r>
      <w:r w:rsidRPr="00F04E0A">
        <w:rPr>
          <w:b w:val="0"/>
          <w:szCs w:val="22"/>
          <w:lang w:val="en-GB"/>
        </w:rPr>
        <w:t>II</w:t>
      </w:r>
      <w:r w:rsidRPr="00F04E0A">
        <w:rPr>
          <w:b w:val="0"/>
          <w:szCs w:val="22"/>
          <w:lang w:val="ru-RU"/>
        </w:rPr>
        <w:t xml:space="preserve"> группы). С 1 января 2006 года социальные пособия выплачиваются также лицам предпенсионного возраста. Лица, утратившие трудоспособность на 75–100 процентов (до 1 июля 2005 такие лица признавались инвалидами </w:t>
      </w:r>
      <w:r w:rsidRPr="00F04E0A">
        <w:rPr>
          <w:b w:val="0"/>
          <w:szCs w:val="22"/>
          <w:lang w:val="en-GB"/>
        </w:rPr>
        <w:t>I</w:t>
      </w:r>
      <w:r w:rsidRPr="00F04E0A">
        <w:rPr>
          <w:b w:val="0"/>
          <w:szCs w:val="22"/>
          <w:lang w:val="ru-RU"/>
        </w:rPr>
        <w:t xml:space="preserve"> группы), имеют право на получение социального пособия в размере базовой пенсии, а лица, утратившие трудоспособность на 60–70 процентов (до 1 июля 2005 года такие лица признавались инвалидами </w:t>
      </w:r>
      <w:r w:rsidRPr="00F04E0A">
        <w:rPr>
          <w:b w:val="0"/>
          <w:szCs w:val="22"/>
          <w:lang w:val="en-GB"/>
        </w:rPr>
        <w:t>II</w:t>
      </w:r>
      <w:r w:rsidRPr="00F04E0A">
        <w:rPr>
          <w:b w:val="0"/>
          <w:szCs w:val="22"/>
          <w:lang w:val="ru-RU"/>
        </w:rPr>
        <w:t> группы) и достигшие пенсионного возраста, имеют право на получение социального пособия в размере 0,9 базовой пенсии. Те лица, чьи пенсии (пенсия государственного социального страхования, государственная пенсия, пенсия иностранного государства или иное пособие пенсионного типа) ниже размера социального пособия, получают компенсацию за разницу между размером социального пособия и фактическим размером пенсии и/или совокупной суммы получаемых пенсий.</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157. </w:t>
      </w:r>
      <w:r w:rsidR="00C603EC">
        <w:rPr>
          <w:b w:val="0"/>
          <w:szCs w:val="22"/>
          <w:lang w:val="ru-RU"/>
        </w:rPr>
        <w:tab/>
      </w:r>
      <w:r w:rsidRPr="00F04E0A">
        <w:rPr>
          <w:b w:val="0"/>
          <w:szCs w:val="22"/>
          <w:lang w:val="ru-RU"/>
        </w:rPr>
        <w:t>11 мая 2004 года были внесены поправки в Закон Литовской Республики о социальной интеграции инвалидов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36</w:t>
      </w:r>
      <w:r w:rsidRPr="00F04E0A">
        <w:rPr>
          <w:b w:val="0"/>
          <w:szCs w:val="22"/>
          <w:lang w:val="ru-RU"/>
        </w:rPr>
        <w:noBreakHyphen/>
        <w:t>969, 1991 год; № 83</w:t>
      </w:r>
      <w:r w:rsidRPr="00F04E0A">
        <w:rPr>
          <w:b w:val="0"/>
          <w:szCs w:val="22"/>
          <w:lang w:val="ru-RU"/>
        </w:rPr>
        <w:noBreakHyphen/>
        <w:t>2983, 2004 год), который был переименован в Закон Литовской Республики о социальной интеграции лиц с ограниченными возможностями. Основная цель этого измененного Закона, который вступил в силу 1 июля 2005 года, заключается в том, чтобы гарантировать инвалидам равные права и возможности в обществе, установить принципы социальной интеграции инвалидов, сформировать систему социальной интеграции и определить ее предпосылки и условия, установить, какие учреждения будут нести ответственность за социальную интеграцию инвалидов, регламентировать оценку инвалидности и уровня трудоспособности, регулировать оказание услуг в области профессиональной реабилитации и установить принципы выявления и удовлетворения особых потребностей.</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158. </w:t>
      </w:r>
      <w:r w:rsidR="00C603EC">
        <w:rPr>
          <w:b w:val="0"/>
          <w:szCs w:val="22"/>
          <w:lang w:val="ru-RU"/>
        </w:rPr>
        <w:tab/>
      </w:r>
      <w:r w:rsidRPr="00F04E0A">
        <w:rPr>
          <w:b w:val="0"/>
          <w:szCs w:val="22"/>
          <w:lang w:val="ru-RU"/>
        </w:rPr>
        <w:t>В этом Законе вводятся новые понятия и термины: прежние понятия "инвалид" и "инвалидность" были заменены понятиями "лицо с ограниченными возможностями" и "ограниченность возможностей". В связи с этим устраняются существовавшие прежде дискриминационные положения, которые подчеркивали исключительность лиц с ограниченными возможностями, и де-юре обеспечиваются равные права и возможности инвалидов в обществе.</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159. </w:t>
      </w:r>
      <w:r w:rsidR="00C603EC">
        <w:rPr>
          <w:b w:val="0"/>
          <w:szCs w:val="22"/>
          <w:lang w:val="ru-RU"/>
        </w:rPr>
        <w:tab/>
      </w:r>
      <w:r w:rsidRPr="00F04E0A">
        <w:rPr>
          <w:b w:val="0"/>
          <w:szCs w:val="22"/>
          <w:lang w:val="ru-RU"/>
        </w:rPr>
        <w:t>Этим Законом вводится новая система оценки инвалидности и уровня трудоспособности: вместо группы инвалидности теперь используется понятие уровня трудоспособности. Задача оценки инвалидности и уровня трудоспособности возложена на единственное учреждение – Управление оценки инвалидности и уровня трудоспособности при Министерстве социального обеспечения и труда.</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160. </w:t>
      </w:r>
      <w:r w:rsidR="00C603EC">
        <w:rPr>
          <w:b w:val="0"/>
          <w:szCs w:val="22"/>
          <w:lang w:val="ru-RU"/>
        </w:rPr>
        <w:tab/>
      </w:r>
      <w:r w:rsidRPr="00F04E0A">
        <w:rPr>
          <w:b w:val="0"/>
          <w:szCs w:val="22"/>
          <w:lang w:val="ru-RU"/>
        </w:rPr>
        <w:t>19 мая 2005 года был принят новый вариант Закона Литовской Республики о пенсиях государственного социального страхования, который вступил в силу 1 июля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71</w:t>
      </w:r>
      <w:r w:rsidRPr="00F04E0A">
        <w:rPr>
          <w:b w:val="0"/>
          <w:szCs w:val="22"/>
          <w:lang w:val="ru-RU"/>
        </w:rPr>
        <w:noBreakHyphen/>
        <w:t>2555, 2005 год). Согласно этому Закону критерий уровня трудоспособности вместо группы инвалидности применяется к инвалидам трудоспособного возраста; следовательно, пенсии по нетрудоспособности назначаются и выплачиваются этой категории лиц.</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161. </w:t>
      </w:r>
      <w:r w:rsidR="00C603EC">
        <w:rPr>
          <w:b w:val="0"/>
          <w:szCs w:val="22"/>
          <w:lang w:val="ru-RU"/>
        </w:rPr>
        <w:tab/>
      </w:r>
      <w:r w:rsidRPr="00F04E0A">
        <w:rPr>
          <w:b w:val="0"/>
          <w:szCs w:val="22"/>
          <w:lang w:val="ru-RU"/>
        </w:rPr>
        <w:t>В случае если лицо, независимо от пола, в силу определенных причин не может работать и, следовательно, на него/нее не распространяется государственное социальное страхование, государство обеспечивает ему/ей определенные гарантии. В случае если лицо осуществляет уход за инвалидом на дому, это лицо получает базовую часть пенсии государственного социального страхования</w:t>
      </w:r>
      <w:r w:rsidRPr="00F04E0A">
        <w:rPr>
          <w:b w:val="0"/>
          <w:spacing w:val="-3"/>
          <w:szCs w:val="22"/>
          <w:lang w:val="ru-RU"/>
        </w:rPr>
        <w:t xml:space="preserve"> за счет средств государственного бюджета. Было предложено выплачивать таким лицам </w:t>
      </w:r>
      <w:r w:rsidRPr="00F04E0A">
        <w:rPr>
          <w:b w:val="0"/>
          <w:szCs w:val="22"/>
          <w:lang w:val="ru-RU"/>
        </w:rPr>
        <w:t>пенсию государственного социального страхования в полном объеме</w:t>
      </w:r>
      <w:r w:rsidRPr="00F04E0A">
        <w:rPr>
          <w:b w:val="0"/>
          <w:spacing w:val="-3"/>
          <w:szCs w:val="22"/>
          <w:lang w:val="ru-RU"/>
        </w:rPr>
        <w:t xml:space="preserve"> и распространить на них </w:t>
      </w:r>
      <w:r w:rsidRPr="00F04E0A">
        <w:rPr>
          <w:b w:val="0"/>
          <w:szCs w:val="22"/>
          <w:lang w:val="ru-RU"/>
        </w:rPr>
        <w:t>социальное страхование по безработице с 1 января 2008 года. Мать/отец или опекун, которые берут отпуск по уходу за ребенком до достижения ребенком трех лет, также получают базовую часть пенсии государственного социального страхования</w:t>
      </w:r>
      <w:r w:rsidRPr="00F04E0A">
        <w:rPr>
          <w:b w:val="0"/>
          <w:spacing w:val="-3"/>
          <w:szCs w:val="22"/>
          <w:lang w:val="ru-RU"/>
        </w:rPr>
        <w:t xml:space="preserve"> за счет средств государственного бюджета</w:t>
      </w:r>
      <w:r w:rsidRPr="00F04E0A">
        <w:rPr>
          <w:b w:val="0"/>
          <w:szCs w:val="22"/>
          <w:lang w:val="ru-RU"/>
        </w:rPr>
        <w:t>. С 1 января 2008 года эти лица будут получать пенсию государственного социального страхования в полном объеме и на них будет</w:t>
      </w:r>
      <w:r w:rsidRPr="00F04E0A">
        <w:rPr>
          <w:b w:val="0"/>
          <w:spacing w:val="-3"/>
          <w:szCs w:val="22"/>
          <w:lang w:val="ru-RU"/>
        </w:rPr>
        <w:t xml:space="preserve"> распространяться</w:t>
      </w:r>
      <w:r w:rsidRPr="00F04E0A">
        <w:rPr>
          <w:b w:val="0"/>
          <w:szCs w:val="22"/>
          <w:lang w:val="ru-RU"/>
        </w:rPr>
        <w:t xml:space="preserve"> социальное страхование по безработице.</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162. </w:t>
      </w:r>
      <w:r w:rsidR="00C603EC">
        <w:rPr>
          <w:b w:val="0"/>
          <w:szCs w:val="22"/>
          <w:lang w:val="ru-RU"/>
        </w:rPr>
        <w:tab/>
      </w:r>
      <w:r w:rsidRPr="00F04E0A">
        <w:rPr>
          <w:b w:val="0"/>
          <w:szCs w:val="22"/>
          <w:lang w:val="ru-RU"/>
        </w:rPr>
        <w:t>В стремлении к более эффективному и плодотворному удовлетворению потребностей в области обеспечения лиц с ограниченными возможностями техническими средствами реабилитации Министерство социального обеспечения и труда разработало Стратегию снабжения техническими средствами реабилитации лиц с ограниченными возможностями на 2004–2010 годы, утвержденную приказом № </w:t>
      </w:r>
      <w:r w:rsidRPr="00F04E0A">
        <w:rPr>
          <w:b w:val="0"/>
          <w:szCs w:val="22"/>
          <w:lang w:val="en-GB"/>
        </w:rPr>
        <w:t>A</w:t>
      </w:r>
      <w:r w:rsidRPr="00F04E0A">
        <w:rPr>
          <w:b w:val="0"/>
          <w:szCs w:val="22"/>
          <w:lang w:val="ru-RU"/>
        </w:rPr>
        <w:t>1</w:t>
      </w:r>
      <w:r w:rsidRPr="00F04E0A">
        <w:rPr>
          <w:b w:val="0"/>
          <w:szCs w:val="22"/>
          <w:lang w:val="ru-RU"/>
        </w:rPr>
        <w:noBreakHyphen/>
        <w:t>114 от 30 апреля 2004 года министра социального обеспечения и труда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78</w:t>
      </w:r>
      <w:r w:rsidRPr="00F04E0A">
        <w:rPr>
          <w:b w:val="0"/>
          <w:szCs w:val="22"/>
          <w:lang w:val="ru-RU"/>
        </w:rPr>
        <w:noBreakHyphen/>
        <w:t>2725, 2004 год).</w:t>
      </w:r>
      <w:r w:rsidRPr="00F04E0A">
        <w:rPr>
          <w:b w:val="0"/>
          <w:spacing w:val="-2"/>
          <w:szCs w:val="22"/>
          <w:lang w:val="ru-RU"/>
        </w:rPr>
        <w:t xml:space="preserve"> </w:t>
      </w:r>
      <w:r w:rsidRPr="00F04E0A">
        <w:rPr>
          <w:b w:val="0"/>
          <w:szCs w:val="22"/>
          <w:lang w:val="ru-RU"/>
        </w:rPr>
        <w:t xml:space="preserve">Основная цель этой Стратегии заключается в создании общей правовой, экономической и организационной системы, которая позволит за счет более эффективного использования ресурсов государственного бюджета наладить снабжение техническими средствами реабилитации лиц с нарушениями функций опорно-двигательного аппарата, зрения и слуха и облегчить их медицинскую, социальную и профессиональную реабилитацию. Основные направления осуществления Стратегии – совершенствование правовой системы и стремление как можно более эффективно удовлетворять особые потребности инвалидов путем снабжения их техническими средствами реабилитации; оценка и повышение качества услуг, доступных в настоящее время, путем создания местных отделений в отдельных округах; обеспечение более эффективного использования ресурсов государственного бюджета. В рамках осуществления данной Стратегии в 2005 году были открыты два региональных отделения Центра технической помощи лицам с ограниченными возможностями при Министерстве социального обеспечения и труда. Всего в 2005 году функционировало </w:t>
      </w:r>
      <w:r w:rsidR="000A4C97">
        <w:rPr>
          <w:b w:val="0"/>
          <w:szCs w:val="22"/>
          <w:lang w:val="ru-RU"/>
        </w:rPr>
        <w:br/>
      </w:r>
      <w:r w:rsidRPr="00F04E0A">
        <w:rPr>
          <w:b w:val="0"/>
          <w:szCs w:val="22"/>
          <w:lang w:val="ru-RU"/>
        </w:rPr>
        <w:t>4 региональных отделения Центра технической помощи лицам с ограниченными возможностями, а в 2006 году – 6 региональных отделений.</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163. </w:t>
      </w:r>
      <w:r w:rsidR="00C603EC">
        <w:rPr>
          <w:b w:val="0"/>
          <w:szCs w:val="22"/>
          <w:lang w:val="ru-RU"/>
        </w:rPr>
        <w:tab/>
      </w:r>
      <w:r w:rsidRPr="00F04E0A">
        <w:rPr>
          <w:b w:val="0"/>
          <w:szCs w:val="22"/>
          <w:lang w:val="ru-RU"/>
        </w:rPr>
        <w:t xml:space="preserve">В 2005 году продолжалось осуществление снабжения инвалидов техническими средствами реабилитации в рамках Стратегии снабжения техническими средствами реабилитации лиц с ограниченными возможностями на 2004–2010 годы. В 2005 году были запущены процедуры осуществления государственных закупок с целью приобретения технических средств реабилитации. На эти цели из государственного бюджета было выделено 6,2 тыс. литов. В 2005 году было закуплено 4052 технических средства реабилитации, в том числе 3354 технических средства реабилитации для взрослых, 27 электрических кресел-колясок и 698 технических средств реабилитации для детей. В рамках выданных подрядов на ремонт и изготовление по индивидуальному заказу были оказаны услуги по ремонту на сумму </w:t>
      </w:r>
      <w:r w:rsidR="000A4C97">
        <w:rPr>
          <w:b w:val="0"/>
          <w:szCs w:val="22"/>
          <w:lang w:val="ru-RU"/>
        </w:rPr>
        <w:br/>
      </w:r>
      <w:r w:rsidRPr="00F04E0A">
        <w:rPr>
          <w:b w:val="0"/>
          <w:szCs w:val="22"/>
          <w:lang w:val="ru-RU"/>
        </w:rPr>
        <w:t>283 840 литов, при этом было отремонтировано и выполнено по индивидуальному заказу 2341 техническое средство реабилитации. В 2005 году более чем 22 тыс. людей были предоставлены технические средства реабилитации. Было удовлетворено около 90 процентов потребности в компенсаторных технических средствах.</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164. </w:t>
      </w:r>
      <w:r w:rsidR="00C603EC">
        <w:rPr>
          <w:b w:val="0"/>
          <w:szCs w:val="22"/>
          <w:lang w:val="ru-RU"/>
        </w:rPr>
        <w:tab/>
      </w:r>
      <w:r w:rsidRPr="00F04E0A">
        <w:rPr>
          <w:b w:val="0"/>
          <w:szCs w:val="22"/>
          <w:lang w:val="ru-RU"/>
        </w:rPr>
        <w:t>В 2006 году объем бюджетных средств, выделенных на обеспечение техническими средствами реабилитации, составил 6,5 тыс. литов. На эти средства было закуплено 21 733 технических средства реабилитации, были выплачены компенсации двум лицам, которые приобрели новые кресла-коляски активного типа, было распределено 26 370 технических средств реабилитации, отремонтировано и изготовлено по индивидуальному заказу 2549 технических средств реабилитации и закуплено и распределено 44 электрических кресла-коляски. С 2006 года электрические кресла-коляски предоставляются не только взрослым, но и детям старше 14 лет. В 2006 году технические средства реабилитации были предоставлены более чем 22 тыс. человек. Было удовлетворено около 90 процентов потребности в компенсаторных технических средствах.</w:t>
      </w:r>
    </w:p>
    <w:p w:rsidR="00835A84" w:rsidRPr="00F04E0A" w:rsidRDefault="00835A84" w:rsidP="00C603EC">
      <w:pPr>
        <w:pStyle w:val="BodyText"/>
        <w:tabs>
          <w:tab w:val="left" w:pos="1134"/>
        </w:tabs>
        <w:spacing w:before="0" w:after="200"/>
        <w:ind w:firstLine="567"/>
        <w:rPr>
          <w:b w:val="0"/>
          <w:szCs w:val="22"/>
          <w:lang w:val="ru-RU"/>
        </w:rPr>
      </w:pPr>
      <w:r w:rsidRPr="00F04E0A">
        <w:rPr>
          <w:b w:val="0"/>
          <w:szCs w:val="22"/>
          <w:lang w:val="ru-RU"/>
        </w:rPr>
        <w:t xml:space="preserve">165. </w:t>
      </w:r>
      <w:r w:rsidR="00C603EC">
        <w:rPr>
          <w:b w:val="0"/>
          <w:szCs w:val="22"/>
          <w:lang w:val="ru-RU"/>
        </w:rPr>
        <w:tab/>
      </w:r>
      <w:r w:rsidRPr="00F04E0A">
        <w:rPr>
          <w:b w:val="0"/>
          <w:szCs w:val="22"/>
          <w:lang w:val="ru-RU"/>
        </w:rPr>
        <w:t>Действуя на основании Закона Литовской Республики о социальной интеграции лиц с ограниченными возможностями, правительство в Постановлении № 1426 от 23 декабря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152</w:t>
      </w:r>
      <w:r w:rsidRPr="00F04E0A">
        <w:rPr>
          <w:b w:val="0"/>
          <w:szCs w:val="22"/>
          <w:lang w:val="ru-RU"/>
        </w:rPr>
        <w:noBreakHyphen/>
        <w:t>5603, 2005 год) утвердило регламент Совета по делам лиц с ограниченными возможностями при Министерстве социального обеспечения и труда. На основании Постановления правительства № 1423 от 23 декабря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152-5600, 2005 год) Литовский совет по делам инвалидов при правительстве Литовской Республики был переименован в Департамент по делам лиц с ограниченными возможностями при Министерстве социального обеспечения и труда и на Министерство социального обеспечения и труда была возложена задача выступать в качестве учредителя этого Департамента. Совет по делам лиц с ограниченными возможностями при Министерстве социального обеспечения и труда и Департамент по делам лиц с ограниченными возможностями при Министерстве социального обеспечения и труда начали функционировать 1 января 2006 года. Оба учреждения занимаются наиболее важными вопросами, касающимися лиц с ограниченными возможностями, в области здравоохранения, социальной защиты, образования и профессиональной подготовки, адаптации окружающей среды, занятости, информированности общественности, спорта, культуры и досуга.</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166. </w:t>
      </w:r>
      <w:r w:rsidR="00C603EC">
        <w:rPr>
          <w:b w:val="0"/>
          <w:szCs w:val="22"/>
          <w:lang w:val="ru-RU"/>
        </w:rPr>
        <w:tab/>
      </w:r>
      <w:r w:rsidRPr="00F04E0A">
        <w:rPr>
          <w:b w:val="0"/>
          <w:szCs w:val="22"/>
          <w:lang w:val="ru-RU"/>
        </w:rPr>
        <w:t>По состоянию на 1 января 2007 года пенсию по старости государственного социального страхования получали 404 125 женщин и 192 280 мужчин, пенсию по нетрудоспособности государственного социального страхования (бывшая пенсия по инвалидности (до 1 июля 2005 года)) получали 44 760 женщин и 41 304 мужчины и государственные социальные пособия получали 72 650 женщин и 28 039 мужчин.</w:t>
      </w:r>
    </w:p>
    <w:p w:rsidR="00835A84" w:rsidRPr="00F04E0A" w:rsidRDefault="00835A84" w:rsidP="00C603EC">
      <w:pPr>
        <w:pStyle w:val="BodyText"/>
        <w:tabs>
          <w:tab w:val="left" w:pos="1134"/>
        </w:tabs>
        <w:spacing w:before="0" w:after="200"/>
        <w:jc w:val="center"/>
        <w:rPr>
          <w:bCs/>
          <w:szCs w:val="22"/>
          <w:lang w:val="ru-RU"/>
        </w:rPr>
      </w:pPr>
      <w:r w:rsidRPr="00F04E0A">
        <w:rPr>
          <w:bCs/>
          <w:noProof/>
          <w:szCs w:val="22"/>
          <w:lang w:val="en-GB"/>
        </w:rPr>
        <w:t>f</w:t>
      </w:r>
      <w:r w:rsidRPr="00F04E0A">
        <w:rPr>
          <w:bCs/>
          <w:noProof/>
          <w:szCs w:val="22"/>
          <w:lang w:val="ru-RU"/>
        </w:rPr>
        <w:t>)</w:t>
      </w:r>
    </w:p>
    <w:p w:rsidR="00835A84" w:rsidRPr="00F04E0A" w:rsidRDefault="00835A84" w:rsidP="00C603EC">
      <w:pPr>
        <w:pStyle w:val="BodyText"/>
        <w:tabs>
          <w:tab w:val="left" w:pos="567"/>
          <w:tab w:val="left" w:pos="1134"/>
        </w:tabs>
        <w:spacing w:before="0" w:after="200"/>
        <w:ind w:firstLine="567"/>
        <w:rPr>
          <w:b w:val="0"/>
          <w:szCs w:val="22"/>
          <w:lang w:val="ru-RU"/>
        </w:rPr>
      </w:pPr>
      <w:r w:rsidRPr="00F04E0A">
        <w:rPr>
          <w:b w:val="0"/>
          <w:szCs w:val="22"/>
          <w:lang w:val="ru-RU"/>
        </w:rPr>
        <w:t xml:space="preserve">167. </w:t>
      </w:r>
      <w:r w:rsidR="00C603EC">
        <w:rPr>
          <w:b w:val="0"/>
          <w:szCs w:val="22"/>
          <w:lang w:val="ru-RU"/>
        </w:rPr>
        <w:tab/>
      </w:r>
      <w:r w:rsidRPr="00F04E0A">
        <w:rPr>
          <w:b w:val="0"/>
          <w:szCs w:val="22"/>
          <w:lang w:val="ru-RU"/>
        </w:rPr>
        <w:t>Информация об осуществлении Литвой статьи 11(1) </w:t>
      </w:r>
      <w:r w:rsidRPr="00F04E0A">
        <w:rPr>
          <w:b w:val="0"/>
          <w:szCs w:val="22"/>
          <w:lang w:val="en-GB"/>
        </w:rPr>
        <w:t>f</w:t>
      </w:r>
      <w:r w:rsidRPr="00F04E0A">
        <w:rPr>
          <w:b w:val="0"/>
          <w:szCs w:val="22"/>
          <w:lang w:val="ru-RU"/>
        </w:rPr>
        <w:t>) Конвенции была представлена в третьем периодическом докладе. В 2005–2006 годах в данной области не произошло никаких изменений в законодательных актах.</w:t>
      </w:r>
    </w:p>
    <w:p w:rsidR="00835A84" w:rsidRPr="00F04E0A" w:rsidRDefault="00835A84" w:rsidP="00C603EC">
      <w:pPr>
        <w:pStyle w:val="BodyText"/>
        <w:tabs>
          <w:tab w:val="left" w:pos="567"/>
          <w:tab w:val="left" w:pos="1134"/>
        </w:tabs>
        <w:spacing w:before="0" w:after="200"/>
        <w:jc w:val="center"/>
        <w:rPr>
          <w:bCs/>
          <w:szCs w:val="22"/>
          <w:lang w:val="ru-RU"/>
        </w:rPr>
      </w:pPr>
      <w:r w:rsidRPr="00F04E0A">
        <w:rPr>
          <w:bCs/>
          <w:szCs w:val="22"/>
          <w:lang w:val="ru-RU"/>
        </w:rPr>
        <w:t>Пункт 2</w:t>
      </w:r>
    </w:p>
    <w:p w:rsidR="00835A84" w:rsidRPr="00F04E0A" w:rsidRDefault="00835A84" w:rsidP="00C603EC">
      <w:pPr>
        <w:pStyle w:val="BodyText"/>
        <w:tabs>
          <w:tab w:val="left" w:pos="567"/>
          <w:tab w:val="left" w:pos="1134"/>
        </w:tabs>
        <w:spacing w:before="0" w:after="200"/>
        <w:jc w:val="center"/>
        <w:rPr>
          <w:bCs/>
          <w:szCs w:val="22"/>
          <w:lang w:val="ru-RU"/>
        </w:rPr>
      </w:pPr>
      <w:r w:rsidRPr="00F04E0A">
        <w:rPr>
          <w:bCs/>
          <w:noProof/>
          <w:szCs w:val="22"/>
          <w:lang w:val="en-GB"/>
        </w:rPr>
        <w:t>a</w:t>
      </w:r>
      <w:r w:rsidRPr="00F04E0A">
        <w:rPr>
          <w:bCs/>
          <w:noProof/>
          <w:szCs w:val="22"/>
          <w:lang w:val="ru-RU"/>
        </w:rPr>
        <w:t>)</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bidi="fa-IR"/>
        </w:rPr>
        <w:t xml:space="preserve">168. </w:t>
      </w:r>
      <w:r w:rsidR="00C603EC">
        <w:rPr>
          <w:b w:val="0"/>
          <w:szCs w:val="22"/>
          <w:lang w:val="ru-RU" w:bidi="fa-IR"/>
        </w:rPr>
        <w:tab/>
      </w:r>
      <w:r w:rsidRPr="00F04E0A">
        <w:rPr>
          <w:b w:val="0"/>
          <w:szCs w:val="22"/>
          <w:lang w:val="ru-RU" w:bidi="fa-IR"/>
        </w:rPr>
        <w:t xml:space="preserve">Поправки к </w:t>
      </w:r>
      <w:r w:rsidRPr="00F04E0A">
        <w:rPr>
          <w:b w:val="0"/>
          <w:szCs w:val="22"/>
          <w:lang w:val="ru-RU"/>
        </w:rPr>
        <w:t>Закону о равных возможностях женщин и мужчин, принятые в 2005 году (Закон № </w:t>
      </w:r>
      <w:r w:rsidRPr="00F04E0A">
        <w:rPr>
          <w:b w:val="0"/>
          <w:szCs w:val="22"/>
          <w:lang w:val="en-GB"/>
        </w:rPr>
        <w:t>X</w:t>
      </w:r>
      <w:r w:rsidRPr="00F04E0A">
        <w:rPr>
          <w:b w:val="0"/>
          <w:szCs w:val="22"/>
          <w:lang w:val="ru-RU"/>
        </w:rPr>
        <w:noBreakHyphen/>
        <w:t>304 от 5 июля 2005 года), предусматривают, что дискриминация по признаку пола, связанная также с семейным положением или гражданским состоянием, считается особо дискриминационным действием.</w:t>
      </w:r>
    </w:p>
    <w:p w:rsidR="00835A84" w:rsidRPr="00F04E0A" w:rsidRDefault="00835A84" w:rsidP="00C603EC">
      <w:pPr>
        <w:pStyle w:val="BodyText"/>
        <w:keepNext/>
        <w:tabs>
          <w:tab w:val="left" w:pos="567"/>
          <w:tab w:val="left" w:pos="1134"/>
        </w:tabs>
        <w:spacing w:before="0" w:after="200"/>
        <w:jc w:val="center"/>
        <w:rPr>
          <w:bCs/>
          <w:szCs w:val="22"/>
          <w:lang w:val="ru-RU"/>
        </w:rPr>
      </w:pPr>
      <w:r w:rsidRPr="00F04E0A">
        <w:rPr>
          <w:bCs/>
          <w:noProof/>
          <w:szCs w:val="22"/>
          <w:lang w:val="en-GB"/>
        </w:rPr>
        <w:t>b</w:t>
      </w:r>
      <w:r w:rsidRPr="00F04E0A">
        <w:rPr>
          <w:bCs/>
          <w:noProof/>
          <w:szCs w:val="22"/>
          <w:lang w:val="ru-RU"/>
        </w:rPr>
        <w:t>)</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169. </w:t>
      </w:r>
      <w:r w:rsidR="00C603EC">
        <w:rPr>
          <w:b w:val="0"/>
          <w:szCs w:val="22"/>
          <w:lang w:val="ru-RU"/>
        </w:rPr>
        <w:tab/>
      </w:r>
      <w:r w:rsidRPr="00F04E0A">
        <w:rPr>
          <w:b w:val="0"/>
          <w:szCs w:val="22"/>
          <w:lang w:val="ru-RU"/>
        </w:rPr>
        <w:t>С 1 июля 2005 года социальные сиротские пенсии назначаются и выплачиваются независимо от того, был ли умерший, чьи (приемные) дети имеют право на получение данной пенсии, постоянным жителем Литовской Республики. До указанного момента социальная сиротская пенсия детям, не имеющим права на получение сиротской пенсии социального страхования, назначалась только в том случае, если умерший (приемный) родитель постоянно проживал в Литовской Республике.</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rPr>
        <w:t xml:space="preserve">170. </w:t>
      </w:r>
      <w:r w:rsidR="00C603EC">
        <w:rPr>
          <w:b w:val="0"/>
          <w:szCs w:val="22"/>
          <w:lang w:val="ru-RU"/>
        </w:rPr>
        <w:tab/>
      </w:r>
      <w:r w:rsidRPr="00F04E0A">
        <w:rPr>
          <w:b w:val="0"/>
          <w:szCs w:val="22"/>
          <w:lang w:val="ru-RU"/>
        </w:rPr>
        <w:t>В 2007 году была продолжена выплата пособий на содержание ребенка в соответствии с Законом Литовской Республики о пособиях на детей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89</w:t>
      </w:r>
      <w:r w:rsidRPr="00F04E0A">
        <w:rPr>
          <w:b w:val="0"/>
          <w:szCs w:val="22"/>
          <w:lang w:val="ru-RU"/>
        </w:rPr>
        <w:noBreakHyphen/>
        <w:t>1706, 1994 год; № 88</w:t>
      </w:r>
      <w:r w:rsidRPr="00F04E0A">
        <w:rPr>
          <w:b w:val="0"/>
          <w:szCs w:val="22"/>
          <w:lang w:val="ru-RU"/>
        </w:rPr>
        <w:noBreakHyphen/>
        <w:t>3208, 2004 год). С 1 июля 2004 года данное пособие выплачивается семьям с одним или двумя детьми до достижения детьми возраста 7 лет, а также семьям с тремя и более детьми до тех пор, пока дети не достигнут возраста 18 лет и не закончат учебу, но не дольше, чем до достижения ими возраста 24 лет. С 1 сентября 2006 года пособия на содержание ребенка, выплачиваемые на детей в возрасте от 7 до 9 лет, составляют 0,4 прожиточного минимума. В настоящее время в соответствии с Законом Литовской Республики о пособиях на детей с рождения и до достижения детьми возраста 3 лет выплачивается ежемесячное пособие на содержание ребенка в размере 0,75 прожиточного минимума (97,5 лита), а на детей в возрасте от 3 до 9 лет выплачивается ежемесячное пособие на содержание ребенка в размере 0,4 прожиточного минимума (52 лита). Семьи с тремя и более детьми имеют право на получение пособия на содержание ребенка в размере 1,1 прожиточного минимума (143 лита) ежемесячно на каждого из детей в возрасте до 3 лет и пособия в размере 0,4 прожиточного минимума (52 лита) ежемесячно на каждого из детей в возрасте от 3 до 18 лет или старше, в случае если они являются студентами дневной формы обучения, но не дольше, чем до достижения ими возраста 24 лет.</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rPr>
        <w:t xml:space="preserve">171. </w:t>
      </w:r>
      <w:r w:rsidR="00C603EC">
        <w:rPr>
          <w:b w:val="0"/>
          <w:szCs w:val="22"/>
          <w:lang w:val="ru-RU"/>
        </w:rPr>
        <w:tab/>
      </w:r>
      <w:r w:rsidRPr="00F04E0A">
        <w:rPr>
          <w:b w:val="0"/>
          <w:szCs w:val="22"/>
          <w:lang w:val="ru-RU"/>
        </w:rPr>
        <w:t>Одна из мер, осуществляемых в рамках "Мер по реализации программы правительства Литовской Республики на 2006–2008 годы", утвержденных Постановлением правительства № 1020 от 17 октября 2006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112</w:t>
      </w:r>
      <w:r w:rsidRPr="00F04E0A">
        <w:rPr>
          <w:b w:val="0"/>
          <w:szCs w:val="22"/>
          <w:lang w:val="ru-RU"/>
        </w:rPr>
        <w:noBreakHyphen/>
        <w:t>4273, 2006 год), заключается в постепенном переходе к выплате пособия на содержание ребенка на каждого ребенка до достижения им возраста 18 лет или окончания общеобразовательной дневной школы (мера 59, таблица 2). В целях выполнения принятых обязательств выплата пособий на содержание ребенка была распространена на детей в возрасте до 12 лет; эти пособия выплачивались с 1 сентября 2007 года по 31 декабря 2007 года, в соответствии с поправками к статье 22 Закона о пособиях на детей, принятыми сеймом 5 июня 2007 года, с 1 января 2008 года пособия на содержание ребенка выплачиваются на каждого ребенка до достижения им возраста 18 лет или окончания общеобразовательной дневной школы.</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rPr>
        <w:t xml:space="preserve">172. </w:t>
      </w:r>
      <w:r w:rsidR="00C603EC">
        <w:rPr>
          <w:b w:val="0"/>
          <w:szCs w:val="22"/>
          <w:lang w:val="ru-RU"/>
        </w:rPr>
        <w:tab/>
      </w:r>
      <w:r w:rsidRPr="00F04E0A">
        <w:rPr>
          <w:b w:val="0"/>
          <w:szCs w:val="22"/>
          <w:lang w:val="ru-RU"/>
        </w:rPr>
        <w:t>В государственном бюджете на 2007 год было выделено 23,2 млн. литов на выплату пособий на содержание ребенка, которые с 1 сентября 2007 года выплачиваются на детей в возрасте от 9 до 12 лет, а также на связанные с этим административные расходы. На сегодняшний день ежемесячные пособия на содержание ребенка выплачиваются приблизительно 350 тыс. литовских детей в возрасте до 9 лет. С 1 сентября 2007 года число детей, на которых выплачивается пособие на содержание ребенка, увеличилось на 105 тыс. человек. Пособие на содержание ребенка назначается и выплачивается с того дня, в который лицо получает право на получение данного пособия, но не более, чем за 12 месяцев, предшествующих дню представления необходимых документов. Заявление на получение данного пособия подается в отдел социального обеспечения муниципальной администрации заявленного постоянного местожительства лица.</w:t>
      </w:r>
    </w:p>
    <w:p w:rsidR="00835A84" w:rsidRPr="00F04E0A" w:rsidRDefault="00835A84" w:rsidP="00C603EC">
      <w:pPr>
        <w:pStyle w:val="BodyText"/>
        <w:tabs>
          <w:tab w:val="left" w:pos="-426"/>
          <w:tab w:val="left" w:pos="567"/>
          <w:tab w:val="left" w:pos="1134"/>
        </w:tabs>
        <w:spacing w:before="0" w:after="200"/>
        <w:jc w:val="center"/>
        <w:rPr>
          <w:bCs/>
          <w:szCs w:val="22"/>
          <w:lang w:val="ru-RU"/>
        </w:rPr>
      </w:pPr>
      <w:r w:rsidRPr="00F04E0A">
        <w:rPr>
          <w:bCs/>
          <w:noProof/>
          <w:szCs w:val="22"/>
          <w:lang w:val="en-GB"/>
        </w:rPr>
        <w:t>c</w:t>
      </w:r>
      <w:r w:rsidRPr="00F04E0A">
        <w:rPr>
          <w:bCs/>
          <w:noProof/>
          <w:szCs w:val="22"/>
          <w:lang w:val="ru-RU"/>
        </w:rPr>
        <w:t>)</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rPr>
        <w:t xml:space="preserve">173. </w:t>
      </w:r>
      <w:r w:rsidR="00C603EC">
        <w:rPr>
          <w:b w:val="0"/>
          <w:szCs w:val="22"/>
          <w:lang w:val="ru-RU"/>
        </w:rPr>
        <w:tab/>
      </w:r>
      <w:r w:rsidRPr="00F04E0A">
        <w:rPr>
          <w:b w:val="0"/>
          <w:szCs w:val="22"/>
          <w:lang w:val="ru-RU"/>
        </w:rPr>
        <w:t>В 2006 году сейм принял Закон Литовской Республики о социальных услугах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17</w:t>
      </w:r>
      <w:r w:rsidRPr="00F04E0A">
        <w:rPr>
          <w:b w:val="0"/>
          <w:szCs w:val="22"/>
          <w:lang w:val="ru-RU"/>
        </w:rPr>
        <w:noBreakHyphen/>
        <w:t>589, 2006 год). В соответствии с этим Законом пожилые лица и лица с ограниченными возможностями, проживающие вместе со своими детьми, имеют право на государственную помощь на равных условиях с теми, что живет отдельно. Этот Закон имеет целью содействовать многообразию социального обеспечения, повышению его доступности для всех и обеспечению его качества.</w:t>
      </w:r>
    </w:p>
    <w:p w:rsidR="00835A84" w:rsidRPr="00F04E0A" w:rsidRDefault="00835A84" w:rsidP="00C603EC">
      <w:pPr>
        <w:pStyle w:val="BodyText"/>
        <w:tabs>
          <w:tab w:val="left" w:pos="-426"/>
          <w:tab w:val="left" w:pos="567"/>
          <w:tab w:val="left" w:pos="1134"/>
        </w:tabs>
        <w:spacing w:before="0" w:after="200"/>
        <w:ind w:firstLine="567"/>
        <w:rPr>
          <w:b w:val="0"/>
          <w:caps/>
          <w:szCs w:val="22"/>
          <w:lang w:val="ru-RU"/>
        </w:rPr>
      </w:pPr>
      <w:r w:rsidRPr="00F04E0A">
        <w:rPr>
          <w:b w:val="0"/>
          <w:szCs w:val="22"/>
          <w:lang w:val="ru-RU"/>
        </w:rPr>
        <w:t xml:space="preserve">174. </w:t>
      </w:r>
      <w:r w:rsidR="00C603EC">
        <w:rPr>
          <w:b w:val="0"/>
          <w:szCs w:val="22"/>
          <w:lang w:val="ru-RU"/>
        </w:rPr>
        <w:tab/>
      </w:r>
      <w:r w:rsidRPr="00F04E0A">
        <w:rPr>
          <w:b w:val="0"/>
          <w:szCs w:val="22"/>
          <w:lang w:val="ru-RU"/>
        </w:rPr>
        <w:t>В 2006 году социальные услуги в стационарах, центрах дневного ухода, кризисных центрах и ночлежных домах для бездомных были оказаны 114 тыс. человек. Осуществлялось обслуживание на дому приблизительно 8 тыс. инвалидов и лиц пожилого возраста (40 процентов из них – сельские жители). Еще 100 тыс. человек осуществлялась бесплатная поставка продуктов питания и предметов первой необходимости, а также были оказаны транспортные услуги. 40 процентов получателей данных услуг составляли сельские жители. За последние 3 года число получателей социальных услуг увеличилось почти вдвое. В этой области крайне важно развитие амбулаторного обслуживания, обеспечивающего людям возможность получать необходимую социальную помощь в общине, не находясь в учреждениях, осуществляющих социальное обслуживание, а оставаясь у себя дома. Значительно выросло число лиц, социальное обслуживание которых осуществляется в центрах дневного ухода. В 2003 году центры дневного ухода посещали около 34 тыс. инвалидов, детей и лиц пожилого возраста, в то время как в 2006 году число таких лиц увеличилось до более чем 90 тыс. За этот период количество центров дневного ухода для инвалидов также увеличилось с 59 центров в 2003 году до 92 центров в 2005 году. Их услугами в 2003 году воспользовались 17,5 тыс. взрослых и 0,9 тыс. детей, а в 2006 году – 49,3 тыс. взрослых и 5,8 тыс. детей. Количество центров дневного ухода для детей также резко возросло – с 17 в 2001 году до более чем 120 в настоящее время. Развитие амбулаторного социального обслуживания (социальных центров дневного ухода, приютов для престарелых и инвалидов, центров поддержки семьи и кризисных центров) частично финансируется из структурных фондов ЕС. С 2004 по 2006 год Европейским фондом регионального развития было выделено 53,7 млн. литов на осуществление проектов в области социального обслуживания. Запланированный объем финансирования развития социальных услуг из средств Европейского фонда регионального развития на 2007–2013 годы составляет около 152 млн. литов.</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175. </w:t>
      </w:r>
      <w:r w:rsidR="00C603EC">
        <w:rPr>
          <w:b w:val="0"/>
          <w:szCs w:val="22"/>
          <w:lang w:val="ru-RU"/>
        </w:rPr>
        <w:tab/>
      </w:r>
      <w:r w:rsidRPr="00F04E0A">
        <w:rPr>
          <w:b w:val="0"/>
          <w:szCs w:val="22"/>
          <w:lang w:val="ru-RU"/>
        </w:rPr>
        <w:t>Постановлением правительства № 854 от 8 августа 2007 года о внесении поправок в Постановление правительства № 1270 от 22 ноября 2005 года "О национальной программе осуществления Лиссабонской стратегии"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92</w:t>
      </w:r>
      <w:r w:rsidRPr="00F04E0A">
        <w:rPr>
          <w:b w:val="0"/>
          <w:szCs w:val="22"/>
          <w:lang w:val="ru-RU"/>
        </w:rPr>
        <w:noBreakHyphen/>
        <w:t>3699, 2007 год) к числу мер национальной программы осуществления Лиссабонской стратегии была добавлена мера 8.7, направленная на обеспечение в 2007 году гендерной ориентации социальной ответственности предприятий и, тем самым, создание условий для развития модели ориентированного на интересы семьи рабочего места. Модель ориентированного на интересы семьи рабочего места должна обеспечивать возможность пользоваться высококачественными и легкодоступными услугами в области ухода за детьми и другими иждивенцами, введение гибкой организации рабочего времени и повышение информированности работодателей и профсоюзов или других представителей интересов работников по вопросам, касающимся равенства мужчин и женщин. Развитие модели ориентированного на интересы семьи рабочего места будет финансироваться не только за счет средств государственного бюджета, но и из средств Европейского социального фонда.</w:t>
      </w:r>
    </w:p>
    <w:p w:rsidR="00835A84" w:rsidRPr="00F04E0A" w:rsidRDefault="00835A84" w:rsidP="00C95D6C">
      <w:pPr>
        <w:pStyle w:val="BodyTextIndent"/>
        <w:tabs>
          <w:tab w:val="clear" w:pos="680"/>
          <w:tab w:val="clear" w:pos="1021"/>
          <w:tab w:val="left" w:pos="-426"/>
          <w:tab w:val="left" w:pos="567"/>
          <w:tab w:val="left" w:pos="1134"/>
        </w:tabs>
        <w:spacing w:before="0" w:after="200"/>
        <w:ind w:left="0" w:firstLine="0"/>
        <w:jc w:val="center"/>
        <w:rPr>
          <w:b/>
          <w:bCs/>
          <w:szCs w:val="22"/>
        </w:rPr>
      </w:pPr>
      <w:r w:rsidRPr="00F04E0A">
        <w:rPr>
          <w:b/>
          <w:bCs/>
          <w:szCs w:val="22"/>
        </w:rPr>
        <w:t>Статья 12</w:t>
      </w:r>
    </w:p>
    <w:p w:rsidR="00835A84" w:rsidRPr="00F04E0A" w:rsidRDefault="00835A84" w:rsidP="00C95D6C">
      <w:pPr>
        <w:pStyle w:val="BodyTextIndent"/>
        <w:tabs>
          <w:tab w:val="clear" w:pos="680"/>
          <w:tab w:val="clear" w:pos="1021"/>
          <w:tab w:val="left" w:pos="-426"/>
          <w:tab w:val="left" w:pos="567"/>
          <w:tab w:val="left" w:pos="1134"/>
        </w:tabs>
        <w:spacing w:before="0" w:after="200"/>
        <w:ind w:left="0" w:firstLine="0"/>
        <w:jc w:val="center"/>
        <w:rPr>
          <w:b/>
          <w:bCs/>
          <w:szCs w:val="22"/>
        </w:rPr>
      </w:pPr>
      <w:r w:rsidRPr="00F04E0A">
        <w:rPr>
          <w:b/>
          <w:bCs/>
          <w:szCs w:val="22"/>
        </w:rPr>
        <w:t>Пункт 1</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176. </w:t>
      </w:r>
      <w:r w:rsidR="00C95D6C">
        <w:rPr>
          <w:b w:val="0"/>
          <w:szCs w:val="22"/>
          <w:lang w:val="ru-RU"/>
        </w:rPr>
        <w:tab/>
      </w:r>
      <w:r w:rsidRPr="00F04E0A">
        <w:rPr>
          <w:b w:val="0"/>
          <w:szCs w:val="22"/>
          <w:lang w:val="ru-RU"/>
        </w:rPr>
        <w:t>В законах, регламентирующих здравоохранение, не содержится никаких дискриминационных положений. В Литве каждое лицо, независимо от пола, имеет право на получение одних и тех же медицинских услуг, в том числе, но не только, услуг, предлагаемых частными центрами, занимающимися вопросами планирования семьи, и государственными медицинскими учреждениями.</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177. </w:t>
      </w:r>
      <w:r w:rsidR="00C95D6C">
        <w:rPr>
          <w:b w:val="0"/>
          <w:szCs w:val="22"/>
          <w:lang w:val="ru-RU"/>
        </w:rPr>
        <w:tab/>
      </w:r>
      <w:r w:rsidRPr="00F04E0A">
        <w:rPr>
          <w:b w:val="0"/>
          <w:szCs w:val="22"/>
          <w:lang w:val="ru-RU"/>
        </w:rPr>
        <w:t>Одно из направлений Национальной программы по обеспечению равных возможностей для женщин и мужчин на 2005–2009 годы заключается в обеспечении равных возможностей для женщин и мужчин в области здравоохранения. В данной области поставлены следующие задачи: решение специфических проблем, связанных со здоровьем женщин и мужчин; стремление увеличить ожидаемую продолжительность жизни мужчин, то есть сократить разрыв между средней ожидаемой продолжительностью жизни мужчин и женщин; повышение информированности общественности и просвещение по вопросам, связанным с планированием семьи и репродуктивным здоровьем, особенно в сельских районах.</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bidi="fa-IR"/>
        </w:rPr>
        <w:t xml:space="preserve">178. </w:t>
      </w:r>
      <w:r w:rsidR="00C95D6C">
        <w:rPr>
          <w:b w:val="0"/>
          <w:szCs w:val="22"/>
          <w:lang w:val="ru-RU" w:bidi="fa-IR"/>
        </w:rPr>
        <w:tab/>
      </w:r>
      <w:r w:rsidRPr="00F04E0A">
        <w:rPr>
          <w:b w:val="0"/>
          <w:szCs w:val="22"/>
          <w:lang w:val="ru-RU" w:bidi="fa-IR"/>
        </w:rPr>
        <w:t>Для</w:t>
      </w:r>
      <w:r w:rsidRPr="00F04E0A">
        <w:rPr>
          <w:b w:val="0"/>
          <w:szCs w:val="22"/>
          <w:lang w:val="ru-RU"/>
        </w:rPr>
        <w:t xml:space="preserve"> выполнения этих задач были приняты конкретные меры. В целях побуждения женщин к </w:t>
      </w:r>
      <w:r w:rsidRPr="00F04E0A">
        <w:rPr>
          <w:b w:val="0"/>
          <w:szCs w:val="22"/>
          <w:lang w:val="ru-RU" w:bidi="fa-IR"/>
        </w:rPr>
        <w:t>проявлению</w:t>
      </w:r>
      <w:r w:rsidRPr="00F04E0A">
        <w:rPr>
          <w:b w:val="0"/>
          <w:szCs w:val="22"/>
          <w:lang w:val="ru-RU"/>
        </w:rPr>
        <w:t xml:space="preserve"> заботы о своем здоровье, особенно к осуществлению мер по предупреждению рака, была издана брошюра "Чтобы женщины чувствовали себя в безопасности", которая была распространена в медицинских учреждениях. На одном из телевизионных каналов отображалась бегущая строка, настоятельно призывающая женщин пройти обследование на предмет рака. В основных общенациональных ежедневных газетах и региональной прессе регулярно публикуются информационные и консультационные статьи; на национальной радиостанции рекламируются и поддерживаются программы профилактики. В 2006 году были изданы и распространены брошюры "Семьям о планировании семьи" и "О планировании семьи и заболеваниях, передающихся половым путем".</w:t>
      </w:r>
    </w:p>
    <w:p w:rsidR="00835A84" w:rsidRPr="00F04E0A" w:rsidRDefault="00835A84" w:rsidP="00C603EC">
      <w:pPr>
        <w:pStyle w:val="BodyText"/>
        <w:tabs>
          <w:tab w:val="left" w:pos="-426"/>
          <w:tab w:val="left" w:pos="567"/>
          <w:tab w:val="left" w:pos="1134"/>
        </w:tabs>
        <w:spacing w:before="0" w:after="200"/>
        <w:ind w:firstLine="567"/>
        <w:rPr>
          <w:b w:val="0"/>
          <w:spacing w:val="-1"/>
          <w:szCs w:val="22"/>
          <w:lang w:val="ru-RU"/>
        </w:rPr>
      </w:pPr>
      <w:r w:rsidRPr="00F04E0A">
        <w:rPr>
          <w:b w:val="0"/>
          <w:szCs w:val="22"/>
          <w:lang w:val="ru-RU"/>
        </w:rPr>
        <w:t xml:space="preserve">179. </w:t>
      </w:r>
      <w:r w:rsidR="00C95D6C">
        <w:rPr>
          <w:b w:val="0"/>
          <w:szCs w:val="22"/>
          <w:lang w:val="ru-RU"/>
        </w:rPr>
        <w:tab/>
      </w:r>
      <w:r w:rsidRPr="00F04E0A">
        <w:rPr>
          <w:b w:val="0"/>
          <w:szCs w:val="22"/>
          <w:lang w:val="ru-RU"/>
        </w:rPr>
        <w:t>В соответствии с приказом № </w:t>
      </w:r>
      <w:r w:rsidRPr="00F04E0A">
        <w:rPr>
          <w:b w:val="0"/>
          <w:szCs w:val="22"/>
          <w:lang w:val="en-GB"/>
        </w:rPr>
        <w:t>V</w:t>
      </w:r>
      <w:r w:rsidRPr="00F04E0A">
        <w:rPr>
          <w:b w:val="0"/>
          <w:szCs w:val="22"/>
          <w:lang w:val="ru-RU"/>
        </w:rPr>
        <w:noBreakHyphen/>
        <w:t>482 от 30 июня 2004 года министра здравоохранения "Об утверждении финансирования мер по предупреждению злокачественных новообразований шейки матки из бюджета Фонда обязательного медицинского страхования"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104</w:t>
      </w:r>
      <w:r w:rsidRPr="00F04E0A">
        <w:rPr>
          <w:b w:val="0"/>
          <w:szCs w:val="22"/>
          <w:lang w:val="ru-RU"/>
        </w:rPr>
        <w:noBreakHyphen/>
        <w:t xml:space="preserve">3856, 2004 год) с июля 2004 года в Литве осуществляется программа скринингового обследования на выявление рака шейки матки. Это финансируемая государством программа, предназначенная для всех женщин Литвы в возрасте от 30 до 60 лет. Эта программа отражает многолетнюю обеспокоенность правительства в связи со здоровьем женщин: скрининговое обследование должно проводиться каждые три года. Программа финансируется из бюджета </w:t>
      </w:r>
      <w:r w:rsidRPr="00F04E0A">
        <w:rPr>
          <w:b w:val="0"/>
          <w:spacing w:val="-1"/>
          <w:szCs w:val="22"/>
          <w:lang w:val="ru-RU"/>
        </w:rPr>
        <w:t xml:space="preserve">Фонда обязательного медицинского страхования. </w:t>
      </w:r>
      <w:r w:rsidRPr="00F04E0A">
        <w:rPr>
          <w:b w:val="0"/>
          <w:szCs w:val="22"/>
          <w:lang w:val="ru-RU"/>
        </w:rPr>
        <w:t xml:space="preserve">С этой целью в 2004 году было выделено 4 млн. литов, в 2005 году – 4 млн. литов, а в 2006 году – 3,8 млн. литов. За два с половиной года в общей сложности было обследовано 294 тыс. женщин, или 39 процентов всех женщин в возрасте от 30 до 60 лет. Процентная доля случаев заболевания раком шейки матки </w:t>
      </w:r>
      <w:r w:rsidRPr="00F04E0A">
        <w:rPr>
          <w:b w:val="0"/>
          <w:iCs/>
          <w:szCs w:val="22"/>
          <w:lang w:val="en-GB"/>
        </w:rPr>
        <w:t>in</w:t>
      </w:r>
      <w:r w:rsidRPr="00F04E0A">
        <w:rPr>
          <w:b w:val="0"/>
          <w:iCs/>
          <w:szCs w:val="22"/>
          <w:lang w:val="ru-RU"/>
        </w:rPr>
        <w:t xml:space="preserve"> </w:t>
      </w:r>
      <w:r w:rsidRPr="00F04E0A">
        <w:rPr>
          <w:b w:val="0"/>
          <w:iCs/>
          <w:szCs w:val="22"/>
          <w:lang w:val="en-GB"/>
        </w:rPr>
        <w:t>situ</w:t>
      </w:r>
      <w:r w:rsidRPr="00F04E0A">
        <w:rPr>
          <w:b w:val="0"/>
          <w:szCs w:val="22"/>
          <w:lang w:val="ru-RU"/>
        </w:rPr>
        <w:t xml:space="preserve"> по отношению к выявленным случаям заболевания инвазивным раком у женщин данного возраста составила более 50 процентов. Этот факт подтверждает эффективность профилактики и внушает надежду на сокращение случаев заболевания раком шейки матки и количества летальных исходов.</w:t>
      </w:r>
    </w:p>
    <w:p w:rsidR="00835A84" w:rsidRPr="00F04E0A" w:rsidRDefault="00835A84" w:rsidP="00C603EC">
      <w:pPr>
        <w:pStyle w:val="BodyText"/>
        <w:tabs>
          <w:tab w:val="left" w:pos="-426"/>
          <w:tab w:val="left" w:pos="567"/>
          <w:tab w:val="left" w:pos="1134"/>
        </w:tabs>
        <w:spacing w:before="0" w:after="200"/>
        <w:ind w:firstLine="567"/>
        <w:rPr>
          <w:b w:val="0"/>
          <w:spacing w:val="-1"/>
          <w:szCs w:val="22"/>
          <w:lang w:val="ru-RU"/>
        </w:rPr>
      </w:pPr>
      <w:bookmarkStart w:id="2" w:name="_Hlt182901058"/>
      <w:bookmarkStart w:id="3" w:name="_Hlt182901059"/>
      <w:r w:rsidRPr="00F04E0A">
        <w:rPr>
          <w:b w:val="0"/>
          <w:szCs w:val="22"/>
          <w:lang w:val="ru-RU"/>
        </w:rPr>
        <w:t xml:space="preserve">180. </w:t>
      </w:r>
      <w:r w:rsidR="00C95D6C">
        <w:rPr>
          <w:b w:val="0"/>
          <w:szCs w:val="22"/>
          <w:lang w:val="ru-RU"/>
        </w:rPr>
        <w:tab/>
      </w:r>
      <w:r w:rsidRPr="00F04E0A">
        <w:rPr>
          <w:b w:val="0"/>
          <w:szCs w:val="22"/>
          <w:lang w:val="ru-RU"/>
        </w:rPr>
        <w:t>В соответствии с приказом № </w:t>
      </w:r>
      <w:r w:rsidRPr="00F04E0A">
        <w:rPr>
          <w:b w:val="0"/>
          <w:szCs w:val="22"/>
          <w:lang w:val="en-GB"/>
        </w:rPr>
        <w:t>V</w:t>
      </w:r>
      <w:r w:rsidRPr="00F04E0A">
        <w:rPr>
          <w:b w:val="0"/>
          <w:szCs w:val="22"/>
          <w:lang w:val="ru-RU"/>
        </w:rPr>
        <w:noBreakHyphen/>
        <w:t>729 от 23 сентября 2005 года министра здравоохранения "Об утверждении финансирования программы скринингового обследования на выявление рака груди"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117</w:t>
      </w:r>
      <w:r w:rsidRPr="00F04E0A">
        <w:rPr>
          <w:b w:val="0"/>
          <w:szCs w:val="22"/>
          <w:lang w:val="ru-RU"/>
        </w:rPr>
        <w:noBreakHyphen/>
        <w:t>4249, 2005 год) в октябре 2005 года началось осуществление Программы скринингового обследования на выявление рака груди.</w:t>
      </w:r>
      <w:r w:rsidRPr="00F04E0A">
        <w:rPr>
          <w:b w:val="0"/>
          <w:spacing w:val="-1"/>
          <w:szCs w:val="22"/>
          <w:lang w:val="ru-RU"/>
        </w:rPr>
        <w:t xml:space="preserve"> </w:t>
      </w:r>
      <w:r w:rsidRPr="00F04E0A">
        <w:rPr>
          <w:b w:val="0"/>
          <w:szCs w:val="22"/>
          <w:lang w:val="ru-RU"/>
        </w:rPr>
        <w:t>Согласно оценкам, в программе примут участие, по меньшей мере, 60 процентов всех женщин в возрасте от 50 до 69 лет. Услуги, которые будут оказываться в рамках этой программы, будут финансироваться из бюджета Фонда обязательного медицинского страхования. Согласно оценкам, вышеупомянутые 60 процентов женщин, с учетом имеющегося технического потенциала и человеческих ресурсов, будут обследованы в течение 5 первых лет осуществления программы.</w:t>
      </w:r>
      <w:r w:rsidRPr="00F04E0A">
        <w:rPr>
          <w:b w:val="0"/>
          <w:spacing w:val="2"/>
          <w:szCs w:val="22"/>
          <w:lang w:val="ru-RU"/>
        </w:rPr>
        <w:t xml:space="preserve"> Число </w:t>
      </w:r>
      <w:r w:rsidRPr="00F04E0A">
        <w:rPr>
          <w:b w:val="0"/>
          <w:szCs w:val="22"/>
          <w:lang w:val="ru-RU"/>
        </w:rPr>
        <w:t>женщин в возрасте от 50 до 69 лет в Литве достигает 418 тыс.; таким образом, согласно приведенным выше оценкам, в первый год осуществления программы должны быть обследованы 50 тыс. женщин. Средства, выделяемые на осуществление данной программы из бюджета Фонда обязательного медицинского страхования, в 2005 году составили 1,5 млн. литов, в 2006 году – 2,5 млн. литов, а в 2007 году – 3 млн. литов. С начала осуществления программы в октябре-декабре 2005 года было обследовано 5 тыс. женщин, а в 2006 году – более 48 тыс. женщин. За все 14 месяцев осуществления программы (январь 2006 года – февраль 2007 года) в общей сложности было обследовано более 58 тыс. женщин этого возраста.</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bookmarkStart w:id="4" w:name="_Hlt182902743"/>
      <w:bookmarkStart w:id="5" w:name="_Hlt182902744"/>
      <w:bookmarkEnd w:id="2"/>
      <w:bookmarkEnd w:id="3"/>
      <w:r w:rsidRPr="00F04E0A">
        <w:rPr>
          <w:b w:val="0"/>
          <w:szCs w:val="22"/>
          <w:lang w:val="ru-RU"/>
        </w:rPr>
        <w:t xml:space="preserve">181. </w:t>
      </w:r>
      <w:r w:rsidR="00C95D6C">
        <w:rPr>
          <w:b w:val="0"/>
          <w:szCs w:val="22"/>
          <w:lang w:val="ru-RU"/>
        </w:rPr>
        <w:tab/>
      </w:r>
      <w:r w:rsidRPr="00F04E0A">
        <w:rPr>
          <w:b w:val="0"/>
          <w:szCs w:val="22"/>
          <w:lang w:val="ru-RU"/>
        </w:rPr>
        <w:t>После того как Управление обязательного медицинского страхования дало согласие, а министр здравоохранения утвердил приказом № </w:t>
      </w:r>
      <w:r w:rsidRPr="00F04E0A">
        <w:rPr>
          <w:b w:val="0"/>
          <w:szCs w:val="22"/>
          <w:lang w:val="en-GB"/>
        </w:rPr>
        <w:t>V</w:t>
      </w:r>
      <w:r w:rsidRPr="00F04E0A">
        <w:rPr>
          <w:b w:val="0"/>
          <w:szCs w:val="22"/>
          <w:lang w:val="ru-RU"/>
        </w:rPr>
        <w:noBreakHyphen/>
        <w:t>973 от 14 декабря 2005 года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152</w:t>
      </w:r>
      <w:r w:rsidRPr="00F04E0A">
        <w:rPr>
          <w:b w:val="0"/>
          <w:szCs w:val="22"/>
          <w:lang w:val="ru-RU"/>
        </w:rPr>
        <w:noBreakHyphen/>
        <w:t>5617, 2005 год) финансирование программы ранней диагностики рака предстательной железы, все мужчины в возрасте от 50 до 75 лет, а также те мужчины старше 45 лет, у чьих отцов или братьев был диагностирован рак предстательной железы, имеют право на бесплатное обследование. Цель программы ранней диагностики рака предстательной железы заключается в как можно более раннем выявлении рака предстательной железы. В 2006 году на осуществление данной программы из бюджета Фонда обязательного медицинского страхования было выделено 47,7 млн. литов.</w:t>
      </w:r>
    </w:p>
    <w:bookmarkEnd w:id="4"/>
    <w:bookmarkEnd w:id="5"/>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r w:rsidRPr="00F04E0A">
        <w:rPr>
          <w:b w:val="0"/>
          <w:szCs w:val="22"/>
          <w:lang w:val="ru-RU"/>
        </w:rPr>
        <w:t xml:space="preserve">182. </w:t>
      </w:r>
      <w:r w:rsidR="00C95D6C">
        <w:rPr>
          <w:b w:val="0"/>
          <w:szCs w:val="22"/>
          <w:lang w:val="ru-RU"/>
        </w:rPr>
        <w:tab/>
      </w:r>
      <w:r w:rsidRPr="00F04E0A">
        <w:rPr>
          <w:b w:val="0"/>
          <w:szCs w:val="22"/>
          <w:lang w:val="ru-RU"/>
        </w:rPr>
        <w:t>Отношение к методам предупреждения беременности в Литве весьма неоднозначное. Согласно результатам обследований, проведенных частной компанией с ограниченной ответственностью "</w:t>
      </w:r>
      <w:r w:rsidRPr="00F04E0A">
        <w:rPr>
          <w:b w:val="0"/>
          <w:i/>
          <w:iCs/>
          <w:szCs w:val="22"/>
          <w:lang w:val="en-GB"/>
        </w:rPr>
        <w:t>Baltijos</w:t>
      </w:r>
      <w:r w:rsidRPr="00F04E0A">
        <w:rPr>
          <w:b w:val="0"/>
          <w:i/>
          <w:iCs/>
          <w:szCs w:val="22"/>
          <w:lang w:val="ru-RU"/>
        </w:rPr>
        <w:t xml:space="preserve"> </w:t>
      </w:r>
      <w:r w:rsidRPr="00F04E0A">
        <w:rPr>
          <w:b w:val="0"/>
          <w:i/>
          <w:iCs/>
          <w:szCs w:val="22"/>
          <w:lang w:val="en-GB"/>
        </w:rPr>
        <w:t>tyrimai</w:t>
      </w:r>
      <w:r w:rsidRPr="00F04E0A">
        <w:rPr>
          <w:b w:val="0"/>
          <w:szCs w:val="22"/>
          <w:lang w:val="ru-RU"/>
        </w:rPr>
        <w:t>", в 2003 году более половины (51 процент) женщин в возрасте от 15 до 25 лет вообще не пользовались никакими противозачаточными средствами. В других возрастных группах этот показатель был ниже: никаких мер предупреждения беременности не принимали 19 процентов женщин в возрасте от 26 до 35 лет и 32 процента женщин в возрасте от 35 до 45 лет. 33 процента опрошенных, которые не пользовались никакими противозачаточными средствами, не могли дать никакого вразумительного объяснения тому, что они не принимают никаких мер предупреждения беременности. Согласно результатам данного обследования, только 1 процент литовских женщин, ведущих половую жизнь, но не пользующихся никакими противозачаточными средствами, не стали бы делать аборт; все эти женщины относятся к возрастной группе от 26 до 35 лет.</w:t>
      </w:r>
    </w:p>
    <w:p w:rsidR="00835A84" w:rsidRPr="00F04E0A" w:rsidRDefault="00835A84" w:rsidP="00C603EC">
      <w:pPr>
        <w:pStyle w:val="BodyText"/>
        <w:tabs>
          <w:tab w:val="left" w:pos="-426"/>
          <w:tab w:val="left" w:pos="567"/>
          <w:tab w:val="left" w:pos="1134"/>
        </w:tabs>
        <w:spacing w:before="0" w:after="200"/>
        <w:ind w:firstLine="567"/>
        <w:rPr>
          <w:b w:val="0"/>
          <w:bCs/>
          <w:szCs w:val="22"/>
          <w:lang w:val="ru-RU"/>
        </w:rPr>
      </w:pPr>
      <w:bookmarkStart w:id="6" w:name="_Hlt182904275"/>
      <w:bookmarkStart w:id="7" w:name="_Hlt182904276"/>
      <w:r w:rsidRPr="00F04E0A">
        <w:rPr>
          <w:b w:val="0"/>
          <w:szCs w:val="22"/>
          <w:lang w:val="ru-RU"/>
        </w:rPr>
        <w:t xml:space="preserve">183. </w:t>
      </w:r>
      <w:r w:rsidR="00C95D6C">
        <w:rPr>
          <w:b w:val="0"/>
          <w:szCs w:val="22"/>
          <w:lang w:val="ru-RU"/>
        </w:rPr>
        <w:tab/>
      </w:r>
      <w:r w:rsidRPr="00F04E0A">
        <w:rPr>
          <w:b w:val="0"/>
          <w:szCs w:val="22"/>
          <w:lang w:val="ru-RU"/>
        </w:rPr>
        <w:t>В Литве процедура проведения аборта регламентируется приказом № 50 от 28 января 1994 года Министерства здравоохранения "О процедуре проведения хирургических абортов"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i/>
          <w:iCs/>
          <w:szCs w:val="22"/>
          <w:lang w:val="ru-RU"/>
        </w:rPr>
        <w:t xml:space="preserve"> </w:t>
      </w:r>
      <w:r w:rsidRPr="00F04E0A">
        <w:rPr>
          <w:b w:val="0"/>
          <w:szCs w:val="22"/>
          <w:lang w:val="ru-RU"/>
        </w:rPr>
        <w:t>(Правительственная газета) № 18</w:t>
      </w:r>
      <w:r w:rsidRPr="00F04E0A">
        <w:rPr>
          <w:b w:val="0"/>
          <w:szCs w:val="22"/>
          <w:lang w:val="ru-RU"/>
        </w:rPr>
        <w:noBreakHyphen/>
        <w:t>299, 1994 год). Беременность может быть прервана на сроке до 12</w:t>
      </w:r>
      <w:r w:rsidRPr="00F04E0A">
        <w:rPr>
          <w:b w:val="0"/>
          <w:szCs w:val="22"/>
          <w:lang w:val="ru-RU"/>
        </w:rPr>
        <w:noBreakHyphen/>
        <w:t>й недели гестации по просьбе женщины либо на сроке до 22</w:t>
      </w:r>
      <w:r w:rsidRPr="00F04E0A">
        <w:rPr>
          <w:b w:val="0"/>
          <w:szCs w:val="22"/>
          <w:lang w:val="ru-RU"/>
        </w:rPr>
        <w:noBreakHyphen/>
        <w:t>й недели гестации при наличии определенных медицинских показаний. Литва имеет все условия для безопасного проведения абортов; в связи с этим не зарегистрировано ни одного случая смерти, вызванной абортом. Статистические данные, отражающие динамику абортов по медицинским показаниям, приведены в таблице 13 Приложения к этому докладу .</w:t>
      </w:r>
    </w:p>
    <w:bookmarkEnd w:id="6"/>
    <w:bookmarkEnd w:id="7"/>
    <w:p w:rsidR="00835A84" w:rsidRPr="00F04E0A" w:rsidRDefault="00835A84" w:rsidP="00C95D6C">
      <w:pPr>
        <w:pStyle w:val="BodyText"/>
        <w:tabs>
          <w:tab w:val="left" w:pos="-426"/>
          <w:tab w:val="left" w:pos="567"/>
          <w:tab w:val="left" w:pos="1134"/>
        </w:tabs>
        <w:spacing w:before="0" w:after="200"/>
        <w:jc w:val="center"/>
        <w:rPr>
          <w:bCs/>
          <w:szCs w:val="22"/>
          <w:lang w:val="ru-RU"/>
        </w:rPr>
      </w:pPr>
      <w:r w:rsidRPr="00F04E0A">
        <w:rPr>
          <w:bCs/>
          <w:szCs w:val="22"/>
          <w:lang w:val="ru-RU"/>
        </w:rPr>
        <w:t>Пункт 2</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bookmarkStart w:id="8" w:name="_Hlt182905285"/>
      <w:bookmarkStart w:id="9" w:name="_Hlt182905286"/>
      <w:r w:rsidRPr="00F04E0A">
        <w:rPr>
          <w:b w:val="0"/>
          <w:szCs w:val="22"/>
          <w:lang w:val="ru-RU"/>
        </w:rPr>
        <w:t xml:space="preserve">184. </w:t>
      </w:r>
      <w:r w:rsidR="00C95D6C">
        <w:rPr>
          <w:b w:val="0"/>
          <w:szCs w:val="22"/>
          <w:lang w:val="ru-RU"/>
        </w:rPr>
        <w:tab/>
      </w:r>
      <w:r w:rsidRPr="00F04E0A">
        <w:rPr>
          <w:b w:val="0"/>
          <w:szCs w:val="22"/>
          <w:lang w:val="ru-RU"/>
        </w:rPr>
        <w:t>Рекомендованные суточные нормы потребления питательных веществ и калорий для беременных и кормящих женщин, утвержденные приказом № 510 от 25 ноября 1999 года министра здравоохранения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102</w:t>
      </w:r>
      <w:r w:rsidRPr="00F04E0A">
        <w:rPr>
          <w:b w:val="0"/>
          <w:szCs w:val="22"/>
          <w:lang w:val="ru-RU"/>
        </w:rPr>
        <w:noBreakHyphen/>
        <w:t>2936, 1999 год), устанавливают нормы потребления питательных веществ и калорий, необходимых для обеспечения физиологических потребностей беременных и кормящих женщин. В 2005 году Национальный центр питания издал методические указания "Грудное вскармливание новорожденных и младенцев" (Вильнюс, 2005 год), которые были рекомендованы специалистам-медикам Министерством здравоохранения и которые, в главе "Питание кормящих грудью женщин", содержат рекомендации в области питания для кормящих женщин. Эти указания служат основой для рекомендаций, которые дают женщинам специалисты-медики.</w:t>
      </w:r>
    </w:p>
    <w:bookmarkEnd w:id="8"/>
    <w:bookmarkEnd w:id="9"/>
    <w:p w:rsidR="00835A84" w:rsidRPr="00F04E0A" w:rsidRDefault="00835A84" w:rsidP="00C95D6C">
      <w:pPr>
        <w:pStyle w:val="BodyText"/>
        <w:tabs>
          <w:tab w:val="left" w:pos="-426"/>
          <w:tab w:val="left" w:pos="567"/>
          <w:tab w:val="left" w:pos="1134"/>
        </w:tabs>
        <w:spacing w:before="0" w:after="200"/>
        <w:jc w:val="center"/>
        <w:rPr>
          <w:bCs/>
          <w:szCs w:val="22"/>
          <w:lang w:val="ru-RU"/>
        </w:rPr>
      </w:pPr>
      <w:r w:rsidRPr="00F04E0A">
        <w:rPr>
          <w:bCs/>
          <w:szCs w:val="22"/>
          <w:lang w:val="ru-RU"/>
        </w:rPr>
        <w:t>Статья 13</w:t>
      </w:r>
    </w:p>
    <w:p w:rsidR="00835A84" w:rsidRPr="00F04E0A" w:rsidRDefault="00835A84" w:rsidP="00C95D6C">
      <w:pPr>
        <w:pStyle w:val="BodyText"/>
        <w:tabs>
          <w:tab w:val="left" w:pos="-426"/>
          <w:tab w:val="left" w:pos="567"/>
          <w:tab w:val="left" w:pos="1134"/>
        </w:tabs>
        <w:spacing w:before="0" w:after="200"/>
        <w:jc w:val="center"/>
        <w:rPr>
          <w:bCs/>
          <w:szCs w:val="22"/>
          <w:lang w:val="ru-RU"/>
        </w:rPr>
      </w:pPr>
      <w:r w:rsidRPr="00F04E0A">
        <w:rPr>
          <w:bCs/>
          <w:noProof/>
          <w:szCs w:val="22"/>
          <w:lang w:val="en-GB"/>
        </w:rPr>
        <w:t>a</w:t>
      </w:r>
      <w:r w:rsidRPr="00F04E0A">
        <w:rPr>
          <w:bCs/>
          <w:noProof/>
          <w:szCs w:val="22"/>
          <w:lang w:val="ru-RU"/>
        </w:rPr>
        <w:t>)</w:t>
      </w:r>
    </w:p>
    <w:p w:rsidR="00835A84" w:rsidRPr="00F04E0A" w:rsidRDefault="00835A84" w:rsidP="00C603EC">
      <w:pPr>
        <w:pStyle w:val="BodyText"/>
        <w:tabs>
          <w:tab w:val="left" w:pos="-426"/>
          <w:tab w:val="left" w:pos="-284"/>
          <w:tab w:val="left" w:pos="567"/>
          <w:tab w:val="left" w:pos="1134"/>
        </w:tabs>
        <w:spacing w:before="0" w:after="200"/>
        <w:ind w:firstLine="567"/>
        <w:rPr>
          <w:b w:val="0"/>
          <w:szCs w:val="22"/>
          <w:lang w:val="ru-RU"/>
        </w:rPr>
      </w:pPr>
      <w:bookmarkStart w:id="10" w:name="_Hlt182906292"/>
      <w:bookmarkStart w:id="11" w:name="_Hlt182906293"/>
      <w:r w:rsidRPr="00F04E0A">
        <w:rPr>
          <w:b w:val="0"/>
          <w:szCs w:val="22"/>
          <w:lang w:val="ru-RU"/>
        </w:rPr>
        <w:t xml:space="preserve">185. </w:t>
      </w:r>
      <w:r w:rsidR="00C95D6C">
        <w:rPr>
          <w:b w:val="0"/>
          <w:szCs w:val="22"/>
          <w:lang w:val="ru-RU"/>
        </w:rPr>
        <w:tab/>
      </w:r>
      <w:r w:rsidRPr="00F04E0A">
        <w:rPr>
          <w:b w:val="0"/>
          <w:szCs w:val="22"/>
          <w:lang w:val="ru-RU"/>
        </w:rPr>
        <w:t>1 декабря 2006 года вступили в силу поправки к Закону Литовской Республики о социальных пособиях в денежной форме для семей с низким доходом (одиноко проживающим лицам) (</w:t>
      </w:r>
      <w:r w:rsidRPr="00F04E0A">
        <w:rPr>
          <w:b w:val="0"/>
          <w:i/>
          <w:iCs/>
          <w:szCs w:val="22"/>
          <w:lang w:val="en-GB"/>
        </w:rPr>
        <w:t>Valstyb</w:t>
      </w:r>
      <w:r w:rsidRPr="00F04E0A">
        <w:rPr>
          <w:b w:val="0"/>
          <w:i/>
          <w:iCs/>
          <w:szCs w:val="22"/>
          <w:lang w:val="ru-RU"/>
        </w:rPr>
        <w:t>ė</w:t>
      </w:r>
      <w:r w:rsidRPr="00F04E0A">
        <w:rPr>
          <w:b w:val="0"/>
          <w:i/>
          <w:iCs/>
          <w:szCs w:val="22"/>
          <w:lang w:val="en-GB"/>
        </w:rPr>
        <w:t>s</w:t>
      </w:r>
      <w:r w:rsidRPr="00F04E0A">
        <w:rPr>
          <w:b w:val="0"/>
          <w:i/>
          <w:iCs/>
          <w:szCs w:val="22"/>
          <w:lang w:val="ru-RU"/>
        </w:rPr>
        <w:t xml:space="preserve"> ž</w:t>
      </w:r>
      <w:r w:rsidRPr="00F04E0A">
        <w:rPr>
          <w:b w:val="0"/>
          <w:i/>
          <w:iCs/>
          <w:szCs w:val="22"/>
          <w:lang w:val="en-GB"/>
        </w:rPr>
        <w:t>inios</w:t>
      </w:r>
      <w:r w:rsidRPr="00F04E0A">
        <w:rPr>
          <w:b w:val="0"/>
          <w:szCs w:val="22"/>
          <w:lang w:val="ru-RU"/>
        </w:rPr>
        <w:t xml:space="preserve"> (Правительственная газета) № 130</w:t>
      </w:r>
      <w:r w:rsidRPr="00F04E0A">
        <w:rPr>
          <w:b w:val="0"/>
          <w:szCs w:val="22"/>
          <w:lang w:val="ru-RU"/>
        </w:rPr>
        <w:noBreakHyphen/>
        <w:t xml:space="preserve">4889, 2006 год). В исправленном Законе была расширена категория бедных лиц, имеющих право на получение социальной помощи в денежной форме. В целях обеспечения предоставления социальной помощи в денежной форме бедным семьям, живущим в сельских районах, в Закон было внесено дополнительное положение о том, что социальная помощь в денежной форме предоставляется родителю-одиночке или одному из родителей, если другой родитель не может осуществлять уход за ребенком/детьми в связи с болезнью, инвалидностью, отбыванием тюремного заключения или другой уважительной причиной, воспитанием ребенка (детей) в возрасте до 14 лет и возделыванием, по меньшей мере, </w:t>
      </w:r>
      <w:smartTag w:uri="urn:schemas-microsoft-com:office:smarttags" w:element="metricconverter">
        <w:smartTagPr>
          <w:attr w:name="ProductID" w:val="2 гектаров"/>
        </w:smartTagPr>
        <w:smartTag w:uri="urn:schemas-microsoft-com:office:smarttags" w:element="place">
          <w:smartTagPr>
            <w:attr w:name="ProductID" w:val="2 гектаров"/>
          </w:smartTagPr>
          <w:r w:rsidRPr="00F04E0A">
            <w:rPr>
              <w:b w:val="0"/>
              <w:szCs w:val="22"/>
              <w:lang w:val="ru-RU"/>
            </w:rPr>
            <w:t>2 гектаров</w:t>
          </w:r>
        </w:smartTag>
      </w:smartTag>
      <w:r w:rsidRPr="00F04E0A">
        <w:rPr>
          <w:b w:val="0"/>
          <w:szCs w:val="22"/>
          <w:lang w:val="ru-RU"/>
        </w:rPr>
        <w:t xml:space="preserve"> земли сельскохозяйственного назначения, принадлежащей семье или арендуемой ею. Согласно статье 3 этого Закона, социальная помощь в денежной форме, предоставляемая бедным семьям или родителям-одиночкам, включает социальное пособие, а также компенсацию платы за горячее и холодное водоснабжение.</w:t>
      </w:r>
    </w:p>
    <w:bookmarkEnd w:id="10"/>
    <w:bookmarkEnd w:id="11"/>
    <w:p w:rsidR="00835A84" w:rsidRPr="00F04E0A" w:rsidRDefault="00835A84" w:rsidP="00C603EC">
      <w:pPr>
        <w:pStyle w:val="BodyText"/>
        <w:tabs>
          <w:tab w:val="left" w:pos="-567"/>
          <w:tab w:val="left" w:pos="-426"/>
          <w:tab w:val="left" w:pos="567"/>
          <w:tab w:val="left" w:pos="1134"/>
        </w:tabs>
        <w:spacing w:before="0" w:after="200"/>
        <w:ind w:firstLine="567"/>
        <w:rPr>
          <w:b w:val="0"/>
          <w:szCs w:val="22"/>
          <w:lang w:val="ru-RU"/>
        </w:rPr>
      </w:pPr>
      <w:r w:rsidRPr="00F04E0A">
        <w:rPr>
          <w:b w:val="0"/>
          <w:szCs w:val="22"/>
          <w:lang w:val="ru-RU"/>
        </w:rPr>
        <w:t xml:space="preserve">186. </w:t>
      </w:r>
      <w:r w:rsidR="00C95D6C">
        <w:rPr>
          <w:b w:val="0"/>
          <w:szCs w:val="22"/>
          <w:lang w:val="ru-RU"/>
        </w:rPr>
        <w:tab/>
      </w:r>
      <w:r w:rsidRPr="00F04E0A">
        <w:rPr>
          <w:b w:val="0"/>
          <w:szCs w:val="22"/>
          <w:lang w:val="ru-RU"/>
        </w:rPr>
        <w:t>В 2006 году социальные пособия выплачивались в среднем 37,8 тыс. человек в месяц (1,1 процента постоянных жителей Литвы). По сравнению с 2005 годом число лиц, имеющих право на получение социального пособия, уменьшилось на 30 процентов. Такое сокращение объясняется заметным ростом доходов (повышением минимального ежемесячного оклада, среднего размера пенсии по старости, средней месячной заработной платы), сокращением безработицы и миграцией. Социальное пособие составляет в среднем 96 литов на одного члена семьи (ср. с 81 литом в 2005 году). В 2006 году компенсация платы за горячее и холодное водоснабжение выплачивалась в среднем 96,1 тыс. человек в месяц (2,8 процента постоянных жителей Литвы).</w:t>
      </w:r>
    </w:p>
    <w:p w:rsidR="00835A84" w:rsidRPr="00F04E0A" w:rsidRDefault="00C95D6C" w:rsidP="00C95D6C">
      <w:pPr>
        <w:pStyle w:val="BodyText"/>
        <w:tabs>
          <w:tab w:val="left" w:pos="-426"/>
          <w:tab w:val="left" w:pos="567"/>
          <w:tab w:val="left" w:pos="1134"/>
        </w:tabs>
        <w:spacing w:before="0" w:after="200"/>
        <w:jc w:val="center"/>
        <w:rPr>
          <w:bCs/>
          <w:szCs w:val="22"/>
          <w:lang w:val="ru-RU"/>
        </w:rPr>
      </w:pPr>
      <w:r>
        <w:rPr>
          <w:bCs/>
          <w:noProof/>
          <w:szCs w:val="22"/>
          <w:lang w:val="en-GB"/>
        </w:rPr>
        <w:br w:type="page"/>
      </w:r>
      <w:r w:rsidR="00835A84" w:rsidRPr="00F04E0A">
        <w:rPr>
          <w:bCs/>
          <w:noProof/>
          <w:szCs w:val="22"/>
          <w:lang w:val="en-GB"/>
        </w:rPr>
        <w:t>b</w:t>
      </w:r>
      <w:r w:rsidR="00835A84" w:rsidRPr="00F04E0A">
        <w:rPr>
          <w:bCs/>
          <w:noProof/>
          <w:szCs w:val="22"/>
          <w:lang w:val="ru-RU"/>
        </w:rPr>
        <w:t>)</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187. </w:t>
      </w:r>
      <w:r w:rsidR="00C95D6C">
        <w:rPr>
          <w:b w:val="0"/>
          <w:szCs w:val="22"/>
          <w:lang w:val="ru-RU"/>
        </w:rPr>
        <w:tab/>
      </w:r>
      <w:r w:rsidRPr="00F04E0A">
        <w:rPr>
          <w:b w:val="0"/>
          <w:szCs w:val="22"/>
          <w:lang w:val="ru-RU"/>
        </w:rPr>
        <w:t>Нынешним законодательством Литовской Республики, регламентирующим деятельность банков и других финансовых учреждений, не предусмотрено никаких ограничений кредитования, связанных с принадлежностью к тому или иному полу.</w:t>
      </w:r>
    </w:p>
    <w:p w:rsidR="00835A84" w:rsidRPr="00F04E0A" w:rsidRDefault="00835A84" w:rsidP="00C95D6C">
      <w:pPr>
        <w:tabs>
          <w:tab w:val="left" w:pos="-426"/>
          <w:tab w:val="left" w:pos="567"/>
          <w:tab w:val="left" w:pos="1134"/>
        </w:tabs>
        <w:spacing w:after="200"/>
        <w:jc w:val="center"/>
        <w:rPr>
          <w:b/>
          <w:bCs/>
          <w:sz w:val="22"/>
          <w:szCs w:val="22"/>
        </w:rPr>
      </w:pPr>
      <w:r w:rsidRPr="00F04E0A">
        <w:rPr>
          <w:b/>
          <w:bCs/>
          <w:noProof/>
          <w:sz w:val="22"/>
          <w:szCs w:val="22"/>
        </w:rPr>
        <w:t>c)</w:t>
      </w:r>
    </w:p>
    <w:p w:rsidR="00835A84" w:rsidRPr="00F04E0A" w:rsidRDefault="00835A84" w:rsidP="00C603EC">
      <w:pPr>
        <w:pStyle w:val="BodyText"/>
        <w:tabs>
          <w:tab w:val="left" w:pos="-426"/>
          <w:tab w:val="left" w:pos="-284"/>
          <w:tab w:val="left" w:pos="567"/>
          <w:tab w:val="left" w:pos="1134"/>
        </w:tabs>
        <w:spacing w:before="0" w:after="200"/>
        <w:ind w:firstLine="567"/>
        <w:rPr>
          <w:b w:val="0"/>
          <w:szCs w:val="22"/>
          <w:lang w:val="ru-RU"/>
        </w:rPr>
      </w:pPr>
      <w:r w:rsidRPr="00F04E0A">
        <w:rPr>
          <w:b w:val="0"/>
          <w:szCs w:val="22"/>
          <w:lang w:val="ru-RU"/>
        </w:rPr>
        <w:t xml:space="preserve">188. </w:t>
      </w:r>
      <w:r w:rsidR="00C95D6C">
        <w:rPr>
          <w:b w:val="0"/>
          <w:szCs w:val="22"/>
          <w:lang w:val="ru-RU"/>
        </w:rPr>
        <w:tab/>
      </w:r>
      <w:r w:rsidRPr="00F04E0A">
        <w:rPr>
          <w:b w:val="0"/>
          <w:szCs w:val="22"/>
          <w:lang w:val="ru-RU"/>
        </w:rPr>
        <w:t>Литовское законодательство не ограничивает участие женщин в рекреационной деятельности, занятиях спортом и всех сторонах культурной жизни. В 2004–2006 годах Центр развития равных возможностей принял участие в качестве партнера в международном проекте "Женщины и мужчины в спорте и средствах массовой информации", финансирование которого осуществлялось из фондов ЕС. Координатором проекта был Центр по вопросам равноправия мужчин и женщин Исландии. Данный проект преследовал следующие цели: выявление общих моментов и вариантов представленности женщин и мужчин в спорте; содействие изменению гендерных стереотипов в спорте; обучение лиц, имеющих влияние в области формирования образа женщин и мужчин в спорте; разработка инструктивных материалов для спортивных корреспондентов, тренеров и инструкторов по вопросам, связанным с представленностью женщин и мужчин в спорте, для использования в их повседневной работе; стимулирование обсуждения вопроса о гендерных стереотипах в спорте на европейском уровне.</w:t>
      </w:r>
    </w:p>
    <w:p w:rsidR="00835A84" w:rsidRPr="00F04E0A" w:rsidRDefault="00835A84" w:rsidP="00C95D6C">
      <w:pPr>
        <w:pStyle w:val="BodyText"/>
        <w:tabs>
          <w:tab w:val="left" w:pos="-426"/>
          <w:tab w:val="left" w:pos="567"/>
          <w:tab w:val="left" w:pos="1134"/>
        </w:tabs>
        <w:spacing w:before="0" w:after="200"/>
        <w:jc w:val="center"/>
        <w:rPr>
          <w:bCs/>
          <w:szCs w:val="22"/>
          <w:lang w:val="ru-RU"/>
        </w:rPr>
      </w:pPr>
      <w:r w:rsidRPr="00F04E0A">
        <w:rPr>
          <w:bCs/>
          <w:szCs w:val="22"/>
          <w:lang w:val="ru-RU"/>
        </w:rPr>
        <w:t>Статья 14</w:t>
      </w:r>
    </w:p>
    <w:p w:rsidR="00835A84" w:rsidRPr="00F04E0A" w:rsidRDefault="00835A84" w:rsidP="00C95D6C">
      <w:pPr>
        <w:pStyle w:val="BodyText"/>
        <w:tabs>
          <w:tab w:val="left" w:pos="-426"/>
          <w:tab w:val="left" w:pos="567"/>
          <w:tab w:val="left" w:pos="1134"/>
        </w:tabs>
        <w:spacing w:before="0" w:after="200"/>
        <w:jc w:val="center"/>
        <w:rPr>
          <w:szCs w:val="22"/>
          <w:lang w:val="ru-RU"/>
        </w:rPr>
      </w:pPr>
      <w:r w:rsidRPr="00F04E0A">
        <w:rPr>
          <w:bCs/>
          <w:szCs w:val="22"/>
          <w:lang w:val="ru-RU"/>
        </w:rPr>
        <w:t>Пункт 1</w:t>
      </w:r>
    </w:p>
    <w:p w:rsidR="00835A84" w:rsidRPr="00F04E0A" w:rsidRDefault="00835A84" w:rsidP="00C603EC">
      <w:pPr>
        <w:pStyle w:val="BodyText"/>
        <w:tabs>
          <w:tab w:val="left" w:pos="-426"/>
          <w:tab w:val="left" w:pos="-284"/>
          <w:tab w:val="left" w:pos="567"/>
          <w:tab w:val="left" w:pos="1134"/>
        </w:tabs>
        <w:spacing w:before="0" w:after="200"/>
        <w:ind w:firstLine="567"/>
        <w:rPr>
          <w:b w:val="0"/>
          <w:szCs w:val="22"/>
          <w:lang w:val="ru-RU"/>
        </w:rPr>
      </w:pPr>
      <w:r w:rsidRPr="00F04E0A">
        <w:rPr>
          <w:b w:val="0"/>
          <w:szCs w:val="22"/>
          <w:lang w:val="ru-RU"/>
        </w:rPr>
        <w:t xml:space="preserve">189. </w:t>
      </w:r>
      <w:r w:rsidR="00C95D6C">
        <w:rPr>
          <w:b w:val="0"/>
          <w:szCs w:val="22"/>
          <w:lang w:val="ru-RU"/>
        </w:rPr>
        <w:tab/>
      </w:r>
      <w:r w:rsidRPr="00F04E0A">
        <w:rPr>
          <w:b w:val="0"/>
          <w:szCs w:val="22"/>
          <w:lang w:val="ru-RU"/>
        </w:rPr>
        <w:t>В рамках осуществления мер по выполнению Национальной программы по обеспечению равных возможностей для женщин и мужчин на 2005–2009 годы, цель которой заключается в содействии обеспечению занятости сельских женщин, проводятся консультации и ежегодно организуются конференции и другие мероприятия для сельских женщин, начинающих заниматься или занимающихся сельскохозяйственной или альтернативной предпринимательской деятельностью. В 2005–2006 годах Сельскохозяйственная палата Литовской Республики организовала конференцию "Предпринимательская деятельность сельских женщин и перспективы"; женщины, делегированные Литовской ассоциацией женщин-фермеров, приняли участие в Четвертой международной конференции балтийских сельских женщин в Латвии. 35 наиболее активных сельских женщин-предпринимателей приняли участие в Европейском фестивале малых городов и деревень в Италии. Литовская ассоциация женщин- фермеров организовала в помещении Министерства сельского хозяйства выставку-ярмарку рождественских сувениров ручной работы. Кроме того, эта ассоциация организовала семинары на темы "Альтернативные ремесла в литовской деревне" и "Улучшение качества жизни в деревне". В этих семинарах приняли участие около 800 женщин из различных округов страны. Участникам этих семинаров была предоставлена информация о возможностях открытия собственного дела путем развития нетрадиционных ремесел и получения финансовых средств из структурных фондов ЕС для развития такой предпринимательской деятельности, а также было дано представление о мерах по развитию сельской инфраструктуры.</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190. </w:t>
      </w:r>
      <w:r w:rsidR="00C95D6C">
        <w:rPr>
          <w:b w:val="0"/>
          <w:szCs w:val="22"/>
          <w:lang w:val="ru-RU"/>
        </w:rPr>
        <w:tab/>
      </w:r>
      <w:r w:rsidRPr="00F04E0A">
        <w:rPr>
          <w:b w:val="0"/>
          <w:szCs w:val="22"/>
          <w:lang w:val="ru-RU"/>
        </w:rPr>
        <w:t>В 2006 году Литовской ассоциацией женщин-фермеров были организованы просветительские и информационные мероприятия, цель которых заключалась в развитии предпринимательства сельских женщин, обсуждении вопроса о сокращении социальной изоляции, содействии улучшению перспектив предпринимательства сельских женщин и развитию альтернативных ремесел, улучшении социального партнерства и повышении качества жизни в деревне, а также участии в международных проектах, ориентированных на сельских женщин. В 2006 году для этой цели из государственного бюджета было выделено 74 тыс. литов; на эти средства было организовано 30 мероприятий.</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r w:rsidRPr="00F04E0A">
        <w:rPr>
          <w:b w:val="0"/>
          <w:szCs w:val="22"/>
          <w:lang w:val="ru-RU"/>
        </w:rPr>
        <w:t xml:space="preserve">191. </w:t>
      </w:r>
      <w:r w:rsidR="00C95D6C">
        <w:rPr>
          <w:b w:val="0"/>
          <w:szCs w:val="22"/>
          <w:lang w:val="ru-RU"/>
        </w:rPr>
        <w:tab/>
      </w:r>
      <w:r w:rsidRPr="00F04E0A">
        <w:rPr>
          <w:b w:val="0"/>
          <w:szCs w:val="22"/>
          <w:lang w:val="ru-RU"/>
        </w:rPr>
        <w:t>В 2006 году Литовский университет сельского хозяйства провел исследование на тему "Разработка мер по содействию занятости и занятию предпринимательской деятельностью сельских женщин". Это исследование включало опирающийся на опыт государств – членов ЕС анализ правовых актов, регламентирующих деятельность малых и средних предприятий, а также документов о стратегическом развитии общенационального и муниципального уровня, направленных на содействие обеспечению занятости и занятию предпринимательской деятельностью сельских жителей (женщин), и подготовку пакета мер, нацеленных на содействие обеспечению занятости и занятия предпринимательской деятельностью сельских женщин.</w:t>
      </w:r>
    </w:p>
    <w:p w:rsidR="00835A84" w:rsidRPr="00F04E0A" w:rsidRDefault="00835A84" w:rsidP="00C95D6C">
      <w:pPr>
        <w:pStyle w:val="BodyText"/>
        <w:tabs>
          <w:tab w:val="left" w:pos="-993"/>
          <w:tab w:val="left" w:pos="567"/>
          <w:tab w:val="left" w:pos="1134"/>
        </w:tabs>
        <w:spacing w:before="0" w:after="200"/>
        <w:jc w:val="center"/>
        <w:rPr>
          <w:bCs/>
          <w:szCs w:val="22"/>
          <w:lang w:val="ru-RU"/>
        </w:rPr>
      </w:pPr>
      <w:r w:rsidRPr="00F04E0A">
        <w:rPr>
          <w:bCs/>
          <w:szCs w:val="22"/>
          <w:lang w:val="ru-RU"/>
        </w:rPr>
        <w:t>Пункт 2</w:t>
      </w:r>
    </w:p>
    <w:p w:rsidR="00835A84" w:rsidRPr="00F04E0A" w:rsidRDefault="00835A84" w:rsidP="00C95D6C">
      <w:pPr>
        <w:pStyle w:val="BodyText"/>
        <w:tabs>
          <w:tab w:val="left" w:pos="-993"/>
          <w:tab w:val="left" w:pos="567"/>
          <w:tab w:val="left" w:pos="1134"/>
        </w:tabs>
        <w:spacing w:before="0" w:after="200"/>
        <w:jc w:val="center"/>
        <w:rPr>
          <w:bCs/>
          <w:szCs w:val="22"/>
          <w:lang w:val="ru-RU"/>
        </w:rPr>
      </w:pPr>
      <w:r w:rsidRPr="00F04E0A">
        <w:rPr>
          <w:bCs/>
          <w:noProof/>
          <w:szCs w:val="22"/>
          <w:lang w:val="ru-RU"/>
        </w:rPr>
        <w:t>a)</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bookmarkStart w:id="12" w:name="_Hlt182968301"/>
      <w:bookmarkStart w:id="13" w:name="_Hlt182968302"/>
      <w:r w:rsidRPr="00F04E0A">
        <w:rPr>
          <w:b w:val="0"/>
          <w:szCs w:val="22"/>
          <w:lang w:val="ru-RU"/>
        </w:rPr>
        <w:t xml:space="preserve">192. </w:t>
      </w:r>
      <w:r w:rsidR="00C95D6C">
        <w:rPr>
          <w:b w:val="0"/>
          <w:szCs w:val="22"/>
          <w:lang w:val="ru-RU"/>
        </w:rPr>
        <w:tab/>
      </w:r>
      <w:r w:rsidRPr="00F04E0A">
        <w:rPr>
          <w:b w:val="0"/>
          <w:szCs w:val="22"/>
          <w:lang w:val="ru-RU"/>
        </w:rPr>
        <w:t xml:space="preserve">Устойчивое сельское экономическое и социальное развитие, информационное общество и общество, основанное на знаниях, содействие повышению общественной осведомленности </w:t>
      </w:r>
      <w:r w:rsidRPr="00F04E0A">
        <w:rPr>
          <w:b w:val="0"/>
          <w:szCs w:val="22"/>
          <w:lang w:val="ru-RU" w:bidi="fa-IR"/>
        </w:rPr>
        <w:t xml:space="preserve">по </w:t>
      </w:r>
      <w:r w:rsidRPr="00F04E0A">
        <w:rPr>
          <w:b w:val="0"/>
          <w:szCs w:val="22"/>
          <w:lang w:val="ru-RU"/>
        </w:rPr>
        <w:t>правовым вопросам – все это относится к числу долгосрочных целей, поставленных в Стратегии развития сельского хозяйства и сельских районов, утвержденной Постановлением сейма № VIII</w:t>
      </w:r>
      <w:r w:rsidRPr="00F04E0A">
        <w:rPr>
          <w:b w:val="0"/>
          <w:szCs w:val="22"/>
          <w:lang w:val="ru-RU"/>
        </w:rPr>
        <w:noBreakHyphen/>
        <w:t>1728 от 13 июня 2000 года (</w:t>
      </w:r>
      <w:r w:rsidRPr="00F04E0A">
        <w:rPr>
          <w:b w:val="0"/>
          <w:i/>
          <w:iCs/>
          <w:szCs w:val="22"/>
          <w:lang w:val="ru-RU"/>
        </w:rPr>
        <w:t xml:space="preserve">Valstybės žinios </w:t>
      </w:r>
      <w:r w:rsidRPr="00F04E0A">
        <w:rPr>
          <w:b w:val="0"/>
          <w:szCs w:val="22"/>
          <w:lang w:val="ru-RU"/>
        </w:rPr>
        <w:t>(Правительственная газета) № 50</w:t>
      </w:r>
      <w:r w:rsidRPr="00F04E0A">
        <w:rPr>
          <w:b w:val="0"/>
          <w:szCs w:val="22"/>
          <w:lang w:val="ru-RU"/>
        </w:rPr>
        <w:noBreakHyphen/>
        <w:t>1435, 2000 год). Для достижения этих целей в долгосрочной перспективе разрабатываются и осуществляются соответствующие программы и мероприятия.</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bookmarkStart w:id="14" w:name="_Hlt182968333"/>
      <w:bookmarkStart w:id="15" w:name="_Hlt182968334"/>
      <w:bookmarkEnd w:id="12"/>
      <w:bookmarkEnd w:id="13"/>
      <w:r w:rsidRPr="00F04E0A">
        <w:rPr>
          <w:b w:val="0"/>
          <w:szCs w:val="22"/>
          <w:lang w:val="ru-RU"/>
        </w:rPr>
        <w:t xml:space="preserve">193. </w:t>
      </w:r>
      <w:r w:rsidR="00C95D6C">
        <w:rPr>
          <w:b w:val="0"/>
          <w:szCs w:val="22"/>
          <w:lang w:val="ru-RU"/>
        </w:rPr>
        <w:tab/>
      </w:r>
      <w:r w:rsidRPr="00F04E0A">
        <w:rPr>
          <w:b w:val="0"/>
          <w:szCs w:val="22"/>
          <w:lang w:val="ru-RU"/>
        </w:rPr>
        <w:t>В рамках осуществления Национальной программы развития сельского хозяйства на 2006–2008 годы, утвержденной Постановлением правительства № 590 от 19 июня 2006 года (</w:t>
      </w:r>
      <w:r w:rsidRPr="00F04E0A">
        <w:rPr>
          <w:b w:val="0"/>
          <w:i/>
          <w:iCs/>
          <w:szCs w:val="22"/>
          <w:lang w:val="ru-RU"/>
        </w:rPr>
        <w:t>Valstybės žinios</w:t>
      </w:r>
      <w:r w:rsidRPr="00F04E0A">
        <w:rPr>
          <w:b w:val="0"/>
          <w:szCs w:val="22"/>
          <w:lang w:val="ru-RU"/>
        </w:rPr>
        <w:t xml:space="preserve"> (Правительственная газета) № 70</w:t>
      </w:r>
      <w:r w:rsidRPr="00F04E0A">
        <w:rPr>
          <w:b w:val="0"/>
          <w:szCs w:val="22"/>
          <w:lang w:val="ru-RU"/>
        </w:rPr>
        <w:noBreakHyphen/>
        <w:t>2564, 2006 год), проводятся конференции, семинары и другие просветительские мероприятия, направленные на решение социальных проблем, с которыми сталкиваются сельские жители. Литовское общество женщин-фермеров регулярно проводит просветительские и информационные мероприятия для сельских женщин. В 2005 году Общество провело серию семинаров на тему "Содействие предпринимательской деятельности сельских женщин" в различных регионах страны, конференцию под названием "Сокращение социальной изоляции сельских женщин", учебные семинары на тему "Изменение системы ценностей в современной сельской семье" в 24 районах страны. В 2005 году была организована конференция с целью обсуждения проблемы социальной изоляции сельских женщин; женщины-фермеры, делегированные Литовским обществом женщин-фермеров, представляли Литву на выставке сельских ремесел и ручных промыслов в Эстонии. Институт экономики сельского хозяйства Литвы по заказу Министерства сельского хозяйства провел исследование по вопросу о средствах поощрения участия сельских женщин в процессах развития сельских районов.</w:t>
      </w:r>
    </w:p>
    <w:bookmarkEnd w:id="14"/>
    <w:bookmarkEnd w:id="15"/>
    <w:p w:rsidR="00835A84" w:rsidRPr="00F04E0A" w:rsidRDefault="00835A84" w:rsidP="00C95D6C">
      <w:pPr>
        <w:pStyle w:val="BodyText"/>
        <w:tabs>
          <w:tab w:val="left" w:pos="-993"/>
          <w:tab w:val="left" w:pos="567"/>
          <w:tab w:val="left" w:pos="1134"/>
        </w:tabs>
        <w:spacing w:before="0" w:after="200"/>
        <w:jc w:val="center"/>
        <w:rPr>
          <w:bCs/>
          <w:szCs w:val="22"/>
          <w:lang w:val="ru-RU"/>
        </w:rPr>
      </w:pPr>
      <w:r w:rsidRPr="00F04E0A">
        <w:rPr>
          <w:bCs/>
          <w:noProof/>
          <w:szCs w:val="22"/>
          <w:lang w:val="ru-RU"/>
        </w:rPr>
        <w:t>c)</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194. </w:t>
      </w:r>
      <w:r w:rsidR="00C95D6C">
        <w:rPr>
          <w:b w:val="0"/>
          <w:szCs w:val="22"/>
          <w:lang w:val="ru-RU"/>
        </w:rPr>
        <w:tab/>
      </w:r>
      <w:r w:rsidRPr="00F04E0A">
        <w:rPr>
          <w:b w:val="0"/>
          <w:szCs w:val="22"/>
          <w:lang w:val="ru-RU"/>
        </w:rPr>
        <w:t>Согласно правовым актам Литовской Республики, социальные гарантии предоставляются независимо от пола. Если лицо, являющееся постоянным жителем Литовской Республики, работает по трудовому договору или занимается другими видами деятельности, предусмотренными правовыми актами Литовской Республики, получает доход и на него распространяются соответствующие виды страхования, то он/она имеет право на соответствующие социальные гарантии (получение пенсии, пособий по болезни, по беременности и родам, по уходу за ребенком и других пособий). В статье 4 Закона Литовской Республики о государственном социальном страховании (</w:t>
      </w:r>
      <w:r w:rsidRPr="00F04E0A">
        <w:rPr>
          <w:b w:val="0"/>
          <w:i/>
          <w:iCs/>
          <w:szCs w:val="22"/>
          <w:lang w:val="ru-RU"/>
        </w:rPr>
        <w:t xml:space="preserve">Valstybės žinios </w:t>
      </w:r>
      <w:r w:rsidRPr="00F04E0A">
        <w:rPr>
          <w:b w:val="0"/>
          <w:szCs w:val="22"/>
          <w:lang w:val="ru-RU"/>
        </w:rPr>
        <w:t>(Правительственная газета) № 17</w:t>
      </w:r>
      <w:r w:rsidRPr="00F04E0A">
        <w:rPr>
          <w:b w:val="0"/>
          <w:szCs w:val="22"/>
          <w:lang w:val="ru-RU"/>
        </w:rPr>
        <w:noBreakHyphen/>
        <w:t>447, 1991 год; № 171</w:t>
      </w:r>
      <w:r w:rsidRPr="00F04E0A">
        <w:rPr>
          <w:b w:val="0"/>
          <w:szCs w:val="22"/>
          <w:lang w:val="ru-RU"/>
        </w:rPr>
        <w:noBreakHyphen/>
        <w:t>6295, 2004 год) определены категории страхуемых лиц и виды страхования.</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bookmarkStart w:id="16" w:name="_Hlt182972849"/>
      <w:bookmarkStart w:id="17" w:name="_Hlt182972850"/>
      <w:bookmarkStart w:id="18" w:name="_Hlt182972877"/>
      <w:bookmarkStart w:id="19" w:name="_Hlt182972878"/>
      <w:bookmarkStart w:id="20" w:name="_Hlt182972869"/>
      <w:bookmarkStart w:id="21" w:name="_Hlt182972870"/>
      <w:r w:rsidRPr="00F04E0A">
        <w:rPr>
          <w:b w:val="0"/>
          <w:szCs w:val="22"/>
          <w:lang w:val="ru-RU"/>
        </w:rPr>
        <w:t xml:space="preserve">195. </w:t>
      </w:r>
      <w:r w:rsidR="00C95D6C">
        <w:rPr>
          <w:b w:val="0"/>
          <w:szCs w:val="22"/>
          <w:lang w:val="ru-RU"/>
        </w:rPr>
        <w:tab/>
      </w:r>
      <w:r w:rsidRPr="00F04E0A">
        <w:rPr>
          <w:b w:val="0"/>
          <w:szCs w:val="22"/>
          <w:lang w:val="ru-RU"/>
        </w:rPr>
        <w:t>Лица, не входящие в перечень лиц, на которых автоматически распространяется социальное страхование, имеют право заключить договор государственного пенсионного страхования или государственного социального страхования для получения пособий по болезни и пособий по беременности и родам на добровольной основе. Процедура и условия этих добровольных видов страхования регламентируются Правилами добровольного государственного социального пенсионного страхования, утвержденными Постановлением правительства №</w:t>
      </w:r>
      <w:r w:rsidRPr="00F04E0A">
        <w:rPr>
          <w:b w:val="0"/>
          <w:szCs w:val="22"/>
        </w:rPr>
        <w:t> </w:t>
      </w:r>
      <w:r w:rsidRPr="00F04E0A">
        <w:rPr>
          <w:b w:val="0"/>
          <w:szCs w:val="22"/>
          <w:lang w:val="ru-RU"/>
        </w:rPr>
        <w:t>339 от 23</w:t>
      </w:r>
      <w:r w:rsidRPr="00F04E0A">
        <w:rPr>
          <w:b w:val="0"/>
          <w:szCs w:val="22"/>
        </w:rPr>
        <w:t> </w:t>
      </w:r>
      <w:r w:rsidRPr="00F04E0A">
        <w:rPr>
          <w:b w:val="0"/>
          <w:szCs w:val="22"/>
          <w:lang w:val="ru-RU"/>
        </w:rPr>
        <w:t>марта 2000</w:t>
      </w:r>
      <w:r w:rsidRPr="00F04E0A">
        <w:rPr>
          <w:b w:val="0"/>
          <w:szCs w:val="22"/>
        </w:rPr>
        <w:t> </w:t>
      </w:r>
      <w:r w:rsidRPr="00F04E0A">
        <w:rPr>
          <w:b w:val="0"/>
          <w:szCs w:val="22"/>
          <w:lang w:val="ru-RU"/>
        </w:rPr>
        <w:t>года (</w:t>
      </w:r>
      <w:r w:rsidRPr="00F04E0A">
        <w:rPr>
          <w:b w:val="0"/>
          <w:i/>
          <w:iCs/>
          <w:szCs w:val="22"/>
          <w:lang w:val="ru-RU"/>
        </w:rPr>
        <w:t>Valstybės žinios</w:t>
      </w:r>
      <w:r w:rsidRPr="00F04E0A">
        <w:rPr>
          <w:b w:val="0"/>
          <w:szCs w:val="22"/>
          <w:lang w:val="ru-RU"/>
        </w:rPr>
        <w:t xml:space="preserve"> (Правительственная газета) №</w:t>
      </w:r>
      <w:r w:rsidRPr="00F04E0A">
        <w:rPr>
          <w:b w:val="0"/>
          <w:szCs w:val="22"/>
        </w:rPr>
        <w:t> </w:t>
      </w:r>
      <w:r w:rsidRPr="00F04E0A">
        <w:rPr>
          <w:b w:val="0"/>
          <w:szCs w:val="22"/>
          <w:lang w:val="ru-RU"/>
        </w:rPr>
        <w:t>26</w:t>
      </w:r>
      <w:r w:rsidRPr="00F04E0A">
        <w:rPr>
          <w:b w:val="0"/>
          <w:szCs w:val="22"/>
          <w:lang w:val="ru-RU"/>
        </w:rPr>
        <w:noBreakHyphen/>
        <w:t>696, 2000</w:t>
      </w:r>
      <w:r w:rsidRPr="00F04E0A">
        <w:rPr>
          <w:b w:val="0"/>
          <w:szCs w:val="22"/>
        </w:rPr>
        <w:t> </w:t>
      </w:r>
      <w:r w:rsidRPr="00F04E0A">
        <w:rPr>
          <w:b w:val="0"/>
          <w:szCs w:val="22"/>
          <w:lang w:val="ru-RU"/>
        </w:rPr>
        <w:t>год), и Правилами добровольного государственного социального страхования для получения пособий по болезни и пособий по беременности и родам, утвержденными Постановлением правительства № 1191 от 28 октября 1997 года (</w:t>
      </w:r>
      <w:r w:rsidRPr="00F04E0A">
        <w:rPr>
          <w:b w:val="0"/>
          <w:i/>
          <w:iCs/>
          <w:szCs w:val="22"/>
          <w:lang w:val="ru-RU"/>
        </w:rPr>
        <w:t>Valstybės žinios</w:t>
      </w:r>
      <w:r w:rsidRPr="00F04E0A">
        <w:rPr>
          <w:b w:val="0"/>
          <w:szCs w:val="22"/>
          <w:lang w:val="ru-RU"/>
        </w:rPr>
        <w:t xml:space="preserve"> (Правительственная газета) № 98</w:t>
      </w:r>
      <w:r w:rsidRPr="00F04E0A">
        <w:rPr>
          <w:b w:val="0"/>
          <w:szCs w:val="22"/>
          <w:lang w:val="ru-RU"/>
        </w:rPr>
        <w:noBreakHyphen/>
        <w:t>2497, 1997 год, № 99</w:t>
      </w:r>
      <w:r w:rsidRPr="00F04E0A">
        <w:rPr>
          <w:b w:val="0"/>
          <w:szCs w:val="22"/>
          <w:lang w:val="ru-RU"/>
        </w:rPr>
        <w:noBreakHyphen/>
        <w:t>2862, 1999 год).</w:t>
      </w:r>
    </w:p>
    <w:bookmarkEnd w:id="16"/>
    <w:bookmarkEnd w:id="17"/>
    <w:bookmarkEnd w:id="18"/>
    <w:bookmarkEnd w:id="19"/>
    <w:bookmarkEnd w:id="20"/>
    <w:bookmarkEnd w:id="21"/>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196. </w:t>
      </w:r>
      <w:r w:rsidR="00C95D6C">
        <w:rPr>
          <w:b w:val="0"/>
          <w:szCs w:val="22"/>
          <w:lang w:val="ru-RU"/>
        </w:rPr>
        <w:tab/>
      </w:r>
      <w:r w:rsidRPr="00F04E0A">
        <w:rPr>
          <w:b w:val="0"/>
          <w:szCs w:val="22"/>
          <w:lang w:val="ru-RU"/>
        </w:rPr>
        <w:t>На лиц, работающих не по найму, за исключением тех лиц, которые занимаются экономической деятельностью в качестве индивидуальных предпринимателей и имеют сертификат на ведение предпринимательской деятельности, автоматически распространяется только пенсионное социальное страхование в объеме базовой и дополнительной частей пенсии. Объем страхового покрытия дополнительной части пенсии зависит от фактического дохода соответствующего лица. На лиц, которые занимаются экономической деятельностью в качестве индивидуальных предпринимателей и имеют сертификат на ведение предпринимательской деятельности, автоматически распространяется только пенсионное социальное страхование в объеме базовой части пенсии.</w:t>
      </w:r>
    </w:p>
    <w:p w:rsidR="00835A84" w:rsidRPr="00F04E0A" w:rsidRDefault="00835A84" w:rsidP="00C95D6C">
      <w:pPr>
        <w:tabs>
          <w:tab w:val="left" w:pos="-993"/>
          <w:tab w:val="left" w:pos="567"/>
          <w:tab w:val="left" w:pos="1134"/>
        </w:tabs>
        <w:spacing w:after="200"/>
        <w:jc w:val="center"/>
        <w:rPr>
          <w:b/>
          <w:bCs/>
          <w:sz w:val="22"/>
          <w:szCs w:val="22"/>
        </w:rPr>
      </w:pPr>
      <w:r w:rsidRPr="00F04E0A">
        <w:rPr>
          <w:b/>
          <w:bCs/>
          <w:noProof/>
          <w:sz w:val="22"/>
          <w:szCs w:val="22"/>
        </w:rPr>
        <w:t>d)</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197. </w:t>
      </w:r>
      <w:r w:rsidR="00C95D6C">
        <w:rPr>
          <w:b w:val="0"/>
          <w:szCs w:val="22"/>
          <w:lang w:val="ru-RU"/>
        </w:rPr>
        <w:tab/>
      </w:r>
      <w:r w:rsidRPr="00F04E0A">
        <w:rPr>
          <w:b w:val="0"/>
          <w:szCs w:val="22"/>
          <w:lang w:val="ru-RU"/>
        </w:rPr>
        <w:t>В целях содействия обеспечению занятости профессионально-технические училища в сельских районах сотрудничают с местной общиной, предлагают программы неформального образования, осуществляют отвечающие местным потребностям программы, связанные с рынком труда. Значительное внимание уделяется совершенствованию организации профессиональной подготовки. К числу усилий, прилагаемых в данной области, относятся: разработка общей системы гарантии качества начальной и углубленной профессиональной подготовки, исправление учебных планов и включение в учебные планы предметов, связанных с предпринимательской деятельностью. С целью разработки новых программ профессиональной подготовки и обучения 54 заведения получили финансовую поддержку Европейского социального фонда. Была усовершенствована процедура оценки качества профессиональной подготовки. В целях обеспечения большего соответствия между профессиональной подготовкой и потребностями рынка труда разрабатываются стандарты профессиональной подготовки и изучаются потребности отдельных секторов экономики в различных специалистах.</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198. </w:t>
      </w:r>
      <w:r w:rsidR="00C95D6C">
        <w:rPr>
          <w:b w:val="0"/>
          <w:szCs w:val="22"/>
          <w:lang w:val="ru-RU"/>
        </w:rPr>
        <w:tab/>
      </w:r>
      <w:r w:rsidRPr="00F04E0A">
        <w:rPr>
          <w:b w:val="0"/>
          <w:szCs w:val="22"/>
          <w:lang w:val="ru-RU"/>
        </w:rPr>
        <w:t>В целях повышения доступности дошкольного и подготовительного к школе образования с первоочередным уделением внимания сельским районам было создано 86 групп дошкольного и подготовительного к школе обучения, в том числе 46 групп в сельских районах; и было обеспечено финансирование 85 должностей педагогов дошкольного и подготовительного к школе обучения, в том числе 37 должностей в сельских районах.</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199. </w:t>
      </w:r>
      <w:r w:rsidR="00C95D6C">
        <w:rPr>
          <w:b w:val="0"/>
          <w:szCs w:val="22"/>
          <w:lang w:val="ru-RU"/>
        </w:rPr>
        <w:tab/>
      </w:r>
      <w:r w:rsidRPr="00F04E0A">
        <w:rPr>
          <w:b w:val="0"/>
          <w:szCs w:val="22"/>
          <w:lang w:val="ru-RU"/>
        </w:rPr>
        <w:t>К числу усилий, прилагаемых в данной области, относятся: поощрение неформального обучения сельских женщин по вопросам, связанным с равенством мужчин и женщин, предоставление информации о том, как начать заниматься частной предпринимательской деятельностью, повышение информированности сельских жителей о равных возможностях женщин и мужчин, предоставление информации сельским женщинам, начинающим заниматься или развивающим сельскохозяйственную или альтернативную предпринимательскую деятельность. С целью поощрения предпринимательской деятельности сельских женщин значительное внимание уделяется следующим видам деятельности: наставничество сельских женщин, начинающих заниматься предпринимательской деятельностью, консультирование, помощь в выработке стратегий предпринимательской деятельности, развитие сетей женщин-предпринимателей, облегчение доступа к микрокредитам для открытия дела, обеспечение более тесной интеграции общенациональных и локальных политических стратегий, направленных на расширение предпринимательской деятельности женщин.</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200. </w:t>
      </w:r>
      <w:r w:rsidR="00C95D6C">
        <w:rPr>
          <w:b w:val="0"/>
          <w:szCs w:val="22"/>
          <w:lang w:val="ru-RU"/>
        </w:rPr>
        <w:tab/>
      </w:r>
      <w:r w:rsidRPr="00F04E0A">
        <w:rPr>
          <w:b w:val="0"/>
          <w:szCs w:val="22"/>
          <w:lang w:val="ru-RU"/>
        </w:rPr>
        <w:t>НПО играют важную роль в области сокращения социальной изоляции и поощрения предпринимательской деятельности сельских женщин. Деятельность организаций литовских женщин, расположенных в городах, распространяется также на сельских женщин. Некоторые женские организации (например, Каунасский информационный центр по вопросам занятости женщин) не только организуют курсы профессиональной подготовки, но также оказывают помощь в поиске работы. Эта задача решается путем сотрудничества с работодателями, сбора информации о вакансиях и ориентации безработной женщины, обладающей подходящей квалификацией, на соответствующую вакантную должность. В области трудоустройства и профессиональной подготовки женские организации сотрудничают со средствами массовой информации, биржей труда, рынком труда и учебными заведениями.</w:t>
      </w:r>
    </w:p>
    <w:p w:rsidR="00835A84" w:rsidRPr="00F04E0A" w:rsidRDefault="00835A84" w:rsidP="00C95D6C">
      <w:pPr>
        <w:tabs>
          <w:tab w:val="left" w:pos="-993"/>
          <w:tab w:val="left" w:pos="567"/>
          <w:tab w:val="left" w:pos="1134"/>
        </w:tabs>
        <w:spacing w:after="200"/>
        <w:jc w:val="center"/>
        <w:rPr>
          <w:b/>
          <w:bCs/>
          <w:sz w:val="22"/>
          <w:szCs w:val="22"/>
        </w:rPr>
      </w:pPr>
      <w:r w:rsidRPr="00F04E0A">
        <w:rPr>
          <w:b/>
          <w:bCs/>
          <w:noProof/>
          <w:sz w:val="22"/>
          <w:szCs w:val="22"/>
        </w:rPr>
        <w:t>e)</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201. </w:t>
      </w:r>
      <w:r w:rsidR="00C95D6C">
        <w:rPr>
          <w:b w:val="0"/>
          <w:szCs w:val="22"/>
          <w:lang w:val="ru-RU"/>
        </w:rPr>
        <w:tab/>
      </w:r>
      <w:r w:rsidRPr="00F04E0A">
        <w:rPr>
          <w:b w:val="0"/>
          <w:szCs w:val="22"/>
          <w:lang w:val="ru-RU"/>
        </w:rPr>
        <w:t>Предпринимаются усилия по обеспечению равного доступа женщин к индивидуальной трудовой деятельности и укреплению своих экономических возможностей. С 2004 года поддерживаются местные инициативы в области трудоустройства. В 2006 году в 23 муниципальных областях, в которых доля безработных в трудоспособной возрастной группе была в 1,35 раза выше, чем в целом по стране, были осуществлены 43 местных инициативы в области трудоустройства. В рамках этих проектов были созданы 278 новых рабочих мест. 44 процента всех проектов были осуществлены в сельских районах; они позволили создать 110 новых рабочих мест для сельских жителей. Такие проекты содействуют развитию сельских районов, поскольку большая часть их связана с поддержкой развития альтернативной экономической деятельности сельского населения. На 47 процентов вновь созданных рабочих мест были приняты женщины и на 53 процента – мужчины. В целях трудоустройства тех безработных, которые не могут легко конкурировать на рынке труда (часто по не зависящим от них причинам), на 183 новых рабочих места из общего числа рабочих мест, созданных в рамках местных инициатив в области трудоустройства, были приняты безработные, которым оказывалась дополнительная поддержка на рынке труда (66 процентов общей численности трудоустроенных лиц). В целом новые рабочие места, созданные в рамках местных инициатив в области трудоустройства в 2006 году, распределились следующим образом: на 18 процентов рабочих мест были приняты безработные, длительное время остававшиеся без работы, на 17 процентов рабочих мест – лица старше 50 лет, на 13 процентов рабочих мест – лица, не имевшие работы в течение двух и более лет до момента их регистрации на местной бирже труда, на 11 процентов рабочих мест – беременные женщины и лица, имеющие ребенка в возрасте до 8 лет или ребенка с ограниченными возможностями в возрасте до 18 лет, на 6 процентов рабочих мест – лица, которые только что приобрели профессию и начали свою профессиональную карьеру, и на 1 процент рабочих мест – лица с ограниченными возможностями.</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202. </w:t>
      </w:r>
      <w:r w:rsidR="00C95D6C">
        <w:rPr>
          <w:b w:val="0"/>
          <w:szCs w:val="22"/>
          <w:lang w:val="ru-RU"/>
        </w:rPr>
        <w:tab/>
      </w:r>
      <w:r w:rsidRPr="00F04E0A">
        <w:rPr>
          <w:b w:val="0"/>
          <w:szCs w:val="22"/>
          <w:lang w:val="ru-RU"/>
        </w:rPr>
        <w:t>Женщины принимают все более активное участие в экономической жизни, и число женщин-предпринимателей все увеличивается. Женщины составляют уже 30 процентов предпринимателей в сельских районах; они все чаще используют возможность открыть или расширить собственное дело и вносят свой вклад в экономический рост и создание новых рабочих мест.</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203. </w:t>
      </w:r>
      <w:r w:rsidR="00C95D6C">
        <w:rPr>
          <w:b w:val="0"/>
          <w:szCs w:val="22"/>
          <w:lang w:val="ru-RU"/>
        </w:rPr>
        <w:tab/>
      </w:r>
      <w:r w:rsidRPr="00F04E0A">
        <w:rPr>
          <w:b w:val="0"/>
          <w:szCs w:val="22"/>
          <w:lang w:val="ru-RU"/>
        </w:rPr>
        <w:t xml:space="preserve">Несмотря на то что сельский туризм является, несомненно, успешным видом деятельности, большинство сельских женщин занимаются традиционным сельским хозяйством. В 2005 году 40 процентов фермерских хозяйств, зарегистрированных в Реестре фермерских хозяйств, принадлежали женщинам. Сельские женщины (как и мужчины) в большинстве случаев владеют мелкими фермерскими хозяйствами (площадью менее </w:t>
      </w:r>
      <w:smartTag w:uri="urn:schemas-microsoft-com:office:smarttags" w:element="metricconverter">
        <w:smartTagPr>
          <w:attr w:name="ProductID" w:val="5 гектаров"/>
        </w:smartTagPr>
        <w:r w:rsidRPr="00F04E0A">
          <w:rPr>
            <w:b w:val="0"/>
            <w:szCs w:val="22"/>
            <w:lang w:val="ru-RU"/>
          </w:rPr>
          <w:t>5 гектаров</w:t>
        </w:r>
      </w:smartTag>
      <w:r w:rsidRPr="00F04E0A">
        <w:rPr>
          <w:b w:val="0"/>
          <w:szCs w:val="22"/>
          <w:lang w:val="ru-RU"/>
        </w:rPr>
        <w:t xml:space="preserve"> или от 5 до 9,9 гектаров), которые составляют 67 процентов всех фермерских хозяйств, зарегистрированных на имя женщин. Очень крупных фермерских хозяйств, принадлежащих женщинам, в Литве мало; тем не менее наблюдается тенденция к увеличению их количества. За период с начала 2000 года по конец 2005 года количество принадлежащих женщинам фермерских хозяйств площадью от 50 до 99,9 гектаров выросло в 1,5 раза, а количество принадлежащих женщинам фермерских хозяйств площадью более </w:t>
      </w:r>
      <w:smartTag w:uri="urn:schemas-microsoft-com:office:smarttags" w:element="metricconverter">
        <w:smartTagPr>
          <w:attr w:name="ProductID" w:val="100 гектаров"/>
        </w:smartTagPr>
        <w:r w:rsidRPr="00F04E0A">
          <w:rPr>
            <w:b w:val="0"/>
            <w:szCs w:val="22"/>
            <w:lang w:val="ru-RU"/>
          </w:rPr>
          <w:t>100 гектаров</w:t>
        </w:r>
      </w:smartTag>
      <w:r w:rsidRPr="00F04E0A">
        <w:rPr>
          <w:b w:val="0"/>
          <w:szCs w:val="22"/>
          <w:lang w:val="ru-RU"/>
        </w:rPr>
        <w:t xml:space="preserve"> выросло в 2,6 раза.</w:t>
      </w:r>
    </w:p>
    <w:p w:rsidR="00835A84" w:rsidRPr="00F04E0A" w:rsidRDefault="00835A84" w:rsidP="00C95D6C">
      <w:pPr>
        <w:tabs>
          <w:tab w:val="left" w:pos="-993"/>
          <w:tab w:val="left" w:pos="567"/>
          <w:tab w:val="left" w:pos="1134"/>
        </w:tabs>
        <w:spacing w:after="200"/>
        <w:jc w:val="center"/>
        <w:rPr>
          <w:b/>
          <w:bCs/>
          <w:sz w:val="22"/>
          <w:szCs w:val="22"/>
        </w:rPr>
      </w:pPr>
      <w:r w:rsidRPr="00F04E0A">
        <w:rPr>
          <w:b/>
          <w:bCs/>
          <w:noProof/>
          <w:sz w:val="22"/>
          <w:szCs w:val="22"/>
        </w:rPr>
        <w:t>g)</w:t>
      </w:r>
    </w:p>
    <w:p w:rsidR="00835A84" w:rsidRPr="00F04E0A" w:rsidRDefault="00835A84" w:rsidP="00C603EC">
      <w:pPr>
        <w:pStyle w:val="BodyText"/>
        <w:tabs>
          <w:tab w:val="left" w:pos="-993"/>
          <w:tab w:val="left" w:pos="567"/>
          <w:tab w:val="left" w:pos="1134"/>
        </w:tabs>
        <w:spacing w:before="0" w:after="200"/>
        <w:ind w:firstLine="567"/>
        <w:rPr>
          <w:b w:val="0"/>
          <w:bCs/>
          <w:szCs w:val="22"/>
          <w:lang w:val="ru-RU"/>
        </w:rPr>
      </w:pPr>
      <w:r w:rsidRPr="00F04E0A">
        <w:rPr>
          <w:b w:val="0"/>
          <w:szCs w:val="22"/>
          <w:lang w:val="ru-RU"/>
        </w:rPr>
        <w:t xml:space="preserve">204. </w:t>
      </w:r>
      <w:r w:rsidR="00C95D6C">
        <w:rPr>
          <w:b w:val="0"/>
          <w:szCs w:val="22"/>
          <w:lang w:val="ru-RU"/>
        </w:rPr>
        <w:tab/>
      </w:r>
      <w:r w:rsidRPr="00F04E0A">
        <w:rPr>
          <w:b w:val="0"/>
          <w:szCs w:val="22"/>
          <w:lang w:val="ru-RU"/>
        </w:rPr>
        <w:t>Сельскому хозяйству оказывается финансовая поддержка из структурных фондов ЕС, правила управления которыми требуют обеспечения равного доступа женщин и мужчин к структурной помощи ЕС для развития их фермерских хозяйств. В 2005 году финансовая поддержка была оказана 12 проектам в области развития фермерских хозяйств, половина из которых была выдвинута женщинами. 14 процентов всех получивших финансовую поддержку инвестиционных проектов в области сельского хозяйства были выдвинуты женщинами. Молодым сельским женщинам предлагается расширять их фермерские хозяйства. В 2005 году 24 процента всех проектов, выдвинутых молодыми фермерами, принадлежали женщинам.</w:t>
      </w:r>
    </w:p>
    <w:p w:rsidR="00835A84" w:rsidRPr="00F04E0A" w:rsidRDefault="00835A84" w:rsidP="00C95D6C">
      <w:pPr>
        <w:pStyle w:val="BodyText"/>
        <w:tabs>
          <w:tab w:val="left" w:pos="-993"/>
          <w:tab w:val="left" w:pos="567"/>
          <w:tab w:val="left" w:pos="1134"/>
        </w:tabs>
        <w:spacing w:before="0" w:after="200"/>
        <w:jc w:val="center"/>
        <w:rPr>
          <w:bCs/>
          <w:szCs w:val="22"/>
          <w:lang w:val="ru-RU"/>
        </w:rPr>
      </w:pPr>
      <w:r w:rsidRPr="00F04E0A">
        <w:rPr>
          <w:bCs/>
          <w:noProof/>
          <w:szCs w:val="22"/>
          <w:lang w:val="ru-RU"/>
        </w:rPr>
        <w:t>h)</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205. </w:t>
      </w:r>
      <w:r w:rsidR="00C95D6C">
        <w:rPr>
          <w:b w:val="0"/>
          <w:szCs w:val="22"/>
          <w:lang w:val="ru-RU"/>
        </w:rPr>
        <w:tab/>
      </w:r>
      <w:r w:rsidRPr="00F04E0A">
        <w:rPr>
          <w:b w:val="0"/>
          <w:szCs w:val="22"/>
          <w:lang w:val="ru-RU"/>
        </w:rPr>
        <w:t>5 июля 2005 года были внесены поправки (Законом № X</w:t>
      </w:r>
      <w:r w:rsidRPr="00F04E0A">
        <w:rPr>
          <w:b w:val="0"/>
          <w:szCs w:val="22"/>
          <w:lang w:val="ru-RU"/>
        </w:rPr>
        <w:noBreakHyphen/>
        <w:t>319 от 5 июля 2005 года) в Закон Литовской Республики о государственной поддержке в приобретении или съеме жилья и в реконструкции многоквартирных домов (</w:t>
      </w:r>
      <w:r w:rsidRPr="00F04E0A">
        <w:rPr>
          <w:b w:val="0"/>
          <w:i/>
          <w:iCs/>
          <w:szCs w:val="22"/>
          <w:lang w:val="ru-RU"/>
        </w:rPr>
        <w:t>Valstybės žinios</w:t>
      </w:r>
      <w:r w:rsidRPr="00F04E0A">
        <w:rPr>
          <w:b w:val="0"/>
          <w:szCs w:val="22"/>
          <w:lang w:val="ru-RU"/>
        </w:rPr>
        <w:t xml:space="preserve"> (Правительственная газета) № 14</w:t>
      </w:r>
      <w:r w:rsidRPr="00F04E0A">
        <w:rPr>
          <w:b w:val="0"/>
          <w:szCs w:val="22"/>
          <w:lang w:val="ru-RU"/>
        </w:rPr>
        <w:noBreakHyphen/>
        <w:t>378, 1992 год; № 116</w:t>
      </w:r>
      <w:r w:rsidRPr="00F04E0A">
        <w:rPr>
          <w:b w:val="0"/>
          <w:szCs w:val="22"/>
          <w:lang w:val="ru-RU"/>
        </w:rPr>
        <w:noBreakHyphen/>
        <w:t>5188, 2002 год). Этот Закон регламентирует предоставление государственной поддержки бедным семьям или одиноким лицам в приобретении или съеме жилья. Форма поддержки зависит от имеющихся активов и получаемого дохода. Поддержка в приобретении жилья может предоставляться молодым семьям или большим семьям (в виде финансирования 10 процентов ипотечного взноса (или остаточной задолженности по ипотеке)), а также инвалидам и сиротам (в виде финансирования 20 процентов ипотечного взноса (или остаточной задолженности по ипотеке)).</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bookmarkStart w:id="22" w:name="_Hlt182988018"/>
      <w:bookmarkStart w:id="23" w:name="_Hlt182988019"/>
      <w:bookmarkStart w:id="24" w:name="_Hlt182988051"/>
      <w:bookmarkStart w:id="25" w:name="_Hlt182988052"/>
      <w:r w:rsidRPr="00F04E0A">
        <w:rPr>
          <w:b w:val="0"/>
          <w:szCs w:val="22"/>
          <w:lang w:val="ru-RU"/>
        </w:rPr>
        <w:t xml:space="preserve">206. </w:t>
      </w:r>
      <w:r w:rsidR="00C95D6C">
        <w:rPr>
          <w:b w:val="0"/>
          <w:szCs w:val="22"/>
          <w:lang w:val="ru-RU"/>
        </w:rPr>
        <w:tab/>
      </w:r>
      <w:r w:rsidRPr="00F04E0A">
        <w:rPr>
          <w:b w:val="0"/>
          <w:szCs w:val="22"/>
          <w:lang w:val="ru-RU"/>
        </w:rPr>
        <w:t>Существует определенный разрыв между городскими и сельскими районами Литвы в плане водоснабжения: в сельских районах эти услуги менее доступны, чем в городских. В целях обеспечения равного доступа всех к водоснабжению и услугам по очистке сточных вод 13 июля 2006 года было принято два закона: Закон Литовской Республики о питьевом водоснабжении и очистке сточных вод (</w:t>
      </w:r>
      <w:r w:rsidRPr="00F04E0A">
        <w:rPr>
          <w:b w:val="0"/>
          <w:i/>
          <w:iCs/>
          <w:szCs w:val="22"/>
          <w:lang w:val="ru-RU"/>
        </w:rPr>
        <w:t>Valstybės žinios</w:t>
      </w:r>
      <w:r w:rsidRPr="00F04E0A">
        <w:rPr>
          <w:b w:val="0"/>
          <w:szCs w:val="22"/>
          <w:lang w:val="ru-RU"/>
        </w:rPr>
        <w:t xml:space="preserve"> (Правительственная газета) № 82</w:t>
      </w:r>
      <w:r w:rsidRPr="00F04E0A">
        <w:rPr>
          <w:b w:val="0"/>
          <w:szCs w:val="22"/>
          <w:lang w:val="ru-RU"/>
        </w:rPr>
        <w:noBreakHyphen/>
        <w:t>3260, 2006 год) и Закон Литовской Республики о вступлении в силу и осуществлении Закона о питьевом водоснабжении и очистке сточных вод (</w:t>
      </w:r>
      <w:r w:rsidRPr="00F04E0A">
        <w:rPr>
          <w:b w:val="0"/>
          <w:i/>
          <w:iCs/>
          <w:szCs w:val="22"/>
          <w:lang w:val="ru-RU"/>
        </w:rPr>
        <w:t>Valstybės žinios</w:t>
      </w:r>
      <w:r w:rsidRPr="00F04E0A">
        <w:rPr>
          <w:b w:val="0"/>
          <w:szCs w:val="22"/>
          <w:lang w:val="ru-RU"/>
        </w:rPr>
        <w:t xml:space="preserve"> (Правительственная газета) № 82</w:t>
      </w:r>
      <w:r w:rsidRPr="00F04E0A">
        <w:rPr>
          <w:b w:val="0"/>
          <w:szCs w:val="22"/>
          <w:lang w:val="ru-RU"/>
        </w:rPr>
        <w:noBreakHyphen/>
        <w:t>3261, 2006 год); в соответствии с этими законами к 31 декабря 2014 года доступ к воде коммунально-бытового водоснабжения и услугам по очистке сточных вод будет обеспечен, по меньшей мере, для 95 процентов населения каждого из муниципалитетов.</w:t>
      </w:r>
    </w:p>
    <w:bookmarkEnd w:id="22"/>
    <w:bookmarkEnd w:id="23"/>
    <w:bookmarkEnd w:id="24"/>
    <w:bookmarkEnd w:id="25"/>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207. </w:t>
      </w:r>
      <w:r w:rsidR="00C95D6C">
        <w:rPr>
          <w:b w:val="0"/>
          <w:szCs w:val="22"/>
          <w:lang w:val="ru-RU"/>
        </w:rPr>
        <w:tab/>
      </w:r>
      <w:r w:rsidRPr="00F04E0A">
        <w:rPr>
          <w:b w:val="0"/>
          <w:szCs w:val="22"/>
          <w:lang w:val="ru-RU"/>
        </w:rPr>
        <w:t>Почтовыми и курьерскими услугами охвачена вся территория страны. Они оказываются всем постоянным жителям страны независимо от пола и адреса. По состоянию на 31 декабря 2006 года в Литве функционировало 934 стационарных почтовых отделения (225 в городских и 709 в сельских районах), 14 филиалов почтовых отделений (8 в городских и 6 в сельских районах) и 6 передвижных почтовых отделений, то есть в общей сложности 940 пунктов оказания универсальных почтовых услуг. По состоянию на 31 декабря 2006 года на рынке почтовых и курьерских услуг действовали 77 поставщиков почтовых и курьерских услуг; 11 из них имели лицензию на оказание почтовых услуг. 3 января 2006 года государственное предприятие "Литовская почта" было преобразовано в открытую акционерную компанию с ограниченной ответственностью. Стремясь обеспечить бесперебойное оказание универсальных почтовых услуг всем на равных условиях во всех местах страны, компания осуществляет централизацию своей системы управления бизнесом</w:t>
      </w:r>
      <w:r w:rsidRPr="00F04E0A">
        <w:rPr>
          <w:b w:val="0"/>
          <w:color w:val="0000FF"/>
          <w:szCs w:val="22"/>
          <w:lang w:val="ru-RU"/>
        </w:rPr>
        <w:t xml:space="preserve"> </w:t>
      </w:r>
      <w:r w:rsidRPr="00F04E0A">
        <w:rPr>
          <w:b w:val="0"/>
          <w:szCs w:val="22"/>
          <w:lang w:val="ru-RU"/>
        </w:rPr>
        <w:t>и оптимизацию технологических процессов.</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208. </w:t>
      </w:r>
      <w:r w:rsidR="00C95D6C">
        <w:rPr>
          <w:b w:val="0"/>
          <w:szCs w:val="22"/>
          <w:lang w:val="ru-RU"/>
        </w:rPr>
        <w:tab/>
      </w:r>
      <w:r w:rsidRPr="00F04E0A">
        <w:rPr>
          <w:b w:val="0"/>
          <w:szCs w:val="22"/>
          <w:lang w:val="ru-RU"/>
        </w:rPr>
        <w:t xml:space="preserve">Услуги электронной связи на территории Литвы </w:t>
      </w:r>
      <w:r w:rsidRPr="00F04E0A">
        <w:rPr>
          <w:b w:val="0"/>
          <w:szCs w:val="22"/>
          <w:lang w:val="ru-RU" w:bidi="fa-IR"/>
        </w:rPr>
        <w:t xml:space="preserve">также оказываются </w:t>
      </w:r>
      <w:r w:rsidRPr="00F04E0A">
        <w:rPr>
          <w:b w:val="0"/>
          <w:szCs w:val="22"/>
          <w:lang w:val="ru-RU"/>
        </w:rPr>
        <w:t>всем независимо от пола. Согласно данным Департамента статистики, доля домохозяйств, имеющих персональный компьютер и доступ к Интернету, увеличилась с 29 процентов в первом квартале 2005 года до 36,5 процента в первом квартале 2006 года. В целях сокращения разрыва между крупными городами и удаленными районами развивается инфраструктура широкополосной связи. Эта задача решается в рамках проекта "Широкополосная сеть информационных технологий в сельской местности RAIN", финансируемого из структурных фондов ЕС и государственного бюджета. К концу 2008 года запланировано проложить каналы широкополосного Интернета, соединяющие все местные административные центры, и установить там узлы сети Интернет.</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209. </w:t>
      </w:r>
      <w:r w:rsidR="008F2A72">
        <w:rPr>
          <w:b w:val="0"/>
          <w:szCs w:val="22"/>
          <w:lang w:val="ru-RU"/>
        </w:rPr>
        <w:tab/>
      </w:r>
      <w:r w:rsidRPr="00F04E0A">
        <w:rPr>
          <w:b w:val="0"/>
          <w:szCs w:val="22"/>
          <w:lang w:val="ru-RU"/>
        </w:rPr>
        <w:t>В целях содействия использованию в Литве Интернета и, следовательно, улучшению качества жизни и повышению конкурентоспособности Литвы в Европе и в мире коммерческие предприятия и государственные учреждения совместно осуществляют проект "Окно в будущее". Основная цель проекта заключается в ускорении распространения в Литве Интернета и организации курсов обучения работе с Интернетом для населения. Только в 2003 году курсы обучения работе с Интернетом, организованные в рамках этого проекта, посетили 20 тыс. жителей Литвы. Столь высокий уровень интереса к этим курсам послужил основанием для подготовки проекта и обращения с просьбой о финансировании из структурных фондов ЕС. Поддержка ЕС в организации курсов обучения работе с Интернетом была оказана в 2006 году. В 2006–2008 годах на курсах обучения базовым навыкам работы с Интернетом прошли обучение 50 тыс. жителей Литвы. В целях обучения как можно большего числа сельских жителей этот проект, поддерживаемый из структурных фондов ЕС, был распространен на всю территорию Литвы.</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210. </w:t>
      </w:r>
      <w:r w:rsidR="008F2A72">
        <w:rPr>
          <w:b w:val="0"/>
          <w:szCs w:val="22"/>
          <w:lang w:val="ru-RU"/>
        </w:rPr>
        <w:tab/>
      </w:r>
      <w:r w:rsidRPr="00F04E0A">
        <w:rPr>
          <w:b w:val="0"/>
          <w:szCs w:val="22"/>
          <w:lang w:val="ru-RU"/>
        </w:rPr>
        <w:t xml:space="preserve">В Литве быстро развивается рынок мобильной связи. По данным Департамента статистики, количество мобильных телефонов на 100 жителей в 2000 году составляло 14,6 единицы, в 2005 году – 127,9 единицы и в 2006 году – 139,4 единицы. В 2006 году было зафиксировано незначительное общее снижение количества </w:t>
      </w:r>
      <w:r w:rsidRPr="00F04E0A">
        <w:rPr>
          <w:b w:val="0"/>
          <w:spacing w:val="-2"/>
          <w:szCs w:val="22"/>
          <w:lang w:val="ru-RU"/>
        </w:rPr>
        <w:t>стационарных телефонных линий</w:t>
      </w:r>
      <w:r w:rsidRPr="00F04E0A">
        <w:rPr>
          <w:b w:val="0"/>
          <w:szCs w:val="22"/>
          <w:lang w:val="ru-RU"/>
        </w:rPr>
        <w:t xml:space="preserve">, поскольку большинство линий принадлежало новым поставщикам услуг фиксированной телефонной связи. </w:t>
      </w:r>
      <w:r w:rsidRPr="00F04E0A">
        <w:rPr>
          <w:b w:val="0"/>
          <w:spacing w:val="-2"/>
          <w:szCs w:val="22"/>
          <w:lang w:val="ru-RU"/>
        </w:rPr>
        <w:t>В 2005 году на 100 жителей приходилось 23,5 стационарной телефонной линии. В 2006 году этот показатель снизился до 23,4.</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bookmarkStart w:id="26" w:name="_Hlt183229085"/>
      <w:bookmarkStart w:id="27" w:name="_Hlt183229086"/>
      <w:bookmarkStart w:id="28" w:name="_Hlt183229058"/>
      <w:bookmarkStart w:id="29" w:name="_Hlt183229059"/>
      <w:r w:rsidRPr="00F04E0A">
        <w:rPr>
          <w:b w:val="0"/>
          <w:szCs w:val="22"/>
          <w:lang w:val="ru-RU"/>
        </w:rPr>
        <w:t xml:space="preserve">211. </w:t>
      </w:r>
      <w:r w:rsidR="008F2A72">
        <w:rPr>
          <w:b w:val="0"/>
          <w:szCs w:val="22"/>
          <w:lang w:val="ru-RU"/>
        </w:rPr>
        <w:tab/>
      </w:r>
      <w:r w:rsidRPr="00F04E0A">
        <w:rPr>
          <w:b w:val="0"/>
          <w:szCs w:val="22"/>
          <w:lang w:val="ru-RU"/>
        </w:rPr>
        <w:t>Правительство своим Постановлением № 1492 от 25 ноября 2004 года (</w:t>
      </w:r>
      <w:r w:rsidRPr="00F04E0A">
        <w:rPr>
          <w:b w:val="0"/>
          <w:i/>
          <w:iCs/>
          <w:szCs w:val="22"/>
          <w:lang w:val="ru-RU"/>
        </w:rPr>
        <w:t xml:space="preserve">Valstybės žinios </w:t>
      </w:r>
      <w:r w:rsidRPr="00F04E0A">
        <w:rPr>
          <w:b w:val="0"/>
          <w:szCs w:val="22"/>
          <w:lang w:val="ru-RU"/>
        </w:rPr>
        <w:t>(Правительственная газета) № 171</w:t>
      </w:r>
      <w:r w:rsidRPr="00F04E0A">
        <w:rPr>
          <w:b w:val="0"/>
          <w:szCs w:val="22"/>
          <w:lang w:val="ru-RU"/>
        </w:rPr>
        <w:noBreakHyphen/>
        <w:t>6336, 2004 год) утвердило Модель перехода к цифровому телевидению в Литве, которая определяет конкретные действия по переходу к цифровому наземному телевидению, учреждения-исполнители, их функции, запланированные мероприятия и сроки их осуществления. В рамках осуществления этой Модели к концу 2007 года запланировано установить цифровые телевизионные передатчики в 5 крупнейших городах Литвы; они будут транслировать до 40 телевизионных программ. Постепенный переход от аналогового к цифровому телевидению должен начаться в 2012 году.</w:t>
      </w:r>
    </w:p>
    <w:bookmarkEnd w:id="26"/>
    <w:bookmarkEnd w:id="27"/>
    <w:bookmarkEnd w:id="28"/>
    <w:bookmarkEnd w:id="29"/>
    <w:p w:rsidR="00835A84" w:rsidRPr="00F04E0A" w:rsidRDefault="00835A84" w:rsidP="008F2A72">
      <w:pPr>
        <w:pStyle w:val="BodyText"/>
        <w:tabs>
          <w:tab w:val="left" w:pos="-993"/>
          <w:tab w:val="left" w:pos="567"/>
          <w:tab w:val="left" w:pos="1134"/>
        </w:tabs>
        <w:spacing w:before="0" w:after="400"/>
        <w:ind w:firstLine="567"/>
        <w:rPr>
          <w:b w:val="0"/>
          <w:szCs w:val="22"/>
          <w:lang w:val="ru-RU"/>
        </w:rPr>
      </w:pPr>
      <w:r w:rsidRPr="00F04E0A">
        <w:rPr>
          <w:b w:val="0"/>
          <w:szCs w:val="22"/>
          <w:lang w:val="ru-RU"/>
        </w:rPr>
        <w:t xml:space="preserve">212. </w:t>
      </w:r>
      <w:r w:rsidR="008F2A72">
        <w:rPr>
          <w:b w:val="0"/>
          <w:szCs w:val="22"/>
          <w:lang w:val="ru-RU"/>
        </w:rPr>
        <w:tab/>
      </w:r>
      <w:r w:rsidRPr="00F04E0A">
        <w:rPr>
          <w:b w:val="0"/>
          <w:szCs w:val="22"/>
          <w:lang w:val="ru-RU"/>
        </w:rPr>
        <w:t>В целях обеспечения доступа всего населения (в том числе, сельских жителей) к информации о науке и технологиях правительство своим Постановлением № 335 от 5 апреля 2006 года (</w:t>
      </w:r>
      <w:r w:rsidRPr="00F04E0A">
        <w:rPr>
          <w:b w:val="0"/>
          <w:i/>
          <w:iCs/>
          <w:szCs w:val="22"/>
          <w:lang w:val="ru-RU"/>
        </w:rPr>
        <w:t xml:space="preserve">Valstybės žinios </w:t>
      </w:r>
      <w:r w:rsidRPr="00F04E0A">
        <w:rPr>
          <w:b w:val="0"/>
          <w:szCs w:val="22"/>
          <w:lang w:val="ru-RU"/>
        </w:rPr>
        <w:t>(Правительственная газета) № 39</w:t>
      </w:r>
      <w:r w:rsidRPr="00F04E0A">
        <w:rPr>
          <w:b w:val="0"/>
          <w:szCs w:val="22"/>
          <w:lang w:val="ru-RU"/>
        </w:rPr>
        <w:noBreakHyphen/>
        <w:t>1394, 2006 год) утвердило План развития системы высшего образования Литвы на 2006–2010 годы, который предусматривает распространение и популяризацию информации о научных исследованиях и технологиях, имеющихся в Литве. В целях облегчения доступа к различным базам данных в библиотеках научно-исследовательских институтов и в региональных библиотеках с каждым годом все больший объем средств выделяется для финансирования подписки на мультимедийные базы данных (в 2006 году было выделено 1,806 млн. литов для подписки на 20 баз данных).</w:t>
      </w:r>
    </w:p>
    <w:p w:rsidR="00835A84" w:rsidRPr="00F04E0A" w:rsidRDefault="00835A84" w:rsidP="008F2A72">
      <w:pPr>
        <w:pStyle w:val="NormalWeb"/>
        <w:tabs>
          <w:tab w:val="left" w:pos="-993"/>
          <w:tab w:val="left" w:pos="567"/>
          <w:tab w:val="left" w:pos="1134"/>
        </w:tabs>
        <w:spacing w:before="180" w:beforeAutospacing="0" w:after="200" w:afterAutospacing="0"/>
        <w:jc w:val="center"/>
        <w:rPr>
          <w:b/>
          <w:bCs/>
          <w:sz w:val="22"/>
          <w:szCs w:val="22"/>
          <w:lang w:val="ru-RU"/>
        </w:rPr>
      </w:pPr>
      <w:r w:rsidRPr="00F04E0A">
        <w:rPr>
          <w:b/>
          <w:bCs/>
          <w:sz w:val="22"/>
          <w:szCs w:val="22"/>
          <w:lang w:val="ru-RU"/>
        </w:rPr>
        <w:t>Статья 15</w:t>
      </w:r>
    </w:p>
    <w:p w:rsidR="00835A84" w:rsidRPr="00F04E0A" w:rsidRDefault="00835A84" w:rsidP="008F2A72">
      <w:pPr>
        <w:pStyle w:val="NormalWeb"/>
        <w:tabs>
          <w:tab w:val="left" w:pos="-993"/>
          <w:tab w:val="left" w:pos="567"/>
          <w:tab w:val="left" w:pos="1134"/>
        </w:tabs>
        <w:spacing w:before="0" w:beforeAutospacing="0" w:after="200" w:afterAutospacing="0"/>
        <w:jc w:val="center"/>
        <w:rPr>
          <w:b/>
          <w:bCs/>
          <w:sz w:val="22"/>
          <w:szCs w:val="22"/>
          <w:lang w:val="ru-RU"/>
        </w:rPr>
      </w:pPr>
      <w:r w:rsidRPr="00F04E0A">
        <w:rPr>
          <w:b/>
          <w:bCs/>
          <w:sz w:val="22"/>
          <w:szCs w:val="22"/>
          <w:lang w:val="ru-RU"/>
        </w:rPr>
        <w:t>Пункты 1, 2 и 3</w:t>
      </w:r>
    </w:p>
    <w:p w:rsidR="00835A84" w:rsidRPr="00F04E0A" w:rsidRDefault="00835A84" w:rsidP="008F2A72">
      <w:pPr>
        <w:pStyle w:val="BodyText"/>
        <w:tabs>
          <w:tab w:val="left" w:pos="-993"/>
          <w:tab w:val="left" w:pos="567"/>
          <w:tab w:val="left" w:pos="1134"/>
        </w:tabs>
        <w:spacing w:before="0" w:after="400"/>
        <w:ind w:firstLine="567"/>
        <w:rPr>
          <w:b w:val="0"/>
          <w:bCs/>
          <w:szCs w:val="22"/>
          <w:lang w:val="ru-RU"/>
        </w:rPr>
      </w:pPr>
      <w:r w:rsidRPr="00F04E0A">
        <w:rPr>
          <w:b w:val="0"/>
          <w:szCs w:val="22"/>
          <w:lang w:val="ru-RU"/>
        </w:rPr>
        <w:t xml:space="preserve">213. </w:t>
      </w:r>
      <w:r w:rsidR="008F2A72">
        <w:rPr>
          <w:b w:val="0"/>
          <w:szCs w:val="22"/>
          <w:lang w:val="ru-RU"/>
        </w:rPr>
        <w:tab/>
      </w:r>
      <w:r w:rsidRPr="00F04E0A">
        <w:rPr>
          <w:b w:val="0"/>
          <w:szCs w:val="22"/>
          <w:lang w:val="ru-RU"/>
        </w:rPr>
        <w:t>Информация об осуществлении в Литве статей 15(1), 15(2) и 15(3) Конвенции уже была представлена в третьем докладе. В 2005–2006 годах в законодательных актах в данной области не произошло никаких изменений.</w:t>
      </w:r>
    </w:p>
    <w:p w:rsidR="00835A84" w:rsidRPr="00F04E0A" w:rsidRDefault="00835A84" w:rsidP="008F2A72">
      <w:pPr>
        <w:pStyle w:val="BodyText"/>
        <w:tabs>
          <w:tab w:val="left" w:pos="-993"/>
          <w:tab w:val="left" w:pos="567"/>
          <w:tab w:val="left" w:pos="1134"/>
        </w:tabs>
        <w:spacing w:before="0" w:after="200"/>
        <w:jc w:val="center"/>
        <w:rPr>
          <w:bCs/>
          <w:szCs w:val="22"/>
          <w:lang w:val="ru-RU"/>
        </w:rPr>
      </w:pPr>
      <w:r w:rsidRPr="00F04E0A">
        <w:rPr>
          <w:bCs/>
          <w:szCs w:val="22"/>
          <w:lang w:val="ru-RU"/>
        </w:rPr>
        <w:t>Пункт 4</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214. </w:t>
      </w:r>
      <w:r w:rsidR="008F2A72">
        <w:rPr>
          <w:b w:val="0"/>
          <w:szCs w:val="22"/>
          <w:lang w:val="ru-RU"/>
        </w:rPr>
        <w:tab/>
      </w:r>
      <w:r w:rsidRPr="00F04E0A">
        <w:rPr>
          <w:b w:val="0"/>
          <w:szCs w:val="22"/>
          <w:lang w:val="ru-RU"/>
        </w:rPr>
        <w:t>Статья 32 Конституции гарантирует право каждого гражданина Литовской Республики, без проведения различий между женщинами и мужчинами, свободно передвигаться и выбирать место своего проживания</w:t>
      </w:r>
      <w:r w:rsidRPr="00F04E0A">
        <w:rPr>
          <w:b w:val="0"/>
          <w:i/>
          <w:iCs/>
          <w:szCs w:val="22"/>
          <w:lang w:val="ru-RU"/>
        </w:rPr>
        <w:t xml:space="preserve"> </w:t>
      </w:r>
      <w:r w:rsidRPr="00F04E0A">
        <w:rPr>
          <w:b w:val="0"/>
          <w:szCs w:val="22"/>
          <w:lang w:val="ru-RU"/>
        </w:rPr>
        <w:t>в Литве и свободно выезжать из Литвы. Это право может быть ограничено только в соответствии с законом и только в том случае, если это необходимо в целях защиты национальной безопасности, здоровья населения, а также обеспечения отправления правосудия.</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215. </w:t>
      </w:r>
      <w:r w:rsidR="008F2A72">
        <w:rPr>
          <w:b w:val="0"/>
          <w:szCs w:val="22"/>
          <w:lang w:val="ru-RU"/>
        </w:rPr>
        <w:tab/>
      </w:r>
      <w:r w:rsidRPr="00F04E0A">
        <w:rPr>
          <w:b w:val="0"/>
          <w:szCs w:val="22"/>
          <w:lang w:val="ru-RU"/>
        </w:rPr>
        <w:t>В статье 3(2) Закона Литовской Республики о правовом статусе иностранцев предусматривается, что иностранцы в Литовской Республике равны перед законом независимо от их пола, расы, гражданства, языка, происхождения, социального положения, религии, убеждений или взглядов. В статье 24 предусматривается, что разрешение на пребывание в Литовской Республике дает иностранцу (как мужского, так и женского пола) право проживать в Литовской Республике, выбирать и менять место проживания в Литовской Республике, выезжать из Литовской Республики и возвращаться в нее в период действия разрешения на пребывание.</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216. </w:t>
      </w:r>
      <w:r w:rsidR="008F2A72">
        <w:rPr>
          <w:b w:val="0"/>
          <w:szCs w:val="22"/>
          <w:lang w:val="ru-RU"/>
        </w:rPr>
        <w:tab/>
      </w:r>
      <w:r w:rsidRPr="00F04E0A">
        <w:rPr>
          <w:b w:val="0"/>
          <w:szCs w:val="22"/>
          <w:lang w:val="ru-RU"/>
        </w:rPr>
        <w:t>Закон, упомянутый в пункте 215, гарантирует всем иностранцам, законно пребывающим на территории Литовской Республики, независимо от их пола, право на восстановление семьи. Согласно статье 2(27) Закона, восстановление семьи означает въезд на территорию Литовской Республики и постоянное проживание в ней членов семьи иностранца, не являющегося гражданином Европейского союза, но постоянно проживающего на законных основаниях на территории Литовской Республики, в целях сохранения семейной ячейки, независимо от того, возникли ли семейные отношения до или после въезда иностранца на территорию страны. Членам семьи иностранца может быть выдано разрешение на временное местожительства (статьи 40(1)(3) и 43).</w:t>
      </w:r>
    </w:p>
    <w:p w:rsidR="00835A84" w:rsidRPr="00F04E0A" w:rsidRDefault="00835A84" w:rsidP="008F2A72">
      <w:pPr>
        <w:pStyle w:val="BodyText"/>
        <w:tabs>
          <w:tab w:val="left" w:pos="-993"/>
          <w:tab w:val="left" w:pos="567"/>
          <w:tab w:val="left" w:pos="1134"/>
        </w:tabs>
        <w:spacing w:before="0" w:after="200"/>
        <w:jc w:val="center"/>
        <w:rPr>
          <w:bCs/>
          <w:szCs w:val="22"/>
          <w:lang w:val="ru-RU"/>
        </w:rPr>
      </w:pPr>
      <w:r w:rsidRPr="00F04E0A">
        <w:rPr>
          <w:bCs/>
          <w:szCs w:val="22"/>
          <w:lang w:val="ru-RU"/>
        </w:rPr>
        <w:t>Статья 16</w:t>
      </w:r>
    </w:p>
    <w:p w:rsidR="00835A84" w:rsidRPr="00F04E0A" w:rsidRDefault="00835A84" w:rsidP="00C603EC">
      <w:pPr>
        <w:pStyle w:val="BodyText"/>
        <w:tabs>
          <w:tab w:val="left" w:pos="-993"/>
          <w:tab w:val="left" w:pos="567"/>
          <w:tab w:val="left" w:pos="1134"/>
        </w:tabs>
        <w:spacing w:before="0" w:after="200"/>
        <w:ind w:firstLine="567"/>
        <w:rPr>
          <w:b w:val="0"/>
          <w:szCs w:val="22"/>
          <w:lang w:val="ru-RU"/>
        </w:rPr>
      </w:pPr>
      <w:r w:rsidRPr="00F04E0A">
        <w:rPr>
          <w:b w:val="0"/>
          <w:szCs w:val="22"/>
          <w:lang w:val="ru-RU"/>
        </w:rPr>
        <w:t xml:space="preserve">217. </w:t>
      </w:r>
      <w:r w:rsidR="008F2A72">
        <w:rPr>
          <w:b w:val="0"/>
          <w:szCs w:val="22"/>
          <w:lang w:val="ru-RU"/>
        </w:rPr>
        <w:tab/>
      </w:r>
      <w:r w:rsidRPr="00F04E0A">
        <w:rPr>
          <w:b w:val="0"/>
          <w:szCs w:val="22"/>
          <w:lang w:val="ru-RU"/>
        </w:rPr>
        <w:t>Информация об осуществлении в Литве статьи 16 Конвенции была представлена в третьем докладе. В 2005–2006 годах в законодательных актах в данной области не произошло никаких изменений.</w:t>
      </w:r>
    </w:p>
    <w:p w:rsidR="00835A84" w:rsidRPr="00F04E0A" w:rsidRDefault="00835A84" w:rsidP="00C603EC">
      <w:pPr>
        <w:pStyle w:val="BodyText"/>
        <w:tabs>
          <w:tab w:val="left" w:pos="-426"/>
          <w:tab w:val="left" w:pos="567"/>
          <w:tab w:val="left" w:pos="1134"/>
        </w:tabs>
        <w:spacing w:before="0" w:after="200"/>
        <w:ind w:firstLine="567"/>
        <w:rPr>
          <w:b w:val="0"/>
          <w:szCs w:val="22"/>
          <w:lang w:val="ru-RU"/>
        </w:rPr>
      </w:pPr>
    </w:p>
    <w:p w:rsidR="00835A84" w:rsidRDefault="00835A84" w:rsidP="002B6DC4">
      <w:pPr>
        <w:tabs>
          <w:tab w:val="left" w:pos="567"/>
          <w:tab w:val="left" w:pos="1134"/>
        </w:tabs>
        <w:ind w:left="3402"/>
        <w:rPr>
          <w:sz w:val="22"/>
          <w:szCs w:val="22"/>
        </w:rPr>
      </w:pPr>
      <w:r w:rsidRPr="008F2A72">
        <w:rPr>
          <w:sz w:val="22"/>
          <w:szCs w:val="22"/>
        </w:rPr>
        <w:t>Приложение</w:t>
      </w:r>
      <w:r w:rsidR="008F2A72" w:rsidRPr="008F2A72">
        <w:rPr>
          <w:sz w:val="22"/>
          <w:szCs w:val="22"/>
        </w:rPr>
        <w:t xml:space="preserve"> </w:t>
      </w:r>
      <w:r w:rsidRPr="008F2A72">
        <w:rPr>
          <w:sz w:val="22"/>
          <w:szCs w:val="22"/>
        </w:rPr>
        <w:t xml:space="preserve">к четвертому докладу об осуществлении Литовской Республикой Конвенции Организации Объединенных Наций о ликвидации всех форм дискриминации в отношении женщин </w:t>
      </w:r>
    </w:p>
    <w:p w:rsidR="008F2A72" w:rsidRPr="008F2A72" w:rsidRDefault="008F2A72" w:rsidP="008F2A72">
      <w:pPr>
        <w:tabs>
          <w:tab w:val="left" w:pos="567"/>
          <w:tab w:val="left" w:pos="1134"/>
        </w:tabs>
        <w:spacing w:after="200"/>
        <w:ind w:left="3402"/>
        <w:rPr>
          <w:sz w:val="22"/>
          <w:szCs w:val="22"/>
        </w:rPr>
      </w:pPr>
    </w:p>
    <w:p w:rsidR="00835A84" w:rsidRPr="00F04E0A" w:rsidRDefault="00835A84" w:rsidP="00835A84">
      <w:pPr>
        <w:pStyle w:val="BodyText"/>
        <w:tabs>
          <w:tab w:val="left" w:pos="567"/>
          <w:tab w:val="left" w:pos="1134"/>
        </w:tabs>
        <w:spacing w:before="0" w:after="200"/>
        <w:ind w:firstLine="567"/>
        <w:jc w:val="center"/>
        <w:rPr>
          <w:bCs/>
          <w:szCs w:val="22"/>
          <w:lang w:val="ru-RU"/>
        </w:rPr>
      </w:pPr>
      <w:r w:rsidRPr="00F04E0A">
        <w:rPr>
          <w:bCs/>
          <w:szCs w:val="22"/>
          <w:lang w:val="ru-RU"/>
        </w:rPr>
        <w:t xml:space="preserve">ТАБЛИЦА 1. </w:t>
      </w:r>
      <w:r w:rsidR="008F2A72">
        <w:rPr>
          <w:bCs/>
          <w:szCs w:val="22"/>
          <w:lang w:val="ru-RU"/>
        </w:rPr>
        <w:t xml:space="preserve"> </w:t>
      </w:r>
      <w:r w:rsidRPr="00F04E0A">
        <w:rPr>
          <w:bCs/>
          <w:szCs w:val="22"/>
          <w:lang w:val="ru-RU"/>
        </w:rPr>
        <w:t>ЖЕНЩИНЫ – ЖЕРТВЫ УГОЛОВНЫХ ПРЕСТУПЛЕНИЙ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0"/>
        <w:gridCol w:w="1232"/>
        <w:gridCol w:w="1231"/>
        <w:gridCol w:w="1231"/>
        <w:gridCol w:w="1206"/>
      </w:tblGrid>
      <w:tr w:rsidR="00835A84" w:rsidRPr="00F04E0A">
        <w:trPr>
          <w:cantSplit/>
          <w:trHeight w:val="20"/>
        </w:trPr>
        <w:tc>
          <w:tcPr>
            <w:tcW w:w="4737" w:type="dxa"/>
            <w:vMerge w:val="restart"/>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Женщины – жертвы уголовных преступлений</w:t>
            </w:r>
          </w:p>
        </w:tc>
        <w:tc>
          <w:tcPr>
            <w:tcW w:w="2520" w:type="dxa"/>
            <w:gridSpan w:val="2"/>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По вине мужа или сожителя</w:t>
            </w:r>
          </w:p>
        </w:tc>
        <w:tc>
          <w:tcPr>
            <w:tcW w:w="2494" w:type="dxa"/>
            <w:gridSpan w:val="2"/>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По вине детей или приемных детей</w:t>
            </w:r>
          </w:p>
        </w:tc>
      </w:tr>
      <w:tr w:rsidR="00835A84" w:rsidRPr="00F04E0A">
        <w:trPr>
          <w:cantSplit/>
          <w:trHeight w:val="20"/>
        </w:trPr>
        <w:tc>
          <w:tcPr>
            <w:tcW w:w="4737" w:type="dxa"/>
            <w:vMerge/>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5 г"/>
              </w:smartTagPr>
              <w:r w:rsidRPr="008F2A72">
                <w:t>2005 г</w:t>
              </w:r>
            </w:smartTag>
            <w:r w:rsidRPr="008F2A72">
              <w:t>.</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6 г"/>
              </w:smartTagPr>
              <w:r w:rsidRPr="008F2A72">
                <w:t>2006 г</w:t>
              </w:r>
            </w:smartTag>
            <w:r w:rsidRPr="008F2A72">
              <w:t>.</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5 г"/>
              </w:smartTagPr>
              <w:r w:rsidRPr="008F2A72">
                <w:t>2005 г</w:t>
              </w:r>
            </w:smartTag>
            <w:r w:rsidRPr="008F2A72">
              <w:t>.</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6 г"/>
              </w:smartTagPr>
              <w:r w:rsidRPr="008F2A72">
                <w:t>2006 г</w:t>
              </w:r>
            </w:smartTag>
            <w:r w:rsidRPr="008F2A72">
              <w:t>.</w:t>
            </w:r>
          </w:p>
        </w:tc>
      </w:tr>
      <w:tr w:rsidR="00835A84" w:rsidRPr="00F04E0A">
        <w:trPr>
          <w:cantSplit/>
          <w:trHeight w:val="20"/>
        </w:trPr>
        <w:tc>
          <w:tcPr>
            <w:tcW w:w="4737" w:type="dxa"/>
            <w:tcMar>
              <w:top w:w="28" w:type="dxa"/>
              <w:left w:w="57" w:type="dxa"/>
              <w:bottom w:w="28" w:type="dxa"/>
              <w:right w:w="57" w:type="dxa"/>
            </w:tcMar>
          </w:tcPr>
          <w:p w:rsidR="00835A84" w:rsidRPr="008F2A72" w:rsidRDefault="00835A84" w:rsidP="002B6DC4">
            <w:pPr>
              <w:tabs>
                <w:tab w:val="left" w:pos="567"/>
                <w:tab w:val="left" w:pos="1134"/>
              </w:tabs>
              <w:spacing w:before="10"/>
              <w:rPr>
                <w:bCs/>
              </w:rPr>
            </w:pPr>
            <w:r w:rsidRPr="008F2A72">
              <w:rPr>
                <w:bCs/>
              </w:rPr>
              <w:t>Всего</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464</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448</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111</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103</w:t>
            </w:r>
          </w:p>
        </w:tc>
      </w:tr>
      <w:tr w:rsidR="00835A84" w:rsidRPr="00F04E0A">
        <w:trPr>
          <w:cantSplit/>
          <w:trHeight w:val="20"/>
        </w:trPr>
        <w:tc>
          <w:tcPr>
            <w:tcW w:w="4737" w:type="dxa"/>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t>В сельских районах</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201</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202</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45</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50</w:t>
            </w:r>
          </w:p>
        </w:tc>
      </w:tr>
      <w:tr w:rsidR="00835A84" w:rsidRPr="00F04E0A">
        <w:trPr>
          <w:cantSplit/>
          <w:trHeight w:val="20"/>
        </w:trPr>
        <w:tc>
          <w:tcPr>
            <w:tcW w:w="4737" w:type="dxa"/>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t>Жертвы физического насилия</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265</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273</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49</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43</w:t>
            </w:r>
          </w:p>
        </w:tc>
      </w:tr>
      <w:tr w:rsidR="00835A84" w:rsidRPr="00F04E0A">
        <w:trPr>
          <w:cantSplit/>
          <w:trHeight w:val="20"/>
        </w:trPr>
        <w:tc>
          <w:tcPr>
            <w:tcW w:w="4737" w:type="dxa"/>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t>Жертвы сексуального насилия</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2</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1</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0</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0</w:t>
            </w:r>
          </w:p>
        </w:tc>
      </w:tr>
      <w:tr w:rsidR="00835A84" w:rsidRPr="00F04E0A">
        <w:trPr>
          <w:cantSplit/>
          <w:trHeight w:val="20"/>
        </w:trPr>
        <w:tc>
          <w:tcPr>
            <w:tcW w:w="4737" w:type="dxa"/>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t>Жертвы психологического насилия</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65</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48</w:t>
            </w:r>
          </w:p>
        </w:tc>
        <w:tc>
          <w:tcPr>
            <w:tcW w:w="1260"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10</w:t>
            </w:r>
          </w:p>
        </w:tc>
        <w:tc>
          <w:tcPr>
            <w:tcW w:w="1234" w:type="dxa"/>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8</w:t>
            </w:r>
          </w:p>
        </w:tc>
      </w:tr>
    </w:tbl>
    <w:p w:rsidR="00835A84" w:rsidRPr="002B6DC4" w:rsidRDefault="00835A84" w:rsidP="008F2A72">
      <w:pPr>
        <w:pStyle w:val="BodyText"/>
        <w:tabs>
          <w:tab w:val="left" w:pos="567"/>
          <w:tab w:val="left" w:pos="1134"/>
        </w:tabs>
        <w:spacing w:before="180" w:after="200"/>
        <w:jc w:val="left"/>
        <w:rPr>
          <w:iCs/>
          <w:color w:val="000000"/>
          <w:sz w:val="20"/>
          <w:lang w:val="ru-RU"/>
        </w:rPr>
      </w:pPr>
      <w:r w:rsidRPr="002B6DC4">
        <w:rPr>
          <w:iCs/>
          <w:color w:val="000000"/>
          <w:sz w:val="20"/>
          <w:lang w:val="ru-RU"/>
        </w:rPr>
        <w:t>Данные Департамента информатики и коммуникаций при Министерстве внутренних дел</w:t>
      </w:r>
    </w:p>
    <w:p w:rsidR="00835A84" w:rsidRPr="00F04E0A" w:rsidRDefault="00835A84" w:rsidP="00835A84">
      <w:pPr>
        <w:pStyle w:val="BodyText"/>
        <w:tabs>
          <w:tab w:val="left" w:pos="567"/>
          <w:tab w:val="left" w:pos="1134"/>
        </w:tabs>
        <w:spacing w:before="0" w:after="200"/>
        <w:ind w:firstLine="567"/>
        <w:jc w:val="center"/>
        <w:rPr>
          <w:bCs/>
          <w:szCs w:val="22"/>
          <w:lang w:val="ru-RU"/>
        </w:rPr>
      </w:pPr>
      <w:r w:rsidRPr="00F04E0A">
        <w:rPr>
          <w:bCs/>
          <w:szCs w:val="22"/>
          <w:lang w:val="ru-RU"/>
        </w:rPr>
        <w:t xml:space="preserve">ТАБЛИЦА 2. </w:t>
      </w:r>
      <w:r w:rsidR="008F2A72">
        <w:rPr>
          <w:bCs/>
          <w:szCs w:val="22"/>
          <w:lang w:val="ru-RU"/>
        </w:rPr>
        <w:t xml:space="preserve"> </w:t>
      </w:r>
      <w:r w:rsidRPr="00F04E0A">
        <w:rPr>
          <w:bCs/>
          <w:szCs w:val="22"/>
          <w:lang w:val="ru-RU"/>
        </w:rPr>
        <w:t xml:space="preserve">ЖЕНЩИНЫ – ЖЕРТВЫ ЗАРЕГИСТРИРОВАННЫХ </w:t>
      </w:r>
      <w:r w:rsidR="008F2A72">
        <w:rPr>
          <w:bCs/>
          <w:szCs w:val="22"/>
          <w:lang w:val="ru-RU"/>
        </w:rPr>
        <w:br/>
      </w:r>
      <w:r w:rsidRPr="00F04E0A">
        <w:rPr>
          <w:bCs/>
          <w:szCs w:val="22"/>
          <w:lang w:val="ru-RU"/>
        </w:rPr>
        <w:t>УГОЛОВНЫХ ПРЕСТУПЛЕНИЙ</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51"/>
        <w:gridCol w:w="708"/>
        <w:gridCol w:w="993"/>
        <w:gridCol w:w="992"/>
        <w:gridCol w:w="850"/>
        <w:gridCol w:w="709"/>
        <w:gridCol w:w="1134"/>
        <w:gridCol w:w="992"/>
        <w:gridCol w:w="851"/>
      </w:tblGrid>
      <w:tr w:rsidR="00835A84" w:rsidRPr="008F2A72">
        <w:tblPrEx>
          <w:tblCellMar>
            <w:top w:w="0" w:type="dxa"/>
            <w:bottom w:w="0" w:type="dxa"/>
          </w:tblCellMar>
        </w:tblPrEx>
        <w:trPr>
          <w:cantSplit/>
          <w:trHeight w:val="20"/>
        </w:trPr>
        <w:tc>
          <w:tcPr>
            <w:tcW w:w="2751"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pStyle w:val="Heading1"/>
              <w:keepNext w:val="0"/>
              <w:tabs>
                <w:tab w:val="clear" w:pos="4680"/>
                <w:tab w:val="left" w:pos="567"/>
                <w:tab w:val="left" w:pos="1134"/>
              </w:tabs>
              <w:overflowPunct w:val="0"/>
              <w:autoSpaceDE w:val="0"/>
              <w:autoSpaceDN w:val="0"/>
              <w:adjustRightInd w:val="0"/>
              <w:spacing w:before="10"/>
              <w:textAlignment w:val="baseline"/>
              <w:rPr>
                <w:sz w:val="20"/>
                <w:lang w:val="ru-RU"/>
              </w:rPr>
            </w:pPr>
            <w:r w:rsidRPr="008F2A72">
              <w:rPr>
                <w:caps/>
                <w:noProof/>
                <w:sz w:val="20"/>
                <w:lang w:val="ru-RU"/>
              </w:rPr>
              <w:t xml:space="preserve">статьЯ уголовного кодекса литОВСКОЙ республики </w:t>
            </w:r>
          </w:p>
        </w:tc>
        <w:tc>
          <w:tcPr>
            <w:tcW w:w="3543" w:type="dxa"/>
            <w:gridSpan w:val="4"/>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5 г"/>
              </w:smartTagPr>
              <w:r w:rsidRPr="008F2A72">
                <w:t>2005 г</w:t>
              </w:r>
            </w:smartTag>
            <w:r w:rsidRPr="008F2A72">
              <w:t>.</w:t>
            </w:r>
          </w:p>
        </w:tc>
        <w:tc>
          <w:tcPr>
            <w:tcW w:w="3686" w:type="dxa"/>
            <w:gridSpan w:val="4"/>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smartTag w:uri="urn:schemas-microsoft-com:office:smarttags" w:element="metricconverter">
              <w:smartTagPr>
                <w:attr w:name="ProductID" w:val="2006 г"/>
              </w:smartTagPr>
              <w:r w:rsidRPr="008F2A72">
                <w:t>2006 г</w:t>
              </w:r>
            </w:smartTag>
            <w:r w:rsidRPr="008F2A72">
              <w:t>.</w:t>
            </w:r>
          </w:p>
        </w:tc>
      </w:tr>
      <w:tr w:rsidR="00835A84" w:rsidRPr="008F2A72">
        <w:tblPrEx>
          <w:tblCellMar>
            <w:top w:w="0" w:type="dxa"/>
            <w:bottom w:w="0" w:type="dxa"/>
          </w:tblCellMar>
        </w:tblPrEx>
        <w:trPr>
          <w:cantSplit/>
          <w:trHeight w:val="20"/>
        </w:trPr>
        <w:tc>
          <w:tcPr>
            <w:tcW w:w="2751" w:type="dxa"/>
            <w:vMerge/>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городе</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pStyle w:val="Absatzflietext"/>
              <w:tabs>
                <w:tab w:val="left" w:pos="567"/>
                <w:tab w:val="left" w:pos="1134"/>
              </w:tabs>
              <w:overflowPunct w:val="0"/>
              <w:autoSpaceDE w:val="0"/>
              <w:autoSpaceDN w:val="0"/>
              <w:adjustRightInd w:val="0"/>
              <w:spacing w:before="10" w:after="0"/>
              <w:jc w:val="center"/>
              <w:textAlignment w:val="baseline"/>
              <w:rPr>
                <w:rFonts w:ascii="Times New Roman" w:eastAsia="Times New Roman" w:hAnsi="Times New Roman"/>
                <w:sz w:val="20"/>
                <w:szCs w:val="20"/>
                <w:lang w:val="ru-RU"/>
              </w:rPr>
            </w:pPr>
            <w:r w:rsidRPr="008F2A72">
              <w:rPr>
                <w:rFonts w:ascii="Times New Roman" w:eastAsia="Times New Roman" w:hAnsi="Times New Roman"/>
                <w:sz w:val="20"/>
                <w:szCs w:val="20"/>
                <w:lang w:val="ru-RU"/>
              </w:rPr>
              <w:t>В сельской мест</w:t>
            </w:r>
            <w:r w:rsidR="002B6DC4">
              <w:rPr>
                <w:rFonts w:ascii="Times New Roman" w:eastAsia="Times New Roman" w:hAnsi="Times New Roman"/>
                <w:sz w:val="20"/>
                <w:szCs w:val="20"/>
                <w:lang w:val="ru-RU"/>
              </w:rPr>
              <w:t>-</w:t>
            </w:r>
            <w:r w:rsidRPr="008F2A72">
              <w:rPr>
                <w:rFonts w:ascii="Times New Roman" w:eastAsia="Times New Roman" w:hAnsi="Times New Roman"/>
                <w:sz w:val="20"/>
                <w:szCs w:val="20"/>
                <w:lang w:val="ru-RU"/>
              </w:rPr>
              <w:t>ности</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воз</w:t>
            </w:r>
            <w:r w:rsidR="002B6DC4">
              <w:t xml:space="preserve">- </w:t>
            </w:r>
            <w:r w:rsidRPr="008F2A72">
              <w:t>расте до 17 лет</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возрасте</w:t>
            </w:r>
            <w:r w:rsidR="002B6DC4">
              <w:br/>
            </w:r>
            <w:r w:rsidRPr="008F2A72">
              <w:t>18 лет и старше</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городе</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 xml:space="preserve">В сельской местности </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возрасте до 17 лет</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35A84" w:rsidRPr="008F2A72" w:rsidRDefault="00835A84" w:rsidP="002B6DC4">
            <w:pPr>
              <w:tabs>
                <w:tab w:val="left" w:pos="567"/>
                <w:tab w:val="left" w:pos="1134"/>
              </w:tabs>
              <w:spacing w:before="10"/>
              <w:jc w:val="center"/>
            </w:pPr>
            <w:r w:rsidRPr="008F2A72">
              <w:t>В возрасте18 лет и старше</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129. Убийство</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56</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49</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102</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45</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31</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74</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130. Убийство </w:t>
            </w:r>
            <w:r w:rsidRPr="008F2A72">
              <w:rPr>
                <w:noProof/>
              </w:rPr>
              <w:t>в состоянии сильного душевного волнения</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0</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0</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135. Нанесение серьезного ущерба здоровью</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34</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22</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54</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32</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23</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52</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136. Нанесение серьезного ущерба здоровью</w:t>
            </w:r>
            <w:r w:rsidRPr="008F2A72">
              <w:rPr>
                <w:noProof/>
              </w:rPr>
              <w:t xml:space="preserve"> в состоянии сильного душевного волнения</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0</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0</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138. Нанесение легкого ущерба здоровью</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490</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254</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85</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659</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484</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246</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74</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656</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140. Нанесение побоев или незначительного ущерба здоровью</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280</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162</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204</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238</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240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119</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139</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220</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149. Изнасилование</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145</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120</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80</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185</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137</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114</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140</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111</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150. Сексуальное надругательство</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112</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87</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67</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132</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67</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89</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97</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59</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151. Принуждение к половому акту</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6</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5</w:t>
            </w:r>
          </w:p>
        </w:tc>
      </w:tr>
      <w:tr w:rsidR="00835A84" w:rsidRPr="008F2A72">
        <w:tblPrEx>
          <w:tblCellMar>
            <w:top w:w="0" w:type="dxa"/>
            <w:bottom w:w="0" w:type="dxa"/>
          </w:tblCellMar>
        </w:tblPrEx>
        <w:trPr>
          <w:trHeight w:val="20"/>
        </w:trPr>
        <w:tc>
          <w:tcPr>
            <w:tcW w:w="27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835A84" w:rsidRPr="008F2A72" w:rsidRDefault="00835A84" w:rsidP="002B6DC4">
            <w:pPr>
              <w:tabs>
                <w:tab w:val="left" w:pos="567"/>
                <w:tab w:val="left" w:pos="1134"/>
              </w:tabs>
              <w:spacing w:before="10"/>
            </w:pPr>
            <w:r w:rsidRPr="008F2A72">
              <w:rPr>
                <w:noProof/>
              </w:rPr>
              <w:t>Ст.</w:t>
            </w:r>
            <w:r w:rsidRPr="008F2A72">
              <w:t xml:space="preserve"> 152. Сексуальное домогательство</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1</w:t>
            </w:r>
          </w:p>
        </w:tc>
        <w:tc>
          <w:tcPr>
            <w:tcW w:w="85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3</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835A84" w:rsidRPr="008F2A72" w:rsidRDefault="00835A84" w:rsidP="002B6DC4">
            <w:pPr>
              <w:tabs>
                <w:tab w:val="left" w:pos="567"/>
                <w:tab w:val="left" w:pos="1134"/>
              </w:tabs>
              <w:spacing w:before="10"/>
              <w:jc w:val="center"/>
            </w:pPr>
            <w:r w:rsidRPr="008F2A72">
              <w:t>2</w:t>
            </w:r>
          </w:p>
        </w:tc>
      </w:tr>
    </w:tbl>
    <w:p w:rsidR="00835A84" w:rsidRPr="002B6DC4" w:rsidRDefault="00835A84" w:rsidP="002B6DC4">
      <w:pPr>
        <w:pStyle w:val="BodyText"/>
        <w:tabs>
          <w:tab w:val="left" w:pos="567"/>
          <w:tab w:val="left" w:pos="1134"/>
        </w:tabs>
        <w:spacing w:before="80" w:after="200"/>
        <w:rPr>
          <w:iCs/>
          <w:sz w:val="20"/>
          <w:lang w:val="ru-RU"/>
        </w:rPr>
      </w:pPr>
      <w:r w:rsidRPr="002B6DC4">
        <w:rPr>
          <w:iCs/>
          <w:color w:val="000000"/>
          <w:sz w:val="20"/>
          <w:lang w:val="ru-RU"/>
        </w:rPr>
        <w:t>Данные Департамента информатики и коммуникаций при Министерстве внутренних дел</w:t>
      </w:r>
    </w:p>
    <w:p w:rsidR="00835A84" w:rsidRPr="00F04E0A" w:rsidRDefault="002B6DC4" w:rsidP="002B6DC4">
      <w:pPr>
        <w:pStyle w:val="BodyText"/>
        <w:keepNext/>
        <w:tabs>
          <w:tab w:val="left" w:pos="567"/>
          <w:tab w:val="left" w:pos="1134"/>
        </w:tabs>
        <w:spacing w:before="0" w:after="200"/>
        <w:jc w:val="center"/>
        <w:rPr>
          <w:bCs/>
          <w:spacing w:val="-2"/>
          <w:szCs w:val="22"/>
          <w:lang w:val="ru-RU"/>
        </w:rPr>
      </w:pPr>
      <w:r>
        <w:rPr>
          <w:bCs/>
          <w:spacing w:val="-2"/>
          <w:szCs w:val="22"/>
          <w:lang w:val="ru-RU"/>
        </w:rPr>
        <w:t xml:space="preserve">ТАБЛИЦА 3.  </w:t>
      </w:r>
      <w:r w:rsidR="00835A84" w:rsidRPr="00F04E0A">
        <w:rPr>
          <w:bCs/>
          <w:spacing w:val="-2"/>
          <w:szCs w:val="22"/>
          <w:lang w:val="ru-RU"/>
        </w:rPr>
        <w:t>ДАННЫЕ ЗА 2005–2006 ГОДЫ ПО СТАТЬЕ 147 "ТОРГОВЛЯ ЛЮДЬМИ" УГОЛОВНОГО КОДЕКСА ЛИТОВСКОЙ РЕСПУБЛИКИ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7"/>
        <w:gridCol w:w="2880"/>
        <w:gridCol w:w="2658"/>
      </w:tblGrid>
      <w:tr w:rsidR="00835A84" w:rsidRPr="00F04E0A">
        <w:trPr>
          <w:cantSplit/>
          <w:trHeight w:val="20"/>
        </w:trPr>
        <w:tc>
          <w:tcPr>
            <w:tcW w:w="4197" w:type="dxa"/>
            <w:noWrap/>
            <w:tcMar>
              <w:top w:w="28" w:type="dxa"/>
              <w:left w:w="57" w:type="dxa"/>
              <w:bottom w:w="28" w:type="dxa"/>
              <w:right w:w="57" w:type="dxa"/>
            </w:tcMar>
            <w:vAlign w:val="center"/>
          </w:tcPr>
          <w:p w:rsidR="00835A84" w:rsidRPr="002B6DC4" w:rsidRDefault="00835A84" w:rsidP="002B6DC4">
            <w:pPr>
              <w:keepNext/>
              <w:tabs>
                <w:tab w:val="left" w:pos="567"/>
                <w:tab w:val="left" w:pos="1134"/>
              </w:tabs>
              <w:spacing w:before="40" w:after="40"/>
              <w:jc w:val="center"/>
            </w:pPr>
            <w:r w:rsidRPr="002B6DC4">
              <w:t>Статья "Торговля людьми"</w:t>
            </w:r>
          </w:p>
        </w:tc>
        <w:tc>
          <w:tcPr>
            <w:tcW w:w="2880" w:type="dxa"/>
            <w:noWrap/>
            <w:tcMar>
              <w:top w:w="28" w:type="dxa"/>
              <w:left w:w="57" w:type="dxa"/>
              <w:bottom w:w="28" w:type="dxa"/>
              <w:right w:w="57" w:type="dxa"/>
            </w:tcMar>
            <w:vAlign w:val="center"/>
          </w:tcPr>
          <w:p w:rsidR="00835A84" w:rsidRPr="002B6DC4" w:rsidRDefault="00835A84" w:rsidP="002B6DC4">
            <w:pPr>
              <w:keepNext/>
              <w:tabs>
                <w:tab w:val="left" w:pos="567"/>
                <w:tab w:val="left" w:pos="1134"/>
              </w:tabs>
              <w:spacing w:before="40" w:after="40"/>
              <w:jc w:val="center"/>
              <w:rPr>
                <w:bCs/>
              </w:rPr>
            </w:pPr>
            <w:smartTag w:uri="urn:schemas-microsoft-com:office:smarttags" w:element="metricconverter">
              <w:smartTagPr>
                <w:attr w:name="ProductID" w:val="2005 г"/>
              </w:smartTagPr>
              <w:r w:rsidRPr="002B6DC4">
                <w:rPr>
                  <w:bCs/>
                </w:rPr>
                <w:t>2005 г</w:t>
              </w:r>
            </w:smartTag>
            <w:r w:rsidRPr="002B6DC4">
              <w:rPr>
                <w:bCs/>
              </w:rPr>
              <w:t>.</w:t>
            </w:r>
          </w:p>
        </w:tc>
        <w:tc>
          <w:tcPr>
            <w:tcW w:w="2658" w:type="dxa"/>
            <w:noWrap/>
            <w:tcMar>
              <w:top w:w="28" w:type="dxa"/>
              <w:left w:w="57" w:type="dxa"/>
              <w:bottom w:w="28" w:type="dxa"/>
              <w:right w:w="57" w:type="dxa"/>
            </w:tcMar>
            <w:vAlign w:val="center"/>
          </w:tcPr>
          <w:p w:rsidR="00835A84" w:rsidRPr="002B6DC4" w:rsidRDefault="00835A84" w:rsidP="002B6DC4">
            <w:pPr>
              <w:keepNext/>
              <w:tabs>
                <w:tab w:val="left" w:pos="567"/>
                <w:tab w:val="left" w:pos="1134"/>
              </w:tabs>
              <w:spacing w:before="40" w:after="40"/>
              <w:jc w:val="center"/>
              <w:rPr>
                <w:bCs/>
              </w:rPr>
            </w:pPr>
            <w:smartTag w:uri="urn:schemas-microsoft-com:office:smarttags" w:element="metricconverter">
              <w:smartTagPr>
                <w:attr w:name="ProductID" w:val="2006 г"/>
              </w:smartTagPr>
              <w:r w:rsidRPr="002B6DC4">
                <w:rPr>
                  <w:bCs/>
                </w:rPr>
                <w:t>2006 г</w:t>
              </w:r>
            </w:smartTag>
            <w:r w:rsidRPr="002B6DC4">
              <w:rPr>
                <w:bCs/>
              </w:rPr>
              <w:t>.</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keepNext/>
              <w:tabs>
                <w:tab w:val="left" w:pos="567"/>
                <w:tab w:val="left" w:pos="1134"/>
              </w:tabs>
              <w:spacing w:before="40" w:after="40"/>
              <w:rPr>
                <w:bCs/>
              </w:rPr>
            </w:pPr>
            <w:r w:rsidRPr="002B6DC4">
              <w:rPr>
                <w:bCs/>
              </w:rPr>
              <w:t>Общее число случаев</w:t>
            </w:r>
          </w:p>
        </w:tc>
        <w:tc>
          <w:tcPr>
            <w:tcW w:w="2880" w:type="dxa"/>
            <w:noWrap/>
            <w:tcMar>
              <w:top w:w="28" w:type="dxa"/>
              <w:left w:w="57" w:type="dxa"/>
              <w:bottom w:w="28" w:type="dxa"/>
              <w:right w:w="57" w:type="dxa"/>
            </w:tcMar>
          </w:tcPr>
          <w:p w:rsidR="00835A84" w:rsidRPr="002B6DC4" w:rsidRDefault="00835A84" w:rsidP="002B6DC4">
            <w:pPr>
              <w:keepNext/>
              <w:tabs>
                <w:tab w:val="left" w:pos="567"/>
                <w:tab w:val="left" w:pos="1134"/>
              </w:tabs>
              <w:spacing w:before="40" w:after="40"/>
              <w:jc w:val="center"/>
            </w:pPr>
            <w:r w:rsidRPr="002B6DC4">
              <w:t>32</w:t>
            </w:r>
          </w:p>
        </w:tc>
        <w:tc>
          <w:tcPr>
            <w:tcW w:w="2658" w:type="dxa"/>
            <w:noWrap/>
            <w:tcMar>
              <w:top w:w="28" w:type="dxa"/>
              <w:left w:w="57" w:type="dxa"/>
              <w:bottom w:w="28" w:type="dxa"/>
              <w:right w:w="57" w:type="dxa"/>
            </w:tcMar>
          </w:tcPr>
          <w:p w:rsidR="00835A84" w:rsidRPr="002B6DC4" w:rsidRDefault="00835A84" w:rsidP="002B6DC4">
            <w:pPr>
              <w:keepNext/>
              <w:tabs>
                <w:tab w:val="left" w:pos="567"/>
                <w:tab w:val="left" w:pos="1134"/>
              </w:tabs>
              <w:spacing w:before="40" w:after="40"/>
              <w:jc w:val="center"/>
            </w:pPr>
            <w:r w:rsidRPr="002B6DC4">
              <w:t>26</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Случаи, переданные в суд</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18</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21</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Случаи, рассмотренные в суде</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7</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7</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Случаи, в рассмотрении которых было отказано</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1</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3</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Прекращенные судебные дела</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3</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3</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rPr>
                <w:highlight w:val="green"/>
              </w:rPr>
            </w:pPr>
            <w:r w:rsidRPr="002B6DC4">
              <w:t>Преступники, известные в органах по соблюдению правопорядка</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43</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33</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Подозреваемые</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21</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19</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Жертвы, известные в органах по соблюдению правопорядка</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35</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28</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Жертвы преступлений</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25</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27</w:t>
            </w:r>
          </w:p>
        </w:tc>
      </w:tr>
      <w:tr w:rsidR="00835A84" w:rsidRPr="00F04E0A">
        <w:trPr>
          <w:cantSplit/>
          <w:trHeight w:val="20"/>
        </w:trPr>
        <w:tc>
          <w:tcPr>
            <w:tcW w:w="4197"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pPr>
            <w:r w:rsidRPr="002B6DC4">
              <w:t>Осужденные</w:t>
            </w:r>
          </w:p>
        </w:tc>
        <w:tc>
          <w:tcPr>
            <w:tcW w:w="2880"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15</w:t>
            </w:r>
          </w:p>
        </w:tc>
        <w:tc>
          <w:tcPr>
            <w:tcW w:w="2658" w:type="dxa"/>
            <w:noWrap/>
            <w:tcMar>
              <w:top w:w="28" w:type="dxa"/>
              <w:left w:w="57" w:type="dxa"/>
              <w:bottom w:w="28" w:type="dxa"/>
              <w:right w:w="57" w:type="dxa"/>
            </w:tcMar>
          </w:tcPr>
          <w:p w:rsidR="00835A84" w:rsidRPr="002B6DC4" w:rsidRDefault="00835A84" w:rsidP="002B6DC4">
            <w:pPr>
              <w:tabs>
                <w:tab w:val="left" w:pos="567"/>
                <w:tab w:val="left" w:pos="1134"/>
              </w:tabs>
              <w:spacing w:before="40" w:after="40"/>
              <w:jc w:val="center"/>
            </w:pPr>
            <w:r w:rsidRPr="002B6DC4">
              <w:t>10</w:t>
            </w:r>
          </w:p>
        </w:tc>
      </w:tr>
    </w:tbl>
    <w:p w:rsidR="00835A84" w:rsidRPr="002B6DC4" w:rsidRDefault="00835A84" w:rsidP="002B6DC4">
      <w:pPr>
        <w:pStyle w:val="BodyText"/>
        <w:tabs>
          <w:tab w:val="left" w:pos="567"/>
          <w:tab w:val="left" w:pos="1134"/>
        </w:tabs>
        <w:overflowPunct w:val="0"/>
        <w:autoSpaceDE w:val="0"/>
        <w:autoSpaceDN w:val="0"/>
        <w:adjustRightInd w:val="0"/>
        <w:spacing w:before="100" w:after="40"/>
        <w:textAlignment w:val="baseline"/>
        <w:rPr>
          <w:bCs/>
          <w:spacing w:val="-2"/>
          <w:sz w:val="20"/>
          <w:lang w:val="ru-RU"/>
        </w:rPr>
      </w:pPr>
      <w:r w:rsidRPr="002B6DC4">
        <w:rPr>
          <w:bCs/>
          <w:spacing w:val="-2"/>
          <w:sz w:val="20"/>
          <w:lang w:val="ru-RU"/>
        </w:rPr>
        <w:t>Данные Министерства внутренних дел</w:t>
      </w:r>
    </w:p>
    <w:p w:rsidR="00835A84" w:rsidRPr="00F04E0A" w:rsidRDefault="00835A84" w:rsidP="00835A84">
      <w:pPr>
        <w:tabs>
          <w:tab w:val="left" w:pos="567"/>
          <w:tab w:val="left" w:pos="1134"/>
        </w:tabs>
        <w:spacing w:after="200"/>
        <w:ind w:firstLine="567"/>
        <w:jc w:val="both"/>
        <w:rPr>
          <w:b/>
          <w:bCs/>
          <w:spacing w:val="-2"/>
          <w:sz w:val="22"/>
          <w:szCs w:val="22"/>
        </w:rPr>
      </w:pPr>
    </w:p>
    <w:p w:rsidR="00835A84" w:rsidRPr="00F04E0A" w:rsidRDefault="00835A84" w:rsidP="002B6DC4">
      <w:pPr>
        <w:tabs>
          <w:tab w:val="left" w:pos="567"/>
          <w:tab w:val="left" w:pos="1134"/>
        </w:tabs>
        <w:spacing w:after="200"/>
        <w:jc w:val="center"/>
        <w:rPr>
          <w:b/>
          <w:bCs/>
          <w:caps/>
          <w:spacing w:val="-2"/>
          <w:sz w:val="22"/>
          <w:szCs w:val="22"/>
        </w:rPr>
      </w:pPr>
      <w:r w:rsidRPr="00F04E0A">
        <w:rPr>
          <w:b/>
          <w:bCs/>
          <w:caps/>
          <w:spacing w:val="-2"/>
          <w:sz w:val="22"/>
          <w:szCs w:val="22"/>
        </w:rPr>
        <w:t xml:space="preserve">ТАБЛИЦА 4. </w:t>
      </w:r>
      <w:r w:rsidR="002B6DC4">
        <w:rPr>
          <w:b/>
          <w:bCs/>
          <w:caps/>
          <w:spacing w:val="-2"/>
          <w:sz w:val="22"/>
          <w:szCs w:val="22"/>
        </w:rPr>
        <w:t xml:space="preserve"> </w:t>
      </w:r>
      <w:r w:rsidRPr="00F04E0A">
        <w:rPr>
          <w:b/>
          <w:bCs/>
          <w:caps/>
          <w:spacing w:val="-2"/>
          <w:sz w:val="22"/>
          <w:szCs w:val="22"/>
        </w:rPr>
        <w:t>ЧИСЛО ГРАЖДАНСКИХ СЛУЖАЩИХ ЗА ИСКЛЮЧЕНИЕМ СТАТУТНЫХ ГРАЖДАНСКИХ СЛУЖАЩИХ с разбивкой по ГРУППАМ занимаемЫХ должностЕЙ и полу, 2005–2006 ГОДЫ</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2"/>
        <w:gridCol w:w="1588"/>
        <w:gridCol w:w="1588"/>
        <w:gridCol w:w="1588"/>
        <w:gridCol w:w="1588"/>
      </w:tblGrid>
      <w:tr w:rsidR="00835A84" w:rsidRPr="002B6DC4">
        <w:trPr>
          <w:cantSplit/>
          <w:trHeight w:val="315"/>
        </w:trPr>
        <w:tc>
          <w:tcPr>
            <w:tcW w:w="3372" w:type="dxa"/>
            <w:vMerge w:val="restart"/>
            <w:vAlign w:val="center"/>
          </w:tcPr>
          <w:p w:rsidR="00835A84" w:rsidRPr="000A4C97" w:rsidRDefault="00835A84" w:rsidP="002B6DC4">
            <w:pPr>
              <w:tabs>
                <w:tab w:val="left" w:pos="567"/>
                <w:tab w:val="left" w:pos="1134"/>
              </w:tabs>
              <w:spacing w:before="40" w:after="40"/>
              <w:jc w:val="center"/>
              <w:rPr>
                <w:bCs/>
              </w:rPr>
            </w:pPr>
            <w:r w:rsidRPr="000A4C97">
              <w:rPr>
                <w:bCs/>
              </w:rPr>
              <w:t>Занимаемая должность</w:t>
            </w:r>
          </w:p>
        </w:tc>
        <w:tc>
          <w:tcPr>
            <w:tcW w:w="3176" w:type="dxa"/>
            <w:gridSpan w:val="2"/>
            <w:vAlign w:val="center"/>
          </w:tcPr>
          <w:p w:rsidR="00835A84" w:rsidRPr="002B6DC4" w:rsidRDefault="00835A84" w:rsidP="002B6DC4">
            <w:pPr>
              <w:tabs>
                <w:tab w:val="left" w:pos="567"/>
                <w:tab w:val="left" w:pos="1134"/>
              </w:tabs>
              <w:spacing w:before="40" w:after="40"/>
              <w:jc w:val="center"/>
              <w:rPr>
                <w:bCs/>
              </w:rPr>
            </w:pPr>
            <w:smartTag w:uri="urn:schemas-microsoft-com:office:smarttags" w:element="metricconverter">
              <w:smartTagPr>
                <w:attr w:name="ProductID" w:val="2005 г"/>
              </w:smartTagPr>
              <w:r w:rsidRPr="002B6DC4">
                <w:rPr>
                  <w:bCs/>
                </w:rPr>
                <w:t>2005 г</w:t>
              </w:r>
            </w:smartTag>
            <w:r w:rsidRPr="002B6DC4">
              <w:rPr>
                <w:bCs/>
              </w:rPr>
              <w:t>.</w:t>
            </w:r>
          </w:p>
        </w:tc>
        <w:tc>
          <w:tcPr>
            <w:tcW w:w="3176" w:type="dxa"/>
            <w:gridSpan w:val="2"/>
            <w:vAlign w:val="center"/>
          </w:tcPr>
          <w:p w:rsidR="00835A84" w:rsidRPr="002B6DC4" w:rsidRDefault="00835A84" w:rsidP="002B6DC4">
            <w:pPr>
              <w:tabs>
                <w:tab w:val="left" w:pos="567"/>
                <w:tab w:val="left" w:pos="1134"/>
              </w:tabs>
              <w:spacing w:before="40" w:after="40"/>
              <w:jc w:val="center"/>
              <w:rPr>
                <w:bCs/>
              </w:rPr>
            </w:pPr>
            <w:smartTag w:uri="urn:schemas-microsoft-com:office:smarttags" w:element="metricconverter">
              <w:smartTagPr>
                <w:attr w:name="ProductID" w:val="2006 г"/>
              </w:smartTagPr>
              <w:r w:rsidRPr="002B6DC4">
                <w:rPr>
                  <w:bCs/>
                </w:rPr>
                <w:t>2006 г</w:t>
              </w:r>
            </w:smartTag>
            <w:r w:rsidRPr="002B6DC4">
              <w:rPr>
                <w:bCs/>
              </w:rPr>
              <w:t>.</w:t>
            </w:r>
          </w:p>
        </w:tc>
      </w:tr>
      <w:tr w:rsidR="00835A84" w:rsidRPr="002B6DC4">
        <w:trPr>
          <w:cantSplit/>
          <w:trHeight w:val="315"/>
        </w:trPr>
        <w:tc>
          <w:tcPr>
            <w:tcW w:w="3372" w:type="dxa"/>
            <w:vMerge/>
            <w:vAlign w:val="center"/>
          </w:tcPr>
          <w:p w:rsidR="00835A84" w:rsidRPr="002B6DC4" w:rsidRDefault="00835A84" w:rsidP="002B6DC4">
            <w:pPr>
              <w:tabs>
                <w:tab w:val="left" w:pos="567"/>
                <w:tab w:val="left" w:pos="1134"/>
              </w:tabs>
              <w:spacing w:before="40" w:after="40"/>
              <w:jc w:val="center"/>
            </w:pPr>
          </w:p>
        </w:tc>
        <w:tc>
          <w:tcPr>
            <w:tcW w:w="1588" w:type="dxa"/>
            <w:vAlign w:val="center"/>
          </w:tcPr>
          <w:p w:rsidR="00835A84" w:rsidRPr="002B6DC4" w:rsidRDefault="00835A84" w:rsidP="002B6DC4">
            <w:pPr>
              <w:tabs>
                <w:tab w:val="left" w:pos="567"/>
                <w:tab w:val="left" w:pos="1134"/>
              </w:tabs>
              <w:spacing w:before="40" w:after="40"/>
              <w:jc w:val="center"/>
            </w:pPr>
            <w:r w:rsidRPr="002B6DC4">
              <w:t>Число</w:t>
            </w:r>
          </w:p>
        </w:tc>
        <w:tc>
          <w:tcPr>
            <w:tcW w:w="1588" w:type="dxa"/>
            <w:vAlign w:val="center"/>
          </w:tcPr>
          <w:p w:rsidR="00835A84" w:rsidRPr="002B6DC4" w:rsidRDefault="00835A84" w:rsidP="002B6DC4">
            <w:pPr>
              <w:tabs>
                <w:tab w:val="left" w:pos="567"/>
                <w:tab w:val="left" w:pos="1134"/>
              </w:tabs>
              <w:spacing w:before="40" w:after="40"/>
              <w:jc w:val="center"/>
            </w:pPr>
            <w:r w:rsidRPr="002B6DC4">
              <w:t>%</w:t>
            </w:r>
          </w:p>
        </w:tc>
        <w:tc>
          <w:tcPr>
            <w:tcW w:w="1588" w:type="dxa"/>
            <w:vAlign w:val="center"/>
          </w:tcPr>
          <w:p w:rsidR="00835A84" w:rsidRPr="002B6DC4" w:rsidRDefault="00835A84" w:rsidP="002B6DC4">
            <w:pPr>
              <w:tabs>
                <w:tab w:val="left" w:pos="567"/>
                <w:tab w:val="left" w:pos="1134"/>
              </w:tabs>
              <w:spacing w:before="40" w:after="40"/>
              <w:jc w:val="center"/>
            </w:pPr>
            <w:r w:rsidRPr="002B6DC4">
              <w:t>Число</w:t>
            </w:r>
          </w:p>
        </w:tc>
        <w:tc>
          <w:tcPr>
            <w:tcW w:w="1588" w:type="dxa"/>
            <w:vAlign w:val="center"/>
          </w:tcPr>
          <w:p w:rsidR="00835A84" w:rsidRPr="002B6DC4" w:rsidRDefault="00835A84" w:rsidP="002B6DC4">
            <w:pPr>
              <w:tabs>
                <w:tab w:val="left" w:pos="567"/>
                <w:tab w:val="left" w:pos="1134"/>
              </w:tabs>
              <w:spacing w:before="40" w:after="40"/>
              <w:jc w:val="center"/>
            </w:pPr>
            <w:r w:rsidRPr="002B6DC4">
              <w:t>%</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Гражданские служащие с безупречной политической (личной) репутацией</w:t>
            </w:r>
          </w:p>
        </w:tc>
        <w:tc>
          <w:tcPr>
            <w:tcW w:w="1588" w:type="dxa"/>
            <w:vAlign w:val="bottom"/>
          </w:tcPr>
          <w:p w:rsidR="00835A84" w:rsidRPr="002B6DC4" w:rsidRDefault="00835A84" w:rsidP="002B6DC4">
            <w:pPr>
              <w:tabs>
                <w:tab w:val="left" w:pos="567"/>
                <w:tab w:val="left" w:pos="1134"/>
              </w:tabs>
              <w:spacing w:before="40" w:after="40"/>
              <w:jc w:val="center"/>
            </w:pPr>
            <w:r w:rsidRPr="002B6DC4">
              <w:t>481</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c>
          <w:tcPr>
            <w:tcW w:w="1588" w:type="dxa"/>
            <w:vAlign w:val="bottom"/>
          </w:tcPr>
          <w:p w:rsidR="00835A84" w:rsidRPr="002B6DC4" w:rsidRDefault="00835A84" w:rsidP="002B6DC4">
            <w:pPr>
              <w:tabs>
                <w:tab w:val="left" w:pos="567"/>
                <w:tab w:val="left" w:pos="1134"/>
              </w:tabs>
              <w:spacing w:before="40" w:after="40"/>
              <w:jc w:val="center"/>
            </w:pPr>
            <w:r w:rsidRPr="002B6DC4">
              <w:t>769</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Женщины</w:t>
            </w:r>
          </w:p>
        </w:tc>
        <w:tc>
          <w:tcPr>
            <w:tcW w:w="1588" w:type="dxa"/>
            <w:vAlign w:val="bottom"/>
          </w:tcPr>
          <w:p w:rsidR="00835A84" w:rsidRPr="002B6DC4" w:rsidRDefault="00835A84" w:rsidP="002B6DC4">
            <w:pPr>
              <w:tabs>
                <w:tab w:val="left" w:pos="567"/>
                <w:tab w:val="left" w:pos="1134"/>
              </w:tabs>
              <w:spacing w:before="40" w:after="40"/>
              <w:jc w:val="center"/>
            </w:pPr>
            <w:r w:rsidRPr="002B6DC4">
              <w:t>254</w:t>
            </w:r>
          </w:p>
        </w:tc>
        <w:tc>
          <w:tcPr>
            <w:tcW w:w="1588" w:type="dxa"/>
            <w:vAlign w:val="bottom"/>
          </w:tcPr>
          <w:p w:rsidR="00835A84" w:rsidRPr="002B6DC4" w:rsidRDefault="00835A84" w:rsidP="002B6DC4">
            <w:pPr>
              <w:tabs>
                <w:tab w:val="left" w:pos="567"/>
                <w:tab w:val="left" w:pos="1134"/>
              </w:tabs>
              <w:spacing w:before="40" w:after="40"/>
              <w:jc w:val="center"/>
            </w:pPr>
            <w:r w:rsidRPr="002B6DC4">
              <w:t>53</w:t>
            </w:r>
          </w:p>
        </w:tc>
        <w:tc>
          <w:tcPr>
            <w:tcW w:w="1588" w:type="dxa"/>
            <w:vAlign w:val="bottom"/>
          </w:tcPr>
          <w:p w:rsidR="00835A84" w:rsidRPr="002B6DC4" w:rsidRDefault="00835A84" w:rsidP="002B6DC4">
            <w:pPr>
              <w:tabs>
                <w:tab w:val="left" w:pos="567"/>
                <w:tab w:val="left" w:pos="1134"/>
              </w:tabs>
              <w:spacing w:before="40" w:after="40"/>
              <w:jc w:val="center"/>
            </w:pPr>
            <w:r w:rsidRPr="002B6DC4">
              <w:t>460</w:t>
            </w:r>
          </w:p>
        </w:tc>
        <w:tc>
          <w:tcPr>
            <w:tcW w:w="1588" w:type="dxa"/>
            <w:vAlign w:val="bottom"/>
          </w:tcPr>
          <w:p w:rsidR="00835A84" w:rsidRPr="002B6DC4" w:rsidRDefault="00835A84" w:rsidP="002B6DC4">
            <w:pPr>
              <w:tabs>
                <w:tab w:val="left" w:pos="567"/>
                <w:tab w:val="left" w:pos="1134"/>
              </w:tabs>
              <w:spacing w:before="40" w:after="40"/>
              <w:jc w:val="center"/>
            </w:pPr>
            <w:r w:rsidRPr="002B6DC4">
              <w:t>60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Мужчины</w:t>
            </w:r>
          </w:p>
        </w:tc>
        <w:tc>
          <w:tcPr>
            <w:tcW w:w="1588" w:type="dxa"/>
            <w:vAlign w:val="bottom"/>
          </w:tcPr>
          <w:p w:rsidR="00835A84" w:rsidRPr="002B6DC4" w:rsidRDefault="00835A84" w:rsidP="002B6DC4">
            <w:pPr>
              <w:tabs>
                <w:tab w:val="left" w:pos="567"/>
                <w:tab w:val="left" w:pos="1134"/>
              </w:tabs>
              <w:spacing w:before="40" w:after="40"/>
              <w:jc w:val="center"/>
            </w:pPr>
            <w:r w:rsidRPr="002B6DC4">
              <w:t>227</w:t>
            </w:r>
          </w:p>
        </w:tc>
        <w:tc>
          <w:tcPr>
            <w:tcW w:w="1588" w:type="dxa"/>
            <w:vAlign w:val="bottom"/>
          </w:tcPr>
          <w:p w:rsidR="00835A84" w:rsidRPr="002B6DC4" w:rsidRDefault="00835A84" w:rsidP="002B6DC4">
            <w:pPr>
              <w:tabs>
                <w:tab w:val="left" w:pos="567"/>
                <w:tab w:val="left" w:pos="1134"/>
              </w:tabs>
              <w:spacing w:before="40" w:after="40"/>
              <w:jc w:val="center"/>
            </w:pPr>
            <w:r w:rsidRPr="002B6DC4">
              <w:t>47</w:t>
            </w:r>
          </w:p>
        </w:tc>
        <w:tc>
          <w:tcPr>
            <w:tcW w:w="1588" w:type="dxa"/>
            <w:vAlign w:val="bottom"/>
          </w:tcPr>
          <w:p w:rsidR="00835A84" w:rsidRPr="002B6DC4" w:rsidRDefault="00835A84" w:rsidP="002B6DC4">
            <w:pPr>
              <w:tabs>
                <w:tab w:val="left" w:pos="567"/>
                <w:tab w:val="left" w:pos="1134"/>
              </w:tabs>
              <w:spacing w:before="40" w:after="40"/>
              <w:jc w:val="center"/>
            </w:pPr>
            <w:r w:rsidRPr="002B6DC4">
              <w:t>309</w:t>
            </w:r>
          </w:p>
        </w:tc>
        <w:tc>
          <w:tcPr>
            <w:tcW w:w="1588" w:type="dxa"/>
            <w:vAlign w:val="bottom"/>
          </w:tcPr>
          <w:p w:rsidR="00835A84" w:rsidRPr="002B6DC4" w:rsidRDefault="00835A84" w:rsidP="002B6DC4">
            <w:pPr>
              <w:tabs>
                <w:tab w:val="left" w:pos="567"/>
                <w:tab w:val="left" w:pos="1134"/>
              </w:tabs>
              <w:spacing w:before="40" w:after="40"/>
              <w:jc w:val="center"/>
            </w:pPr>
            <w:r w:rsidRPr="002B6DC4">
              <w:t>40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Гражданские служащие</w:t>
            </w:r>
          </w:p>
        </w:tc>
        <w:tc>
          <w:tcPr>
            <w:tcW w:w="1588" w:type="dxa"/>
            <w:vAlign w:val="bottom"/>
          </w:tcPr>
          <w:p w:rsidR="00835A84" w:rsidRPr="002B6DC4" w:rsidRDefault="00835A84" w:rsidP="002B6DC4">
            <w:pPr>
              <w:tabs>
                <w:tab w:val="left" w:pos="567"/>
                <w:tab w:val="left" w:pos="1134"/>
              </w:tabs>
              <w:spacing w:before="40" w:after="40"/>
              <w:jc w:val="center"/>
            </w:pPr>
            <w:r w:rsidRPr="002B6DC4">
              <w:t>20 878</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c>
          <w:tcPr>
            <w:tcW w:w="1588" w:type="dxa"/>
            <w:vAlign w:val="bottom"/>
          </w:tcPr>
          <w:p w:rsidR="00835A84" w:rsidRPr="002B6DC4" w:rsidRDefault="00835A84" w:rsidP="002B6DC4">
            <w:pPr>
              <w:tabs>
                <w:tab w:val="left" w:pos="567"/>
                <w:tab w:val="left" w:pos="1134"/>
              </w:tabs>
              <w:spacing w:before="40" w:after="40"/>
              <w:jc w:val="center"/>
            </w:pPr>
            <w:r w:rsidRPr="002B6DC4">
              <w:t>23 555</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Женщины</w:t>
            </w:r>
          </w:p>
        </w:tc>
        <w:tc>
          <w:tcPr>
            <w:tcW w:w="1588" w:type="dxa"/>
            <w:vAlign w:val="bottom"/>
          </w:tcPr>
          <w:p w:rsidR="00835A84" w:rsidRPr="002B6DC4" w:rsidRDefault="00835A84" w:rsidP="002B6DC4">
            <w:pPr>
              <w:tabs>
                <w:tab w:val="left" w:pos="567"/>
                <w:tab w:val="left" w:pos="1134"/>
              </w:tabs>
              <w:spacing w:before="40" w:after="40"/>
              <w:jc w:val="center"/>
            </w:pPr>
            <w:r w:rsidRPr="002B6DC4">
              <w:t>14 667</w:t>
            </w:r>
          </w:p>
        </w:tc>
        <w:tc>
          <w:tcPr>
            <w:tcW w:w="1588" w:type="dxa"/>
            <w:vAlign w:val="bottom"/>
          </w:tcPr>
          <w:p w:rsidR="00835A84" w:rsidRPr="002B6DC4" w:rsidRDefault="00835A84" w:rsidP="002B6DC4">
            <w:pPr>
              <w:tabs>
                <w:tab w:val="left" w:pos="567"/>
                <w:tab w:val="left" w:pos="1134"/>
              </w:tabs>
              <w:spacing w:before="40" w:after="40"/>
              <w:jc w:val="center"/>
            </w:pPr>
            <w:r w:rsidRPr="002B6DC4">
              <w:t>70</w:t>
            </w:r>
          </w:p>
        </w:tc>
        <w:tc>
          <w:tcPr>
            <w:tcW w:w="1588" w:type="dxa"/>
            <w:vAlign w:val="bottom"/>
          </w:tcPr>
          <w:p w:rsidR="00835A84" w:rsidRPr="002B6DC4" w:rsidRDefault="00835A84" w:rsidP="002B6DC4">
            <w:pPr>
              <w:tabs>
                <w:tab w:val="left" w:pos="567"/>
                <w:tab w:val="left" w:pos="1134"/>
              </w:tabs>
              <w:spacing w:before="40" w:after="40"/>
              <w:jc w:val="center"/>
            </w:pPr>
            <w:r w:rsidRPr="002B6DC4">
              <w:t>17 056</w:t>
            </w:r>
          </w:p>
        </w:tc>
        <w:tc>
          <w:tcPr>
            <w:tcW w:w="1588" w:type="dxa"/>
            <w:vAlign w:val="bottom"/>
          </w:tcPr>
          <w:p w:rsidR="00835A84" w:rsidRPr="002B6DC4" w:rsidRDefault="00835A84" w:rsidP="002B6DC4">
            <w:pPr>
              <w:tabs>
                <w:tab w:val="left" w:pos="567"/>
                <w:tab w:val="left" w:pos="1134"/>
              </w:tabs>
              <w:spacing w:before="40" w:after="40"/>
              <w:jc w:val="center"/>
            </w:pPr>
            <w:r w:rsidRPr="002B6DC4">
              <w:t>72</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Мужчины</w:t>
            </w:r>
          </w:p>
        </w:tc>
        <w:tc>
          <w:tcPr>
            <w:tcW w:w="1588" w:type="dxa"/>
            <w:vAlign w:val="bottom"/>
          </w:tcPr>
          <w:p w:rsidR="00835A84" w:rsidRPr="002B6DC4" w:rsidRDefault="00835A84" w:rsidP="002B6DC4">
            <w:pPr>
              <w:tabs>
                <w:tab w:val="left" w:pos="567"/>
                <w:tab w:val="left" w:pos="1134"/>
              </w:tabs>
              <w:spacing w:before="40" w:after="40"/>
              <w:jc w:val="center"/>
            </w:pPr>
            <w:r w:rsidRPr="002B6DC4">
              <w:t>6 211</w:t>
            </w:r>
          </w:p>
        </w:tc>
        <w:tc>
          <w:tcPr>
            <w:tcW w:w="1588" w:type="dxa"/>
            <w:vAlign w:val="bottom"/>
          </w:tcPr>
          <w:p w:rsidR="00835A84" w:rsidRPr="002B6DC4" w:rsidRDefault="00835A84" w:rsidP="002B6DC4">
            <w:pPr>
              <w:tabs>
                <w:tab w:val="left" w:pos="567"/>
                <w:tab w:val="left" w:pos="1134"/>
              </w:tabs>
              <w:spacing w:before="40" w:after="40"/>
              <w:jc w:val="center"/>
            </w:pPr>
            <w:r w:rsidRPr="002B6DC4">
              <w:t>30</w:t>
            </w:r>
          </w:p>
        </w:tc>
        <w:tc>
          <w:tcPr>
            <w:tcW w:w="1588" w:type="dxa"/>
            <w:vAlign w:val="bottom"/>
          </w:tcPr>
          <w:p w:rsidR="00835A84" w:rsidRPr="002B6DC4" w:rsidRDefault="00835A84" w:rsidP="002B6DC4">
            <w:pPr>
              <w:tabs>
                <w:tab w:val="left" w:pos="567"/>
                <w:tab w:val="left" w:pos="1134"/>
              </w:tabs>
              <w:spacing w:before="40" w:after="40"/>
              <w:jc w:val="center"/>
            </w:pPr>
            <w:r w:rsidRPr="002B6DC4">
              <w:t>6 499</w:t>
            </w:r>
          </w:p>
        </w:tc>
        <w:tc>
          <w:tcPr>
            <w:tcW w:w="1588" w:type="dxa"/>
            <w:vAlign w:val="bottom"/>
          </w:tcPr>
          <w:p w:rsidR="00835A84" w:rsidRPr="002B6DC4" w:rsidRDefault="00835A84" w:rsidP="002B6DC4">
            <w:pPr>
              <w:tabs>
                <w:tab w:val="left" w:pos="567"/>
                <w:tab w:val="left" w:pos="1134"/>
              </w:tabs>
              <w:spacing w:before="40" w:after="40"/>
              <w:jc w:val="center"/>
            </w:pPr>
            <w:r w:rsidRPr="002B6DC4">
              <w:t>28</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Управленческое звено</w:t>
            </w:r>
          </w:p>
        </w:tc>
        <w:tc>
          <w:tcPr>
            <w:tcW w:w="1588" w:type="dxa"/>
            <w:vAlign w:val="bottom"/>
          </w:tcPr>
          <w:p w:rsidR="00835A84" w:rsidRPr="002B6DC4" w:rsidRDefault="00835A84" w:rsidP="002B6DC4">
            <w:pPr>
              <w:tabs>
                <w:tab w:val="left" w:pos="567"/>
                <w:tab w:val="left" w:pos="1134"/>
              </w:tabs>
              <w:spacing w:before="40" w:after="40"/>
              <w:jc w:val="center"/>
            </w:pPr>
            <w:r w:rsidRPr="002B6DC4">
              <w:t>458</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c>
          <w:tcPr>
            <w:tcW w:w="1588" w:type="dxa"/>
            <w:vAlign w:val="bottom"/>
          </w:tcPr>
          <w:p w:rsidR="00835A84" w:rsidRPr="002B6DC4" w:rsidRDefault="00835A84" w:rsidP="002B6DC4">
            <w:pPr>
              <w:tabs>
                <w:tab w:val="left" w:pos="567"/>
                <w:tab w:val="left" w:pos="1134"/>
              </w:tabs>
              <w:spacing w:before="40" w:after="40"/>
              <w:jc w:val="center"/>
            </w:pPr>
            <w:r w:rsidRPr="002B6DC4">
              <w:t>466</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Женщины</w:t>
            </w:r>
          </w:p>
        </w:tc>
        <w:tc>
          <w:tcPr>
            <w:tcW w:w="1588" w:type="dxa"/>
            <w:vAlign w:val="bottom"/>
          </w:tcPr>
          <w:p w:rsidR="00835A84" w:rsidRPr="002B6DC4" w:rsidRDefault="00835A84" w:rsidP="002B6DC4">
            <w:pPr>
              <w:tabs>
                <w:tab w:val="left" w:pos="567"/>
                <w:tab w:val="left" w:pos="1134"/>
              </w:tabs>
              <w:spacing w:before="40" w:after="40"/>
              <w:jc w:val="center"/>
            </w:pPr>
            <w:r w:rsidRPr="002B6DC4">
              <w:t>144</w:t>
            </w:r>
          </w:p>
        </w:tc>
        <w:tc>
          <w:tcPr>
            <w:tcW w:w="1588" w:type="dxa"/>
            <w:vAlign w:val="bottom"/>
          </w:tcPr>
          <w:p w:rsidR="00835A84" w:rsidRPr="002B6DC4" w:rsidRDefault="00835A84" w:rsidP="002B6DC4">
            <w:pPr>
              <w:tabs>
                <w:tab w:val="left" w:pos="567"/>
                <w:tab w:val="left" w:pos="1134"/>
              </w:tabs>
              <w:spacing w:before="40" w:after="40"/>
              <w:jc w:val="center"/>
            </w:pPr>
            <w:r w:rsidRPr="002B6DC4">
              <w:t>31</w:t>
            </w:r>
          </w:p>
        </w:tc>
        <w:tc>
          <w:tcPr>
            <w:tcW w:w="1588" w:type="dxa"/>
            <w:vAlign w:val="bottom"/>
          </w:tcPr>
          <w:p w:rsidR="00835A84" w:rsidRPr="002B6DC4" w:rsidRDefault="00835A84" w:rsidP="002B6DC4">
            <w:pPr>
              <w:tabs>
                <w:tab w:val="left" w:pos="567"/>
                <w:tab w:val="left" w:pos="1134"/>
              </w:tabs>
              <w:spacing w:before="40" w:after="40"/>
              <w:jc w:val="center"/>
            </w:pPr>
            <w:r w:rsidRPr="002B6DC4">
              <w:t>147</w:t>
            </w:r>
          </w:p>
        </w:tc>
        <w:tc>
          <w:tcPr>
            <w:tcW w:w="1588" w:type="dxa"/>
            <w:vAlign w:val="bottom"/>
          </w:tcPr>
          <w:p w:rsidR="00835A84" w:rsidRPr="002B6DC4" w:rsidRDefault="00835A84" w:rsidP="002B6DC4">
            <w:pPr>
              <w:tabs>
                <w:tab w:val="left" w:pos="567"/>
                <w:tab w:val="left" w:pos="1134"/>
              </w:tabs>
              <w:spacing w:before="40" w:after="40"/>
              <w:jc w:val="center"/>
            </w:pPr>
            <w:r w:rsidRPr="002B6DC4">
              <w:t>31</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Мужчины</w:t>
            </w:r>
          </w:p>
        </w:tc>
        <w:tc>
          <w:tcPr>
            <w:tcW w:w="1588" w:type="dxa"/>
            <w:vAlign w:val="bottom"/>
          </w:tcPr>
          <w:p w:rsidR="00835A84" w:rsidRPr="002B6DC4" w:rsidRDefault="00835A84" w:rsidP="002B6DC4">
            <w:pPr>
              <w:tabs>
                <w:tab w:val="left" w:pos="567"/>
                <w:tab w:val="left" w:pos="1134"/>
              </w:tabs>
              <w:spacing w:before="40" w:after="40"/>
              <w:jc w:val="center"/>
            </w:pPr>
            <w:r w:rsidRPr="002B6DC4">
              <w:t>314</w:t>
            </w:r>
          </w:p>
        </w:tc>
        <w:tc>
          <w:tcPr>
            <w:tcW w:w="1588" w:type="dxa"/>
            <w:vAlign w:val="bottom"/>
          </w:tcPr>
          <w:p w:rsidR="00835A84" w:rsidRPr="002B6DC4" w:rsidRDefault="00835A84" w:rsidP="002B6DC4">
            <w:pPr>
              <w:tabs>
                <w:tab w:val="left" w:pos="567"/>
                <w:tab w:val="left" w:pos="1134"/>
              </w:tabs>
              <w:spacing w:before="40" w:after="40"/>
              <w:jc w:val="center"/>
            </w:pPr>
            <w:r w:rsidRPr="002B6DC4">
              <w:t>69</w:t>
            </w:r>
          </w:p>
        </w:tc>
        <w:tc>
          <w:tcPr>
            <w:tcW w:w="1588" w:type="dxa"/>
            <w:vAlign w:val="bottom"/>
          </w:tcPr>
          <w:p w:rsidR="00835A84" w:rsidRPr="002B6DC4" w:rsidRDefault="00835A84" w:rsidP="002B6DC4">
            <w:pPr>
              <w:tabs>
                <w:tab w:val="left" w:pos="567"/>
                <w:tab w:val="left" w:pos="1134"/>
              </w:tabs>
              <w:spacing w:before="40" w:after="40"/>
              <w:jc w:val="center"/>
            </w:pPr>
            <w:r w:rsidRPr="002B6DC4">
              <w:t>319</w:t>
            </w:r>
          </w:p>
        </w:tc>
        <w:tc>
          <w:tcPr>
            <w:tcW w:w="1588" w:type="dxa"/>
            <w:vAlign w:val="bottom"/>
          </w:tcPr>
          <w:p w:rsidR="00835A84" w:rsidRPr="002B6DC4" w:rsidRDefault="00835A84" w:rsidP="002B6DC4">
            <w:pPr>
              <w:tabs>
                <w:tab w:val="left" w:pos="567"/>
                <w:tab w:val="left" w:pos="1134"/>
              </w:tabs>
              <w:spacing w:before="40" w:after="40"/>
              <w:jc w:val="center"/>
            </w:pPr>
            <w:r w:rsidRPr="002B6DC4">
              <w:t>69</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Всего</w:t>
            </w:r>
          </w:p>
        </w:tc>
        <w:tc>
          <w:tcPr>
            <w:tcW w:w="1588" w:type="dxa"/>
            <w:vAlign w:val="bottom"/>
          </w:tcPr>
          <w:p w:rsidR="00835A84" w:rsidRPr="002B6DC4" w:rsidRDefault="00835A84" w:rsidP="002B6DC4">
            <w:pPr>
              <w:tabs>
                <w:tab w:val="left" w:pos="567"/>
                <w:tab w:val="left" w:pos="1134"/>
              </w:tabs>
              <w:spacing w:before="40" w:after="40"/>
              <w:jc w:val="center"/>
            </w:pPr>
            <w:r w:rsidRPr="002B6DC4">
              <w:t>21 817</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c>
          <w:tcPr>
            <w:tcW w:w="1588" w:type="dxa"/>
            <w:vAlign w:val="bottom"/>
          </w:tcPr>
          <w:p w:rsidR="00835A84" w:rsidRPr="002B6DC4" w:rsidRDefault="00835A84" w:rsidP="002B6DC4">
            <w:pPr>
              <w:tabs>
                <w:tab w:val="left" w:pos="567"/>
                <w:tab w:val="left" w:pos="1134"/>
              </w:tabs>
              <w:spacing w:before="40" w:after="40"/>
              <w:jc w:val="center"/>
            </w:pPr>
            <w:r w:rsidRPr="002B6DC4">
              <w:t>24 790</w:t>
            </w:r>
          </w:p>
        </w:tc>
        <w:tc>
          <w:tcPr>
            <w:tcW w:w="1588" w:type="dxa"/>
            <w:vAlign w:val="bottom"/>
          </w:tcPr>
          <w:p w:rsidR="00835A84" w:rsidRPr="002B6DC4" w:rsidRDefault="00835A84" w:rsidP="002B6DC4">
            <w:pPr>
              <w:tabs>
                <w:tab w:val="left" w:pos="567"/>
                <w:tab w:val="left" w:pos="1134"/>
              </w:tabs>
              <w:spacing w:before="40" w:after="40"/>
              <w:jc w:val="center"/>
            </w:pPr>
            <w:r w:rsidRPr="002B6DC4">
              <w:t>100</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Женщины</w:t>
            </w:r>
          </w:p>
        </w:tc>
        <w:tc>
          <w:tcPr>
            <w:tcW w:w="1588" w:type="dxa"/>
            <w:vAlign w:val="bottom"/>
          </w:tcPr>
          <w:p w:rsidR="00835A84" w:rsidRPr="002B6DC4" w:rsidRDefault="00835A84" w:rsidP="002B6DC4">
            <w:pPr>
              <w:tabs>
                <w:tab w:val="left" w:pos="567"/>
                <w:tab w:val="left" w:pos="1134"/>
              </w:tabs>
              <w:spacing w:before="40" w:after="40"/>
              <w:jc w:val="center"/>
            </w:pPr>
            <w:r w:rsidRPr="002B6DC4">
              <w:t>15 065</w:t>
            </w:r>
          </w:p>
        </w:tc>
        <w:tc>
          <w:tcPr>
            <w:tcW w:w="1588" w:type="dxa"/>
            <w:vAlign w:val="bottom"/>
          </w:tcPr>
          <w:p w:rsidR="00835A84" w:rsidRPr="002B6DC4" w:rsidRDefault="00835A84" w:rsidP="002B6DC4">
            <w:pPr>
              <w:tabs>
                <w:tab w:val="left" w:pos="567"/>
                <w:tab w:val="left" w:pos="1134"/>
              </w:tabs>
              <w:spacing w:before="40" w:after="40"/>
              <w:jc w:val="center"/>
            </w:pPr>
            <w:r w:rsidRPr="002B6DC4">
              <w:t>69</w:t>
            </w:r>
          </w:p>
        </w:tc>
        <w:tc>
          <w:tcPr>
            <w:tcW w:w="1588" w:type="dxa"/>
            <w:vAlign w:val="bottom"/>
          </w:tcPr>
          <w:p w:rsidR="00835A84" w:rsidRPr="002B6DC4" w:rsidRDefault="00835A84" w:rsidP="002B6DC4">
            <w:pPr>
              <w:tabs>
                <w:tab w:val="left" w:pos="567"/>
                <w:tab w:val="left" w:pos="1134"/>
              </w:tabs>
              <w:spacing w:before="40" w:after="40"/>
              <w:jc w:val="center"/>
            </w:pPr>
            <w:r w:rsidRPr="002B6DC4">
              <w:t>17 663</w:t>
            </w:r>
          </w:p>
        </w:tc>
        <w:tc>
          <w:tcPr>
            <w:tcW w:w="1588" w:type="dxa"/>
            <w:vAlign w:val="bottom"/>
          </w:tcPr>
          <w:p w:rsidR="00835A84" w:rsidRPr="002B6DC4" w:rsidRDefault="00835A84" w:rsidP="002B6DC4">
            <w:pPr>
              <w:tabs>
                <w:tab w:val="left" w:pos="567"/>
                <w:tab w:val="left" w:pos="1134"/>
              </w:tabs>
              <w:spacing w:before="40" w:after="40"/>
              <w:jc w:val="center"/>
            </w:pPr>
            <w:r w:rsidRPr="002B6DC4">
              <w:t>71</w:t>
            </w:r>
          </w:p>
        </w:tc>
      </w:tr>
      <w:tr w:rsidR="00835A84" w:rsidRPr="002B6DC4">
        <w:trPr>
          <w:trHeight w:val="315"/>
        </w:trPr>
        <w:tc>
          <w:tcPr>
            <w:tcW w:w="3372" w:type="dxa"/>
            <w:vAlign w:val="center"/>
          </w:tcPr>
          <w:p w:rsidR="00835A84" w:rsidRPr="002B6DC4" w:rsidRDefault="00835A84" w:rsidP="002B6DC4">
            <w:pPr>
              <w:tabs>
                <w:tab w:val="left" w:pos="567"/>
                <w:tab w:val="left" w:pos="1134"/>
              </w:tabs>
              <w:spacing w:before="40" w:after="40"/>
            </w:pPr>
            <w:r w:rsidRPr="002B6DC4">
              <w:t>Мужчины</w:t>
            </w:r>
          </w:p>
        </w:tc>
        <w:tc>
          <w:tcPr>
            <w:tcW w:w="1588" w:type="dxa"/>
            <w:vAlign w:val="bottom"/>
          </w:tcPr>
          <w:p w:rsidR="00835A84" w:rsidRPr="002B6DC4" w:rsidRDefault="00835A84" w:rsidP="002B6DC4">
            <w:pPr>
              <w:tabs>
                <w:tab w:val="left" w:pos="567"/>
                <w:tab w:val="left" w:pos="1134"/>
              </w:tabs>
              <w:spacing w:before="40" w:after="40"/>
              <w:jc w:val="center"/>
            </w:pPr>
            <w:r w:rsidRPr="002B6DC4">
              <w:t>6 752</w:t>
            </w:r>
          </w:p>
        </w:tc>
        <w:tc>
          <w:tcPr>
            <w:tcW w:w="1588" w:type="dxa"/>
            <w:vAlign w:val="bottom"/>
          </w:tcPr>
          <w:p w:rsidR="00835A84" w:rsidRPr="002B6DC4" w:rsidRDefault="00835A84" w:rsidP="002B6DC4">
            <w:pPr>
              <w:tabs>
                <w:tab w:val="left" w:pos="567"/>
                <w:tab w:val="left" w:pos="1134"/>
              </w:tabs>
              <w:spacing w:before="40" w:after="40"/>
              <w:jc w:val="center"/>
            </w:pPr>
            <w:r w:rsidRPr="002B6DC4">
              <w:t>31</w:t>
            </w:r>
          </w:p>
        </w:tc>
        <w:tc>
          <w:tcPr>
            <w:tcW w:w="1588" w:type="dxa"/>
            <w:vAlign w:val="bottom"/>
          </w:tcPr>
          <w:p w:rsidR="00835A84" w:rsidRPr="002B6DC4" w:rsidRDefault="00835A84" w:rsidP="002B6DC4">
            <w:pPr>
              <w:tabs>
                <w:tab w:val="left" w:pos="567"/>
                <w:tab w:val="left" w:pos="1134"/>
              </w:tabs>
              <w:spacing w:before="40" w:after="40"/>
              <w:jc w:val="center"/>
            </w:pPr>
            <w:r w:rsidRPr="002B6DC4">
              <w:t>7 127</w:t>
            </w:r>
          </w:p>
        </w:tc>
        <w:tc>
          <w:tcPr>
            <w:tcW w:w="1588" w:type="dxa"/>
            <w:vAlign w:val="bottom"/>
          </w:tcPr>
          <w:p w:rsidR="00835A84" w:rsidRPr="002B6DC4" w:rsidRDefault="00835A84" w:rsidP="002B6DC4">
            <w:pPr>
              <w:tabs>
                <w:tab w:val="left" w:pos="567"/>
                <w:tab w:val="left" w:pos="1134"/>
              </w:tabs>
              <w:spacing w:before="40" w:after="40"/>
              <w:jc w:val="center"/>
            </w:pPr>
            <w:r w:rsidRPr="002B6DC4">
              <w:t>29</w:t>
            </w:r>
          </w:p>
        </w:tc>
      </w:tr>
    </w:tbl>
    <w:p w:rsidR="00835A84" w:rsidRPr="002B6DC4" w:rsidRDefault="00835A84" w:rsidP="002B6DC4">
      <w:pPr>
        <w:pStyle w:val="BodyText"/>
        <w:tabs>
          <w:tab w:val="left" w:pos="567"/>
          <w:tab w:val="left" w:pos="1134"/>
        </w:tabs>
        <w:spacing w:before="40" w:after="40"/>
        <w:rPr>
          <w:sz w:val="20"/>
          <w:lang w:val="ru-RU"/>
        </w:rPr>
      </w:pPr>
      <w:r w:rsidRPr="002B6DC4">
        <w:rPr>
          <w:sz w:val="20"/>
          <w:lang w:val="ru-RU"/>
        </w:rPr>
        <w:t>Данные Регистра гражданских служащих</w:t>
      </w:r>
    </w:p>
    <w:p w:rsidR="00835A84" w:rsidRPr="00F04E0A" w:rsidRDefault="00835A84" w:rsidP="002B6DC4">
      <w:pPr>
        <w:pStyle w:val="BodyText"/>
        <w:keepNext/>
        <w:tabs>
          <w:tab w:val="left" w:pos="567"/>
          <w:tab w:val="left" w:pos="1134"/>
        </w:tabs>
        <w:spacing w:before="0" w:after="200"/>
        <w:jc w:val="center"/>
        <w:rPr>
          <w:szCs w:val="22"/>
          <w:lang w:val="ru-RU"/>
        </w:rPr>
      </w:pPr>
      <w:r w:rsidRPr="00F04E0A">
        <w:rPr>
          <w:szCs w:val="22"/>
          <w:lang w:val="ru-RU"/>
        </w:rPr>
        <w:t>ТАБЛИЦА 5.</w:t>
      </w:r>
      <w:r w:rsidR="002B6DC4">
        <w:rPr>
          <w:szCs w:val="22"/>
          <w:lang w:val="ru-RU"/>
        </w:rPr>
        <w:t xml:space="preserve"> </w:t>
      </w:r>
      <w:r w:rsidRPr="00F04E0A">
        <w:rPr>
          <w:szCs w:val="22"/>
          <w:lang w:val="ru-RU"/>
        </w:rPr>
        <w:t xml:space="preserve"> ЖЕНЩИНЫ НА ДИПЛОМАТИЧЕСКОЙ СЛУЖБЕ, 2005–2007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7"/>
        <w:gridCol w:w="1181"/>
        <w:gridCol w:w="1190"/>
        <w:gridCol w:w="1101"/>
      </w:tblGrid>
      <w:tr w:rsidR="00835A84" w:rsidRPr="002B6DC4">
        <w:trPr>
          <w:cantSplit/>
          <w:trHeight w:val="20"/>
        </w:trPr>
        <w:tc>
          <w:tcPr>
            <w:tcW w:w="5997" w:type="dxa"/>
            <w:vMerge w:val="restart"/>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 </w:t>
            </w:r>
          </w:p>
        </w:tc>
        <w:tc>
          <w:tcPr>
            <w:tcW w:w="3472" w:type="dxa"/>
            <w:gridSpan w:val="3"/>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Сотрудники</w:t>
            </w:r>
          </w:p>
        </w:tc>
      </w:tr>
      <w:tr w:rsidR="00835A84" w:rsidRPr="002B6DC4">
        <w:trPr>
          <w:cantSplit/>
          <w:trHeight w:val="20"/>
        </w:trPr>
        <w:tc>
          <w:tcPr>
            <w:tcW w:w="5997" w:type="dxa"/>
            <w:vMerge/>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pPr>
          </w:p>
        </w:tc>
        <w:tc>
          <w:tcPr>
            <w:tcW w:w="1181" w:type="dxa"/>
            <w:vMerge w:val="restart"/>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Всего</w:t>
            </w:r>
          </w:p>
        </w:tc>
        <w:tc>
          <w:tcPr>
            <w:tcW w:w="2291" w:type="dxa"/>
            <w:gridSpan w:val="2"/>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Женщины</w:t>
            </w:r>
          </w:p>
        </w:tc>
      </w:tr>
      <w:tr w:rsidR="00835A84" w:rsidRPr="002B6DC4">
        <w:trPr>
          <w:cantSplit/>
          <w:trHeight w:val="20"/>
        </w:trPr>
        <w:tc>
          <w:tcPr>
            <w:tcW w:w="5997" w:type="dxa"/>
            <w:vMerge/>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pPr>
          </w:p>
        </w:tc>
        <w:tc>
          <w:tcPr>
            <w:tcW w:w="1181" w:type="dxa"/>
            <w:vMerge/>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p>
        </w:tc>
        <w:tc>
          <w:tcPr>
            <w:tcW w:w="1190"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Число</w:t>
            </w:r>
          </w:p>
        </w:tc>
        <w:tc>
          <w:tcPr>
            <w:tcW w:w="110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rPr>
                <w:bCs/>
              </w:rPr>
            </w:pPr>
            <w:r w:rsidRPr="002B6DC4">
              <w:rPr>
                <w:bCs/>
              </w:rPr>
              <w:t xml:space="preserve">Март </w:t>
            </w:r>
            <w:smartTag w:uri="urn:schemas-microsoft-com:office:smarttags" w:element="metricconverter">
              <w:smartTagPr>
                <w:attr w:name="ProductID" w:val="2005 г"/>
              </w:smartTagPr>
              <w:r w:rsidRPr="002B6DC4">
                <w:rPr>
                  <w:bCs/>
                </w:rPr>
                <w:t>2005 г</w:t>
              </w:r>
            </w:smartTag>
            <w:r w:rsidRPr="002B6DC4">
              <w:rPr>
                <w:bCs/>
              </w:rPr>
              <w:t>.</w:t>
            </w:r>
          </w:p>
        </w:tc>
        <w:tc>
          <w:tcPr>
            <w:tcW w:w="118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p>
        </w:tc>
        <w:tc>
          <w:tcPr>
            <w:tcW w:w="1190"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p>
        </w:tc>
        <w:tc>
          <w:tcPr>
            <w:tcW w:w="110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Сотрудники дипломатической службы</w:t>
            </w:r>
          </w:p>
        </w:tc>
        <w:tc>
          <w:tcPr>
            <w:tcW w:w="118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533</w:t>
            </w:r>
          </w:p>
        </w:tc>
        <w:tc>
          <w:tcPr>
            <w:tcW w:w="1190"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283</w:t>
            </w:r>
          </w:p>
        </w:tc>
        <w:tc>
          <w:tcPr>
            <w:tcW w:w="110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53</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сотрудники дипломатической службы за границей</w:t>
            </w:r>
          </w:p>
        </w:tc>
        <w:tc>
          <w:tcPr>
            <w:tcW w:w="118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221</w:t>
            </w:r>
          </w:p>
        </w:tc>
        <w:tc>
          <w:tcPr>
            <w:tcW w:w="1190"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90</w:t>
            </w:r>
          </w:p>
        </w:tc>
        <w:tc>
          <w:tcPr>
            <w:tcW w:w="110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41</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старшие руководители</w:t>
            </w:r>
          </w:p>
        </w:tc>
        <w:tc>
          <w:tcPr>
            <w:tcW w:w="118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41</w:t>
            </w:r>
          </w:p>
        </w:tc>
        <w:tc>
          <w:tcPr>
            <w:tcW w:w="1190"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4</w:t>
            </w:r>
          </w:p>
        </w:tc>
        <w:tc>
          <w:tcPr>
            <w:tcW w:w="1101" w:type="dxa"/>
            <w:tcMar>
              <w:top w:w="28" w:type="dxa"/>
              <w:left w:w="57" w:type="dxa"/>
              <w:bottom w:w="28" w:type="dxa"/>
              <w:right w:w="57" w:type="dxa"/>
            </w:tcMar>
            <w:vAlign w:val="center"/>
          </w:tcPr>
          <w:p w:rsidR="00835A84" w:rsidRPr="002B6DC4" w:rsidRDefault="00835A84" w:rsidP="00A00115">
            <w:pPr>
              <w:keepNext/>
              <w:tabs>
                <w:tab w:val="left" w:pos="567"/>
                <w:tab w:val="left" w:pos="1134"/>
              </w:tabs>
              <w:spacing w:before="40" w:after="40"/>
              <w:jc w:val="center"/>
            </w:pPr>
            <w:r w:rsidRPr="002B6DC4">
              <w:t>10</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tabs>
                <w:tab w:val="left" w:pos="567"/>
                <w:tab w:val="left" w:pos="1134"/>
              </w:tabs>
              <w:spacing w:before="40" w:after="40"/>
              <w:rPr>
                <w:bCs/>
              </w:rPr>
            </w:pPr>
            <w:r w:rsidRPr="002B6DC4">
              <w:rPr>
                <w:bCs/>
              </w:rPr>
              <w:t xml:space="preserve">Март </w:t>
            </w:r>
            <w:smartTag w:uri="urn:schemas-microsoft-com:office:smarttags" w:element="metricconverter">
              <w:smartTagPr>
                <w:attr w:name="ProductID" w:val="2006 г"/>
              </w:smartTagPr>
              <w:r w:rsidRPr="002B6DC4">
                <w:rPr>
                  <w:bCs/>
                </w:rPr>
                <w:t>2006 г</w:t>
              </w:r>
            </w:smartTag>
            <w:r w:rsidRPr="002B6DC4">
              <w:rPr>
                <w:bCs/>
              </w:rPr>
              <w:t>.</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Сотрудники дипломатической службы</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570</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293</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51</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сотрудники дипломатической службы за границей</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236</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89</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38</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старшие руководители</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44</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4</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9</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tabs>
                <w:tab w:val="left" w:pos="567"/>
                <w:tab w:val="left" w:pos="1134"/>
              </w:tabs>
              <w:spacing w:before="40" w:after="40"/>
              <w:rPr>
                <w:bCs/>
              </w:rPr>
            </w:pPr>
            <w:r w:rsidRPr="002B6DC4">
              <w:rPr>
                <w:bCs/>
              </w:rPr>
              <w:t xml:space="preserve">Март </w:t>
            </w:r>
            <w:smartTag w:uri="urn:schemas-microsoft-com:office:smarttags" w:element="metricconverter">
              <w:smartTagPr>
                <w:attr w:name="ProductID" w:val="2007 г"/>
              </w:smartTagPr>
              <w:r w:rsidRPr="002B6DC4">
                <w:rPr>
                  <w:bCs/>
                </w:rPr>
                <w:t>2007 г</w:t>
              </w:r>
            </w:smartTag>
            <w:r w:rsidRPr="002B6DC4">
              <w:rPr>
                <w:bCs/>
              </w:rPr>
              <w:t>.</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Сотрудники дипломатической службы</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598</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315</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53</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сотрудники дипломатической службы за границей</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244</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94</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38</w:t>
            </w:r>
          </w:p>
        </w:tc>
      </w:tr>
      <w:tr w:rsidR="00835A84" w:rsidRPr="002B6DC4">
        <w:trPr>
          <w:cantSplit/>
          <w:trHeight w:val="20"/>
        </w:trPr>
        <w:tc>
          <w:tcPr>
            <w:tcW w:w="5997" w:type="dxa"/>
            <w:noWrap/>
            <w:tcMar>
              <w:top w:w="28" w:type="dxa"/>
              <w:left w:w="57" w:type="dxa"/>
              <w:bottom w:w="28" w:type="dxa"/>
              <w:right w:w="57" w:type="dxa"/>
            </w:tcMar>
            <w:vAlign w:val="bottom"/>
          </w:tcPr>
          <w:p w:rsidR="00835A84" w:rsidRPr="002B6DC4" w:rsidRDefault="00835A84" w:rsidP="00A00115">
            <w:pPr>
              <w:keepNext/>
              <w:tabs>
                <w:tab w:val="left" w:pos="567"/>
                <w:tab w:val="left" w:pos="1134"/>
              </w:tabs>
              <w:spacing w:before="40" w:after="40"/>
            </w:pPr>
            <w:r w:rsidRPr="002B6DC4">
              <w:t>В том числе старшие руководители</w:t>
            </w:r>
          </w:p>
        </w:tc>
        <w:tc>
          <w:tcPr>
            <w:tcW w:w="118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43</w:t>
            </w:r>
          </w:p>
        </w:tc>
        <w:tc>
          <w:tcPr>
            <w:tcW w:w="1190"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7</w:t>
            </w:r>
          </w:p>
        </w:tc>
        <w:tc>
          <w:tcPr>
            <w:tcW w:w="1101" w:type="dxa"/>
            <w:tcMar>
              <w:top w:w="28" w:type="dxa"/>
              <w:left w:w="57" w:type="dxa"/>
              <w:bottom w:w="28" w:type="dxa"/>
              <w:right w:w="57" w:type="dxa"/>
            </w:tcMar>
            <w:vAlign w:val="center"/>
          </w:tcPr>
          <w:p w:rsidR="00835A84" w:rsidRPr="002B6DC4" w:rsidRDefault="00835A84" w:rsidP="00A00115">
            <w:pPr>
              <w:tabs>
                <w:tab w:val="left" w:pos="567"/>
                <w:tab w:val="left" w:pos="1134"/>
              </w:tabs>
              <w:spacing w:before="40" w:after="40"/>
              <w:jc w:val="center"/>
            </w:pPr>
            <w:r w:rsidRPr="002B6DC4">
              <w:t>16</w:t>
            </w:r>
          </w:p>
        </w:tc>
      </w:tr>
    </w:tbl>
    <w:p w:rsidR="00835A84" w:rsidRPr="00A00115" w:rsidRDefault="00835A84" w:rsidP="00A00115">
      <w:pPr>
        <w:shd w:val="clear" w:color="auto" w:fill="FFFFFF"/>
        <w:tabs>
          <w:tab w:val="left" w:pos="567"/>
          <w:tab w:val="left" w:pos="1134"/>
        </w:tabs>
        <w:spacing w:beforeLines="40" w:before="96" w:afterLines="40" w:after="96"/>
        <w:rPr>
          <w:b/>
          <w:bCs/>
          <w:spacing w:val="-2"/>
        </w:rPr>
      </w:pPr>
      <w:r w:rsidRPr="00A00115">
        <w:rPr>
          <w:b/>
          <w:bCs/>
          <w:spacing w:val="-2"/>
        </w:rPr>
        <w:t>Данные Министерства иностранных дел</w:t>
      </w:r>
    </w:p>
    <w:p w:rsidR="00A00115" w:rsidRDefault="00A00115" w:rsidP="00A00115">
      <w:pPr>
        <w:shd w:val="clear" w:color="auto" w:fill="FFFFFF"/>
        <w:tabs>
          <w:tab w:val="left" w:pos="567"/>
          <w:tab w:val="left" w:pos="1134"/>
        </w:tabs>
        <w:spacing w:after="200"/>
        <w:jc w:val="center"/>
        <w:rPr>
          <w:b/>
          <w:bCs/>
          <w:caps/>
          <w:spacing w:val="-2"/>
          <w:sz w:val="22"/>
          <w:szCs w:val="22"/>
        </w:rPr>
      </w:pPr>
    </w:p>
    <w:p w:rsidR="00835A84" w:rsidRPr="00F04E0A" w:rsidRDefault="00835A84" w:rsidP="00A00115">
      <w:pPr>
        <w:shd w:val="clear" w:color="auto" w:fill="FFFFFF"/>
        <w:tabs>
          <w:tab w:val="left" w:pos="567"/>
          <w:tab w:val="left" w:pos="1134"/>
        </w:tabs>
        <w:spacing w:after="200"/>
        <w:jc w:val="center"/>
        <w:rPr>
          <w:b/>
          <w:bCs/>
          <w:caps/>
          <w:spacing w:val="-2"/>
          <w:sz w:val="22"/>
          <w:szCs w:val="22"/>
        </w:rPr>
      </w:pPr>
      <w:r w:rsidRPr="00F04E0A">
        <w:rPr>
          <w:b/>
          <w:bCs/>
          <w:caps/>
          <w:spacing w:val="-2"/>
          <w:sz w:val="22"/>
          <w:szCs w:val="22"/>
        </w:rPr>
        <w:t xml:space="preserve">ТАБЛИЦА 6. </w:t>
      </w:r>
      <w:r w:rsidR="00A00115">
        <w:rPr>
          <w:b/>
          <w:bCs/>
          <w:caps/>
          <w:spacing w:val="-2"/>
          <w:sz w:val="22"/>
          <w:szCs w:val="22"/>
        </w:rPr>
        <w:t xml:space="preserve"> </w:t>
      </w:r>
      <w:r w:rsidRPr="00F04E0A">
        <w:rPr>
          <w:b/>
          <w:bCs/>
          <w:caps/>
          <w:spacing w:val="-2"/>
          <w:sz w:val="22"/>
          <w:szCs w:val="22"/>
        </w:rPr>
        <w:t xml:space="preserve">ВЫПУСКНИКИ УНИВЕРСИТЕТОВ с разбивкой </w:t>
      </w:r>
      <w:r w:rsidR="00A00115">
        <w:rPr>
          <w:b/>
          <w:bCs/>
          <w:caps/>
          <w:spacing w:val="-2"/>
          <w:sz w:val="22"/>
          <w:szCs w:val="22"/>
        </w:rPr>
        <w:br/>
      </w:r>
      <w:r w:rsidRPr="00F04E0A">
        <w:rPr>
          <w:b/>
          <w:bCs/>
          <w:caps/>
          <w:spacing w:val="-2"/>
          <w:sz w:val="22"/>
          <w:szCs w:val="22"/>
        </w:rPr>
        <w:t>по полученнЫМ степенЯМ, 2005–2006 ГОДЫ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1098"/>
        <w:gridCol w:w="1091"/>
        <w:gridCol w:w="1099"/>
        <w:gridCol w:w="1091"/>
        <w:gridCol w:w="1099"/>
        <w:gridCol w:w="1091"/>
        <w:gridCol w:w="1099"/>
        <w:gridCol w:w="1089"/>
      </w:tblGrid>
      <w:tr w:rsidR="00835A84" w:rsidRPr="00A00115">
        <w:trPr>
          <w:cantSplit/>
          <w:trHeight w:val="20"/>
        </w:trPr>
        <w:tc>
          <w:tcPr>
            <w:tcW w:w="401" w:type="pct"/>
            <w:vMerge w:val="restar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Год</w:t>
            </w:r>
          </w:p>
        </w:tc>
        <w:tc>
          <w:tcPr>
            <w:tcW w:w="4599" w:type="pct"/>
            <w:gridSpan w:val="8"/>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Число выпускников</w:t>
            </w:r>
          </w:p>
        </w:tc>
      </w:tr>
      <w:tr w:rsidR="00835A84" w:rsidRPr="00A00115">
        <w:trPr>
          <w:cantSplit/>
          <w:trHeight w:val="20"/>
        </w:trPr>
        <w:tc>
          <w:tcPr>
            <w:tcW w:w="401" w:type="pct"/>
            <w:vMerge/>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p>
        </w:tc>
        <w:tc>
          <w:tcPr>
            <w:tcW w:w="1150" w:type="pct"/>
            <w:gridSpan w:val="2"/>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Степень бакалавра</w:t>
            </w:r>
          </w:p>
        </w:tc>
        <w:tc>
          <w:tcPr>
            <w:tcW w:w="1150" w:type="pct"/>
            <w:gridSpan w:val="2"/>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Степень магистра</w:t>
            </w:r>
          </w:p>
        </w:tc>
        <w:tc>
          <w:tcPr>
            <w:tcW w:w="1150" w:type="pct"/>
            <w:gridSpan w:val="2"/>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Профессиональная квалификация</w:t>
            </w:r>
          </w:p>
        </w:tc>
        <w:tc>
          <w:tcPr>
            <w:tcW w:w="1150" w:type="pct"/>
            <w:gridSpan w:val="2"/>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Степень доктора наук</w:t>
            </w:r>
          </w:p>
        </w:tc>
      </w:tr>
      <w:tr w:rsidR="00835A84" w:rsidRPr="00A00115">
        <w:trPr>
          <w:cantSplit/>
          <w:trHeight w:val="20"/>
        </w:trPr>
        <w:tc>
          <w:tcPr>
            <w:tcW w:w="401" w:type="pct"/>
            <w:vMerge/>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Мужчины</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Мужчины</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Мужчины</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Мужчины</w:t>
            </w:r>
          </w:p>
        </w:tc>
      </w:tr>
      <w:tr w:rsidR="00835A84" w:rsidRPr="00A00115">
        <w:trPr>
          <w:cantSplit/>
          <w:trHeight w:val="20"/>
        </w:trPr>
        <w:tc>
          <w:tcPr>
            <w:tcW w:w="401"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2005</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12 030</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6 282</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4 900</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2 587</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1 409</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606</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158</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117</w:t>
            </w:r>
          </w:p>
        </w:tc>
      </w:tr>
      <w:tr w:rsidR="00835A84" w:rsidRPr="00A00115">
        <w:trPr>
          <w:cantSplit/>
          <w:trHeight w:val="20"/>
        </w:trPr>
        <w:tc>
          <w:tcPr>
            <w:tcW w:w="401"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2006</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13 642</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6 967</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4 788</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2 498</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1 424</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525</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161</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115</w:t>
            </w:r>
          </w:p>
        </w:tc>
      </w:tr>
      <w:tr w:rsidR="00835A84" w:rsidRPr="00A00115">
        <w:trPr>
          <w:cantSplit/>
          <w:trHeight w:val="20"/>
        </w:trPr>
        <w:tc>
          <w:tcPr>
            <w:tcW w:w="5000" w:type="pct"/>
            <w:gridSpan w:val="9"/>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Распределение по полу (в %)</w:t>
            </w:r>
          </w:p>
        </w:tc>
      </w:tr>
      <w:tr w:rsidR="00835A84" w:rsidRPr="00A00115">
        <w:trPr>
          <w:cantSplit/>
          <w:trHeight w:val="20"/>
        </w:trPr>
        <w:tc>
          <w:tcPr>
            <w:tcW w:w="401"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2005</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65,7</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34,3</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65,4</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34,6</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69,9</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30,1</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57,5</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42,5</w:t>
            </w:r>
          </w:p>
        </w:tc>
      </w:tr>
      <w:tr w:rsidR="00835A84" w:rsidRPr="00A00115">
        <w:trPr>
          <w:cantSplit/>
          <w:trHeight w:val="20"/>
        </w:trPr>
        <w:tc>
          <w:tcPr>
            <w:tcW w:w="401"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2006</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66,2</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33,8</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65,7</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34,3</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73,1</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26,9</w:t>
            </w:r>
          </w:p>
        </w:tc>
        <w:tc>
          <w:tcPr>
            <w:tcW w:w="577"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58,3</w:t>
            </w:r>
          </w:p>
        </w:tc>
        <w:tc>
          <w:tcPr>
            <w:tcW w:w="573" w:type="pc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41,7</w:t>
            </w:r>
          </w:p>
        </w:tc>
      </w:tr>
    </w:tbl>
    <w:p w:rsidR="00835A84" w:rsidRPr="00A00115" w:rsidRDefault="00835A84" w:rsidP="00A00115">
      <w:pPr>
        <w:pStyle w:val="BodyText"/>
        <w:tabs>
          <w:tab w:val="left" w:pos="567"/>
          <w:tab w:val="left" w:pos="1134"/>
        </w:tabs>
        <w:spacing w:before="140" w:after="200"/>
        <w:rPr>
          <w:sz w:val="20"/>
          <w:lang w:val="ru-RU"/>
        </w:rPr>
      </w:pPr>
      <w:r w:rsidRPr="00A00115">
        <w:rPr>
          <w:sz w:val="20"/>
          <w:lang w:val="ru-RU"/>
        </w:rPr>
        <w:t>Данные Департамента статистики при правительстве Литовской Республики</w:t>
      </w:r>
    </w:p>
    <w:p w:rsidR="00835A84" w:rsidRPr="00F04E0A" w:rsidRDefault="00835A84" w:rsidP="00835A84">
      <w:pPr>
        <w:shd w:val="clear" w:color="auto" w:fill="FFFFFF"/>
        <w:tabs>
          <w:tab w:val="left" w:pos="567"/>
          <w:tab w:val="left" w:pos="1134"/>
        </w:tabs>
        <w:spacing w:after="200"/>
        <w:ind w:firstLine="567"/>
        <w:rPr>
          <w:sz w:val="22"/>
          <w:szCs w:val="22"/>
        </w:rPr>
      </w:pPr>
    </w:p>
    <w:p w:rsidR="00835A84" w:rsidRPr="00F04E0A" w:rsidRDefault="00A00115" w:rsidP="000A4C97">
      <w:pPr>
        <w:tabs>
          <w:tab w:val="left" w:pos="567"/>
          <w:tab w:val="left" w:pos="1134"/>
        </w:tabs>
        <w:spacing w:after="200"/>
        <w:jc w:val="center"/>
        <w:rPr>
          <w:sz w:val="22"/>
          <w:szCs w:val="22"/>
        </w:rPr>
      </w:pPr>
      <w:r>
        <w:rPr>
          <w:b/>
          <w:sz w:val="22"/>
          <w:szCs w:val="22"/>
        </w:rPr>
        <w:br w:type="page"/>
      </w:r>
      <w:r w:rsidR="00835A84" w:rsidRPr="00F04E0A">
        <w:rPr>
          <w:b/>
          <w:sz w:val="22"/>
          <w:szCs w:val="22"/>
        </w:rPr>
        <w:t xml:space="preserve">ТАБЛИЦА 7. ЕЖЕМЕСЯЧНАЯ СРЕДНЯЯ ВАЛОВАЯ ЗАРАБОТНАЯ ПЛАТА (ДО ВЫЧЕТА НАЛОГОВ) ЖЕНЩИН ПО СРАВНЕНИЮ С ЕЖЕМЕСЯЧНОЙ СРЕДНЕЙ ВАЛОВОЙ ЗАРАБОТНОЙ ПЛАТОЙ МУЖЧИН* </w:t>
      </w:r>
      <w:r w:rsidR="00835A84" w:rsidRPr="00F04E0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2740"/>
        <w:gridCol w:w="2761"/>
        <w:gridCol w:w="2732"/>
      </w:tblGrid>
      <w:tr w:rsidR="00835A84" w:rsidRPr="00A00115">
        <w:trPr>
          <w:cantSplit/>
          <w:trHeight w:val="20"/>
        </w:trPr>
        <w:tc>
          <w:tcPr>
            <w:tcW w:w="1317"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Год</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Экономика в целом</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Государственный сектор</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Частный сектор</w:t>
            </w:r>
          </w:p>
        </w:tc>
      </w:tr>
      <w:tr w:rsidR="00835A84" w:rsidRPr="00A00115">
        <w:trPr>
          <w:cantSplit/>
          <w:trHeight w:val="20"/>
        </w:trPr>
        <w:tc>
          <w:tcPr>
            <w:tcW w:w="1317"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2000</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81,7</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77</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84,5</w:t>
            </w:r>
          </w:p>
        </w:tc>
      </w:tr>
      <w:tr w:rsidR="00835A84" w:rsidRPr="00A00115">
        <w:trPr>
          <w:cantSplit/>
          <w:trHeight w:val="20"/>
        </w:trPr>
        <w:tc>
          <w:tcPr>
            <w:tcW w:w="1317"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2005</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82,4</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77,9</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82,2</w:t>
            </w:r>
          </w:p>
        </w:tc>
      </w:tr>
      <w:tr w:rsidR="00835A84" w:rsidRPr="00A00115">
        <w:trPr>
          <w:cantSplit/>
          <w:trHeight w:val="20"/>
        </w:trPr>
        <w:tc>
          <w:tcPr>
            <w:tcW w:w="1317"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2006</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82,1</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78,9</w:t>
            </w:r>
          </w:p>
        </w:tc>
        <w:tc>
          <w:tcPr>
            <w:tcW w:w="2806"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80,9</w:t>
            </w:r>
          </w:p>
        </w:tc>
      </w:tr>
    </w:tbl>
    <w:p w:rsidR="00835A84" w:rsidRPr="00A00115" w:rsidRDefault="00835A84" w:rsidP="001D45C6">
      <w:pPr>
        <w:pStyle w:val="BodyText"/>
        <w:tabs>
          <w:tab w:val="left" w:pos="567"/>
          <w:tab w:val="left" w:pos="1134"/>
        </w:tabs>
        <w:spacing w:before="100" w:after="40"/>
        <w:rPr>
          <w:sz w:val="20"/>
          <w:lang w:val="ru-RU"/>
        </w:rPr>
      </w:pPr>
      <w:r w:rsidRPr="00A00115">
        <w:rPr>
          <w:sz w:val="20"/>
          <w:lang w:val="ru-RU"/>
        </w:rPr>
        <w:t>Данные Департамента статистики при правительстве Литовской Республики</w:t>
      </w:r>
    </w:p>
    <w:p w:rsidR="00835A84" w:rsidRPr="00A00115" w:rsidRDefault="00835A84" w:rsidP="00A00115">
      <w:pPr>
        <w:pStyle w:val="BodyText"/>
        <w:tabs>
          <w:tab w:val="left" w:pos="567"/>
          <w:tab w:val="left" w:pos="1134"/>
        </w:tabs>
        <w:spacing w:before="40" w:after="40"/>
        <w:rPr>
          <w:sz w:val="20"/>
          <w:lang w:val="ru-RU"/>
        </w:rPr>
      </w:pPr>
      <w:r w:rsidRPr="00A00115">
        <w:rPr>
          <w:sz w:val="20"/>
          <w:lang w:val="ru-RU"/>
        </w:rPr>
        <w:t>* за исключением личного предпринимательства</w:t>
      </w:r>
    </w:p>
    <w:p w:rsidR="00A00115" w:rsidRDefault="00A00115" w:rsidP="00835A84">
      <w:pPr>
        <w:tabs>
          <w:tab w:val="left" w:pos="567"/>
          <w:tab w:val="left" w:pos="1134"/>
        </w:tabs>
        <w:spacing w:after="200"/>
        <w:ind w:firstLine="567"/>
        <w:jc w:val="center"/>
        <w:rPr>
          <w:b/>
          <w:caps/>
          <w:sz w:val="22"/>
          <w:szCs w:val="22"/>
        </w:rPr>
      </w:pPr>
    </w:p>
    <w:p w:rsidR="00835A84" w:rsidRPr="00F04E0A" w:rsidRDefault="00835A84" w:rsidP="000A4C97">
      <w:pPr>
        <w:tabs>
          <w:tab w:val="left" w:pos="567"/>
          <w:tab w:val="left" w:pos="1134"/>
        </w:tabs>
        <w:spacing w:after="200"/>
        <w:jc w:val="center"/>
        <w:rPr>
          <w:caps/>
          <w:sz w:val="22"/>
          <w:szCs w:val="22"/>
        </w:rPr>
      </w:pPr>
      <w:r w:rsidRPr="00F04E0A">
        <w:rPr>
          <w:b/>
          <w:caps/>
          <w:sz w:val="22"/>
          <w:szCs w:val="22"/>
        </w:rPr>
        <w:t xml:space="preserve">ТАБЛИЦА 8. ЕЖЕМЕСЯЧНАЯ СРЕДНЯЯ ВАЛОВАЯ ЗАРАБОТНАЯ ПЛАТА (ДО ВЫЧЕТА НАЛОГОВ) ЖЕНЩИН ПО СРАВНЕНИЮ С ЕЖЕМЕСЯЧНОЙ </w:t>
      </w:r>
      <w:r w:rsidR="00A00115">
        <w:rPr>
          <w:b/>
          <w:caps/>
          <w:sz w:val="22"/>
          <w:szCs w:val="22"/>
        </w:rPr>
        <w:br/>
      </w:r>
      <w:r w:rsidRPr="00F04E0A">
        <w:rPr>
          <w:b/>
          <w:caps/>
          <w:sz w:val="22"/>
          <w:szCs w:val="22"/>
        </w:rPr>
        <w:t xml:space="preserve">СРЕДНЕЙ ВАЛОВОЙ ЗАРАБОТНОЙ ПЛАТОЙ МУЖЧИН В РАМКАХ </w:t>
      </w:r>
      <w:r w:rsidR="00A00115">
        <w:rPr>
          <w:b/>
          <w:caps/>
          <w:sz w:val="22"/>
          <w:szCs w:val="22"/>
        </w:rPr>
        <w:br/>
      </w:r>
      <w:r w:rsidRPr="00F04E0A">
        <w:rPr>
          <w:b/>
          <w:caps/>
          <w:sz w:val="22"/>
          <w:szCs w:val="22"/>
        </w:rPr>
        <w:t xml:space="preserve">НАЦИОНАЛЬНОЙ ЭКОНОМИКИ с разбивкой по ВИДам </w:t>
      </w:r>
      <w:r w:rsidR="00A00115">
        <w:rPr>
          <w:b/>
          <w:caps/>
          <w:sz w:val="22"/>
          <w:szCs w:val="22"/>
        </w:rPr>
        <w:br/>
      </w:r>
      <w:r w:rsidRPr="00F04E0A">
        <w:rPr>
          <w:b/>
          <w:caps/>
          <w:sz w:val="22"/>
          <w:szCs w:val="22"/>
        </w:rPr>
        <w:t>экономической деятельности, 2006 год*</w:t>
      </w:r>
    </w:p>
    <w:p w:rsidR="00835A84" w:rsidRPr="000A4C97" w:rsidRDefault="00835A84" w:rsidP="00A00115">
      <w:pPr>
        <w:pStyle w:val="BodyText"/>
        <w:tabs>
          <w:tab w:val="left" w:pos="567"/>
          <w:tab w:val="left" w:pos="1134"/>
        </w:tabs>
        <w:spacing w:before="0" w:after="60"/>
        <w:ind w:firstLine="567"/>
        <w:jc w:val="right"/>
        <w:rPr>
          <w:b w:val="0"/>
          <w:sz w:val="20"/>
          <w:lang w:val="ru-RU"/>
        </w:rPr>
      </w:pPr>
      <w:r w:rsidRPr="000A4C97">
        <w:rPr>
          <w:b w:val="0"/>
          <w:sz w:val="20"/>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1"/>
        <w:gridCol w:w="1047"/>
        <w:gridCol w:w="1393"/>
        <w:gridCol w:w="1239"/>
      </w:tblGrid>
      <w:tr w:rsidR="00835A84" w:rsidRPr="00A00115">
        <w:trPr>
          <w:cantSplit/>
          <w:trHeight w:val="20"/>
          <w:tblHeader/>
        </w:trPr>
        <w:tc>
          <w:tcPr>
            <w:tcW w:w="6036" w:type="dxa"/>
            <w:vMerge w:val="restart"/>
            <w:tcMar>
              <w:top w:w="28" w:type="dxa"/>
              <w:left w:w="57" w:type="dxa"/>
              <w:bottom w:w="28" w:type="dxa"/>
              <w:right w:w="57" w:type="dxa"/>
            </w:tcMar>
          </w:tcPr>
          <w:p w:rsidR="00835A84" w:rsidRPr="00A00115" w:rsidRDefault="00835A84" w:rsidP="00A00115">
            <w:pPr>
              <w:tabs>
                <w:tab w:val="left" w:pos="567"/>
                <w:tab w:val="left" w:pos="1134"/>
              </w:tabs>
              <w:spacing w:before="40" w:after="40"/>
              <w:jc w:val="center"/>
            </w:pPr>
            <w:r w:rsidRPr="00A00115">
              <w:t> </w:t>
            </w:r>
          </w:p>
        </w:tc>
        <w:tc>
          <w:tcPr>
            <w:tcW w:w="1067" w:type="dxa"/>
            <w:vMerge w:val="restart"/>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Всего</w:t>
            </w:r>
          </w:p>
        </w:tc>
        <w:tc>
          <w:tcPr>
            <w:tcW w:w="2649" w:type="dxa"/>
            <w:gridSpan w:val="2"/>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В том числе</w:t>
            </w:r>
          </w:p>
        </w:tc>
      </w:tr>
      <w:tr w:rsidR="00835A84" w:rsidRPr="00A00115">
        <w:trPr>
          <w:cantSplit/>
          <w:trHeight w:val="20"/>
          <w:tblHeader/>
        </w:trPr>
        <w:tc>
          <w:tcPr>
            <w:tcW w:w="6036" w:type="dxa"/>
            <w:vMerge/>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pPr>
          </w:p>
        </w:tc>
        <w:tc>
          <w:tcPr>
            <w:tcW w:w="1067" w:type="dxa"/>
            <w:vMerge/>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p>
        </w:tc>
        <w:tc>
          <w:tcPr>
            <w:tcW w:w="1402"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 на технических должностях</w:t>
            </w:r>
          </w:p>
        </w:tc>
        <w:tc>
          <w:tcPr>
            <w:tcW w:w="1247" w:type="dxa"/>
            <w:tcMar>
              <w:top w:w="28" w:type="dxa"/>
              <w:left w:w="57" w:type="dxa"/>
              <w:bottom w:w="28" w:type="dxa"/>
              <w:right w:w="57" w:type="dxa"/>
            </w:tcMar>
            <w:vAlign w:val="center"/>
          </w:tcPr>
          <w:p w:rsidR="00835A84" w:rsidRPr="00A00115" w:rsidRDefault="00835A84" w:rsidP="00A00115">
            <w:pPr>
              <w:tabs>
                <w:tab w:val="left" w:pos="567"/>
                <w:tab w:val="left" w:pos="1134"/>
              </w:tabs>
              <w:spacing w:before="40" w:after="40"/>
              <w:jc w:val="center"/>
            </w:pPr>
            <w:r w:rsidRPr="00A00115">
              <w:t>Женщины-служащие</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rPr>
                <w:bCs/>
              </w:rPr>
            </w:pPr>
            <w:r w:rsidRPr="00A00115">
              <w:rPr>
                <w:bCs/>
              </w:rPr>
              <w:t>Всего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rPr>
                <w:bCs/>
              </w:rPr>
            </w:pPr>
            <w:r w:rsidRPr="00A00115">
              <w:rPr>
                <w:bCs/>
              </w:rPr>
              <w:t>82,1</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rPr>
                <w:bCs/>
              </w:rPr>
            </w:pPr>
            <w:r w:rsidRPr="00A00115">
              <w:rPr>
                <w:bCs/>
              </w:rPr>
              <w:t>70,2</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rPr>
                <w:bCs/>
              </w:rPr>
            </w:pPr>
            <w:r w:rsidRPr="00A00115">
              <w:rPr>
                <w:bCs/>
              </w:rPr>
              <w:t>72,7</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Сельское хозяйство, охота и лесное хозяйство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86,2</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89,6</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74,5</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Рыболовство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92,6</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77,3</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73,3</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Горная промышленность</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90,5</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62,6</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58,9</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Обрабатывающая промышленность</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74</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73,6</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68,1</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Электро-, газо- и водоснабжение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85,8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80,9</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70,1</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Строительство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88,6</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75,2</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69</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Оптовая и розничная торговля; ремонт транспортных средств, товаров личного и домашнего обихода</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79,6</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84,5</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69,5</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Гостиницы и рестораны</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81,8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85,7</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82</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Транспорт, складское хозяйство и связь</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95,2</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93,3</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65,2</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Финансовое посредничество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58,2</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54,5</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58</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Денежно-валютное посредничество</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52,8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56,3</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52,3</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Страхование и пенсионное обеспечение, за исключением обязательного социального страхования</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66,8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55</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66,8</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Недвижимость, аренда и прочие деловые операции</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90,1</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75,1</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90,8</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Исследования и разработки</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79,8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79,5</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76,6</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Государственное управление и оборона; обязательное социальное страхование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94,7</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89,2</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91,7</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Государственное управление и социально-экономическая политика общества</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82,6</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76,4</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78,2</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Законодательная и исполнительная деятельность центральных органов власти</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85,9</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76,2</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82,8</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Предоставление услуг обществу в целом</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95,5</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98</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94,3</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Деятельность по обязательному социальному обеспечению</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100,4</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87,8</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78,7</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Образование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95,5</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90</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84,9</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Общее среднее образование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119,4</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94,3</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104,2</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Высшее образование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74,3</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80</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74,4</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Здравоохранение и работа в социальной сфере</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78,2</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84</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63,3</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Деятельность в области охраны здоровья</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77,3</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80,7</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61,7</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Работа в сфере социальных проблем</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95,8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98,5</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81,8</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Другие виды деятельности по общественному социальному и личному обслуживанию</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86,8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69,3</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82,1</w:t>
            </w:r>
          </w:p>
        </w:tc>
      </w:tr>
      <w:tr w:rsidR="00835A84" w:rsidRPr="00A00115">
        <w:trPr>
          <w:cantSplit/>
          <w:trHeight w:val="20"/>
        </w:trPr>
        <w:tc>
          <w:tcPr>
            <w:tcW w:w="6036"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pPr>
            <w:r w:rsidRPr="00A00115">
              <w:t>Деятельность в сфере досуга, культуры и спорта</w:t>
            </w:r>
          </w:p>
        </w:tc>
        <w:tc>
          <w:tcPr>
            <w:tcW w:w="106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87,8</w:t>
            </w:r>
          </w:p>
        </w:tc>
        <w:tc>
          <w:tcPr>
            <w:tcW w:w="1402"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84,9</w:t>
            </w:r>
          </w:p>
        </w:tc>
        <w:tc>
          <w:tcPr>
            <w:tcW w:w="1247" w:type="dxa"/>
            <w:tcMar>
              <w:top w:w="28" w:type="dxa"/>
              <w:left w:w="57" w:type="dxa"/>
              <w:bottom w:w="28" w:type="dxa"/>
              <w:right w:w="57" w:type="dxa"/>
            </w:tcMar>
            <w:vAlign w:val="bottom"/>
          </w:tcPr>
          <w:p w:rsidR="00835A84" w:rsidRPr="00A00115" w:rsidRDefault="00835A84" w:rsidP="00A00115">
            <w:pPr>
              <w:tabs>
                <w:tab w:val="left" w:pos="567"/>
                <w:tab w:val="left" w:pos="1134"/>
              </w:tabs>
              <w:spacing w:before="40" w:after="40"/>
              <w:jc w:val="center"/>
            </w:pPr>
            <w:r w:rsidRPr="00A00115">
              <w:t>84,3</w:t>
            </w:r>
          </w:p>
        </w:tc>
      </w:tr>
    </w:tbl>
    <w:p w:rsidR="00835A84" w:rsidRPr="00A00115" w:rsidRDefault="00835A84" w:rsidP="001D45C6">
      <w:pPr>
        <w:pStyle w:val="BodyText"/>
        <w:tabs>
          <w:tab w:val="left" w:pos="567"/>
          <w:tab w:val="left" w:pos="1134"/>
        </w:tabs>
        <w:spacing w:before="100" w:after="40"/>
        <w:rPr>
          <w:sz w:val="20"/>
          <w:lang w:val="ru-RU"/>
        </w:rPr>
      </w:pPr>
      <w:r w:rsidRPr="00A00115">
        <w:rPr>
          <w:sz w:val="20"/>
          <w:lang w:val="ru-RU"/>
        </w:rPr>
        <w:t>Данные Департамента статистики при правительстве Литовской Республики</w:t>
      </w:r>
    </w:p>
    <w:p w:rsidR="00835A84" w:rsidRPr="00A00115" w:rsidRDefault="00835A84" w:rsidP="001D45C6">
      <w:pPr>
        <w:pStyle w:val="BodyText"/>
        <w:tabs>
          <w:tab w:val="left" w:pos="567"/>
          <w:tab w:val="left" w:pos="1134"/>
        </w:tabs>
        <w:spacing w:before="0" w:after="400"/>
        <w:rPr>
          <w:sz w:val="20"/>
          <w:lang w:val="ru-RU"/>
        </w:rPr>
      </w:pPr>
      <w:r w:rsidRPr="00A00115">
        <w:rPr>
          <w:sz w:val="20"/>
          <w:lang w:val="ru-RU"/>
        </w:rPr>
        <w:t>*</w:t>
      </w:r>
      <w:r w:rsidR="001D45C6">
        <w:rPr>
          <w:sz w:val="20"/>
          <w:lang w:val="ru-RU"/>
        </w:rPr>
        <w:t xml:space="preserve"> </w:t>
      </w:r>
      <w:r w:rsidRPr="00A00115">
        <w:rPr>
          <w:sz w:val="20"/>
          <w:lang w:val="ru-RU"/>
        </w:rPr>
        <w:t>за исключением личного предпринимательства</w:t>
      </w:r>
    </w:p>
    <w:p w:rsidR="00835A84" w:rsidRPr="00F04E0A" w:rsidRDefault="00835A84" w:rsidP="001D45C6">
      <w:pPr>
        <w:pStyle w:val="BodyText"/>
        <w:tabs>
          <w:tab w:val="left" w:pos="567"/>
          <w:tab w:val="left" w:pos="1134"/>
        </w:tabs>
        <w:spacing w:before="0" w:after="200"/>
        <w:jc w:val="center"/>
        <w:rPr>
          <w:caps/>
          <w:szCs w:val="22"/>
          <w:lang w:val="ru-RU"/>
        </w:rPr>
      </w:pPr>
      <w:r w:rsidRPr="00F04E0A">
        <w:rPr>
          <w:caps/>
          <w:szCs w:val="22"/>
          <w:lang w:val="ru-RU"/>
        </w:rPr>
        <w:t xml:space="preserve">ТАБЛИЦА 9. </w:t>
      </w:r>
      <w:r w:rsidR="001D45C6">
        <w:rPr>
          <w:caps/>
          <w:szCs w:val="22"/>
          <w:lang w:val="ru-RU"/>
        </w:rPr>
        <w:t xml:space="preserve"> </w:t>
      </w:r>
      <w:r w:rsidRPr="00F04E0A">
        <w:rPr>
          <w:caps/>
          <w:szCs w:val="22"/>
          <w:lang w:val="ru-RU"/>
        </w:rPr>
        <w:t xml:space="preserve">ЗАНЯТОЕ НАСЕЛЕНИЕ с разбивкой </w:t>
      </w:r>
      <w:r w:rsidR="001D45C6">
        <w:rPr>
          <w:caps/>
          <w:szCs w:val="22"/>
          <w:lang w:val="ru-RU"/>
        </w:rPr>
        <w:br/>
      </w:r>
      <w:r w:rsidRPr="00F04E0A">
        <w:rPr>
          <w:caps/>
          <w:szCs w:val="22"/>
          <w:lang w:val="ru-RU"/>
        </w:rPr>
        <w:t>по секторам, 2005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2"/>
        <w:gridCol w:w="1363"/>
        <w:gridCol w:w="1189"/>
        <w:gridCol w:w="1161"/>
        <w:gridCol w:w="1194"/>
        <w:gridCol w:w="1247"/>
        <w:gridCol w:w="1153"/>
      </w:tblGrid>
      <w:tr w:rsidR="00835A84" w:rsidRPr="001D45C6">
        <w:trPr>
          <w:cantSplit/>
          <w:trHeight w:val="20"/>
        </w:trPr>
        <w:tc>
          <w:tcPr>
            <w:tcW w:w="2212" w:type="dxa"/>
            <w:vMerge w:val="restart"/>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p>
        </w:tc>
        <w:tc>
          <w:tcPr>
            <w:tcW w:w="2552"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Женщины</w:t>
            </w:r>
          </w:p>
        </w:tc>
        <w:tc>
          <w:tcPr>
            <w:tcW w:w="2355"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Мужчины</w:t>
            </w:r>
          </w:p>
        </w:tc>
        <w:tc>
          <w:tcPr>
            <w:tcW w:w="2400"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С разбивкой по полу (%)</w:t>
            </w:r>
          </w:p>
        </w:tc>
      </w:tr>
      <w:tr w:rsidR="00835A84" w:rsidRPr="001D45C6">
        <w:trPr>
          <w:cantSplit/>
          <w:trHeight w:val="20"/>
        </w:trPr>
        <w:tc>
          <w:tcPr>
            <w:tcW w:w="2212" w:type="dxa"/>
            <w:vMerge/>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p>
        </w:tc>
        <w:tc>
          <w:tcPr>
            <w:tcW w:w="136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В тыс.</w:t>
            </w:r>
          </w:p>
        </w:tc>
        <w:tc>
          <w:tcPr>
            <w:tcW w:w="1189"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w:t>
            </w:r>
          </w:p>
        </w:tc>
        <w:tc>
          <w:tcPr>
            <w:tcW w:w="1161"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В тыс.</w:t>
            </w:r>
          </w:p>
        </w:tc>
        <w:tc>
          <w:tcPr>
            <w:tcW w:w="1194"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w:t>
            </w:r>
          </w:p>
        </w:tc>
        <w:tc>
          <w:tcPr>
            <w:tcW w:w="1247"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Женщины</w:t>
            </w:r>
          </w:p>
        </w:tc>
        <w:tc>
          <w:tcPr>
            <w:tcW w:w="115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Мужчины</w:t>
            </w:r>
          </w:p>
        </w:tc>
      </w:tr>
      <w:tr w:rsidR="00835A84" w:rsidRPr="001D45C6">
        <w:trPr>
          <w:cantSplit/>
          <w:trHeight w:val="20"/>
        </w:trPr>
        <w:tc>
          <w:tcPr>
            <w:tcW w:w="2212"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pPr>
            <w:r w:rsidRPr="001D45C6">
              <w:t>Государственный сектор</w:t>
            </w:r>
          </w:p>
        </w:tc>
        <w:tc>
          <w:tcPr>
            <w:tcW w:w="136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265,1</w:t>
            </w:r>
          </w:p>
        </w:tc>
        <w:tc>
          <w:tcPr>
            <w:tcW w:w="1189"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36,7</w:t>
            </w:r>
          </w:p>
        </w:tc>
        <w:tc>
          <w:tcPr>
            <w:tcW w:w="1161"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143</w:t>
            </w:r>
          </w:p>
        </w:tc>
        <w:tc>
          <w:tcPr>
            <w:tcW w:w="1194"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19</w:t>
            </w:r>
          </w:p>
        </w:tc>
        <w:tc>
          <w:tcPr>
            <w:tcW w:w="1247"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65</w:t>
            </w:r>
          </w:p>
        </w:tc>
        <w:tc>
          <w:tcPr>
            <w:tcW w:w="115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35</w:t>
            </w:r>
          </w:p>
        </w:tc>
      </w:tr>
      <w:tr w:rsidR="00835A84" w:rsidRPr="001D45C6">
        <w:trPr>
          <w:cantSplit/>
          <w:trHeight w:val="20"/>
        </w:trPr>
        <w:tc>
          <w:tcPr>
            <w:tcW w:w="2212"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pPr>
            <w:r w:rsidRPr="001D45C6">
              <w:t>Частный сектор</w:t>
            </w:r>
          </w:p>
        </w:tc>
        <w:tc>
          <w:tcPr>
            <w:tcW w:w="136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457,9</w:t>
            </w:r>
          </w:p>
        </w:tc>
        <w:tc>
          <w:tcPr>
            <w:tcW w:w="1189"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63,3</w:t>
            </w:r>
          </w:p>
        </w:tc>
        <w:tc>
          <w:tcPr>
            <w:tcW w:w="1161"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608</w:t>
            </w:r>
          </w:p>
        </w:tc>
        <w:tc>
          <w:tcPr>
            <w:tcW w:w="1194"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81</w:t>
            </w:r>
          </w:p>
        </w:tc>
        <w:tc>
          <w:tcPr>
            <w:tcW w:w="1247"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43</w:t>
            </w:r>
          </w:p>
        </w:tc>
        <w:tc>
          <w:tcPr>
            <w:tcW w:w="1153"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57</w:t>
            </w:r>
          </w:p>
        </w:tc>
      </w:tr>
    </w:tbl>
    <w:p w:rsidR="00835A84" w:rsidRPr="001D45C6" w:rsidRDefault="00835A84" w:rsidP="001D45C6">
      <w:pPr>
        <w:pStyle w:val="BodyText"/>
        <w:tabs>
          <w:tab w:val="left" w:pos="567"/>
          <w:tab w:val="left" w:pos="1134"/>
        </w:tabs>
        <w:spacing w:before="100" w:after="60"/>
        <w:rPr>
          <w:sz w:val="20"/>
          <w:lang w:val="ru-RU"/>
        </w:rPr>
      </w:pPr>
      <w:r w:rsidRPr="001D45C6">
        <w:rPr>
          <w:sz w:val="20"/>
          <w:lang w:val="ru-RU"/>
        </w:rPr>
        <w:t>Данные Департамента статистики при правительстве Литовской Республики</w:t>
      </w:r>
    </w:p>
    <w:p w:rsidR="00835A84" w:rsidRPr="00F04E0A" w:rsidRDefault="001D45C6" w:rsidP="001D45C6">
      <w:pPr>
        <w:pStyle w:val="BodyText"/>
        <w:tabs>
          <w:tab w:val="left" w:pos="567"/>
          <w:tab w:val="left" w:pos="1134"/>
        </w:tabs>
        <w:spacing w:before="0" w:after="200"/>
        <w:jc w:val="center"/>
        <w:rPr>
          <w:caps/>
          <w:szCs w:val="22"/>
          <w:lang w:val="ru-RU"/>
        </w:rPr>
      </w:pPr>
      <w:r>
        <w:rPr>
          <w:caps/>
          <w:szCs w:val="22"/>
          <w:lang w:val="ru-RU"/>
        </w:rPr>
        <w:br w:type="page"/>
      </w:r>
      <w:r w:rsidR="00835A84" w:rsidRPr="00F04E0A">
        <w:rPr>
          <w:caps/>
          <w:szCs w:val="22"/>
          <w:lang w:val="ru-RU"/>
        </w:rPr>
        <w:t xml:space="preserve">ТАБЛИЦА 10. </w:t>
      </w:r>
      <w:r>
        <w:rPr>
          <w:caps/>
          <w:szCs w:val="22"/>
          <w:lang w:val="ru-RU"/>
        </w:rPr>
        <w:t xml:space="preserve"> </w:t>
      </w:r>
      <w:r w:rsidR="00835A84" w:rsidRPr="00F04E0A">
        <w:rPr>
          <w:caps/>
          <w:szCs w:val="22"/>
          <w:lang w:val="ru-RU"/>
        </w:rPr>
        <w:t>ЗАНЯТОЕ НАСЕЛЕНИЕ с разбивкой по секторам, 2006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1416"/>
        <w:gridCol w:w="1211"/>
        <w:gridCol w:w="1214"/>
        <w:gridCol w:w="1110"/>
        <w:gridCol w:w="1323"/>
        <w:gridCol w:w="1153"/>
      </w:tblGrid>
      <w:tr w:rsidR="00835A84" w:rsidRPr="001D45C6">
        <w:trPr>
          <w:cantSplit/>
          <w:trHeight w:val="20"/>
        </w:trPr>
        <w:tc>
          <w:tcPr>
            <w:tcW w:w="2095" w:type="dxa"/>
            <w:tcBorders>
              <w:bottom w:val="nil"/>
            </w:tcBorders>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p>
        </w:tc>
        <w:tc>
          <w:tcPr>
            <w:tcW w:w="2631"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Женщины</w:t>
            </w:r>
          </w:p>
        </w:tc>
        <w:tc>
          <w:tcPr>
            <w:tcW w:w="2328"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Мужчины</w:t>
            </w:r>
          </w:p>
        </w:tc>
        <w:tc>
          <w:tcPr>
            <w:tcW w:w="2477" w:type="dxa"/>
            <w:gridSpan w:val="2"/>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С разбивкой по полу (%)</w:t>
            </w:r>
          </w:p>
        </w:tc>
      </w:tr>
      <w:tr w:rsidR="00835A84" w:rsidRPr="001D45C6">
        <w:trPr>
          <w:cantSplit/>
          <w:trHeight w:val="20"/>
        </w:trPr>
        <w:tc>
          <w:tcPr>
            <w:tcW w:w="2095" w:type="dxa"/>
            <w:tcBorders>
              <w:top w:val="nil"/>
            </w:tcBorders>
            <w:shd w:val="clear" w:color="auto" w:fill="auto"/>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В тыс.</w:t>
            </w:r>
          </w:p>
        </w:tc>
        <w:tc>
          <w:tcPr>
            <w:tcW w:w="121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w:t>
            </w:r>
          </w:p>
        </w:tc>
        <w:tc>
          <w:tcPr>
            <w:tcW w:w="1216"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В тыс.</w:t>
            </w:r>
          </w:p>
        </w:tc>
        <w:tc>
          <w:tcPr>
            <w:tcW w:w="1112"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w:t>
            </w:r>
          </w:p>
        </w:tc>
        <w:tc>
          <w:tcPr>
            <w:tcW w:w="1324"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Женщины</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Мужчины</w:t>
            </w:r>
          </w:p>
        </w:tc>
      </w:tr>
      <w:tr w:rsidR="00835A84" w:rsidRPr="001D45C6">
        <w:trPr>
          <w:cantSplit/>
          <w:trHeight w:val="20"/>
        </w:trPr>
        <w:tc>
          <w:tcPr>
            <w:tcW w:w="2095"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pPr>
            <w:r w:rsidRPr="001D45C6">
              <w:t>Государственный сектор</w:t>
            </w: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267,1</w:t>
            </w:r>
          </w:p>
        </w:tc>
        <w:tc>
          <w:tcPr>
            <w:tcW w:w="121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35,9</w:t>
            </w:r>
          </w:p>
        </w:tc>
        <w:tc>
          <w:tcPr>
            <w:tcW w:w="1216"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127,4</w:t>
            </w:r>
          </w:p>
        </w:tc>
        <w:tc>
          <w:tcPr>
            <w:tcW w:w="1112"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16,9</w:t>
            </w:r>
          </w:p>
        </w:tc>
        <w:tc>
          <w:tcPr>
            <w:tcW w:w="1324"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67,7</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32,3</w:t>
            </w:r>
          </w:p>
        </w:tc>
      </w:tr>
      <w:tr w:rsidR="00835A84" w:rsidRPr="001D45C6">
        <w:trPr>
          <w:cantSplit/>
          <w:trHeight w:val="20"/>
        </w:trPr>
        <w:tc>
          <w:tcPr>
            <w:tcW w:w="2095"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pPr>
            <w:r w:rsidRPr="001D45C6">
              <w:t>Частный сектор</w:t>
            </w: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476,1</w:t>
            </w:r>
          </w:p>
        </w:tc>
        <w:tc>
          <w:tcPr>
            <w:tcW w:w="121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64,1</w:t>
            </w:r>
          </w:p>
        </w:tc>
        <w:tc>
          <w:tcPr>
            <w:tcW w:w="1216"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628,4</w:t>
            </w:r>
          </w:p>
        </w:tc>
        <w:tc>
          <w:tcPr>
            <w:tcW w:w="1112"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83,1</w:t>
            </w:r>
          </w:p>
        </w:tc>
        <w:tc>
          <w:tcPr>
            <w:tcW w:w="1324"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43,1</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60" w:after="60"/>
              <w:jc w:val="center"/>
            </w:pPr>
            <w:r w:rsidRPr="001D45C6">
              <w:t>56,9</w:t>
            </w:r>
          </w:p>
        </w:tc>
      </w:tr>
    </w:tbl>
    <w:p w:rsidR="00835A84" w:rsidRPr="001D45C6" w:rsidRDefault="00835A84" w:rsidP="001D45C6">
      <w:pPr>
        <w:pStyle w:val="BodyText"/>
        <w:tabs>
          <w:tab w:val="left" w:pos="567"/>
          <w:tab w:val="left" w:pos="1134"/>
        </w:tabs>
        <w:spacing w:before="60" w:after="400"/>
        <w:rPr>
          <w:sz w:val="20"/>
          <w:lang w:val="ru-RU"/>
        </w:rPr>
      </w:pPr>
      <w:r w:rsidRPr="001D45C6">
        <w:rPr>
          <w:sz w:val="20"/>
          <w:lang w:val="ru-RU"/>
        </w:rPr>
        <w:t>Данные Департамента статистики при правительстве Литовской Республики</w:t>
      </w:r>
    </w:p>
    <w:p w:rsidR="00835A84" w:rsidRPr="00F04E0A" w:rsidRDefault="00835A84" w:rsidP="001D45C6">
      <w:pPr>
        <w:pStyle w:val="BodyText"/>
        <w:tabs>
          <w:tab w:val="left" w:pos="567"/>
          <w:tab w:val="left" w:pos="1134"/>
        </w:tabs>
        <w:spacing w:before="0"/>
        <w:jc w:val="center"/>
        <w:rPr>
          <w:caps/>
          <w:szCs w:val="22"/>
          <w:lang w:val="ru-RU"/>
        </w:rPr>
      </w:pPr>
      <w:r w:rsidRPr="00F04E0A">
        <w:rPr>
          <w:caps/>
          <w:szCs w:val="22"/>
          <w:lang w:val="ru-RU"/>
        </w:rPr>
        <w:t xml:space="preserve">ТАБЛИЦА 11. ТРУДОСПОСОБНОЕ НАСЕЛЕНИЕ, ЗАНЯТОЕ НАСЕЛЕНИЕ, БЕЗРАБОТНЫЕ </w:t>
      </w:r>
    </w:p>
    <w:p w:rsidR="00835A84" w:rsidRPr="00F04E0A" w:rsidRDefault="00835A84" w:rsidP="00835A84">
      <w:pPr>
        <w:pStyle w:val="BodyText"/>
        <w:tabs>
          <w:tab w:val="left" w:pos="567"/>
          <w:tab w:val="left" w:pos="1134"/>
        </w:tabs>
        <w:spacing w:before="0" w:after="200"/>
        <w:ind w:firstLine="567"/>
        <w:jc w:val="right"/>
        <w:rPr>
          <w:b w:val="0"/>
          <w:caps/>
          <w:szCs w:val="22"/>
          <w:lang w:val="ru-RU"/>
        </w:rPr>
      </w:pPr>
      <w:r w:rsidRPr="00F04E0A">
        <w:rPr>
          <w:b w:val="0"/>
          <w:caps/>
          <w:szCs w:val="22"/>
          <w:lang w:val="ru-RU"/>
        </w:rPr>
        <w:t>(</w:t>
      </w:r>
      <w:r w:rsidRPr="00F04E0A">
        <w:rPr>
          <w:b w:val="0"/>
          <w:szCs w:val="22"/>
          <w:lang w:val="ru-RU"/>
        </w:rPr>
        <w:t>в</w:t>
      </w:r>
      <w:r w:rsidRPr="00F04E0A">
        <w:rPr>
          <w:b w:val="0"/>
          <w:caps/>
          <w:szCs w:val="22"/>
          <w:lang w:val="ru-RU"/>
        </w:rPr>
        <w:t xml:space="preserve"> </w:t>
      </w:r>
      <w:r w:rsidRPr="00F04E0A">
        <w:rPr>
          <w:b w:val="0"/>
          <w:szCs w:val="22"/>
        </w:rPr>
        <w:t>тыс</w:t>
      </w:r>
      <w:r w:rsidRPr="00F04E0A">
        <w:rPr>
          <w:b w:val="0"/>
          <w:caps/>
          <w:szCs w:val="22"/>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416"/>
        <w:gridCol w:w="1228"/>
        <w:gridCol w:w="1233"/>
        <w:gridCol w:w="1228"/>
        <w:gridCol w:w="1233"/>
        <w:gridCol w:w="1152"/>
      </w:tblGrid>
      <w:tr w:rsidR="00835A84" w:rsidRPr="001D45C6">
        <w:trPr>
          <w:cantSplit/>
          <w:trHeight w:val="20"/>
        </w:trPr>
        <w:tc>
          <w:tcPr>
            <w:tcW w:w="2034" w:type="dxa"/>
            <w:vMerge w:val="restart"/>
            <w:tcMar>
              <w:top w:w="28" w:type="dxa"/>
              <w:left w:w="57" w:type="dxa"/>
              <w:bottom w:w="28" w:type="dxa"/>
              <w:right w:w="57" w:type="dxa"/>
            </w:tcMar>
          </w:tcPr>
          <w:p w:rsidR="00835A84" w:rsidRPr="001D45C6" w:rsidRDefault="00835A84" w:rsidP="001D45C6">
            <w:pPr>
              <w:tabs>
                <w:tab w:val="left" w:pos="567"/>
                <w:tab w:val="left" w:pos="1134"/>
              </w:tabs>
              <w:spacing w:after="200"/>
            </w:pPr>
          </w:p>
        </w:tc>
        <w:tc>
          <w:tcPr>
            <w:tcW w:w="2647" w:type="dxa"/>
            <w:gridSpan w:val="2"/>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smartTag w:uri="urn:schemas-microsoft-com:office:smarttags" w:element="metricconverter">
              <w:smartTagPr>
                <w:attr w:name="ProductID" w:val="2000 г"/>
              </w:smartTagPr>
              <w:r w:rsidRPr="001D45C6">
                <w:t>2000 г</w:t>
              </w:r>
            </w:smartTag>
            <w:r w:rsidRPr="001D45C6">
              <w:t>.</w:t>
            </w:r>
          </w:p>
        </w:tc>
        <w:tc>
          <w:tcPr>
            <w:tcW w:w="2463" w:type="dxa"/>
            <w:gridSpan w:val="2"/>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smartTag w:uri="urn:schemas-microsoft-com:office:smarttags" w:element="metricconverter">
              <w:smartTagPr>
                <w:attr w:name="ProductID" w:val="2005 г"/>
              </w:smartTagPr>
              <w:r w:rsidRPr="001D45C6">
                <w:t>2005 г</w:t>
              </w:r>
            </w:smartTag>
            <w:r w:rsidRPr="001D45C6">
              <w:t>.</w:t>
            </w:r>
          </w:p>
        </w:tc>
        <w:tc>
          <w:tcPr>
            <w:tcW w:w="2387" w:type="dxa"/>
            <w:gridSpan w:val="2"/>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smartTag w:uri="urn:schemas-microsoft-com:office:smarttags" w:element="metricconverter">
              <w:smartTagPr>
                <w:attr w:name="ProductID" w:val="2006 г"/>
              </w:smartTagPr>
              <w:r w:rsidRPr="001D45C6">
                <w:t>2006 г</w:t>
              </w:r>
            </w:smartTag>
            <w:r w:rsidRPr="001D45C6">
              <w:t>.</w:t>
            </w:r>
          </w:p>
        </w:tc>
      </w:tr>
      <w:tr w:rsidR="00835A84" w:rsidRPr="001D45C6">
        <w:trPr>
          <w:cantSplit/>
          <w:trHeight w:val="20"/>
        </w:trPr>
        <w:tc>
          <w:tcPr>
            <w:tcW w:w="2034" w:type="dxa"/>
            <w:vMerge/>
            <w:tcMar>
              <w:top w:w="28" w:type="dxa"/>
              <w:left w:w="57" w:type="dxa"/>
              <w:bottom w:w="28" w:type="dxa"/>
              <w:right w:w="57" w:type="dxa"/>
            </w:tcMar>
            <w:vAlign w:val="center"/>
          </w:tcPr>
          <w:p w:rsidR="00835A84" w:rsidRPr="001D45C6" w:rsidRDefault="00835A84" w:rsidP="001D45C6">
            <w:pPr>
              <w:tabs>
                <w:tab w:val="left" w:pos="567"/>
                <w:tab w:val="left" w:pos="1134"/>
              </w:tabs>
              <w:spacing w:after="200"/>
            </w:pP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Женщины</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Мужчины</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Женщины</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Мужчины</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Женщины</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Мужчины</w:t>
            </w:r>
          </w:p>
        </w:tc>
      </w:tr>
      <w:tr w:rsidR="00835A84" w:rsidRPr="001D45C6">
        <w:trPr>
          <w:cantSplit/>
          <w:trHeight w:val="20"/>
        </w:trPr>
        <w:tc>
          <w:tcPr>
            <w:tcW w:w="2034" w:type="dxa"/>
            <w:tcMar>
              <w:top w:w="28" w:type="dxa"/>
              <w:left w:w="57" w:type="dxa"/>
              <w:bottom w:w="28" w:type="dxa"/>
              <w:right w:w="57" w:type="dxa"/>
            </w:tcMar>
          </w:tcPr>
          <w:p w:rsidR="00835A84" w:rsidRPr="001D45C6" w:rsidRDefault="00835A84" w:rsidP="001D45C6">
            <w:pPr>
              <w:tabs>
                <w:tab w:val="left" w:pos="567"/>
                <w:tab w:val="left" w:pos="1134"/>
              </w:tabs>
              <w:spacing w:after="200"/>
            </w:pPr>
            <w:r w:rsidRPr="001D45C6">
              <w:t>Трудоспособное население</w:t>
            </w: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826,5</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845</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788,8</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818</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785,7</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802,6</w:t>
            </w:r>
          </w:p>
        </w:tc>
      </w:tr>
      <w:tr w:rsidR="00835A84" w:rsidRPr="001D45C6">
        <w:trPr>
          <w:cantSplit/>
          <w:trHeight w:val="20"/>
        </w:trPr>
        <w:tc>
          <w:tcPr>
            <w:tcW w:w="2034" w:type="dxa"/>
            <w:tcMar>
              <w:top w:w="28" w:type="dxa"/>
              <w:left w:w="57" w:type="dxa"/>
              <w:bottom w:w="28" w:type="dxa"/>
              <w:right w:w="57" w:type="dxa"/>
            </w:tcMar>
          </w:tcPr>
          <w:p w:rsidR="00835A84" w:rsidRPr="001D45C6" w:rsidRDefault="00835A84" w:rsidP="001D45C6">
            <w:pPr>
              <w:tabs>
                <w:tab w:val="left" w:pos="567"/>
                <w:tab w:val="left" w:pos="1134"/>
              </w:tabs>
              <w:spacing w:after="200"/>
            </w:pPr>
            <w:r w:rsidRPr="001D45C6">
              <w:t>Занятые</w:t>
            </w: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711,3</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686,5</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723</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750,9</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743,2</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755,8</w:t>
            </w:r>
          </w:p>
        </w:tc>
      </w:tr>
      <w:tr w:rsidR="00835A84" w:rsidRPr="001D45C6">
        <w:trPr>
          <w:cantSplit/>
          <w:trHeight w:val="20"/>
        </w:trPr>
        <w:tc>
          <w:tcPr>
            <w:tcW w:w="2034" w:type="dxa"/>
            <w:tcMar>
              <w:top w:w="28" w:type="dxa"/>
              <w:left w:w="57" w:type="dxa"/>
              <w:bottom w:w="28" w:type="dxa"/>
              <w:right w:w="57" w:type="dxa"/>
            </w:tcMar>
          </w:tcPr>
          <w:p w:rsidR="00835A84" w:rsidRPr="001D45C6" w:rsidRDefault="00835A84" w:rsidP="001D45C6">
            <w:pPr>
              <w:tabs>
                <w:tab w:val="left" w:pos="567"/>
                <w:tab w:val="left" w:pos="1134"/>
              </w:tabs>
              <w:spacing w:after="200"/>
            </w:pPr>
            <w:r w:rsidRPr="001D45C6">
              <w:t>Безработные</w:t>
            </w:r>
          </w:p>
        </w:tc>
        <w:tc>
          <w:tcPr>
            <w:tcW w:w="1418"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115,2</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158,5</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65,8</w:t>
            </w:r>
          </w:p>
        </w:tc>
        <w:tc>
          <w:tcPr>
            <w:tcW w:w="1229"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67,1</w:t>
            </w:r>
          </w:p>
        </w:tc>
        <w:tc>
          <w:tcPr>
            <w:tcW w:w="1234"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42,6</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after="200"/>
              <w:jc w:val="center"/>
            </w:pPr>
            <w:r w:rsidRPr="001D45C6">
              <w:t>46,7</w:t>
            </w:r>
          </w:p>
        </w:tc>
      </w:tr>
    </w:tbl>
    <w:p w:rsidR="00835A84" w:rsidRPr="001D45C6" w:rsidRDefault="00835A84" w:rsidP="001D45C6">
      <w:pPr>
        <w:pStyle w:val="BodyText"/>
        <w:tabs>
          <w:tab w:val="left" w:pos="567"/>
          <w:tab w:val="left" w:pos="1134"/>
        </w:tabs>
        <w:spacing w:before="100" w:after="400"/>
        <w:rPr>
          <w:sz w:val="20"/>
          <w:lang w:val="ru-RU"/>
        </w:rPr>
      </w:pPr>
      <w:r w:rsidRPr="001D45C6">
        <w:rPr>
          <w:sz w:val="20"/>
          <w:lang w:val="ru-RU"/>
        </w:rPr>
        <w:t>Данные Департамента статистики при правительстве Литовской Республики</w:t>
      </w:r>
    </w:p>
    <w:p w:rsidR="00835A84" w:rsidRPr="00F04E0A" w:rsidRDefault="00835A84" w:rsidP="001D45C6">
      <w:pPr>
        <w:pStyle w:val="BodyText"/>
        <w:tabs>
          <w:tab w:val="left" w:pos="567"/>
          <w:tab w:val="left" w:pos="1134"/>
        </w:tabs>
        <w:spacing w:before="0"/>
        <w:jc w:val="center"/>
        <w:rPr>
          <w:caps/>
          <w:szCs w:val="22"/>
          <w:lang w:val="ru-RU"/>
        </w:rPr>
      </w:pPr>
      <w:r w:rsidRPr="00F04E0A">
        <w:rPr>
          <w:caps/>
          <w:szCs w:val="22"/>
          <w:lang w:val="ru-RU"/>
        </w:rPr>
        <w:t>ТАБЛИЦА 12. ТРУДОСПОСОБНОЕ НАСЕЛЕНИЕ, ЗАНЯТОЕ НАСЕЛЕНИЕ, БЕЗРАБОТНЫЕ</w:t>
      </w:r>
    </w:p>
    <w:p w:rsidR="00835A84" w:rsidRPr="00F04E0A" w:rsidRDefault="00835A84" w:rsidP="00835A84">
      <w:pPr>
        <w:pStyle w:val="BodyText"/>
        <w:tabs>
          <w:tab w:val="left" w:pos="567"/>
          <w:tab w:val="left" w:pos="1134"/>
        </w:tabs>
        <w:spacing w:before="0" w:after="200"/>
        <w:ind w:firstLine="567"/>
        <w:jc w:val="right"/>
        <w:rPr>
          <w:b w:val="0"/>
          <w:caps/>
          <w:szCs w:val="22"/>
          <w:lang w:val="ru-RU"/>
        </w:rPr>
      </w:pPr>
      <w:r w:rsidRPr="00F04E0A">
        <w:rPr>
          <w:caps/>
          <w:szCs w:val="22"/>
          <w:lang w:val="ru-RU"/>
        </w:rPr>
        <w:t xml:space="preserve"> </w:t>
      </w:r>
      <w:r w:rsidRPr="00F04E0A">
        <w:rPr>
          <w:b w:val="0"/>
          <w:caps/>
          <w:szCs w:val="22"/>
          <w:lang w:val="ru-RU"/>
        </w:rPr>
        <w:t>(</w:t>
      </w:r>
      <w:r w:rsidRPr="00F04E0A">
        <w:rPr>
          <w:b w:val="0"/>
          <w:szCs w:val="22"/>
          <w:lang w:val="ru-RU"/>
        </w:rPr>
        <w:t>в</w:t>
      </w:r>
      <w:r w:rsidRPr="00F04E0A">
        <w:rPr>
          <w:b w:val="0"/>
          <w:caps/>
          <w:szCs w:val="22"/>
          <w:lang w:val="ru-RU"/>
        </w:rPr>
        <w:t xml:space="preserve"> </w:t>
      </w:r>
      <w:r w:rsidRPr="00F04E0A">
        <w:rPr>
          <w:b w:val="0"/>
          <w:szCs w:val="22"/>
          <w:lang w:val="ru-RU"/>
        </w:rPr>
        <w:t>%</w:t>
      </w:r>
      <w:r w:rsidRPr="00F04E0A">
        <w:rPr>
          <w:b w:val="0"/>
          <w:caps/>
          <w:szCs w:val="22"/>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2"/>
        <w:gridCol w:w="1195"/>
        <w:gridCol w:w="1243"/>
        <w:gridCol w:w="1149"/>
        <w:gridCol w:w="1136"/>
        <w:gridCol w:w="1149"/>
        <w:gridCol w:w="1136"/>
      </w:tblGrid>
      <w:tr w:rsidR="00835A84" w:rsidRPr="001D45C6">
        <w:trPr>
          <w:cantSplit/>
          <w:trHeight w:val="20"/>
        </w:trPr>
        <w:tc>
          <w:tcPr>
            <w:tcW w:w="2622" w:type="dxa"/>
            <w:vMerge w:val="restart"/>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В возрасте 15–64 лет</w:t>
            </w:r>
          </w:p>
        </w:tc>
        <w:tc>
          <w:tcPr>
            <w:tcW w:w="2490" w:type="dxa"/>
            <w:gridSpan w:val="2"/>
            <w:tcMar>
              <w:top w:w="28" w:type="dxa"/>
              <w:left w:w="57" w:type="dxa"/>
              <w:bottom w:w="28" w:type="dxa"/>
              <w:right w:w="57" w:type="dxa"/>
            </w:tcMar>
          </w:tcPr>
          <w:p w:rsidR="00835A84" w:rsidRPr="001D45C6" w:rsidRDefault="00835A84" w:rsidP="001D45C6">
            <w:pPr>
              <w:tabs>
                <w:tab w:val="left" w:pos="567"/>
                <w:tab w:val="left" w:pos="1134"/>
              </w:tabs>
              <w:spacing w:before="80" w:after="80"/>
              <w:jc w:val="center"/>
            </w:pPr>
            <w:smartTag w:uri="urn:schemas-microsoft-com:office:smarttags" w:element="metricconverter">
              <w:smartTagPr>
                <w:attr w:name="ProductID" w:val="2000 г"/>
              </w:smartTagPr>
              <w:r w:rsidRPr="001D45C6">
                <w:t>2000 г</w:t>
              </w:r>
            </w:smartTag>
            <w:r w:rsidRPr="001D45C6">
              <w:t>.</w:t>
            </w:r>
          </w:p>
        </w:tc>
        <w:tc>
          <w:tcPr>
            <w:tcW w:w="2320" w:type="dxa"/>
            <w:gridSpan w:val="2"/>
            <w:tcMar>
              <w:top w:w="28" w:type="dxa"/>
              <w:left w:w="57" w:type="dxa"/>
              <w:bottom w:w="28" w:type="dxa"/>
              <w:right w:w="57" w:type="dxa"/>
            </w:tcMar>
          </w:tcPr>
          <w:p w:rsidR="00835A84" w:rsidRPr="001D45C6" w:rsidRDefault="00835A84" w:rsidP="001D45C6">
            <w:pPr>
              <w:tabs>
                <w:tab w:val="left" w:pos="567"/>
                <w:tab w:val="left" w:pos="1134"/>
              </w:tabs>
              <w:spacing w:before="80" w:after="80"/>
              <w:jc w:val="center"/>
            </w:pPr>
            <w:smartTag w:uri="urn:schemas-microsoft-com:office:smarttags" w:element="metricconverter">
              <w:smartTagPr>
                <w:attr w:name="ProductID" w:val="2005 г"/>
              </w:smartTagPr>
              <w:r w:rsidRPr="001D45C6">
                <w:t>2005 г</w:t>
              </w:r>
            </w:smartTag>
            <w:r w:rsidRPr="001D45C6">
              <w:t>.</w:t>
            </w:r>
          </w:p>
        </w:tc>
        <w:tc>
          <w:tcPr>
            <w:tcW w:w="2320" w:type="dxa"/>
            <w:gridSpan w:val="2"/>
            <w:tcMar>
              <w:top w:w="28" w:type="dxa"/>
              <w:left w:w="57" w:type="dxa"/>
              <w:bottom w:w="28" w:type="dxa"/>
              <w:right w:w="57" w:type="dxa"/>
            </w:tcMar>
          </w:tcPr>
          <w:p w:rsidR="00835A84" w:rsidRPr="001D45C6" w:rsidRDefault="00835A84" w:rsidP="001D45C6">
            <w:pPr>
              <w:tabs>
                <w:tab w:val="left" w:pos="567"/>
                <w:tab w:val="left" w:pos="1134"/>
              </w:tabs>
              <w:spacing w:before="80" w:after="80"/>
              <w:jc w:val="center"/>
            </w:pPr>
            <w:smartTag w:uri="urn:schemas-microsoft-com:office:smarttags" w:element="metricconverter">
              <w:smartTagPr>
                <w:attr w:name="ProductID" w:val="2006 г"/>
              </w:smartTagPr>
              <w:r w:rsidRPr="001D45C6">
                <w:t>2006 г</w:t>
              </w:r>
            </w:smartTag>
            <w:r w:rsidRPr="001D45C6">
              <w:t>.</w:t>
            </w:r>
          </w:p>
        </w:tc>
      </w:tr>
      <w:tr w:rsidR="00835A84" w:rsidRPr="001D45C6">
        <w:trPr>
          <w:cantSplit/>
          <w:trHeight w:val="20"/>
        </w:trPr>
        <w:tc>
          <w:tcPr>
            <w:tcW w:w="2622" w:type="dxa"/>
            <w:vMerge/>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pPr>
          </w:p>
        </w:tc>
        <w:tc>
          <w:tcPr>
            <w:tcW w:w="1218"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Женщины</w:t>
            </w:r>
          </w:p>
        </w:tc>
        <w:tc>
          <w:tcPr>
            <w:tcW w:w="1272"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Мужчины</w:t>
            </w:r>
          </w:p>
        </w:tc>
        <w:tc>
          <w:tcPr>
            <w:tcW w:w="1167"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Женщины</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Мужчины</w:t>
            </w:r>
          </w:p>
        </w:tc>
        <w:tc>
          <w:tcPr>
            <w:tcW w:w="1167"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Женщины</w:t>
            </w:r>
          </w:p>
        </w:tc>
        <w:tc>
          <w:tcPr>
            <w:tcW w:w="1153" w:type="dxa"/>
            <w:tcMar>
              <w:top w:w="28" w:type="dxa"/>
              <w:left w:w="57" w:type="dxa"/>
              <w:bottom w:w="28" w:type="dxa"/>
              <w:right w:w="57" w:type="dxa"/>
            </w:tcMar>
            <w:vAlign w:val="center"/>
          </w:tcPr>
          <w:p w:rsidR="00835A84" w:rsidRPr="001D45C6" w:rsidRDefault="00835A84" w:rsidP="001D45C6">
            <w:pPr>
              <w:tabs>
                <w:tab w:val="left" w:pos="567"/>
                <w:tab w:val="left" w:pos="1134"/>
              </w:tabs>
              <w:spacing w:before="80" w:after="80"/>
              <w:jc w:val="center"/>
            </w:pPr>
            <w:r w:rsidRPr="001D45C6">
              <w:t>Мужчины</w:t>
            </w:r>
          </w:p>
        </w:tc>
      </w:tr>
      <w:tr w:rsidR="00835A84" w:rsidRPr="001D45C6">
        <w:trPr>
          <w:cantSplit/>
          <w:trHeight w:val="20"/>
        </w:trPr>
        <w:tc>
          <w:tcPr>
            <w:tcW w:w="262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pPr>
            <w:r w:rsidRPr="001D45C6">
              <w:t>Трудоспособное население</w:t>
            </w:r>
          </w:p>
        </w:tc>
        <w:tc>
          <w:tcPr>
            <w:tcW w:w="1218"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67,1</w:t>
            </w:r>
          </w:p>
        </w:tc>
        <w:tc>
          <w:tcPr>
            <w:tcW w:w="127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74,2</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64,9</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72</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64,6</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70,5</w:t>
            </w:r>
          </w:p>
        </w:tc>
      </w:tr>
      <w:tr w:rsidR="00835A84" w:rsidRPr="001D45C6">
        <w:trPr>
          <w:cantSplit/>
          <w:trHeight w:val="20"/>
        </w:trPr>
        <w:tc>
          <w:tcPr>
            <w:tcW w:w="262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pPr>
            <w:r w:rsidRPr="001D45C6">
              <w:t>Занятые</w:t>
            </w:r>
          </w:p>
        </w:tc>
        <w:tc>
          <w:tcPr>
            <w:tcW w:w="1218"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57,5</w:t>
            </w:r>
          </w:p>
        </w:tc>
        <w:tc>
          <w:tcPr>
            <w:tcW w:w="127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60,1</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59,4</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66</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61</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66,3</w:t>
            </w:r>
          </w:p>
        </w:tc>
      </w:tr>
      <w:tr w:rsidR="00835A84" w:rsidRPr="001D45C6">
        <w:trPr>
          <w:cantSplit/>
          <w:trHeight w:val="20"/>
        </w:trPr>
        <w:tc>
          <w:tcPr>
            <w:tcW w:w="262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pPr>
            <w:r w:rsidRPr="001D45C6">
              <w:t>Безработные*</w:t>
            </w:r>
          </w:p>
        </w:tc>
        <w:tc>
          <w:tcPr>
            <w:tcW w:w="1218"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13,9</w:t>
            </w:r>
          </w:p>
        </w:tc>
        <w:tc>
          <w:tcPr>
            <w:tcW w:w="1272"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18,8</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8,3</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8,2</w:t>
            </w:r>
          </w:p>
        </w:tc>
        <w:tc>
          <w:tcPr>
            <w:tcW w:w="1167"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5,4</w:t>
            </w:r>
          </w:p>
        </w:tc>
        <w:tc>
          <w:tcPr>
            <w:tcW w:w="1153" w:type="dxa"/>
            <w:tcMar>
              <w:top w:w="28" w:type="dxa"/>
              <w:left w:w="57" w:type="dxa"/>
              <w:bottom w:w="28" w:type="dxa"/>
              <w:right w:w="57" w:type="dxa"/>
            </w:tcMar>
            <w:vAlign w:val="bottom"/>
          </w:tcPr>
          <w:p w:rsidR="00835A84" w:rsidRPr="001D45C6" w:rsidRDefault="00835A84" w:rsidP="001D45C6">
            <w:pPr>
              <w:tabs>
                <w:tab w:val="left" w:pos="567"/>
                <w:tab w:val="left" w:pos="1134"/>
              </w:tabs>
              <w:spacing w:before="80" w:after="80"/>
              <w:jc w:val="center"/>
            </w:pPr>
            <w:r w:rsidRPr="001D45C6">
              <w:t>5,8</w:t>
            </w:r>
          </w:p>
        </w:tc>
      </w:tr>
    </w:tbl>
    <w:p w:rsidR="00835A84" w:rsidRPr="001D45C6" w:rsidRDefault="00835A84" w:rsidP="001D45C6">
      <w:pPr>
        <w:pStyle w:val="BodyText"/>
        <w:tabs>
          <w:tab w:val="left" w:pos="567"/>
          <w:tab w:val="left" w:pos="1134"/>
        </w:tabs>
        <w:spacing w:before="100" w:after="60"/>
        <w:rPr>
          <w:sz w:val="20"/>
          <w:lang w:val="ru-RU"/>
        </w:rPr>
      </w:pPr>
      <w:r w:rsidRPr="001D45C6">
        <w:rPr>
          <w:sz w:val="20"/>
          <w:lang w:val="ru-RU"/>
        </w:rPr>
        <w:t>Данные Департамента статистики при правительстве Литовской Республики</w:t>
      </w:r>
    </w:p>
    <w:p w:rsidR="00835A84" w:rsidRPr="001D45C6" w:rsidRDefault="00835A84" w:rsidP="001D45C6">
      <w:pPr>
        <w:tabs>
          <w:tab w:val="left" w:pos="567"/>
          <w:tab w:val="left" w:pos="1134"/>
        </w:tabs>
        <w:suppressAutoHyphens/>
        <w:spacing w:before="100" w:after="60"/>
        <w:rPr>
          <w:b/>
        </w:rPr>
      </w:pPr>
      <w:r w:rsidRPr="000A4C97">
        <w:rPr>
          <w:b/>
        </w:rPr>
        <w:t xml:space="preserve">* </w:t>
      </w:r>
      <w:r w:rsidR="001D45C6">
        <w:rPr>
          <w:b/>
          <w:vertAlign w:val="superscript"/>
        </w:rPr>
        <w:t xml:space="preserve"> </w:t>
      </w:r>
      <w:r w:rsidRPr="001D45C6">
        <w:rPr>
          <w:b/>
        </w:rPr>
        <w:t>Рассчитано для населения в возрасте 15 лет и старше</w:t>
      </w:r>
    </w:p>
    <w:p w:rsidR="00835A84" w:rsidRPr="00F04E0A" w:rsidRDefault="00835A84" w:rsidP="001D45C6">
      <w:pPr>
        <w:shd w:val="clear" w:color="auto" w:fill="FFFFFF"/>
        <w:tabs>
          <w:tab w:val="left" w:pos="567"/>
          <w:tab w:val="left" w:pos="1134"/>
        </w:tabs>
        <w:spacing w:after="60"/>
        <w:jc w:val="center"/>
        <w:rPr>
          <w:b/>
          <w:bCs/>
          <w:spacing w:val="-2"/>
          <w:sz w:val="22"/>
          <w:szCs w:val="22"/>
        </w:rPr>
      </w:pPr>
      <w:r w:rsidRPr="00F04E0A">
        <w:rPr>
          <w:b/>
          <w:bCs/>
          <w:spacing w:val="-2"/>
          <w:sz w:val="22"/>
          <w:szCs w:val="22"/>
        </w:rPr>
        <w:br w:type="page"/>
      </w:r>
      <w:r w:rsidRPr="00F04E0A">
        <w:rPr>
          <w:b/>
          <w:caps/>
          <w:sz w:val="22"/>
          <w:szCs w:val="22"/>
        </w:rPr>
        <w:t xml:space="preserve">ТАБЛИЦА </w:t>
      </w:r>
      <w:r w:rsidRPr="00F04E0A">
        <w:rPr>
          <w:b/>
          <w:bCs/>
          <w:spacing w:val="-2"/>
          <w:sz w:val="22"/>
          <w:szCs w:val="22"/>
        </w:rPr>
        <w:t xml:space="preserve">13. </w:t>
      </w:r>
      <w:r w:rsidR="001D45C6">
        <w:rPr>
          <w:b/>
          <w:bCs/>
          <w:spacing w:val="-2"/>
          <w:sz w:val="22"/>
          <w:szCs w:val="22"/>
        </w:rPr>
        <w:t xml:space="preserve"> </w:t>
      </w:r>
      <w:r w:rsidRPr="00F04E0A">
        <w:rPr>
          <w:b/>
          <w:bCs/>
          <w:spacing w:val="-2"/>
          <w:sz w:val="22"/>
          <w:szCs w:val="22"/>
        </w:rPr>
        <w:t>ДИНАМИКА МЕДИЦИНСКИХ АБОРТОВ В ЛИТВЕ</w:t>
      </w:r>
    </w:p>
    <w:p w:rsidR="00835A84" w:rsidRPr="00F04E0A" w:rsidRDefault="00835A84" w:rsidP="00835A84">
      <w:pPr>
        <w:shd w:val="clear" w:color="auto" w:fill="FFFFFF"/>
        <w:tabs>
          <w:tab w:val="left" w:pos="567"/>
          <w:tab w:val="left" w:pos="1134"/>
        </w:tabs>
        <w:spacing w:after="200"/>
        <w:ind w:firstLine="567"/>
        <w:jc w:val="right"/>
        <w:rPr>
          <w:bCs/>
          <w:spacing w:val="-2"/>
          <w:sz w:val="22"/>
          <w:szCs w:val="22"/>
        </w:rPr>
      </w:pPr>
      <w:r w:rsidRPr="00F04E0A">
        <w:rPr>
          <w:bCs/>
          <w:spacing w:val="-2"/>
          <w:sz w:val="22"/>
          <w:szCs w:val="22"/>
        </w:rPr>
        <w:t>(в единицах)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9"/>
        <w:gridCol w:w="2264"/>
        <w:gridCol w:w="2560"/>
        <w:gridCol w:w="2467"/>
      </w:tblGrid>
      <w:tr w:rsidR="00835A84" w:rsidRPr="001D45C6">
        <w:trPr>
          <w:cantSplit/>
          <w:trHeight w:val="20"/>
        </w:trPr>
        <w:tc>
          <w:tcPr>
            <w:tcW w:w="2298" w:type="dxa"/>
            <w:vMerge w:val="restart"/>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spacing w:val="-6"/>
              </w:rPr>
            </w:pPr>
            <w:r w:rsidRPr="001D45C6">
              <w:rPr>
                <w:bCs/>
                <w:spacing w:val="-6"/>
              </w:rPr>
              <w:t>Год</w:t>
            </w:r>
          </w:p>
        </w:tc>
        <w:tc>
          <w:tcPr>
            <w:tcW w:w="7437" w:type="dxa"/>
            <w:gridSpan w:val="3"/>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spacing w:val="-1"/>
              </w:rPr>
            </w:pPr>
            <w:r w:rsidRPr="001D45C6">
              <w:rPr>
                <w:bCs/>
                <w:spacing w:val="-1"/>
              </w:rPr>
              <w:t>Медицинские аборты</w:t>
            </w:r>
          </w:p>
        </w:tc>
      </w:tr>
      <w:tr w:rsidR="00835A84" w:rsidRPr="001D45C6">
        <w:trPr>
          <w:cantSplit/>
          <w:trHeight w:val="20"/>
        </w:trPr>
        <w:tc>
          <w:tcPr>
            <w:tcW w:w="2298" w:type="dxa"/>
            <w:vMerge/>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rPr>
            </w:pPr>
          </w:p>
        </w:tc>
        <w:tc>
          <w:tcPr>
            <w:tcW w:w="2299"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rPr>
            </w:pPr>
            <w:r w:rsidRPr="001D45C6">
              <w:rPr>
                <w:bCs/>
              </w:rPr>
              <w:t>На 1000 живорождений</w:t>
            </w:r>
          </w:p>
        </w:tc>
        <w:tc>
          <w:tcPr>
            <w:tcW w:w="2618"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rPr>
            </w:pPr>
            <w:r w:rsidRPr="001D45C6">
              <w:rPr>
                <w:bCs/>
                <w:spacing w:val="-3"/>
              </w:rPr>
              <w:t xml:space="preserve">На 1000 женщин детородного возраста </w:t>
            </w:r>
            <w:r w:rsidR="001D45C6">
              <w:rPr>
                <w:bCs/>
                <w:spacing w:val="-3"/>
              </w:rPr>
              <w:br/>
            </w:r>
            <w:r w:rsidRPr="001D45C6">
              <w:rPr>
                <w:bCs/>
                <w:spacing w:val="-3"/>
              </w:rPr>
              <w:t>(15–49 лет)</w:t>
            </w:r>
          </w:p>
        </w:tc>
        <w:tc>
          <w:tcPr>
            <w:tcW w:w="2520" w:type="dxa"/>
            <w:shd w:val="clear" w:color="auto" w:fill="FFFFFF"/>
            <w:tcMar>
              <w:top w:w="28" w:type="dxa"/>
              <w:left w:w="57" w:type="dxa"/>
              <w:bottom w:w="28" w:type="dxa"/>
              <w:right w:w="57" w:type="dxa"/>
            </w:tcMar>
            <w:vAlign w:val="center"/>
          </w:tcPr>
          <w:p w:rsidR="00835A84" w:rsidRPr="001D45C6" w:rsidRDefault="00835A84" w:rsidP="001D45C6">
            <w:pPr>
              <w:tabs>
                <w:tab w:val="left" w:pos="567"/>
                <w:tab w:val="left" w:pos="1134"/>
              </w:tabs>
              <w:spacing w:before="40" w:after="40"/>
              <w:jc w:val="center"/>
              <w:rPr>
                <w:bCs/>
              </w:rPr>
            </w:pPr>
            <w:r w:rsidRPr="001D45C6">
              <w:rPr>
                <w:bCs/>
              </w:rPr>
              <w:t>В абсолютных цифрах</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10"/>
              </w:rPr>
              <w:t>1997</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9"/>
              </w:rPr>
              <w:t>60,1</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9"/>
              </w:rPr>
              <w:t>25,3</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4"/>
              </w:rPr>
              <w:t>22 680</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10"/>
              </w:rPr>
              <w:t>1998</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56,9</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23,5</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5"/>
              </w:rPr>
              <w:t>21 022</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10"/>
              </w:rPr>
              <w:t>1999</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52,2</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21,2</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8"/>
              </w:rPr>
              <w:t>18 846</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6"/>
              </w:rPr>
              <w:t>2000</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7"/>
              </w:rPr>
              <w:t>48,1</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0"/>
              </w:rPr>
              <w:t>18,4</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7"/>
              </w:rPr>
              <w:t>16 259</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8"/>
              </w:rPr>
              <w:t>2001</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4"/>
              </w:rPr>
              <w:t>44</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0"/>
              </w:rPr>
              <w:t>15,5</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8"/>
              </w:rPr>
              <w:t>13 677</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8"/>
              </w:rPr>
              <w:t>2002</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42,5</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7"/>
              </w:rPr>
              <w:t>14,1</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0"/>
              </w:rPr>
              <w:t>12 495</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7"/>
              </w:rPr>
              <w:t>2003</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6"/>
              </w:rPr>
              <w:t>38,7</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1"/>
              </w:rPr>
              <w:t>12,9</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0"/>
              </w:rPr>
              <w:t>11 513</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6"/>
              </w:rPr>
              <w:t>2004</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9"/>
              </w:rPr>
              <w:t>36,1</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1"/>
              </w:rPr>
              <w:t>12</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7"/>
              </w:rPr>
              <w:t>10 644</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6"/>
              </w:rPr>
              <w:t>2005</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5"/>
              </w:rPr>
              <w:t>34,2</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0"/>
              </w:rPr>
              <w:t>11,2</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4"/>
              </w:rPr>
              <w:t>9 972</w:t>
            </w:r>
          </w:p>
        </w:tc>
      </w:tr>
      <w:tr w:rsidR="00835A84" w:rsidRPr="001D45C6">
        <w:trPr>
          <w:cantSplit/>
          <w:trHeight w:val="20"/>
        </w:trPr>
        <w:tc>
          <w:tcPr>
            <w:tcW w:w="229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bCs/>
                <w:spacing w:val="-8"/>
              </w:rPr>
              <w:t>2006*</w:t>
            </w:r>
          </w:p>
        </w:tc>
        <w:tc>
          <w:tcPr>
            <w:tcW w:w="2299"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8"/>
              </w:rPr>
              <w:t>32,8</w:t>
            </w:r>
          </w:p>
        </w:tc>
        <w:tc>
          <w:tcPr>
            <w:tcW w:w="2618"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11"/>
              </w:rPr>
              <w:t>10,8</w:t>
            </w:r>
          </w:p>
        </w:tc>
        <w:tc>
          <w:tcPr>
            <w:tcW w:w="2520" w:type="dxa"/>
            <w:shd w:val="clear" w:color="auto" w:fill="FFFFFF"/>
            <w:tcMar>
              <w:top w:w="28" w:type="dxa"/>
              <w:left w:w="57" w:type="dxa"/>
              <w:bottom w:w="28" w:type="dxa"/>
              <w:right w:w="57" w:type="dxa"/>
            </w:tcMar>
          </w:tcPr>
          <w:p w:rsidR="00835A84" w:rsidRPr="001D45C6" w:rsidRDefault="00835A84" w:rsidP="001D45C6">
            <w:pPr>
              <w:tabs>
                <w:tab w:val="left" w:pos="567"/>
                <w:tab w:val="left" w:pos="1134"/>
              </w:tabs>
              <w:spacing w:before="40" w:after="40"/>
              <w:jc w:val="center"/>
            </w:pPr>
            <w:r w:rsidRPr="001D45C6">
              <w:rPr>
                <w:spacing w:val="-5"/>
              </w:rPr>
              <w:t>9 536</w:t>
            </w:r>
          </w:p>
        </w:tc>
      </w:tr>
    </w:tbl>
    <w:p w:rsidR="00835A84" w:rsidRPr="001D45C6" w:rsidRDefault="00835A84" w:rsidP="001D45C6">
      <w:pPr>
        <w:pStyle w:val="BodyText"/>
        <w:tabs>
          <w:tab w:val="left" w:pos="567"/>
          <w:tab w:val="left" w:pos="1134"/>
        </w:tabs>
        <w:spacing w:beforeLines="60" w:before="144" w:afterLines="60" w:after="144"/>
        <w:jc w:val="left"/>
        <w:rPr>
          <w:sz w:val="20"/>
          <w:lang w:val="ru-RU"/>
        </w:rPr>
      </w:pPr>
      <w:r w:rsidRPr="001D45C6">
        <w:rPr>
          <w:sz w:val="20"/>
          <w:lang w:val="ru-RU"/>
        </w:rPr>
        <w:t>Данные Информационного центра здравоохранения Литовской Республики и Департамента статистики при правительстве Литовской Республики</w:t>
      </w:r>
    </w:p>
    <w:p w:rsidR="00835A84" w:rsidRPr="001D45C6" w:rsidRDefault="00835A84" w:rsidP="001D45C6">
      <w:pPr>
        <w:pStyle w:val="BodyText"/>
        <w:tabs>
          <w:tab w:val="left" w:pos="567"/>
          <w:tab w:val="left" w:pos="1134"/>
        </w:tabs>
        <w:spacing w:beforeLines="60" w:before="144" w:afterLines="60" w:after="144"/>
        <w:rPr>
          <w:spacing w:val="-1"/>
          <w:sz w:val="20"/>
          <w:lang w:val="ru-RU"/>
        </w:rPr>
      </w:pPr>
      <w:r w:rsidRPr="001D45C6">
        <w:rPr>
          <w:spacing w:val="-1"/>
          <w:sz w:val="20"/>
          <w:lang w:val="en-GB"/>
        </w:rPr>
        <w:t>*</w:t>
      </w:r>
      <w:r w:rsidR="001D45C6">
        <w:rPr>
          <w:spacing w:val="-1"/>
          <w:sz w:val="20"/>
          <w:lang w:val="ru-RU"/>
        </w:rPr>
        <w:t xml:space="preserve"> </w:t>
      </w:r>
      <w:r w:rsidRPr="001D45C6">
        <w:rPr>
          <w:spacing w:val="-1"/>
          <w:sz w:val="20"/>
          <w:lang w:val="ru-RU"/>
        </w:rPr>
        <w:t>предварительные данные</w:t>
      </w:r>
    </w:p>
    <w:p w:rsidR="00835A84" w:rsidRDefault="00835A84" w:rsidP="00835A84">
      <w:pPr>
        <w:tabs>
          <w:tab w:val="left" w:pos="567"/>
          <w:tab w:val="left" w:pos="1134"/>
        </w:tabs>
        <w:ind w:firstLine="567"/>
        <w:jc w:val="both"/>
      </w:pPr>
    </w:p>
    <w:sectPr w:rsidR="00835A84">
      <w:headerReference w:type="even" r:id="rId11"/>
      <w:headerReference w:type="default" r:id="rId12"/>
      <w:footerReference w:type="even" r:id="rId13"/>
      <w:footerReference w:type="default" r:id="rId14"/>
      <w:pgSz w:w="12242" w:h="15842" w:code="1"/>
      <w:pgMar w:top="1418" w:right="1418" w:bottom="1701" w:left="1418" w:header="0" w:footer="851" w:gutter="0"/>
      <w:pgNumType w:start="2"/>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TXP" w:date="2008-03-05T18:49:00Z" w:initials="UU">
    <w:p w:rsidR="00D63928" w:rsidRPr="004B65C3" w:rsidRDefault="00D63928" w:rsidP="00D63928">
      <w:pPr>
        <w:pStyle w:val="CommentText"/>
        <w:rPr>
          <w:lang w:val="en-US"/>
        </w:rPr>
      </w:pPr>
      <w:r>
        <w:rPr>
          <w:rStyle w:val="CommentReference"/>
        </w:rPr>
        <w:annotationRef/>
      </w:r>
      <w:r>
        <w:fldChar w:fldCharType="begin"/>
      </w:r>
      <w:r w:rsidRPr="004B65C3">
        <w:rPr>
          <w:rStyle w:val="CommentReference"/>
          <w:lang w:val="en-US"/>
        </w:rPr>
        <w:instrText xml:space="preserve"> </w:instrText>
      </w:r>
      <w:r w:rsidRPr="004B65C3">
        <w:rPr>
          <w:lang w:val="en-US"/>
        </w:rPr>
        <w:instrText>PAGE \# "'Page: '#'</w:instrText>
      </w:r>
      <w:r w:rsidRPr="004B65C3">
        <w:rPr>
          <w:lang w:val="en-US"/>
        </w:rPr>
        <w:br/>
        <w:instrText>'"</w:instrText>
      </w:r>
      <w:r w:rsidRPr="004B65C3">
        <w:rPr>
          <w:rStyle w:val="CommentReference"/>
          <w:lang w:val="en-US"/>
        </w:rPr>
        <w:instrText xml:space="preserve"> </w:instrText>
      </w:r>
      <w:r>
        <w:fldChar w:fldCharType="end"/>
      </w:r>
      <w:r>
        <w:rPr>
          <w:rStyle w:val="CommentReference"/>
        </w:rPr>
        <w:annotationRef/>
      </w:r>
      <w:r w:rsidRPr="004B65C3">
        <w:rPr>
          <w:lang w:val="en-US"/>
        </w:rPr>
        <w:t>&lt;&lt;ODS JOB NO&gt;&gt;N0</w:t>
      </w:r>
      <w:r>
        <w:rPr>
          <w:lang w:val="en-US"/>
        </w:rPr>
        <w:t>764515</w:t>
      </w:r>
      <w:r w:rsidRPr="004B65C3">
        <w:rPr>
          <w:lang w:val="en-US"/>
        </w:rPr>
        <w:t>R&lt;&lt;ODS JOB NO&gt;&gt;</w:t>
      </w:r>
    </w:p>
    <w:p w:rsidR="00D63928" w:rsidRPr="004B65C3" w:rsidRDefault="00D63928" w:rsidP="00D63928">
      <w:pPr>
        <w:pStyle w:val="CommentText"/>
        <w:rPr>
          <w:lang w:val="en-US"/>
        </w:rPr>
      </w:pPr>
      <w:r w:rsidRPr="004B65C3">
        <w:rPr>
          <w:lang w:val="en-US"/>
        </w:rPr>
        <w:t>&lt;&lt;ODS DOC SYMBOL1&gt;&gt;</w:t>
      </w:r>
      <w:r>
        <w:rPr>
          <w:lang w:val="en-US"/>
        </w:rPr>
        <w:t>CEDAW/C/LTU/4</w:t>
      </w:r>
      <w:r w:rsidRPr="004B65C3">
        <w:rPr>
          <w:lang w:val="en-US"/>
        </w:rPr>
        <w:t>&lt;&lt;ODS DOC SYMBOL1&gt;&gt;</w:t>
      </w:r>
    </w:p>
    <w:p w:rsidR="00D63928" w:rsidRPr="00136EE0" w:rsidRDefault="00D63928" w:rsidP="00D63928">
      <w:pPr>
        <w:pStyle w:val="CommentText"/>
        <w:rPr>
          <w:lang w:val="en-US"/>
        </w:rPr>
      </w:pPr>
      <w:r w:rsidRPr="004B65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A94" w:rsidRDefault="00466A94">
      <w:r>
        <w:separator/>
      </w:r>
    </w:p>
  </w:endnote>
  <w:endnote w:type="continuationSeparator" w:id="0">
    <w:p w:rsidR="00466A94" w:rsidRDefault="00466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3 of 9 Barcode">
    <w:altName w:val="Courier"/>
    <w:charset w:val="00"/>
    <w:family w:val="decorativ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28" w:rsidRDefault="00D63928">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sidR="00E656CA">
      <w:rPr>
        <w:rStyle w:val="PageNumber"/>
        <w:noProof/>
        <w:sz w:val="22"/>
      </w:rPr>
      <w:t>2</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28" w:rsidRDefault="00D63928">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sidR="00E5489D">
      <w:rPr>
        <w:rStyle w:val="PageNumber"/>
        <w:noProof/>
        <w:sz w:val="22"/>
      </w:rPr>
      <w:t>61</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A94" w:rsidRPr="00875A8E" w:rsidRDefault="00466A94" w:rsidP="00875A8E">
      <w:pPr>
        <w:tabs>
          <w:tab w:val="left" w:pos="851"/>
          <w:tab w:val="left" w:leader="underscore" w:pos="2835"/>
        </w:tabs>
        <w:ind w:left="1134"/>
      </w:pPr>
      <w:r>
        <w:tab/>
      </w:r>
    </w:p>
  </w:footnote>
  <w:footnote w:type="continuationSeparator" w:id="0">
    <w:p w:rsidR="00466A94" w:rsidRDefault="00466A94">
      <w:r>
        <w:continuationSeparator/>
      </w:r>
    </w:p>
  </w:footnote>
  <w:footnote w:id="1">
    <w:p w:rsidR="00D63928" w:rsidRDefault="00D63928" w:rsidP="00136EE0">
      <w:pPr>
        <w:tabs>
          <w:tab w:val="left" w:pos="1560"/>
        </w:tabs>
        <w:spacing w:before="40"/>
        <w:ind w:left="1282"/>
        <w:jc w:val="both"/>
        <w:rPr>
          <w:sz w:val="17"/>
        </w:rPr>
      </w:pPr>
      <w:r>
        <w:rPr>
          <w:rStyle w:val="FootnoteReference"/>
          <w:vertAlign w:val="baseline"/>
        </w:rPr>
        <w:t>*</w:t>
      </w:r>
      <w:r>
        <w:rPr>
          <w:sz w:val="17"/>
        </w:rPr>
        <w:tab/>
      </w:r>
      <w:r w:rsidRPr="00B71812">
        <w:rPr>
          <w:sz w:val="16"/>
          <w:szCs w:val="16"/>
        </w:rPr>
        <w:t>Четвертый периодический доклад Литвы поступил в Секретариат 13 декабря 2007 года.</w:t>
      </w:r>
    </w:p>
    <w:p w:rsidR="00D63928" w:rsidRDefault="00D63928" w:rsidP="000A4C97">
      <w:pPr>
        <w:pStyle w:val="FootnoteText"/>
        <w:tabs>
          <w:tab w:val="left" w:pos="1560"/>
        </w:tabs>
        <w:spacing w:before="60"/>
        <w:ind w:left="1276"/>
      </w:pPr>
      <w:r>
        <w:rPr>
          <w:sz w:val="17"/>
        </w:rPr>
        <w:tab/>
      </w:r>
      <w:r w:rsidRPr="00B71812">
        <w:rPr>
          <w:sz w:val="16"/>
          <w:szCs w:val="16"/>
        </w:rPr>
        <w:t>Первоначальный доклад, представленный правительством Литвы, см. в документе</w:t>
      </w:r>
      <w:r>
        <w:rPr>
          <w:sz w:val="16"/>
          <w:szCs w:val="16"/>
        </w:rPr>
        <w:t> </w:t>
      </w:r>
      <w:r w:rsidRPr="00B71812">
        <w:rPr>
          <w:sz w:val="16"/>
          <w:szCs w:val="16"/>
        </w:rPr>
        <w:t xml:space="preserve">CEDAW/C/LTU/1, который был рассмотрен Комитетом на его двадцать третьей сессии. Второй периодический доклад см. </w:t>
      </w:r>
      <w:r>
        <w:rPr>
          <w:sz w:val="16"/>
          <w:szCs w:val="16"/>
        </w:rPr>
        <w:t xml:space="preserve">в </w:t>
      </w:r>
      <w:r w:rsidRPr="00B71812">
        <w:rPr>
          <w:sz w:val="16"/>
          <w:szCs w:val="16"/>
        </w:rPr>
        <w:t>документ</w:t>
      </w:r>
      <w:r>
        <w:rPr>
          <w:sz w:val="16"/>
          <w:szCs w:val="16"/>
        </w:rPr>
        <w:t>е </w:t>
      </w:r>
      <w:r w:rsidRPr="00B71812">
        <w:rPr>
          <w:sz w:val="16"/>
          <w:szCs w:val="16"/>
        </w:rPr>
        <w:t xml:space="preserve">CEDAW/C/LTU/2, который был рассмотрен Комитетом на его </w:t>
      </w:r>
      <w:r>
        <w:rPr>
          <w:sz w:val="16"/>
          <w:szCs w:val="16"/>
        </w:rPr>
        <w:t>семнадцатой сессии</w:t>
      </w:r>
      <w:r w:rsidRPr="00B71812">
        <w:rPr>
          <w:sz w:val="16"/>
          <w:szCs w:val="16"/>
        </w:rPr>
        <w:t xml:space="preserve">. Третий периодический доклад см. </w:t>
      </w:r>
      <w:r>
        <w:rPr>
          <w:sz w:val="16"/>
          <w:szCs w:val="16"/>
        </w:rPr>
        <w:t xml:space="preserve">в </w:t>
      </w:r>
      <w:r w:rsidRPr="00B71812">
        <w:rPr>
          <w:sz w:val="16"/>
          <w:szCs w:val="16"/>
        </w:rPr>
        <w:t>документ</w:t>
      </w:r>
      <w:r>
        <w:rPr>
          <w:sz w:val="16"/>
          <w:szCs w:val="16"/>
        </w:rPr>
        <w:t>е</w:t>
      </w:r>
      <w:r w:rsidRPr="00B71812">
        <w:rPr>
          <w:sz w:val="16"/>
          <w:szCs w:val="16"/>
        </w:rPr>
        <w:t xml:space="preserve"> CEDAW/C/LTU/3.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679"/>
      <w:gridCol w:w="20"/>
      <w:gridCol w:w="2941"/>
      <w:gridCol w:w="199"/>
    </w:tblGrid>
    <w:tr w:rsidR="00D63928">
      <w:tblPrEx>
        <w:tblCellMar>
          <w:top w:w="0" w:type="dxa"/>
          <w:left w:w="0" w:type="dxa"/>
          <w:bottom w:w="0" w:type="dxa"/>
          <w:right w:w="0" w:type="dxa"/>
        </w:tblCellMar>
      </w:tblPrEx>
      <w:trPr>
        <w:gridAfter w:val="1"/>
        <w:wAfter w:w="199" w:type="dxa"/>
        <w:cantSplit/>
        <w:trHeight w:hRule="exact" w:val="864"/>
      </w:trPr>
      <w:tc>
        <w:tcPr>
          <w:tcW w:w="6946" w:type="dxa"/>
          <w:gridSpan w:val="2"/>
          <w:tcBorders>
            <w:top w:val="nil"/>
            <w:left w:val="nil"/>
            <w:bottom w:val="nil"/>
            <w:right w:val="nil"/>
          </w:tcBorders>
          <w:vAlign w:val="bottom"/>
        </w:tcPr>
        <w:p w:rsidR="00D63928" w:rsidRPr="00AD5EFA" w:rsidRDefault="00D63928" w:rsidP="00AD5EFA">
          <w:pPr>
            <w:pStyle w:val="Header"/>
            <w:spacing w:after="120"/>
            <w:ind w:left="1276"/>
            <w:rPr>
              <w:sz w:val="28"/>
              <w:szCs w:val="28"/>
            </w:rPr>
          </w:pPr>
          <w:r w:rsidRPr="00AD5EFA">
            <w:rPr>
              <w:spacing w:val="-4"/>
              <w:sz w:val="28"/>
              <w:szCs w:val="28"/>
            </w:rPr>
            <w:t xml:space="preserve">Организация </w:t>
          </w:r>
          <w:r w:rsidRPr="00C961F0">
            <w:rPr>
              <w:caps/>
              <w:spacing w:val="-4"/>
              <w:sz w:val="28"/>
              <w:szCs w:val="28"/>
            </w:rPr>
            <w:t>о</w:t>
          </w:r>
          <w:r w:rsidRPr="00AD5EFA">
            <w:rPr>
              <w:spacing w:val="-4"/>
              <w:sz w:val="28"/>
              <w:szCs w:val="28"/>
            </w:rPr>
            <w:t xml:space="preserve">бъединенных </w:t>
          </w:r>
          <w:r w:rsidRPr="00C961F0">
            <w:rPr>
              <w:caps/>
              <w:spacing w:val="-4"/>
              <w:sz w:val="28"/>
              <w:szCs w:val="28"/>
            </w:rPr>
            <w:t>н</w:t>
          </w:r>
          <w:r w:rsidRPr="00AD5EFA">
            <w:rPr>
              <w:spacing w:val="-4"/>
              <w:sz w:val="28"/>
              <w:szCs w:val="28"/>
            </w:rPr>
            <w:t>аций</w:t>
          </w:r>
        </w:p>
      </w:tc>
      <w:tc>
        <w:tcPr>
          <w:tcW w:w="2961" w:type="dxa"/>
          <w:gridSpan w:val="2"/>
          <w:tcBorders>
            <w:top w:val="nil"/>
            <w:left w:val="nil"/>
            <w:bottom w:val="nil"/>
            <w:right w:val="nil"/>
          </w:tcBorders>
          <w:vAlign w:val="bottom"/>
        </w:tcPr>
        <w:p w:rsidR="00D63928" w:rsidRDefault="00D63928">
          <w:pPr>
            <w:spacing w:after="80"/>
            <w:jc w:val="right"/>
            <w:rPr>
              <w:position w:val="-4"/>
              <w:lang w:val="en-US"/>
            </w:rPr>
          </w:pPr>
          <w:r>
            <w:rPr>
              <w:position w:val="-4"/>
              <w:sz w:val="40"/>
            </w:rPr>
            <w:t>CEDAW</w:t>
          </w:r>
          <w:r w:rsidRPr="00AD5EFA">
            <w:rPr>
              <w:position w:val="-4"/>
            </w:rPr>
            <w:t>/C/</w:t>
          </w:r>
          <w:r w:rsidRPr="00AD5EFA">
            <w:rPr>
              <w:position w:val="-4"/>
              <w:lang w:val="en-US"/>
            </w:rPr>
            <w:t>LTU</w:t>
          </w:r>
          <w:r w:rsidRPr="00AD5EFA">
            <w:rPr>
              <w:position w:val="-4"/>
            </w:rPr>
            <w:t>/4</w:t>
          </w:r>
        </w:p>
      </w:tc>
    </w:tr>
    <w:tr w:rsidR="00D63928">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D63928" w:rsidRDefault="00D6392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63928" w:rsidRDefault="00D63928">
          <w:pPr>
            <w:pStyle w:val="Header"/>
            <w:spacing w:before="109"/>
          </w:pPr>
        </w:p>
      </w:tc>
      <w:tc>
        <w:tcPr>
          <w:tcW w:w="5679" w:type="dxa"/>
          <w:tcBorders>
            <w:left w:val="nil"/>
            <w:bottom w:val="single" w:sz="12" w:space="0" w:color="auto"/>
            <w:right w:val="nil"/>
          </w:tcBorders>
        </w:tcPr>
        <w:p w:rsidR="00D63928" w:rsidRPr="00C961F0" w:rsidRDefault="00D63928">
          <w:pPr>
            <w:pStyle w:val="XLarge"/>
            <w:spacing w:before="109" w:line="330" w:lineRule="exact"/>
            <w:rPr>
              <w:bCs/>
              <w:spacing w:val="0"/>
              <w:w w:val="100"/>
              <w:sz w:val="34"/>
              <w:szCs w:val="34"/>
              <w:lang w:val="ru-RU"/>
            </w:rPr>
          </w:pPr>
          <w:r w:rsidRPr="00C961F0">
            <w:rPr>
              <w:bCs/>
              <w:spacing w:val="0"/>
              <w:w w:val="100"/>
              <w:sz w:val="34"/>
              <w:szCs w:val="34"/>
              <w:lang w:val="ru-RU"/>
            </w:rPr>
            <w:t xml:space="preserve">Конвенция о ликвидации </w:t>
          </w:r>
          <w:r w:rsidRPr="00C961F0">
            <w:rPr>
              <w:bCs/>
              <w:spacing w:val="0"/>
              <w:w w:val="100"/>
              <w:sz w:val="34"/>
              <w:szCs w:val="34"/>
              <w:lang w:val="ru-RU"/>
            </w:rPr>
            <w:br/>
            <w:t xml:space="preserve">всех форм дискриминации </w:t>
          </w:r>
          <w:r w:rsidRPr="00C961F0">
            <w:rPr>
              <w:bCs/>
              <w:spacing w:val="0"/>
              <w:w w:val="100"/>
              <w:sz w:val="34"/>
              <w:szCs w:val="34"/>
              <w:lang w:val="ru-RU"/>
            </w:rPr>
            <w:br/>
            <w:t>в отношении женщин</w:t>
          </w:r>
        </w:p>
      </w:tc>
      <w:tc>
        <w:tcPr>
          <w:tcW w:w="20" w:type="dxa"/>
          <w:tcBorders>
            <w:left w:val="nil"/>
            <w:bottom w:val="single" w:sz="12" w:space="0" w:color="auto"/>
            <w:right w:val="nil"/>
          </w:tcBorders>
        </w:tcPr>
        <w:p w:rsidR="00D63928" w:rsidRDefault="00D63928">
          <w:pPr>
            <w:pStyle w:val="Header"/>
            <w:spacing w:before="109"/>
          </w:pPr>
        </w:p>
      </w:tc>
      <w:tc>
        <w:tcPr>
          <w:tcW w:w="3140" w:type="dxa"/>
          <w:gridSpan w:val="2"/>
          <w:tcBorders>
            <w:left w:val="nil"/>
            <w:bottom w:val="single" w:sz="12" w:space="0" w:color="auto"/>
            <w:right w:val="nil"/>
          </w:tcBorders>
        </w:tcPr>
        <w:p w:rsidR="00D63928" w:rsidRDefault="00D63928">
          <w:pPr>
            <w:spacing w:before="240"/>
            <w:rPr>
              <w:lang w:val="en-US"/>
            </w:rPr>
          </w:pPr>
          <w:r>
            <w:rPr>
              <w:lang w:val="en-US"/>
            </w:rPr>
            <w:t>Distr.: General</w:t>
          </w:r>
        </w:p>
        <w:p w:rsidR="00D63928" w:rsidRDefault="00D63928">
          <w:pPr>
            <w:pStyle w:val="FootnoteText"/>
            <w:rPr>
              <w:szCs w:val="24"/>
              <w:lang w:val="en-US"/>
            </w:rPr>
          </w:pPr>
          <w:r>
            <w:rPr>
              <w:szCs w:val="24"/>
              <w:lang w:val="en-US"/>
            </w:rPr>
            <w:t>14 December 2007</w:t>
          </w:r>
        </w:p>
        <w:p w:rsidR="00D63928" w:rsidRDefault="00D63928">
          <w:pPr>
            <w:pStyle w:val="FootnoteText"/>
            <w:spacing w:before="120"/>
            <w:rPr>
              <w:szCs w:val="24"/>
              <w:lang w:val="en-US"/>
            </w:rPr>
          </w:pPr>
          <w:r>
            <w:rPr>
              <w:lang w:val="en-US"/>
            </w:rPr>
            <w:t>Russian</w:t>
          </w:r>
        </w:p>
        <w:p w:rsidR="00D63928" w:rsidRDefault="00D63928">
          <w:pPr>
            <w:rPr>
              <w:lang w:val="en-US"/>
            </w:rPr>
          </w:pPr>
          <w:r>
            <w:rPr>
              <w:lang w:val="en-US"/>
            </w:rPr>
            <w:t>Original: English</w:t>
          </w:r>
        </w:p>
      </w:tc>
    </w:tr>
  </w:tbl>
  <w:p w:rsidR="00D63928" w:rsidRDefault="00D639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28" w:rsidRDefault="00D639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28" w:rsidRDefault="00D63928">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81B85"/>
    <w:multiLevelType w:val="hybridMultilevel"/>
    <w:tmpl w:val="614299B4"/>
    <w:lvl w:ilvl="0" w:tplc="FE4EA15E">
      <w:start w:val="1"/>
      <w:numFmt w:val="decimal"/>
      <w:lvlText w:val="%1."/>
      <w:lvlJc w:val="left"/>
      <w:pPr>
        <w:tabs>
          <w:tab w:val="num" w:pos="2088"/>
        </w:tabs>
        <w:ind w:left="2088" w:hanging="1095"/>
      </w:pPr>
      <w:rPr>
        <w:rFonts w:ascii="Times New Roman" w:hAnsi="Times New Roman" w:cs="Times New Roman" w:hint="default"/>
        <w:b w:val="0"/>
        <w:i w:val="0"/>
        <w:color w:val="auto"/>
        <w:sz w:val="24"/>
        <w:szCs w:val="24"/>
      </w:rPr>
    </w:lvl>
    <w:lvl w:ilvl="1" w:tplc="04090019">
      <w:start w:val="1"/>
      <w:numFmt w:val="lowerLetter"/>
      <w:lvlText w:val="%2."/>
      <w:lvlJc w:val="left"/>
      <w:pPr>
        <w:tabs>
          <w:tab w:val="num" w:pos="1800"/>
        </w:tabs>
        <w:ind w:left="1800" w:hanging="360"/>
      </w:pPr>
    </w:lvl>
    <w:lvl w:ilvl="2" w:tplc="065C5A1C">
      <w:start w:val="1"/>
      <w:numFmt w:val="decimal"/>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35CA3247"/>
    <w:multiLevelType w:val="hybridMultilevel"/>
    <w:tmpl w:val="8B023FC6"/>
    <w:lvl w:ilvl="0" w:tplc="65E0D9C2">
      <w:start w:val="32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6"/>
  <w:drawingGridVerticalSpacing w:val="6"/>
  <w:displayVerticalDrawingGridEvery w:val="0"/>
  <w:doNotUseMarginsForDrawingGridOrigin/>
  <w:drawingGridVerticalOrigin w:val="1985"/>
  <w:characterSpacingControl w:val="doNotCompress"/>
  <w:hdrShapeDefaults>
    <o:shapedefaults v:ext="edit" spidmax="40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C10"/>
    <w:rsid w:val="000A4C97"/>
    <w:rsid w:val="00136EE0"/>
    <w:rsid w:val="00181332"/>
    <w:rsid w:val="001D45C6"/>
    <w:rsid w:val="001F1B27"/>
    <w:rsid w:val="002A2C10"/>
    <w:rsid w:val="002B6DC4"/>
    <w:rsid w:val="00310D0A"/>
    <w:rsid w:val="00466A94"/>
    <w:rsid w:val="00835A84"/>
    <w:rsid w:val="00875A8E"/>
    <w:rsid w:val="008F2A72"/>
    <w:rsid w:val="0091164C"/>
    <w:rsid w:val="009B2CBF"/>
    <w:rsid w:val="00A00115"/>
    <w:rsid w:val="00A70C63"/>
    <w:rsid w:val="00AD5EFA"/>
    <w:rsid w:val="00C603EC"/>
    <w:rsid w:val="00C95D6C"/>
    <w:rsid w:val="00C961F0"/>
    <w:rsid w:val="00D62133"/>
    <w:rsid w:val="00D63928"/>
    <w:rsid w:val="00D75B6F"/>
    <w:rsid w:val="00E5489D"/>
    <w:rsid w:val="00E656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4098"/>
    <o:shapelayout v:ext="edit">
      <o:idmap v:ext="edit" data="1,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lang w:val="ru-RU" w:eastAsia="ru-RU"/>
    </w:rPr>
  </w:style>
  <w:style w:type="paragraph" w:styleId="Heading1">
    <w:name w:val="heading 1"/>
    <w:basedOn w:val="Normal"/>
    <w:next w:val="Normal"/>
    <w:qFormat/>
    <w:pPr>
      <w:keepNext/>
      <w:tabs>
        <w:tab w:val="center" w:pos="4680"/>
      </w:tabs>
      <w:overflowPunct/>
      <w:autoSpaceDE/>
      <w:autoSpaceDN/>
      <w:adjustRightInd/>
      <w:textAlignment w:val="auto"/>
      <w:outlineLvl w:val="0"/>
    </w:pPr>
    <w:rPr>
      <w:sz w:val="40"/>
      <w:lang w:val="en-GB" w:eastAsia="en-US"/>
    </w:rPr>
  </w:style>
  <w:style w:type="paragraph" w:styleId="Heading2">
    <w:name w:val="heading 2"/>
    <w:basedOn w:val="Normal"/>
    <w:next w:val="Normal"/>
    <w:qFormat/>
    <w:pPr>
      <w:keepNext/>
      <w:spacing w:line="480" w:lineRule="auto"/>
      <w:jc w:val="center"/>
      <w:outlineLvl w:val="1"/>
    </w:pPr>
    <w:rPr>
      <w:b/>
      <w:sz w:val="24"/>
      <w:szCs w:val="24"/>
    </w:rPr>
  </w:style>
  <w:style w:type="paragraph" w:styleId="Heading3">
    <w:name w:val="heading 3"/>
    <w:basedOn w:val="Normal"/>
    <w:next w:val="Normal"/>
    <w:qFormat/>
    <w:pPr>
      <w:keepNext/>
      <w:overflowPunct/>
      <w:autoSpaceDE/>
      <w:autoSpaceDN/>
      <w:adjustRightInd/>
      <w:jc w:val="right"/>
      <w:textAlignment w:val="auto"/>
      <w:outlineLvl w:val="2"/>
    </w:pPr>
    <w:rPr>
      <w:sz w:val="24"/>
      <w:lang w:val="en-US" w:eastAsia="en-US"/>
    </w:rPr>
  </w:style>
  <w:style w:type="paragraph" w:styleId="Heading4">
    <w:name w:val="heading 4"/>
    <w:basedOn w:val="Normal"/>
    <w:next w:val="Normal"/>
    <w:qFormat/>
    <w:pPr>
      <w:keepNext/>
      <w:overflowPunct/>
      <w:autoSpaceDE/>
      <w:autoSpaceDN/>
      <w:adjustRightInd/>
      <w:textAlignment w:val="auto"/>
      <w:outlineLvl w:val="3"/>
    </w:pPr>
    <w:rPr>
      <w:sz w:val="24"/>
      <w:lang w:val="en-GB" w:eastAsia="en-US"/>
    </w:rPr>
  </w:style>
  <w:style w:type="paragraph" w:styleId="Heading5">
    <w:name w:val="heading 5"/>
    <w:basedOn w:val="Normal"/>
    <w:next w:val="Normal"/>
    <w:qFormat/>
    <w:pPr>
      <w:keepNext/>
      <w:tabs>
        <w:tab w:val="left" w:pos="1985"/>
      </w:tabs>
      <w:spacing w:line="480" w:lineRule="auto"/>
      <w:outlineLvl w:val="4"/>
    </w:pPr>
    <w:rPr>
      <w:b/>
      <w:sz w:val="24"/>
      <w:szCs w:val="24"/>
    </w:rPr>
  </w:style>
  <w:style w:type="paragraph" w:styleId="Heading6">
    <w:name w:val="heading 6"/>
    <w:basedOn w:val="Normal"/>
    <w:next w:val="Normal"/>
    <w:qFormat/>
    <w:pPr>
      <w:keepNext/>
      <w:outlineLvl w:val="5"/>
    </w:pPr>
    <w:rPr>
      <w:b/>
      <w:szCs w:val="24"/>
    </w:rPr>
  </w:style>
  <w:style w:type="paragraph" w:styleId="Heading7">
    <w:name w:val="heading 7"/>
    <w:basedOn w:val="Normal"/>
    <w:next w:val="Normal"/>
    <w:qFormat/>
    <w:pPr>
      <w:keepNext/>
      <w:jc w:val="center"/>
      <w:outlineLvl w:val="6"/>
    </w:pPr>
    <w:rPr>
      <w:b/>
      <w:bCs/>
      <w:sz w:val="28"/>
    </w:rPr>
  </w:style>
  <w:style w:type="paragraph" w:styleId="Heading8">
    <w:name w:val="heading 8"/>
    <w:basedOn w:val="Normal"/>
    <w:next w:val="Normal"/>
    <w:qFormat/>
    <w:pPr>
      <w:keepNext/>
      <w:tabs>
        <w:tab w:val="left" w:pos="680"/>
        <w:tab w:val="left" w:pos="1021"/>
      </w:tabs>
      <w:spacing w:before="240"/>
      <w:jc w:val="center"/>
      <w:outlineLvl w:val="7"/>
    </w:pPr>
    <w:rPr>
      <w:b/>
      <w:sz w:val="22"/>
      <w:szCs w:val="24"/>
    </w:rPr>
  </w:style>
  <w:style w:type="paragraph" w:styleId="Heading9">
    <w:name w:val="heading 9"/>
    <w:basedOn w:val="Normal"/>
    <w:next w:val="Normal"/>
    <w:qFormat/>
    <w:pPr>
      <w:keepNext/>
      <w:tabs>
        <w:tab w:val="left" w:pos="680"/>
        <w:tab w:val="left" w:pos="1701"/>
      </w:tabs>
      <w:spacing w:before="240"/>
      <w:jc w:val="both"/>
      <w:outlineLvl w:val="8"/>
    </w:pPr>
    <w:rPr>
      <w:b/>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styleId="BodyText">
    <w:name w:val="Body Text"/>
    <w:aliases w:val="Hyperlink,Hyperlink1,Hyperlink11,Hyperlink111,Hyperlink1111,Hyperlink11111,Hyperlink111111,Hyperlink1111111,Hyperlink11111111,Hyperlink111111111,Hyperlink1111111111,Hyperlink11111111111,Hyperlink111111111111,Hyperlink1111111111111"/>
    <w:basedOn w:val="Normal"/>
    <w:pPr>
      <w:overflowPunct/>
      <w:autoSpaceDE/>
      <w:autoSpaceDN/>
      <w:adjustRightInd/>
      <w:spacing w:before="240"/>
      <w:jc w:val="both"/>
      <w:textAlignment w:val="auto"/>
    </w:pPr>
    <w:rPr>
      <w:b/>
      <w:sz w:val="22"/>
      <w:lang w:val="en-US" w:eastAsia="en-US"/>
    </w:rPr>
  </w:style>
  <w:style w:type="paragraph" w:styleId="BodyText2">
    <w:name w:val="Body Text 2"/>
    <w:basedOn w:val="Normal"/>
    <w:pPr>
      <w:tabs>
        <w:tab w:val="left" w:pos="1276"/>
      </w:tabs>
      <w:spacing w:line="480" w:lineRule="auto"/>
    </w:pPr>
    <w:rPr>
      <w:b/>
      <w:sz w:val="24"/>
      <w:szCs w:val="24"/>
    </w:rPr>
  </w:style>
  <w:style w:type="paragraph" w:styleId="BodyText3">
    <w:name w:val="Body Text 3"/>
    <w:basedOn w:val="Normal"/>
    <w:pPr>
      <w:spacing w:line="480" w:lineRule="auto"/>
    </w:pPr>
    <w:rPr>
      <w:i/>
      <w:sz w:val="24"/>
      <w:szCs w:val="24"/>
    </w:rPr>
  </w:style>
  <w:style w:type="paragraph" w:customStyle="1" w:styleId="xl25">
    <w:name w:val="xl25"/>
    <w:basedOn w:val="Normal"/>
    <w:pPr>
      <w:shd w:val="clear" w:color="auto" w:fill="FFFFFF"/>
      <w:overflowPunct/>
      <w:autoSpaceDE/>
      <w:autoSpaceDN/>
      <w:adjustRightInd/>
      <w:spacing w:before="100" w:beforeAutospacing="1" w:after="100" w:afterAutospacing="1"/>
      <w:textAlignment w:val="auto"/>
    </w:pPr>
    <w:rPr>
      <w:rFonts w:ascii="Arial Unicode MS" w:hAnsi="Arial Unicode MS"/>
      <w:sz w:val="24"/>
      <w:szCs w:val="24"/>
    </w:rPr>
  </w:style>
  <w:style w:type="paragraph" w:customStyle="1" w:styleId="xl26">
    <w:name w:val="xl26"/>
    <w:basedOn w:val="Normal"/>
    <w:pP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27">
    <w:name w:val="xl27"/>
    <w:basedOn w:val="Normal"/>
    <w:pPr>
      <w:shd w:val="clear" w:color="auto" w:fill="FFFFFF"/>
      <w:overflowPunct/>
      <w:autoSpaceDE/>
      <w:autoSpaceDN/>
      <w:adjustRightInd/>
      <w:spacing w:before="100" w:beforeAutospacing="1" w:after="100" w:afterAutospacing="1"/>
      <w:jc w:val="right"/>
      <w:textAlignment w:val="auto"/>
    </w:pPr>
    <w:rPr>
      <w:sz w:val="24"/>
      <w:szCs w:val="24"/>
    </w:rPr>
  </w:style>
  <w:style w:type="paragraph" w:customStyle="1" w:styleId="xl28">
    <w:name w:val="xl28"/>
    <w:basedOn w:val="Normal"/>
    <w:pP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29">
    <w:name w:val="xl29"/>
    <w:basedOn w:val="Normal"/>
    <w:pP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30">
    <w:name w:val="xl30"/>
    <w:basedOn w:val="Normal"/>
    <w:pP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31">
    <w:name w:val="xl31"/>
    <w:basedOn w:val="Normal"/>
    <w:pPr>
      <w:pBdr>
        <w:bottom w:val="single" w:sz="4" w:space="0" w:color="0000FF"/>
      </w:pBd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32">
    <w:name w:val="xl32"/>
    <w:basedOn w:val="Normal"/>
    <w:pPr>
      <w:pBdr>
        <w:bottom w:val="single" w:sz="4" w:space="0" w:color="0000FF"/>
      </w:pBd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33">
    <w:name w:val="xl33"/>
    <w:basedOn w:val="Normal"/>
    <w:pPr>
      <w:pBdr>
        <w:bottom w:val="single" w:sz="4" w:space="0" w:color="0000FF"/>
      </w:pBdr>
      <w:shd w:val="clear" w:color="auto" w:fill="FFFFFF"/>
      <w:overflowPunct/>
      <w:autoSpaceDE/>
      <w:autoSpaceDN/>
      <w:adjustRightInd/>
      <w:spacing w:before="100" w:beforeAutospacing="1" w:after="100" w:afterAutospacing="1"/>
      <w:textAlignment w:val="auto"/>
    </w:pPr>
    <w:rPr>
      <w:sz w:val="24"/>
      <w:szCs w:val="24"/>
    </w:rPr>
  </w:style>
  <w:style w:type="paragraph" w:customStyle="1" w:styleId="xl34">
    <w:name w:val="xl34"/>
    <w:basedOn w:val="Normal"/>
    <w:pPr>
      <w:shd w:val="clear" w:color="auto" w:fill="FFFFFF"/>
      <w:overflowPunct/>
      <w:autoSpaceDE/>
      <w:autoSpaceDN/>
      <w:adjustRightInd/>
      <w:spacing w:before="100" w:beforeAutospacing="1" w:after="100" w:afterAutospacing="1"/>
      <w:jc w:val="center"/>
      <w:textAlignment w:val="auto"/>
    </w:pPr>
    <w:rPr>
      <w:sz w:val="24"/>
      <w:szCs w:val="24"/>
    </w:rPr>
  </w:style>
  <w:style w:type="paragraph" w:customStyle="1" w:styleId="xl24">
    <w:name w:val="xl24"/>
    <w:basedOn w:val="Normal"/>
    <w:pPr>
      <w:shd w:val="clear" w:color="auto" w:fill="FFFFFF"/>
      <w:overflowPunct/>
      <w:autoSpaceDE/>
      <w:autoSpaceDN/>
      <w:adjustRightInd/>
      <w:spacing w:before="100" w:beforeAutospacing="1" w:after="100" w:afterAutospacing="1"/>
      <w:textAlignment w:val="auto"/>
    </w:pPr>
    <w:rPr>
      <w:rFonts w:ascii="Arial Unicode MS" w:hAnsi="Arial Unicode MS"/>
      <w:sz w:val="24"/>
      <w:szCs w:val="24"/>
    </w:rPr>
  </w:style>
  <w:style w:type="paragraph" w:customStyle="1" w:styleId="XLarge">
    <w:name w:val="XLarge"/>
    <w:basedOn w:val="Normal"/>
    <w:pPr>
      <w:keepNext/>
      <w:keepLines/>
      <w:tabs>
        <w:tab w:val="right" w:leader="dot" w:pos="360"/>
      </w:tabs>
      <w:suppressAutoHyphens/>
      <w:overflowPunct/>
      <w:autoSpaceDE/>
      <w:autoSpaceDN/>
      <w:adjustRightInd/>
      <w:spacing w:line="390" w:lineRule="exact"/>
      <w:textAlignment w:val="auto"/>
      <w:outlineLvl w:val="0"/>
    </w:pPr>
    <w:rPr>
      <w:b/>
      <w:spacing w:val="-4"/>
      <w:w w:val="98"/>
      <w:kern w:val="14"/>
      <w:sz w:val="40"/>
      <w:lang w:val="en-GB"/>
    </w:rPr>
  </w:style>
  <w:style w:type="paragraph" w:styleId="BodyTextIndent">
    <w:name w:val="Body Text Indent"/>
    <w:basedOn w:val="Normal"/>
    <w:pPr>
      <w:tabs>
        <w:tab w:val="left" w:pos="680"/>
        <w:tab w:val="left" w:pos="1021"/>
      </w:tabs>
      <w:spacing w:before="240"/>
      <w:ind w:left="1021" w:hanging="1021"/>
      <w:jc w:val="both"/>
    </w:pPr>
    <w:rPr>
      <w:sz w:val="22"/>
      <w:szCs w:val="24"/>
    </w:rPr>
  </w:style>
  <w:style w:type="paragraph" w:styleId="BodyTextIndent2">
    <w:name w:val="Body Text Indent 2"/>
    <w:basedOn w:val="Normal"/>
    <w:pPr>
      <w:tabs>
        <w:tab w:val="left" w:pos="680"/>
        <w:tab w:val="left" w:pos="1021"/>
      </w:tabs>
      <w:spacing w:before="240"/>
      <w:ind w:left="680" w:hanging="680"/>
      <w:jc w:val="both"/>
    </w:pPr>
    <w:rPr>
      <w:sz w:val="22"/>
      <w:szCs w:val="24"/>
    </w:rPr>
  </w:style>
  <w:style w:type="character" w:styleId="Strong">
    <w:name w:val="Strong"/>
    <w:qFormat/>
    <w:rPr>
      <w:b/>
      <w:bCs/>
    </w:rPr>
  </w:style>
  <w:style w:type="paragraph" w:styleId="DocumentMap">
    <w:name w:val="Document Map"/>
    <w:basedOn w:val="Normal"/>
    <w:semiHidden/>
    <w:pPr>
      <w:shd w:val="clear" w:color="auto" w:fill="000080"/>
    </w:pPr>
    <w:rPr>
      <w:rFonts w:ascii="Tahoma" w:hAnsi="Tahoma" w:cs="Tahoma"/>
    </w:rPr>
  </w:style>
  <w:style w:type="paragraph" w:styleId="Title">
    <w:name w:val="Title"/>
    <w:basedOn w:val="Normal"/>
    <w:qFormat/>
    <w:pPr>
      <w:overflowPunct/>
      <w:autoSpaceDE/>
      <w:autoSpaceDN/>
      <w:adjustRightInd/>
      <w:jc w:val="center"/>
      <w:textAlignment w:val="auto"/>
    </w:pPr>
    <w:rPr>
      <w:sz w:val="28"/>
    </w:rPr>
  </w:style>
  <w:style w:type="character" w:styleId="Hyperlink">
    <w:name w:val="Hyperlink"/>
    <w:rPr>
      <w:color w:val="0000FF"/>
      <w:u w:val="none"/>
    </w:rPr>
  </w:style>
  <w:style w:type="paragraph" w:customStyle="1" w:styleId="Tekstas">
    <w:name w:val="Tekstas"/>
    <w:basedOn w:val="Normal"/>
    <w:pPr>
      <w:overflowPunct/>
      <w:autoSpaceDE/>
      <w:autoSpaceDN/>
      <w:adjustRightInd/>
      <w:spacing w:before="40" w:after="40"/>
      <w:ind w:right="40" w:firstLine="1247"/>
      <w:jc w:val="both"/>
      <w:textAlignment w:val="auto"/>
    </w:pPr>
    <w:rPr>
      <w:sz w:val="24"/>
      <w:lang w:val="lt-LT" w:eastAsia="en-US"/>
    </w:rPr>
  </w:style>
  <w:style w:type="paragraph" w:styleId="Caption">
    <w:name w:val="caption"/>
    <w:basedOn w:val="Normal"/>
    <w:next w:val="Normal"/>
    <w:qFormat/>
    <w:pPr>
      <w:tabs>
        <w:tab w:val="left" w:pos="1008"/>
        <w:tab w:val="left" w:pos="2112"/>
        <w:tab w:val="left" w:pos="3139"/>
        <w:tab w:val="left" w:pos="4430"/>
        <w:tab w:val="left" w:pos="5678"/>
      </w:tabs>
      <w:jc w:val="center"/>
    </w:pPr>
    <w:rPr>
      <w:b/>
      <w:caps/>
      <w:snapToGrid w:val="0"/>
      <w:color w:val="000000"/>
      <w:sz w:val="22"/>
    </w:rPr>
  </w:style>
  <w:style w:type="paragraph" w:styleId="BodyTextIndent3">
    <w:name w:val="Body Text Indent 3"/>
    <w:basedOn w:val="Normal"/>
    <w:pPr>
      <w:overflowPunct/>
      <w:autoSpaceDE/>
      <w:autoSpaceDN/>
      <w:adjustRightInd/>
      <w:ind w:left="4253"/>
      <w:textAlignment w:val="auto"/>
    </w:pPr>
    <w:rPr>
      <w:sz w:val="22"/>
      <w:szCs w:val="24"/>
    </w:rPr>
  </w:style>
  <w:style w:type="paragraph" w:customStyle="1" w:styleId="x">
    <w:name w:val="x"/>
    <w:rPr>
      <w:rFonts w:ascii="Arial" w:hAnsi="Arial"/>
      <w:lang w:val="lt-LT" w:eastAsia="en-US"/>
    </w:rPr>
  </w:style>
  <w:style w:type="character" w:customStyle="1" w:styleId="Typewriter">
    <w:name w:val="Typewriter"/>
    <w:rsid w:val="00835A84"/>
    <w:rPr>
      <w:rFonts w:ascii="Courier New" w:hAnsi="Courier New" w:cs="Courier New"/>
      <w:sz w:val="20"/>
      <w:szCs w:val="20"/>
    </w:rPr>
  </w:style>
  <w:style w:type="paragraph" w:styleId="NormalWeb">
    <w:name w:val="Normal (Web)"/>
    <w:basedOn w:val="Normal"/>
    <w:rsid w:val="00835A84"/>
    <w:pPr>
      <w:overflowPunct/>
      <w:autoSpaceDE/>
      <w:autoSpaceDN/>
      <w:adjustRightInd/>
      <w:spacing w:before="100" w:beforeAutospacing="1" w:after="100" w:afterAutospacing="1"/>
      <w:textAlignment w:val="auto"/>
    </w:pPr>
    <w:rPr>
      <w:snapToGrid w:val="0"/>
      <w:sz w:val="24"/>
      <w:szCs w:val="24"/>
      <w:lang w:val="en-GB" w:eastAsia="en-US"/>
    </w:rPr>
  </w:style>
  <w:style w:type="paragraph" w:customStyle="1" w:styleId="Absatzflietext">
    <w:name w:val="Absatzfließtext"/>
    <w:basedOn w:val="Normal"/>
    <w:rsid w:val="00835A84"/>
    <w:pPr>
      <w:overflowPunct/>
      <w:autoSpaceDE/>
      <w:autoSpaceDN/>
      <w:adjustRightInd/>
      <w:spacing w:after="120"/>
      <w:jc w:val="both"/>
      <w:textAlignment w:val="auto"/>
    </w:pPr>
    <w:rPr>
      <w:rFonts w:ascii="Arial" w:eastAsia="Batang" w:hAnsi="Arial"/>
      <w:snapToGrid w:val="0"/>
      <w:sz w:val="24"/>
      <w:szCs w:val="24"/>
      <w:lang w:val="en-GB" w:eastAsia="en-US"/>
    </w:rPr>
  </w:style>
  <w:style w:type="character" w:customStyle="1" w:styleId="tw4winMark">
    <w:name w:val="tw4winMark"/>
    <w:rsid w:val="00835A84"/>
    <w:rPr>
      <w:rFonts w:ascii="Times New Roman" w:hAnsi="Times New Roman" w:cs="Times New Roman"/>
      <w:vanish/>
      <w:color w:val="800080"/>
      <w:sz w:val="24"/>
      <w:szCs w:val="24"/>
      <w:vertAlign w:val="subscript"/>
    </w:rPr>
  </w:style>
  <w:style w:type="character" w:styleId="Emphasis">
    <w:name w:val="Emphasis"/>
    <w:qFormat/>
    <w:rsid w:val="00835A84"/>
    <w:rPr>
      <w:i/>
      <w:iCs/>
    </w:rPr>
  </w:style>
  <w:style w:type="character" w:styleId="FollowedHyperlink">
    <w:name w:val="FollowedHyperlink"/>
    <w:rsid w:val="00835A84"/>
    <w:rPr>
      <w:color w:val="0000FF"/>
      <w:u w:val="none"/>
    </w:rPr>
  </w:style>
  <w:style w:type="character" w:customStyle="1" w:styleId="tw4winError">
    <w:name w:val="tw4winError"/>
    <w:rsid w:val="00835A84"/>
    <w:rPr>
      <w:color w:val="00FF00"/>
      <w:sz w:val="40"/>
      <w:szCs w:val="40"/>
    </w:rPr>
  </w:style>
  <w:style w:type="character" w:customStyle="1" w:styleId="tw4winTerm">
    <w:name w:val="tw4winTerm"/>
    <w:rsid w:val="00835A84"/>
    <w:rPr>
      <w:color w:val="0000FF"/>
    </w:rPr>
  </w:style>
  <w:style w:type="character" w:customStyle="1" w:styleId="tw4winPopup">
    <w:name w:val="tw4winPopup"/>
    <w:rsid w:val="00835A84"/>
    <w:rPr>
      <w:noProof/>
      <w:color w:val="008000"/>
    </w:rPr>
  </w:style>
  <w:style w:type="character" w:customStyle="1" w:styleId="tw4winJump">
    <w:name w:val="tw4winJump"/>
    <w:rsid w:val="00835A84"/>
    <w:rPr>
      <w:noProof/>
      <w:color w:val="008080"/>
    </w:rPr>
  </w:style>
  <w:style w:type="character" w:customStyle="1" w:styleId="tw4winExternal">
    <w:name w:val="tw4winExternal"/>
    <w:rsid w:val="00835A84"/>
    <w:rPr>
      <w:noProof/>
      <w:color w:val="808080"/>
    </w:rPr>
  </w:style>
  <w:style w:type="character" w:customStyle="1" w:styleId="tw4winInternal">
    <w:name w:val="tw4winInternal"/>
    <w:rsid w:val="00835A84"/>
    <w:rPr>
      <w:noProof/>
      <w:color w:val="FF0000"/>
    </w:rPr>
  </w:style>
  <w:style w:type="character" w:customStyle="1" w:styleId="DONOTTRANSLATE">
    <w:name w:val="DO_NOT_TRANSLATE"/>
    <w:rsid w:val="00835A84"/>
    <w:rPr>
      <w:noProof/>
      <w:color w:val="800000"/>
    </w:rPr>
  </w:style>
  <w:style w:type="paragraph" w:customStyle="1" w:styleId="lentpavl">
    <w:name w:val="lentpavl"/>
    <w:basedOn w:val="Normal"/>
    <w:rsid w:val="00835A84"/>
    <w:pPr>
      <w:numPr>
        <w:numId w:val="1"/>
      </w:numPr>
      <w:overflowPunct/>
      <w:autoSpaceDE/>
      <w:autoSpaceDN/>
      <w:adjustRightInd/>
      <w:textAlignment w:val="auto"/>
    </w:pPr>
    <w:rPr>
      <w:rFonts w:ascii="Arial" w:hAnsi="Arial"/>
      <w:b/>
      <w:lang w:val="lt-LT" w:eastAsia="lt-LT"/>
    </w:rPr>
  </w:style>
  <w:style w:type="character" w:styleId="CommentReference">
    <w:name w:val="annotation reference"/>
    <w:semiHidden/>
    <w:rsid w:val="00D63928"/>
    <w:rPr>
      <w:sz w:val="16"/>
      <w:szCs w:val="16"/>
    </w:rPr>
  </w:style>
  <w:style w:type="paragraph" w:styleId="CommentText">
    <w:name w:val="annotation text"/>
    <w:basedOn w:val="Normal"/>
    <w:semiHidden/>
    <w:rsid w:val="00D63928"/>
  </w:style>
  <w:style w:type="paragraph" w:styleId="CommentSubject">
    <w:name w:val="annotation subject"/>
    <w:basedOn w:val="CommentText"/>
    <w:next w:val="CommentText"/>
    <w:semiHidden/>
    <w:rsid w:val="00D63928"/>
    <w:rPr>
      <w:b/>
      <w:bCs/>
    </w:rPr>
  </w:style>
  <w:style w:type="paragraph" w:styleId="BalloonText">
    <w:name w:val="Balloon Text"/>
    <w:basedOn w:val="Normal"/>
    <w:semiHidden/>
    <w:rsid w:val="00D639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arbaz.lt" TargetMode="External"/><Relationship Id="rId4" Type="http://schemas.openxmlformats.org/officeDocument/2006/relationships/webSettings" Target="webSettings.xml"/><Relationship Id="rId9" Type="http://schemas.openxmlformats.org/officeDocument/2006/relationships/hyperlink" Target="http://www.aretusa.ne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29445</Words>
  <Characters>167841</Characters>
  <Application>Microsoft Office Word</Application>
  <DocSecurity>4</DocSecurity>
  <Lines>1398</Lines>
  <Paragraphs>393</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196893</CharactersWithSpaces>
  <SharedDoc>false</SharedDoc>
  <HLinks>
    <vt:vector size="12" baseType="variant">
      <vt:variant>
        <vt:i4>393285</vt:i4>
      </vt:variant>
      <vt:variant>
        <vt:i4>3</vt:i4>
      </vt:variant>
      <vt:variant>
        <vt:i4>0</vt:i4>
      </vt:variant>
      <vt:variant>
        <vt:i4>5</vt:i4>
      </vt:variant>
      <vt:variant>
        <vt:lpwstr>http://www.darbaz.lt/</vt:lpwstr>
      </vt:variant>
      <vt:variant>
        <vt:lpwstr/>
      </vt:variant>
      <vt:variant>
        <vt:i4>2162798</vt:i4>
      </vt:variant>
      <vt:variant>
        <vt:i4>0</vt:i4>
      </vt:variant>
      <vt:variant>
        <vt:i4>0</vt:i4>
      </vt:variant>
      <vt:variant>
        <vt:i4>5</vt:i4>
      </vt:variant>
      <vt:variant>
        <vt:lpwstr>http://www.aretusa.net/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Home</dc:creator>
  <cp:keywords/>
  <cp:lastModifiedBy>Maria.Griaznova_2</cp:lastModifiedBy>
  <cp:revision>4</cp:revision>
  <cp:lastPrinted>2008-03-05T13:53:00Z</cp:lastPrinted>
  <dcterms:created xsi:type="dcterms:W3CDTF">2008-03-05T16:50:00Z</dcterms:created>
  <dcterms:modified xsi:type="dcterms:W3CDTF">2008-03-05T17:20:00Z</dcterms:modified>
</cp:coreProperties>
</file>