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68° período de sesiones</w:t>
      </w:r>
    </w:p>
    <w:p w:rsidR="00000000" w:rsidRDefault="00000000">
      <w:pPr>
        <w:spacing w:line="240" w:lineRule="auto"/>
        <w:rPr>
          <w:sz w:val="12"/>
        </w:rPr>
      </w:pPr>
    </w:p>
    <w:p w:rsidR="00000000" w:rsidRDefault="00000000">
      <w:pPr>
        <w:pStyle w:val="H23"/>
      </w:pPr>
      <w:r>
        <w:t>Acta resumida de la 1819ª sesión</w:t>
      </w:r>
    </w:p>
    <w:p w:rsidR="00000000" w:rsidRDefault="00000000">
      <w:r>
        <w:t>Celebrada en la Sede, Nueva York, el viernes 17 de marzo de 2000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 Bhagwati (Vicepresidente)</w:t>
      </w:r>
      <w:r>
        <w:rPr>
          <w:spacing w:val="60"/>
          <w:sz w:val="17"/>
        </w:rPr>
        <w:tab/>
      </w:r>
      <w:r>
        <w:t xml:space="preserve"> </w:t>
      </w:r>
    </w:p>
    <w:p w:rsidR="00000000" w:rsidRDefault="00000000">
      <w:pPr>
        <w:tabs>
          <w:tab w:val="right" w:pos="950"/>
          <w:tab w:val="left" w:pos="1267"/>
          <w:tab w:val="right" w:leader="dot" w:pos="8568"/>
        </w:tabs>
        <w:ind w:right="1267"/>
        <w:rPr>
          <w:i/>
        </w:rPr>
      </w:pPr>
      <w:r>
        <w:rPr>
          <w:i/>
        </w:rPr>
        <w:t xml:space="preserve"> más tarde:</w:t>
      </w:r>
      <w:r>
        <w:rPr>
          <w:i/>
        </w:rPr>
        <w:tab/>
      </w:r>
      <w:r>
        <w:t>Sra. Evatt (Vicepresidenta)</w:t>
      </w:r>
      <w:r>
        <w:rPr>
          <w:spacing w:val="60"/>
          <w:sz w:val="17"/>
        </w:rPr>
        <w:tab/>
      </w:r>
      <w:r>
        <w:t xml:space="preserve"> </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jc w:val="left"/>
      </w:pPr>
      <w:r>
        <w:t>Examen de los informes presentados por los Estados Partes en virtud del artículo 40 del Pacto (</w:t>
      </w:r>
      <w:r>
        <w:rPr>
          <w:i/>
        </w:rPr>
        <w:t>continuación</w:t>
      </w:r>
      <w:r>
        <w:t>)</w:t>
      </w:r>
    </w:p>
    <w:p w:rsidR="00000000" w:rsidRDefault="00000000">
      <w:pPr>
        <w:pStyle w:val="SingleTxt"/>
        <w:ind w:left="1742" w:hanging="475"/>
        <w:jc w:val="left"/>
      </w:pPr>
      <w:r>
        <w:tab/>
      </w:r>
      <w:r>
        <w:rPr>
          <w:i/>
        </w:rPr>
        <w:t>Cuarto y quinto informes periódicos del Reino Unido y sus territorios depe</w:t>
      </w:r>
      <w:r>
        <w:rPr>
          <w:i/>
        </w:rPr>
        <w:t>n</w:t>
      </w:r>
      <w:r>
        <w:rPr>
          <w:i/>
        </w:rPr>
        <w:t>dientes de la Corona</w:t>
      </w:r>
      <w:r>
        <w:t xml:space="preserve"> (</w:t>
      </w:r>
      <w:r>
        <w:rPr>
          <w:i/>
        </w:rPr>
        <w:t>continuación</w:t>
      </w:r>
      <w:r>
        <w:t xml:space="preserve">) </w:t>
      </w:r>
    </w:p>
    <w:p w:rsidR="00000000" w:rsidRDefault="00000000">
      <w:pPr>
        <w:pStyle w:val="SingleTxt"/>
        <w:jc w:val="left"/>
      </w:pPr>
      <w:r>
        <w:t>Observaciones generales del Comité (</w:t>
      </w:r>
      <w:r>
        <w:rPr>
          <w:i/>
        </w:rPr>
        <w:t>continuación</w:t>
      </w:r>
      <w:r>
        <w:t xml:space="preserve">) </w:t>
      </w:r>
    </w:p>
    <w:p w:rsidR="00000000" w:rsidRDefault="00000000">
      <w:pPr>
        <w:pStyle w:val="SingleTxt"/>
        <w:jc w:val="left"/>
      </w:pPr>
      <w:r>
        <w:tab/>
      </w:r>
      <w:r>
        <w:rPr>
          <w:i/>
        </w:rPr>
        <w:t>Proyecto de observación general sobre el artículo 3 del Pacto</w:t>
      </w:r>
      <w:r>
        <w:t xml:space="preserve"> (</w:t>
      </w:r>
      <w:r>
        <w:rPr>
          <w:i/>
        </w:rPr>
        <w:t>continuación</w:t>
      </w:r>
      <w:r>
        <w:t xml:space="preserve">) </w:t>
      </w:r>
    </w:p>
    <w:p w:rsidR="00000000" w:rsidRDefault="00000000">
      <w:pPr>
        <w:pStyle w:val="SingleTxt"/>
        <w:jc w:val="left"/>
        <w:sectPr w:rsidR="00000000">
          <w:headerReference w:type="first" r:id="rId14"/>
          <w:footerReference w:type="first" r:id="rId15"/>
          <w:endnotePr>
            <w:numFmt w:val="decimal"/>
          </w:endnotePr>
          <w:type w:val="continuous"/>
          <w:pgSz w:w="12240" w:h="15840" w:code="1"/>
          <w:pgMar w:top="1742" w:right="1195" w:bottom="1898" w:left="1195" w:header="576" w:footer="1030" w:gutter="0"/>
          <w:cols w:space="720"/>
          <w:noEndnote/>
        </w:sectPr>
      </w:pPr>
    </w:p>
    <w:p w:rsidR="00000000" w:rsidRDefault="00000000">
      <w:pPr>
        <w:pStyle w:val="DualTxt"/>
      </w:pPr>
    </w:p>
    <w:p w:rsidR="00000000" w:rsidRDefault="00000000">
      <w:pPr>
        <w:pStyle w:val="DualTxt"/>
        <w:tabs>
          <w:tab w:val="clear" w:pos="480"/>
          <w:tab w:val="left" w:pos="475"/>
        </w:tabs>
        <w:rPr>
          <w:i/>
        </w:rPr>
      </w:pPr>
      <w:r>
        <w:br w:type="page"/>
      </w:r>
      <w:r>
        <w:rPr>
          <w:i/>
        </w:rPr>
        <w:t>En ausencia del Presidente, el Sr. Bhagwati, Vicepres</w:t>
      </w:r>
      <w:r>
        <w:rPr>
          <w:i/>
        </w:rPr>
        <w:t>i</w:t>
      </w:r>
      <w:r>
        <w:rPr>
          <w:i/>
        </w:rPr>
        <w:t>dente, ocupa la Pres</w:t>
      </w:r>
      <w:r>
        <w:rPr>
          <w:i/>
        </w:rPr>
        <w:t>i</w:t>
      </w:r>
      <w:r>
        <w:rPr>
          <w:i/>
        </w:rPr>
        <w:t>dencia</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Se declara abierta la sesión a las 15.05 horas</w:t>
      </w:r>
      <w:r>
        <w:rPr>
          <w:i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Examen de los informes presentados por los Estados Partes en virtud del artículo 40 del Pacto</w:t>
      </w:r>
      <w:r>
        <w:rPr>
          <w:b w:val="0"/>
        </w:rPr>
        <w:t xml:space="preserve"> (</w:t>
      </w:r>
      <w:r>
        <w:rPr>
          <w:b w:val="0"/>
          <w:i/>
        </w:rPr>
        <w:t>continuación</w:t>
      </w:r>
      <w:r>
        <w:rPr>
          <w:b w:val="0"/>
        </w:rPr>
        <w:t xml:space="preserve">) </w:t>
      </w:r>
    </w:p>
    <w:p w:rsidR="00000000" w:rsidRDefault="00000000">
      <w:pPr>
        <w:pStyle w:val="DualTxt"/>
        <w:spacing w:after="0" w:line="120" w:lineRule="exact"/>
        <w:rPr>
          <w:sz w:val="10"/>
        </w:rPr>
      </w:pPr>
    </w:p>
    <w:p w:rsidR="00000000" w:rsidRDefault="00000000">
      <w:pPr>
        <w:pStyle w:val="DualTxt"/>
        <w:jc w:val="left"/>
      </w:pPr>
      <w:r>
        <w:rPr>
          <w:i/>
          <w:spacing w:val="2"/>
        </w:rPr>
        <w:t>Cuarto y quinto informes periódicos del Reino Unido y sus territorios dependientes de la Corona</w:t>
      </w:r>
      <w:r>
        <w:rPr>
          <w:spacing w:val="2"/>
        </w:rPr>
        <w:t xml:space="preserve"> (</w:t>
      </w:r>
      <w:r>
        <w:rPr>
          <w:i/>
          <w:spacing w:val="2"/>
        </w:rPr>
        <w:t>continuación</w:t>
      </w:r>
      <w:r>
        <w:rPr>
          <w:spacing w:val="2"/>
        </w:rPr>
        <w:t>)</w:t>
      </w:r>
      <w:r>
        <w:t xml:space="preserve"> (CCPR/C/95/Add.10, CCPR/C/UKCD/99/5, CCPR/C/68/L/UKCD y HRI/CORE/1/Add.62)</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i/>
        </w:rPr>
        <w:t>Por invitación del Presidente, la delegación del Reino Unido toma asiento como participante en la M</w:t>
      </w:r>
      <w:r>
        <w:rPr>
          <w:i/>
        </w:rPr>
        <w:t>e</w:t>
      </w:r>
      <w:r>
        <w:rPr>
          <w:i/>
        </w:rPr>
        <w:t>sa del Comité.</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pPr>
      <w:r>
        <w:rPr>
          <w:i/>
        </w:rPr>
        <w:tab/>
        <w:t>Bailía de Jersey</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de Pulford</w:t>
      </w:r>
      <w:r>
        <w:t xml:space="preserve"> (Reino Unido) dice que conoce las diferencias entre el Pacto y la Convención Europea de Derechos Humanos, particularmente por lo que re</w:t>
      </w:r>
      <w:r>
        <w:t>s</w:t>
      </w:r>
      <w:r>
        <w:t>pecta al artículo 26 de la Convención. En algunos a</w:t>
      </w:r>
      <w:r>
        <w:t>s</w:t>
      </w:r>
      <w:r>
        <w:t>pectos, el Pacto otorga mayor protección que la Co</w:t>
      </w:r>
      <w:r>
        <w:t>n</w:t>
      </w:r>
      <w:r>
        <w:t>vención, y aunque las autoridades de Jersey no han descartado la posibilidad de su incorporación, actua</w:t>
      </w:r>
      <w:r>
        <w:t>l</w:t>
      </w:r>
      <w:r>
        <w:t>mente se están ocupando de la incorporación de la Convención. No cree que la incorporación de la Co</w:t>
      </w:r>
      <w:r>
        <w:t>n</w:t>
      </w:r>
      <w:r>
        <w:t>vención Europea socave la condición jurídica del Pa</w:t>
      </w:r>
      <w:r>
        <w:t>c</w:t>
      </w:r>
      <w:r>
        <w:t>to, puesto que los tribunales de ninguna manera imp</w:t>
      </w:r>
      <w:r>
        <w:t>e</w:t>
      </w:r>
      <w:r>
        <w:t>dirán tener en cuenta otros instrumentos de derechos hum</w:t>
      </w:r>
      <w:r>
        <w:t>a</w:t>
      </w:r>
      <w:r>
        <w:t>nos en los que el Reino Unido sea Parte.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las relaciones entre el Tribunal de Justicia Europeo y el Pacto, explica que los territorios dependientes de la Corona no son miembros de la Unión Europea; la legislación comunitaria europea se aplica sólo en aspectos limitados, periféricos respecto a la esfera de los derechos humanos. En sus propias co</w:t>
      </w:r>
      <w:r>
        <w:t>n</w:t>
      </w:r>
      <w:r>
        <w:t>ferencias sobre los tratados internacionales de derechos humanos, dice, se refiere al Pacto, y examinará con las autoridades la posibilidad de hacer mayor hincapié en el Pacto en las actividades de capacitación en derechos humanos. También señala que en el sitio del Ministerio del Interior en la Web se presentan en forma destacada los informes del Reino Unido al C</w:t>
      </w:r>
      <w:r>
        <w:t>o</w:t>
      </w:r>
      <w:r>
        <w:t>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 aceptan las observaciones sobre la calidad de la preparación del cuarto y el quinto informes periód</w:t>
      </w:r>
      <w:r>
        <w:t>i</w:t>
      </w:r>
      <w:r>
        <w:t>cos, que se tendrán en cuenta en la preparación de los futuros i</w:t>
      </w:r>
      <w:r>
        <w:t>n</w:t>
      </w:r>
      <w:r>
        <w:t>formes.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cuanto a la falta de participación de organiz</w:t>
      </w:r>
      <w:r>
        <w:t>a</w:t>
      </w:r>
      <w:r>
        <w:t>ciones no gubernamentales en el proceso de present</w:t>
      </w:r>
      <w:r>
        <w:t>a</w:t>
      </w:r>
      <w:r>
        <w:t>ción de informes, dice que aunque el Gobierno del Re</w:t>
      </w:r>
      <w:r>
        <w:t>i</w:t>
      </w:r>
      <w:r>
        <w:t>no Unido mantiene amplios contactos con tales organ</w:t>
      </w:r>
      <w:r>
        <w:t>i</w:t>
      </w:r>
      <w:r>
        <w:t>zaciones, éstas no conocen directamente la situación en las Islas Anglonormandas.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último, dice que el 2 de febrero de 1993, el Gobierno del Reino Unido notificó al Secretario Gen</w:t>
      </w:r>
      <w:r>
        <w:t>e</w:t>
      </w:r>
      <w:r>
        <w:t>ral la decisión de retirar su reserva al artículo 25 del Pacto.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Evans</w:t>
      </w:r>
      <w:r>
        <w:t xml:space="preserve"> (Reino Unido) dice que los mie</w:t>
      </w:r>
      <w:r>
        <w:t>m</w:t>
      </w:r>
      <w:r>
        <w:t>bros del Comité han señalado la necesidad de armon</w:t>
      </w:r>
      <w:r>
        <w:t>i</w:t>
      </w:r>
      <w:r>
        <w:t>zar la Ley sobre prevención del terrorismo para Jersey con las disposiciones del Pacto. La decisión de detener a presuntos terroristas sin cargos en su contra es una decisión ejecutiva y no judicial. Es posible que esas detenciones se prolonguen como máximo hasta siete días. Conforme a un proyecto de ley actualmente pr</w:t>
      </w:r>
      <w:r>
        <w:t>e</w:t>
      </w:r>
      <w:r>
        <w:t>sentado al Parlamento, ese período máximo se mante</w:t>
      </w:r>
      <w:r>
        <w:t>n</w:t>
      </w:r>
      <w:r>
        <w:t>dría, pero la responsabilidad de la adopción de esas d</w:t>
      </w:r>
      <w:r>
        <w:t>e</w:t>
      </w:r>
      <w:r>
        <w:t>cisiones se transferiría a los niveles superiores de la j</w:t>
      </w:r>
      <w:r>
        <w:t>u</w:t>
      </w:r>
      <w:r>
        <w:t>dicatura. Las autoridades de Jersey tienen previsto examinar modificaciones análogas de la legislación antiterrorista de la pr</w:t>
      </w:r>
      <w:r>
        <w:t>o</w:t>
      </w:r>
      <w:r>
        <w:t xml:space="preserve">pia isla.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Mills</w:t>
      </w:r>
      <w:r>
        <w:t xml:space="preserve"> (Reino Unido) dice que las autorid</w:t>
      </w:r>
      <w:r>
        <w:t>a</w:t>
      </w:r>
      <w:r>
        <w:t>des de Jersey conceden gran importancia a la identidad cultural de la población de la isla, no obstante lo cual, reconocen su responsabilidad de cumplir las normas internacionales en materia de derechos humanos. Sin embargo, teniendo en cuenta la escasa población y los limitados recursos humanos y financieros de la isla a veces es necesario establecer un equilibrio entre lo d</w:t>
      </w:r>
      <w:r>
        <w:t>e</w:t>
      </w:r>
      <w:r>
        <w:t>seable y lo posible y aprobar nuevas leyes sólo cuando tienen un propósito claro. El hecho de que no ha habido quejas de los medios de difusión, que son muy activos, es signo del éxito de las autoridades a ese respecto.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Las juntas de revisión mencionadas en el quinto informe (CCPR/C/UKCD/99/5, párr. 2) se convocan pocas veces; cuando es necesario, los presidentes de las juntas se eligen de un grupo de tres abogados del sector privado, uno de los cuales es una mujer. Se ha considerado la posibilidad de crear un cargo de o</w:t>
      </w:r>
      <w:r>
        <w:t>m</w:t>
      </w:r>
      <w:r>
        <w:t xml:space="preserve">budsman o mediador, que, sin embargo, se ha juzgado innecesario en una pequeña comunidad como la de </w:t>
      </w:r>
      <w:r>
        <w:br/>
        <w:t>Jersey. No se ha considerado la posibilidad de establ</w:t>
      </w:r>
      <w:r>
        <w:t>e</w:t>
      </w:r>
      <w:r>
        <w:t xml:space="preserve">cer una comisión de derechos humanos; las autoridades de Jersey probablemente seguirán el ejemplo del Reino </w:t>
      </w:r>
      <w:r>
        <w:rPr>
          <w:spacing w:val="2"/>
        </w:rPr>
        <w:t>Unido a este respecto. Del mismo modo, las autoridades prevén esperar los resultados del debate en curso del Reino Unido sobre la edad consentimiento para mant</w:t>
      </w:r>
      <w:r>
        <w:rPr>
          <w:spacing w:val="2"/>
        </w:rPr>
        <w:t>e</w:t>
      </w:r>
      <w:r>
        <w:rPr>
          <w:spacing w:val="2"/>
        </w:rPr>
        <w:t>ner relaciones homosexuales antes de adoptar una dec</w:t>
      </w:r>
      <w:r>
        <w:rPr>
          <w:spacing w:val="2"/>
        </w:rPr>
        <w:t>i</w:t>
      </w:r>
      <w:r>
        <w:rPr>
          <w:spacing w:val="2"/>
        </w:rPr>
        <w:t>sión sobre el particular.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Iglesia de Inglaterra es la iglesia oficial de Jersey; no obstante, aunque en las escuelas se imparte instrucción religiosa, la ley se ha modificado recient</w:t>
      </w:r>
      <w:r>
        <w:t>e</w:t>
      </w:r>
      <w:r>
        <w:t>mente para aumentar el grado de libertad personal en esta esfera. Si bien en ciertas circunstancias el Comité de Educación debe facilitar locales para la instrucción religiosa denominacional, el número de estudiantes es muy reducido y las escuelas hasta ahora han podido r</w:t>
      </w:r>
      <w:r>
        <w:t>e</w:t>
      </w:r>
      <w:r>
        <w:t>solver el problema.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último, las autoridades se han esforzado por divulgar información sobre el Pacto distribuyendo ejemplares del informe periódico más reciente. Ad</w:t>
      </w:r>
      <w:r>
        <w:t>e</w:t>
      </w:r>
      <w:r>
        <w:t>más, es común que la población consulte el sitio de las Naciones Unidas en la Web, que da acceso directo al texto del Pacto.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Bismillah</w:t>
      </w:r>
      <w:r>
        <w:t xml:space="preserve"> (Reino Unido) dice que Jersey es una sociedad abierta y cosmopolita en la que cierto número de mujeres son funcionarias, incluida ella misma. No se hace discriminación por motivos de or</w:t>
      </w:r>
      <w:r>
        <w:t>i</w:t>
      </w:r>
      <w:r>
        <w:t>gen étnico, nacionalidad o sexo. Además, los result</w:t>
      </w:r>
      <w:r>
        <w:t>a</w:t>
      </w:r>
      <w:r>
        <w:t xml:space="preserve">dos del documento de consulta </w:t>
      </w:r>
      <w:r>
        <w:rPr>
          <w:i/>
        </w:rPr>
        <w:t>Fair Play in the Workplace</w:t>
      </w:r>
      <w:r>
        <w:t xml:space="preserve"> (conducta correcta en el lugar de trabajo) han revelado que el público considera las cuestiones relativas al salario mínimo y al despido injusto más importantes que las referentes a la discriminación. Si bien una pequeña mayoría de quienes respondieron consideraban de que debía procurarse determinar si el problema existía, la mayoría ha estimado que la di</w:t>
      </w:r>
      <w:r>
        <w:t>s</w:t>
      </w:r>
      <w:r>
        <w:t>criminación por motivos de edad es un problema más grave que la discriminación por razón del sexo.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decano de los senadores de la isla ha declarado recientemente en público que la discriminación racial no puede tolerarse y, pese a la falta de pruebas claras de la existencia del problema, ha recomendado la sa</w:t>
      </w:r>
      <w:r>
        <w:t>n</w:t>
      </w:r>
      <w:r>
        <w:t>ción de legislación que prohiba esa discriminación y proscriba a las organizaciones que inciten a tales actos o participen en ellos. Se han establecido nueve grupos de trabajo que abarcan las áreas en las que podría pr</w:t>
      </w:r>
      <w:r>
        <w:t>o</w:t>
      </w:r>
      <w:r>
        <w:t>ducirse discriminación racial, y en 1999 se celebró un foro para examinar medios de individualizar el probl</w:t>
      </w:r>
      <w:r>
        <w:t>e</w:t>
      </w:r>
      <w:r>
        <w:t>ma y buscar soluciones. Han participado también los medios de difusión, y el Departamento de Educación es favorable a que se incluya el tema en los programas de enseña</w:t>
      </w:r>
      <w:r>
        <w:t>n</w:t>
      </w:r>
      <w:r>
        <w:t>za.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 xml:space="preserve">El </w:t>
      </w:r>
      <w:r>
        <w:rPr>
          <w:b/>
        </w:rPr>
        <w:t>Sr. Bailhache</w:t>
      </w:r>
      <w:r>
        <w:t xml:space="preserve"> (Reino Unido) dice que, histór</w:t>
      </w:r>
      <w:r>
        <w:t>i</w:t>
      </w:r>
      <w:r>
        <w:t>camente, el acreedor podía ejecutar una deuda con ca</w:t>
      </w:r>
      <w:r>
        <w:t>r</w:t>
      </w:r>
      <w:r>
        <w:t>go a los bienes inmuebles del deudor durante el proc</w:t>
      </w:r>
      <w:r>
        <w:t>e</w:t>
      </w:r>
      <w:r>
        <w:t xml:space="preserve">dimiento de quiebra. Ello ya no está permitido, y la solución de la prisión por deudas se aplica pocas veces.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un caso reciente, el Tribunal de Apelaciones dictaminó que el Pacto no tenía precedencia sobre el derecho interno, puesto que no se había incorporado a la legislación nacional, no obstante lo cual, los trib</w:t>
      </w:r>
      <w:r>
        <w:t>u</w:t>
      </w:r>
      <w:r>
        <w:t>nales debían tenerlo en cuenta. La carga de la prueba corresponde al acreedor hasta que haya principio de prueba; a partir de entonces recae en el deudor. Sin embargo, es el Tribunal quien adopta la decisión def</w:t>
      </w:r>
      <w:r>
        <w:t>i</w:t>
      </w:r>
      <w:r>
        <w:t>nitiva con respecto al encarcelamiento o la puesta en libertad, y el deudor puede pedir en cualquier momento el retiro de los cargos aduciendo que ha habido un cambio sustancial de sus circunstancias. En el examen más reciente de la legislación pertinente, se ha entend</w:t>
      </w:r>
      <w:r>
        <w:t>i</w:t>
      </w:r>
      <w:r>
        <w:t>do que ésta sigue siendo útil en pequeñas jurisdicciones como la de Jersey. Aun así, se ha procurado limitar su alcance y velar por su compatibilidad con el Pacto. A ese respecto, el orador agradece las recomendaciones de la Sra. Chanet sobre las reformas limitadas que p</w:t>
      </w:r>
      <w:r>
        <w:t>o</w:t>
      </w:r>
      <w:r>
        <w:t>drían permitir el retiro de la reserva del Reino Unido al art</w:t>
      </w:r>
      <w:r>
        <w:t>í</w:t>
      </w:r>
      <w:r>
        <w:t>culo 11 del Pacto.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Hasta 1993, los derechos de sucesión se regían por el derecho consuetudinario de Normandía, que e</w:t>
      </w:r>
      <w:r>
        <w:t>s</w:t>
      </w:r>
      <w:r>
        <w:t>tipulaba que un hombre debía dejar una tercera parte de su patrimonio a su esposa y una tercera parte a los hijos nacidos dentro del matrimonio; si no tenía cónyuge s</w:t>
      </w:r>
      <w:r>
        <w:t>u</w:t>
      </w:r>
      <w:r>
        <w:t>pérstite, debía dejar los dos tercios de su patrimonio a esos hijos, y, si no le sobrevivían hijos, debía dejar la mitad de su patrimonio a su esposa. La mujer debía dejar los dos tercios de su patrimonio a sus hijos. Ah</w:t>
      </w:r>
      <w:r>
        <w:t>o</w:t>
      </w:r>
      <w:r>
        <w:t>ra bien, en virtud de la enmienda de 1993 a esa legisl</w:t>
      </w:r>
      <w:r>
        <w:t>a</w:t>
      </w:r>
      <w:r>
        <w:t>ción, la mujer y el hombre están en pie de igualdad, aunque se mantiene la prescripción respecto de los po</w:t>
      </w:r>
      <w:r>
        <w:t>r</w:t>
      </w:r>
      <w:r>
        <w:t>centajes concretos a los que tienen derecho el cónyuge y los h</w:t>
      </w:r>
      <w:r>
        <w:t>i</w:t>
      </w:r>
      <w:r>
        <w:t>jos supérstites.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Considera el orador que la utilización de la pal</w:t>
      </w:r>
      <w:r>
        <w:t>a</w:t>
      </w:r>
      <w:r>
        <w:t>bra “ilegítimo” para definir a un hijo nacido fuera del matrimonio es un problema de actitud más que de su</w:t>
      </w:r>
      <w:r>
        <w:t>s</w:t>
      </w:r>
      <w:r>
        <w:t>tancia, pero está de acuerdo en que podría inducir a error, por lo que transmitirá las observaciones del C</w:t>
      </w:r>
      <w:r>
        <w:t>o</w:t>
      </w:r>
      <w:r>
        <w:t>mité a su Gobierno. En el proyecto de ley de menores se utiliza el término “niños nacidos de padres que no están casados entre sí”.</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 prevé que las enmiendas a la Ley sobre órd</w:t>
      </w:r>
      <w:r>
        <w:t>e</w:t>
      </w:r>
      <w:r>
        <w:t>nes de separación y manutención de 1953 para Jersey se presentarán a los Comités de los Estados para su aprobación antes de que finalice del año en curso. De</w:t>
      </w:r>
      <w:r>
        <w:t>s</w:t>
      </w:r>
      <w:r>
        <w:t>de 1995, los residentes de Jersey que no son nacionales del Reino Unido están autorizados a votar en las ele</w:t>
      </w:r>
      <w:r>
        <w:t>c</w:t>
      </w:r>
      <w:r>
        <w:t>ciones loc</w:t>
      </w:r>
      <w:r>
        <w:t>a</w:t>
      </w:r>
      <w:r>
        <w:t>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isla de Jersey se divide en 12 parroquias, cada una de las cuales tiene comités que se encargan de las cuestiones de administración local. Todos los funcion</w:t>
      </w:r>
      <w:r>
        <w:t>a</w:t>
      </w:r>
      <w:r>
        <w:t>rios honorarios son elegidos; los policías honorarios constituyen una fuerza policial de la comunidad y prestan asistencia a los residentes en muchos aspectos de los que normalmente no se ocupa la policía.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sistema de asistencia letrada en Jersey es dif</w:t>
      </w:r>
      <w:r>
        <w:t>e</w:t>
      </w:r>
      <w:r>
        <w:t>rente al del Reino Unido. Todos los abogados (</w:t>
      </w:r>
      <w:r>
        <w:rPr>
          <w:i/>
        </w:rPr>
        <w:t>adv</w:t>
      </w:r>
      <w:r>
        <w:rPr>
          <w:i/>
        </w:rPr>
        <w:t>o</w:t>
      </w:r>
      <w:r>
        <w:rPr>
          <w:i/>
        </w:rPr>
        <w:t>cates and solicitors</w:t>
      </w:r>
      <w:r>
        <w:t>) con menos de 15 años de actividad están inscritos en una lista y se les puede pedir que presten asistencia letrada. Esa asistencia no es fina</w:t>
      </w:r>
      <w:r>
        <w:t>n</w:t>
      </w:r>
      <w:r>
        <w:t>ciada por el Estado, y los abogados tienen derecho a cobrar honorarios por sus servicios; sin embargo, si un cliente no puede pagarlos, el abogado debe prestar asistencia letrada gratuita. Esa responsabilidad const</w:t>
      </w:r>
      <w:r>
        <w:t>i</w:t>
      </w:r>
      <w:r>
        <w:t>tuye una carga importante e ilustra el éxito del sistema de hon</w:t>
      </w:r>
      <w:r>
        <w:t>o</w:t>
      </w:r>
      <w:r>
        <w:t>rarios.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 xml:space="preserve"> Por último, el tamaño de la delegación que repr</w:t>
      </w:r>
      <w:r>
        <w:t>e</w:t>
      </w:r>
      <w:r>
        <w:t>senta a Jersey en el examen del cuarto y el quinto i</w:t>
      </w:r>
      <w:r>
        <w:t>n</w:t>
      </w:r>
      <w:r>
        <w:t>formes periódicos por el Comité es signo de la impo</w:t>
      </w:r>
      <w:r>
        <w:t>r</w:t>
      </w:r>
      <w:r>
        <w:t>tancia que las autoridades atribuyen al Pacto, y la pre</w:t>
      </w:r>
      <w:r>
        <w:t>n</w:t>
      </w:r>
      <w:r>
        <w:t>sa informará ampliamente al respecto al regreso de la delegación.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Evatt </w:t>
      </w:r>
      <w:r>
        <w:t>pide disculpas a la delegación; al formular su pregunta sobre la utilización por el Est</w:t>
      </w:r>
      <w:r>
        <w:t>a</w:t>
      </w:r>
      <w:r>
        <w:t>do Parte de la palabra “ilegítimo”, omitió señalar que el propio Comité utilizó ese término en la lista de cuestiones.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i/>
        </w:rPr>
      </w:pPr>
      <w:r>
        <w:tab/>
      </w:r>
      <w:r>
        <w:tab/>
      </w:r>
      <w:r>
        <w:rPr>
          <w:b w:val="0"/>
          <w:i/>
        </w:rPr>
        <w:t>Bailía de Guernsey</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965"/>
        </w:tabs>
      </w:pPr>
      <w:r>
        <w:rPr>
          <w:b/>
        </w:rPr>
        <w:t>El Sr. Rowland</w:t>
      </w:r>
      <w:r>
        <w:t xml:space="preserve"> (Reino Unido) dice que en vez de repetir puntos muy similares, en la medida de lo pos</w:t>
      </w:r>
      <w:r>
        <w:t>i</w:t>
      </w:r>
      <w:r>
        <w:t>ble indicará los aspectos en que la situación de Guernsey es la misma que la de Jersey. En primer l</w:t>
      </w:r>
      <w:r>
        <w:t>u</w:t>
      </w:r>
      <w:r>
        <w:t>gar, está de acuerdo con lo expresado por el Sr. Mills en relación con el tamaño de la isla y las consecuencias que de ello se der</w:t>
      </w:r>
      <w:r>
        <w:t>i</w:t>
      </w:r>
      <w:r>
        <w:t>van.</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Volviendo al tema de las juntas de revisión adm</w:t>
      </w:r>
      <w:r>
        <w:t>i</w:t>
      </w:r>
      <w:r>
        <w:t>nistrativa, planteado por el Sr. Klein, dice que Guernsey en realidad ha adoptado —y copiado— la l</w:t>
      </w:r>
      <w:r>
        <w:t>e</w:t>
      </w:r>
      <w:r>
        <w:t>gislación de Jersey. La composición de las juntas es a</w:t>
      </w:r>
      <w:r>
        <w:t>l</w:t>
      </w:r>
      <w:r>
        <w:t>go diferente, pues en Guernsey están constituidas por una combinación de parlamentarios y otras personas. Para garantizar la independencia e imparcialidad, los parlamentarios que integran las juntas no pueden ser miembros del departamento cuya decisión es objeto de examen. En todo caso, están muy orgullosos de su s</w:t>
      </w:r>
      <w:r>
        <w:t>i</w:t>
      </w:r>
      <w:r>
        <w:t>tuación de independencia en el Parlamento, ya que no hay Consejo de ministros ni partidos polít</w:t>
      </w:r>
      <w:r>
        <w:t>i</w:t>
      </w:r>
      <w:r>
        <w:t>cos.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Guernsey tampoco ha considerado apropiado t</w:t>
      </w:r>
      <w:r>
        <w:t>e</w:t>
      </w:r>
      <w:r>
        <w:t>ner un ombudsman o mediador como tal, por entender que las juntas de revisión administrativa cumplen ad</w:t>
      </w:r>
      <w:r>
        <w:t>e</w:t>
      </w:r>
      <w:r>
        <w:t>cuadamente esa función. La Bailía tiene también a</w:t>
      </w:r>
      <w:r>
        <w:t>m</w:t>
      </w:r>
      <w:r>
        <w:t>plitud de miras en cuanto a la posibilidad de contar f</w:t>
      </w:r>
      <w:r>
        <w:t>i</w:t>
      </w:r>
      <w:r>
        <w:t>na</w:t>
      </w:r>
      <w:r>
        <w:t>l</w:t>
      </w:r>
      <w:r>
        <w:t>mente con una comisión de derechos humanos.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El Sr. Klein</w:t>
      </w:r>
      <w:r>
        <w:rPr>
          <w:b/>
        </w:rPr>
        <w:t xml:space="preserve"> </w:t>
      </w:r>
      <w:r>
        <w:t>así como la Sra. Gaitán de Pombo, el Sr. Henkin y el Sr. Wieruszewski han plateado la cue</w:t>
      </w:r>
      <w:r>
        <w:t>s</w:t>
      </w:r>
      <w:r>
        <w:t>tión de la publicidad dada al Pacto y a los informes p</w:t>
      </w:r>
      <w:r>
        <w:t>e</w:t>
      </w:r>
      <w:r>
        <w:t>riódicos. Se están haciendo considerables esfuerzos por dar publicidad al Pacto y los informes, tarea que incl</w:t>
      </w:r>
      <w:r>
        <w:t>u</w:t>
      </w:r>
      <w:r>
        <w:t>ye su distribución a todas las bibliotecas públicas y las bibliotecas de los tribunales. Pueden obtenerse eje</w:t>
      </w:r>
      <w:r>
        <w:t>m</w:t>
      </w:r>
      <w:r>
        <w:t>plares gratuitos en los departamentos de la administr</w:t>
      </w:r>
      <w:r>
        <w:t>a</w:t>
      </w:r>
      <w:r>
        <w:t>ción pública, y en un informe anual que se envía al Parlamento figura un resumen de todas las cuestiones relacionadas con los asuntos internacionales. Se ha h</w:t>
      </w:r>
      <w:r>
        <w:t>e</w:t>
      </w:r>
      <w:r>
        <w:t>cho referencia al Pacto en la preparación reciente de la carta de política para la incorporación de la Conve</w:t>
      </w:r>
      <w:r>
        <w:t>n</w:t>
      </w:r>
      <w:r>
        <w:t>ción Europea de Derechos Humanos, asunto que se tratará en el Parlamento el 5 de abril. En el opúsculo que se publicará para dar a conocer la Convención E</w:t>
      </w:r>
      <w:r>
        <w:t>u</w:t>
      </w:r>
      <w:r>
        <w:t>ropea figurarán también los textos de todos los conv</w:t>
      </w:r>
      <w:r>
        <w:t>e</w:t>
      </w:r>
      <w:r>
        <w:t>nios de derechos humanos aplicables en Bailía.</w:t>
      </w:r>
    </w:p>
    <w:p w:rsidR="00000000" w:rsidRDefault="00000000">
      <w:pPr>
        <w:pStyle w:val="DualTxt"/>
        <w:numPr>
          <w:ilvl w:val="0"/>
          <w:numId w:val="4"/>
        </w:numPr>
        <w:tabs>
          <w:tab w:val="clear" w:pos="960"/>
          <w:tab w:val="left" w:pos="965"/>
        </w:tabs>
      </w:pPr>
      <w:r>
        <w:t>En lo que respecta a las organizaciones no gube</w:t>
      </w:r>
      <w:r>
        <w:t>r</w:t>
      </w:r>
      <w:r>
        <w:t>namentales, hay una oficina de los derechos de los ci</w:t>
      </w:r>
      <w:r>
        <w:t>u</w:t>
      </w:r>
      <w:r>
        <w:t>dadanos muy activa, que sigue muy de cerca las cue</w:t>
      </w:r>
      <w:r>
        <w:t>s</w:t>
      </w:r>
      <w:r>
        <w:t>tiones de derechos humanos; es tal vez la institución de Guernsey más próxima a lo que se entiende por organ</w:t>
      </w:r>
      <w:r>
        <w:t>i</w:t>
      </w:r>
      <w:r>
        <w:t>zación no gubernamental fuera de la isla. Las autorid</w:t>
      </w:r>
      <w:r>
        <w:t>a</w:t>
      </w:r>
      <w:r>
        <w:t>des alientan el desarrollo de esa oficina y facilitan f</w:t>
      </w:r>
      <w:r>
        <w:t>i</w:t>
      </w:r>
      <w:r>
        <w:t>nanciación general y especial según las ocasi</w:t>
      </w:r>
      <w:r>
        <w:t>o</w:t>
      </w:r>
      <w:r>
        <w:t>nes.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En respuesta a la pregunta del Sr. Yalden acerca de la edad de consentimiento para las relaciones het</w:t>
      </w:r>
      <w:r>
        <w:t>e</w:t>
      </w:r>
      <w:r>
        <w:t>rosexuales y homosexuales en Guernsey, la situación en la isla es la misma que en Je</w:t>
      </w:r>
      <w:r>
        <w:t>r</w:t>
      </w:r>
      <w:r>
        <w:t>sey.</w:t>
      </w:r>
    </w:p>
    <w:p w:rsidR="00000000" w:rsidRDefault="00000000">
      <w:pPr>
        <w:pStyle w:val="DualTxt"/>
        <w:numPr>
          <w:ilvl w:val="0"/>
          <w:numId w:val="4"/>
        </w:numPr>
        <w:tabs>
          <w:tab w:val="clear" w:pos="960"/>
          <w:tab w:val="left" w:pos="965"/>
        </w:tabs>
      </w:pPr>
      <w:r>
        <w:t>La Sra. Evatt se ha interesado por la cuestión del adelanto de la mujer en la sociedad. En Guernsey, 20 de los 80 abogados del Tribunal Real son mujeres. Nueve de los 16 últimos abogados admitidos al colegio son mujeres, y la mayoría de quienes están en período de formación son mujeres. De los actuales maestros y profesores del sector público de Guernsey, el 62,8% son mujeres, al igual que el 26% de los contadores d</w:t>
      </w:r>
      <w:r>
        <w:t>i</w:t>
      </w:r>
      <w:r>
        <w:t>plomados y colegiados. El 52% de los alumnos que cursan estudios en el instituto de enseñanza superior de Guernsey o en universidades del Reino Unido son m</w:t>
      </w:r>
      <w:r>
        <w:t>u</w:t>
      </w:r>
      <w:r>
        <w:t>jeres, y hay varias mujeres que ocupan altos cargos en la administración p</w:t>
      </w:r>
      <w:r>
        <w:t>ú</w:t>
      </w:r>
      <w:r>
        <w:t>blica.</w:t>
      </w:r>
    </w:p>
    <w:p w:rsidR="00000000" w:rsidRDefault="00000000">
      <w:pPr>
        <w:pStyle w:val="DualTxt"/>
        <w:numPr>
          <w:ilvl w:val="0"/>
          <w:numId w:val="4"/>
        </w:numPr>
        <w:tabs>
          <w:tab w:val="clear" w:pos="960"/>
          <w:tab w:val="left" w:pos="965"/>
        </w:tabs>
      </w:pPr>
      <w:r>
        <w:t>En respuesta a la pregunta del Sr. Ando acerca de la Ley sobre el tratamiento psiquiátrico y la reclusión forzosa, el orador señala que hay dos tipos de órdenes, en primer lugar, las órdenes de urgencia, que sólo pu</w:t>
      </w:r>
      <w:r>
        <w:t>e</w:t>
      </w:r>
      <w:r>
        <w:t>den emitirse previa presentación de la información pertinente por un médico y que sólo son válidas por siete días. La inmensa mayoría de las órdenes perten</w:t>
      </w:r>
      <w:r>
        <w:t>e</w:t>
      </w:r>
      <w:r>
        <w:t>cen a esta categoría, y en su mayor parte conciernen a personas que son suicidas potenciales y por lo tanto r</w:t>
      </w:r>
      <w:r>
        <w:t>e</w:t>
      </w:r>
      <w:r>
        <w:t>presentan un peligro para sí mismas y tal vez para los demás. Es muy importante señalar que la reclusión a largo plazo, superior al período de siete días, requiere un procedimiento cabal de certificación, que implica la certificación por el médico que atiende al paciente y por un médico independiente, a petición de un pariente cercano, o en ausencia de un pariente cercano, de a</w:t>
      </w:r>
      <w:r>
        <w:t>l</w:t>
      </w:r>
      <w:r>
        <w:t>guien que tenga un interés legítimo en el bienestar de la persona de que se trate. La petición se comunica a las oficinas jurídicas de la Corona, a quienes incumbe la responsabilidad de la certificación. Las certificaciones se examinan periód</w:t>
      </w:r>
      <w:r>
        <w:t>i</w:t>
      </w:r>
      <w:r>
        <w:t>camente.</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El Sr. Ando también se ha referido a la Ley sobre niños y menores en relación con los correccion</w:t>
      </w:r>
      <w:r>
        <w:t>a</w:t>
      </w:r>
      <w:r>
        <w:t>les, una ley sancionada en 1997. La dependencia c</w:t>
      </w:r>
      <w:r>
        <w:t>o</w:t>
      </w:r>
      <w:r>
        <w:t>rreccional se encuentra en los locales de la Junta de Menores, y está atendida las 24 horas del día por esp</w:t>
      </w:r>
      <w:r>
        <w:t>e</w:t>
      </w:r>
      <w:r>
        <w:t>cialistas en atención infantil plenamente calificados. Está concebida concretamente para ofrecer una alte</w:t>
      </w:r>
      <w:r>
        <w:t>r</w:t>
      </w:r>
      <w:r>
        <w:t>nativa a la detención policial durante el juicio, y fu</w:t>
      </w:r>
      <w:r>
        <w:t>n</w:t>
      </w:r>
      <w:r>
        <w:t>ciona exc</w:t>
      </w:r>
      <w:r>
        <w:t>e</w:t>
      </w:r>
      <w:r>
        <w:t>lentemente.</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Otra pregunta se refería a la extensión de la Ley sobre niños y menores a la isla de Alderney, que tiene una población de aproximadamente 2.000 personas. Hace algunos años que esta población depende fund</w:t>
      </w:r>
      <w:r>
        <w:t>a</w:t>
      </w:r>
      <w:r>
        <w:t>mentalmente de los servicios de atención infantil pr</w:t>
      </w:r>
      <w:r>
        <w:t>o</w:t>
      </w:r>
      <w:r>
        <w:t>porcionados desde Guernsey, donde hay muchos prof</w:t>
      </w:r>
      <w:r>
        <w:t>e</w:t>
      </w:r>
      <w:r>
        <w:t>sionales calificados. A petición de Alderney, ese arr</w:t>
      </w:r>
      <w:r>
        <w:t>e</w:t>
      </w:r>
      <w:r>
        <w:t>glo se ha formalizado mediante la extensión de la ley de Guernsey, lo que permite mantener un servicio idéntico. Esa extensión del ámbito de aplicación terr</w:t>
      </w:r>
      <w:r>
        <w:t>i</w:t>
      </w:r>
      <w:r>
        <w:t>torial de la ley es una evolución muy natural, ya que Alderney forma parte, junto con Guernsey, del sistema fiscal común, que presta muchos servicios en Alderney, entre ellos, los de educación, salud, policía y servicios soci</w:t>
      </w:r>
      <w:r>
        <w:t>a</w:t>
      </w:r>
      <w:r>
        <w:t>les.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La cuarta pregunta se refiere a la ley de herencias de Sark y a la reciente legislación en vigor desde el 19 de enero. En Alderney hay sólo 40 propiedades que se ven afectadas, y que corresponden a una población de unas 600 personas. Los antiguos estatutos exigen que esas 40 propiedades permanezcan indivisas, lo que a</w:t>
      </w:r>
      <w:r>
        <w:t>c</w:t>
      </w:r>
      <w:r>
        <w:t>tualmente se considera una virtud, pues una subdiv</w:t>
      </w:r>
      <w:r>
        <w:t>i</w:t>
      </w:r>
      <w:r>
        <w:t>sión considerable podría constituir una amenaza para el funcionamiento de la sociedad. A pesar de esa dispos</w:t>
      </w:r>
      <w:r>
        <w:t>i</w:t>
      </w:r>
      <w:r>
        <w:t>ción, es jurídicamente posible establecer largos co</w:t>
      </w:r>
      <w:r>
        <w:t>n</w:t>
      </w:r>
      <w:r>
        <w:t>tratos de arrendamiento. Aunque la propiedad puede transmitirse a un solo hijo, es posible establecer largos contratos de arrendamiento de 100 a 150 años con una renta nominal a fin de tener en cuenta la situación de los demás hijos. Se trata de una solución práctica que funciona bien.</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suppressAutoHyphens/>
      </w:pPr>
      <w:r>
        <w:t>El Sr. Solari Yrigoyen planteó varias cuestiones, la principal relacionada con el párrafo 18 del cuarto informe, que el orador ya ha abordado en su respuesta en relación con Sark.</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El Sr. Scheinen ha formulado preguntas acerca del derecho de voto y la composición del Parlamento de Sark. Sark ha establecido recientemente un comité de reforma de la ley constitucional que ha dicho info</w:t>
      </w:r>
      <w:r>
        <w:t>r</w:t>
      </w:r>
      <w:r>
        <w:t>mará en forma completa, en un plazo de dos a tres años, sobre su examen detenido de la Constitución de Sark. Sark es consciente de las obligaciones que le i</w:t>
      </w:r>
      <w:r>
        <w:t>n</w:t>
      </w:r>
      <w:r>
        <w:t>cumben en virtud de los tratados internacionales, y el orador ha dejado claro a las autoridades de Sark que está dispuesto a prestarles asistencia. El Ministerio del Interior también ha hecho otro tanto.</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El Sr. Amor ha hecho una pregunta sobre la ed</w:t>
      </w:r>
      <w:r>
        <w:t>u</w:t>
      </w:r>
      <w:r>
        <w:t>cación mixta ya implantada en todas las escuelas públ</w:t>
      </w:r>
      <w:r>
        <w:t>i</w:t>
      </w:r>
      <w:r>
        <w:t>cas. Hay dos institutos de enseñanza secundaria priv</w:t>
      </w:r>
      <w:r>
        <w:t>a</w:t>
      </w:r>
      <w:r>
        <w:t>dos, a los que los alumnos asisten por elección de sus padres, que desde el año pasado son efectivamente de carácter mixto en el sexto grado.</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suppressAutoHyphens/>
      </w:pPr>
      <w:r>
        <w:t>Otra pregunta guardaba relación con la enseñanza religiosa y el culto. La enseñanza religiosa no incluye el culto como tal, y las escuelas siguen el programa de estudios nacional de base amplia del Reino Unido, conforme al cual los niños son educados en el respeto de todas las religiones; además, se invita a todas las denominaciones religiosas de la isla a dar conferencias en las escuelas l</w:t>
      </w:r>
      <w:r>
        <w:t>o</w:t>
      </w:r>
      <w:r>
        <w:t>cales.</w:t>
      </w:r>
    </w:p>
    <w:p w:rsidR="00000000" w:rsidRDefault="00000000">
      <w:pPr>
        <w:pStyle w:val="DualTxt"/>
        <w:numPr>
          <w:ilvl w:val="0"/>
          <w:numId w:val="4"/>
        </w:numPr>
        <w:tabs>
          <w:tab w:val="clear" w:pos="960"/>
          <w:tab w:val="left" w:pos="965"/>
        </w:tabs>
      </w:pPr>
      <w:r>
        <w:t>En relación con el culto religioso considerado como elemento distinto de la enseñanza, se celebran actos de culto conjunto en todas las escuelas, pero ni</w:t>
      </w:r>
      <w:r>
        <w:t>n</w:t>
      </w:r>
      <w:r>
        <w:t>guna religión tiene prioridad. La isla es verdader</w:t>
      </w:r>
      <w:r>
        <w:t>a</w:t>
      </w:r>
      <w:r>
        <w:t>mente interden</w:t>
      </w:r>
      <w:r>
        <w:t>o</w:t>
      </w:r>
      <w:r>
        <w:t>minacional.</w:t>
      </w:r>
    </w:p>
    <w:p w:rsidR="00000000" w:rsidRDefault="00000000">
      <w:pPr>
        <w:pStyle w:val="DualTxt"/>
        <w:numPr>
          <w:ilvl w:val="0"/>
          <w:numId w:val="4"/>
        </w:numPr>
        <w:tabs>
          <w:tab w:val="clear" w:pos="960"/>
          <w:tab w:val="left" w:pos="965"/>
        </w:tabs>
      </w:pPr>
      <w:r>
        <w:t>Una cuarta pregunta se refería a la celebración del matrimonio, y el orador desea destacar a este respecto que el matrimonio civil no exige la celebración de una ceremonia religiosa. Esto se aplica en las tres jurisdi</w:t>
      </w:r>
      <w:r>
        <w:t>c</w:t>
      </w:r>
      <w:r>
        <w:t>ciones representadas en la reunión. Muchas personas se casan en matrimonio civil sin ceremonia religiosa, pero cuando se realiza un servicio religioso el matrimonio civil es indi</w:t>
      </w:r>
      <w:r>
        <w:t>s</w:t>
      </w:r>
      <w:r>
        <w:t>pensable.</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El orador ha respondido ampliamente a todas las preguntas formuladas por la Sra. Gaitán de Pombo en relación con la difusión de información. Confirma al Sr. Lallah que no existe prisión por deudas regidas por el derecho civil.</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suppressAutoHyphens/>
      </w:pPr>
      <w:r>
        <w:t>El Sr. Henkin ha formulado preguntas acerca de los extranjeros y el derecho de voto. Los extranjeros pueden participar en las juntas escolares, actuar como visitadores de cárceles, ser miembros de la junta de libertad condicional, ocupar cargos en las parroquias, y ser miembros de los comités gubern</w:t>
      </w:r>
      <w:r>
        <w:t>a</w:t>
      </w:r>
      <w:r>
        <w:t>mentales.</w:t>
      </w:r>
    </w:p>
    <w:p w:rsidR="00000000" w:rsidRDefault="00000000">
      <w:pPr>
        <w:pStyle w:val="DualTxt"/>
        <w:tabs>
          <w:tab w:val="clear" w:pos="480"/>
          <w:tab w:val="clear" w:pos="960"/>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i/>
        </w:rPr>
      </w:pPr>
      <w:r>
        <w:tab/>
      </w:r>
      <w:r>
        <w:tab/>
      </w:r>
      <w:r>
        <w:rPr>
          <w:b w:val="0"/>
          <w:i/>
        </w:rPr>
        <w:t>Isla de Man</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 xml:space="preserve">El Sr. Corlett </w:t>
      </w:r>
      <w:r>
        <w:t>(Reino Unido) dice que el Gobie</w:t>
      </w:r>
      <w:r>
        <w:t>r</w:t>
      </w:r>
      <w:r>
        <w:t>no de la Isla de Man reconoce sus crecientes respons</w:t>
      </w:r>
      <w:r>
        <w:t>a</w:t>
      </w:r>
      <w:r>
        <w:t>bilidades internacionales, en particular en la esfera de los derechos humanos. El Gobierno de la isla suscribe los objetivos del Pacto Internacional de Derechos C</w:t>
      </w:r>
      <w:r>
        <w:t>i</w:t>
      </w:r>
      <w:r>
        <w:t>viles y Políticos, que ya se ha citado en causas prese</w:t>
      </w:r>
      <w:r>
        <w:t>n</w:t>
      </w:r>
      <w:r>
        <w:t>tadas ante los tribunales de la isla. Incluso antes de la entrada en vigor de la Ley de derechos humanos, alg</w:t>
      </w:r>
      <w:r>
        <w:t>u</w:t>
      </w:r>
      <w:r>
        <w:t>nas de sus disposiciones se han aceptado en los trib</w:t>
      </w:r>
      <w:r>
        <w:t>u</w:t>
      </w:r>
      <w:r>
        <w:t>nales. En 1992 se hizo extensiva a la isla la aplicación de la Convención contra la Tortura y Otros Tratos o Penas Crueles, Inhumanos o Degradantes. La Conve</w:t>
      </w:r>
      <w:r>
        <w:t>n</w:t>
      </w:r>
      <w:r>
        <w:t>ción Europea de Derechos Humanos, ratificada por el Reino Unido en 1950, se hizo extensiva a la isla en 1953.</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En relación con la situación actual de la legisl</w:t>
      </w:r>
      <w:r>
        <w:t>a</w:t>
      </w:r>
      <w:r>
        <w:t>ción en materia de derechos humanos, el Consejo de Ministros aprobó un proyecto de ley sobre derechos humanos que se presentará a la cámara baja en un fut</w:t>
      </w:r>
      <w:r>
        <w:t>u</w:t>
      </w:r>
      <w:r>
        <w:t>ro muy próximo. A raíz de esa legislación, la Suprema Corte de la Isla de Man estará facultada para declarar la inaplicabilidad de las medidas que no sean compatibles con las disposiciones en materia de derechos humanos. La Isla de Man procura seguir la ley de derechos h</w:t>
      </w:r>
      <w:r>
        <w:t>u</w:t>
      </w:r>
      <w:r>
        <w:t>manos del Reino Unido. Un aspecto positivo de la as</w:t>
      </w:r>
      <w:r>
        <w:t>o</w:t>
      </w:r>
      <w:r>
        <w:t>ciación es que la Isla de Man puede aprovechar la l</w:t>
      </w:r>
      <w:r>
        <w:t>e</w:t>
      </w:r>
      <w:r>
        <w:t>gislación apropiada del Reino Un</w:t>
      </w:r>
      <w:r>
        <w:t>i</w:t>
      </w:r>
      <w:r>
        <w:t>do.</w:t>
      </w:r>
    </w:p>
    <w:p w:rsidR="00000000" w:rsidRDefault="00000000">
      <w:pPr>
        <w:pStyle w:val="DualTxt"/>
        <w:numPr>
          <w:ilvl w:val="0"/>
          <w:numId w:val="4"/>
        </w:numPr>
        <w:tabs>
          <w:tab w:val="clear" w:pos="960"/>
          <w:tab w:val="left" w:pos="965"/>
        </w:tabs>
      </w:pPr>
      <w:r>
        <w:t>En cuanto a la discriminación por razón del sexo, señala que el proyecto de ley sobre discriminación s</w:t>
      </w:r>
      <w:r>
        <w:t>e</w:t>
      </w:r>
      <w:r>
        <w:t>xual en el empleo ha pasado por el consejo legislativo y forma la base de un marco normativo más amplio en relación con la discriminación, que se desarrollará con el tiempo. El proyecto se concentra principalmente en las disposiciones sobre igualdad de remuneración y discriminación en el empleo de la legislación del Reino Unido. La ley será sa</w:t>
      </w:r>
      <w:r>
        <w:t>n</w:t>
      </w:r>
      <w:r>
        <w:t>cionada antes de julio de 2000.</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En relación con la discriminación racial, aún no se ha ultimado el proyecto de ley pertinente, pero hay un compromiso político de presentarlo a la legislatura de 2000-2001. El proyecto abarcará gran parte de los aspectos contemplados en el proyecto modelo prepar</w:t>
      </w:r>
      <w:r>
        <w:t>a</w:t>
      </w:r>
      <w:r>
        <w:t>do por el Ministerio de Relaciones Exteriores y del Commonwealth para los territorios de ultramar del Reino Unido. Se tendrá en cuenta la evolución actual de la legislación en el Reino Unido y se prestará debida atención a las disposiciones del art</w:t>
      </w:r>
      <w:r>
        <w:t>í</w:t>
      </w:r>
      <w:r>
        <w:t>culo 26 del Pacto.</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En relación con la enseñanza y la religión en las escuelas, señala que en el proyecto de ley de enseñanza que examina actualmente el Departamento de Educ</w:t>
      </w:r>
      <w:r>
        <w:t>a</w:t>
      </w:r>
      <w:r>
        <w:t>ción se prescribe que se imparta enseñanza religiosa a todos los alumnos en edad de escolarización obligat</w:t>
      </w:r>
      <w:r>
        <w:t>o</w:t>
      </w:r>
      <w:r>
        <w:t>ria. Esa enseñanza se ajustará a un programa preparado y aprobado por el Departamento. Será total o princ</w:t>
      </w:r>
      <w:r>
        <w:t>i</w:t>
      </w:r>
      <w:r>
        <w:t>palmente de carácter cristiano, pero no incluirá ningún catecismo o fórmulas que pertenezcan a una denomin</w:t>
      </w:r>
      <w:r>
        <w:t>a</w:t>
      </w:r>
      <w:r>
        <w:t>ción religiosa determ</w:t>
      </w:r>
      <w:r>
        <w:t>i</w:t>
      </w:r>
      <w:r>
        <w:t>nada.</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Como política general, el castigo corporal no está permitido ni en las escuelas privadas ni en las públicas, y quedará ilegalizado una vez se sancione el proyecto de ley de ens</w:t>
      </w:r>
      <w:r>
        <w:t>e</w:t>
      </w:r>
      <w:r>
        <w:t>ñanza.</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Con respecto a la edad de consentimiento para mantener relaciones homosexuales, el Consejo de M</w:t>
      </w:r>
      <w:r>
        <w:t>i</w:t>
      </w:r>
      <w:r>
        <w:t>nistros está estudiando un documento con miras a d</w:t>
      </w:r>
      <w:r>
        <w:t>e</w:t>
      </w:r>
      <w:r>
        <w:t>terminar si debe modificarse la legislación de la isla, teniendo presente la evolución en el Reino Unido.</w:t>
      </w:r>
    </w:p>
    <w:p w:rsidR="00000000" w:rsidRDefault="00000000">
      <w:pPr>
        <w:pStyle w:val="DualTxt"/>
        <w:numPr>
          <w:ilvl w:val="0"/>
          <w:numId w:val="7"/>
        </w:numPr>
        <w:tabs>
          <w:tab w:val="clear" w:pos="960"/>
          <w:tab w:val="left" w:pos="475"/>
          <w:tab w:val="left" w:pos="965"/>
        </w:tabs>
      </w:pPr>
      <w:r>
        <w:t>Con respecto a la blasfemia y la libertad de pal</w:t>
      </w:r>
      <w:r>
        <w:t>a</w:t>
      </w:r>
      <w:r>
        <w:t>bra, dice que la blasfemia es un delito conforme a uno de los antiguos códigos penales de la isla. Toda persona que cometa una ofensa contra Dios o la religión es cu</w:t>
      </w:r>
      <w:r>
        <w:t>l</w:t>
      </w:r>
      <w:r>
        <w:t>pable de un delito menor. En teoría, se castiga con una pena de dos años de cárcel y/o una multa. En la práct</w:t>
      </w:r>
      <w:r>
        <w:t>i</w:t>
      </w:r>
      <w:r>
        <w:t>ca, empero, hace muchos años que no se invoca esa ley, que se prevé examinar para determinar si es apropiada a las circunstancias mode</w:t>
      </w:r>
      <w:r>
        <w:t>r</w:t>
      </w:r>
      <w:r>
        <w:t>nas.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También se ha formulado una pregunta en rel</w:t>
      </w:r>
      <w:r>
        <w:t>a</w:t>
      </w:r>
      <w:r>
        <w:t>ción con el carácter retroactivo del derecho penal. El orador da seguridades al Comité de que tal concepto no existe en el derecho penal de la Isla de Man, y no es posible que una persona sea perseguida por un delito que no se consideraba de índole penal en el momento de su com</w:t>
      </w:r>
      <w:r>
        <w:t>i</w:t>
      </w:r>
      <w:r>
        <w:t>sión.</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 prisión por deudas sólo es posible en el caso de quien deliberadamente no haya pagado una deuda reconocida por una sentencia judicial, y si se demuestra que el deudor podía pagar en el momento de la sente</w:t>
      </w:r>
      <w:r>
        <w:t>n</w:t>
      </w:r>
      <w:r>
        <w:t>cia. En consecuencia, no es necesaria ninguna reserva por lo que respecta a la Isla de Man.</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 xml:space="preserve">En relación con el derecho de voto y el caso </w:t>
      </w:r>
      <w:r>
        <w:rPr>
          <w:i/>
        </w:rPr>
        <w:t xml:space="preserve">Matthews, </w:t>
      </w:r>
      <w:r>
        <w:t>entiende que el caso no tiene aplicabilidad en la Isla de Man, pues se refiere al derecho de voto de un residente de Gibraltar en relación con el Parlamento europeo. La Isla de Man no es miembro de la Comun</w:t>
      </w:r>
      <w:r>
        <w:t>i</w:t>
      </w:r>
      <w:r>
        <w:t>dad E</w:t>
      </w:r>
      <w:r>
        <w:t>u</w:t>
      </w:r>
      <w:r>
        <w:t>ropea.</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Al orador le complace confirmar que en lo t</w:t>
      </w:r>
      <w:r>
        <w:t>o</w:t>
      </w:r>
      <w:r>
        <w:t>cante a la composición del Parlamento local y el der</w:t>
      </w:r>
      <w:r>
        <w:t>e</w:t>
      </w:r>
      <w:r>
        <w:t>cho de voto, no se hace discriminación alguna por m</w:t>
      </w:r>
      <w:r>
        <w:t>o</w:t>
      </w:r>
      <w:r>
        <w:t>tivos de nacionalidad. Toda persona con un total de cinco años de residencia en la Isla y que no esté afectada por ninguna incapacidad legal tiene derecho a votar. La capacidad legal es fundamentalmente una cuestión de capacidad mental y no tiene que ver con el encarc</w:t>
      </w:r>
      <w:r>
        <w:t>e</w:t>
      </w:r>
      <w:r>
        <w:t>lamiento.</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El Sr. Kissack</w:t>
      </w:r>
      <w:r>
        <w:t xml:space="preserve"> (Reino Unido) dice que históric</w:t>
      </w:r>
      <w:r>
        <w:t>a</w:t>
      </w:r>
      <w:r>
        <w:t>mente se ha impartido muy poca capacitación instit</w:t>
      </w:r>
      <w:r>
        <w:t>u</w:t>
      </w:r>
      <w:r>
        <w:t>cional en relación con los derechos humanos a los fu</w:t>
      </w:r>
      <w:r>
        <w:t>n</w:t>
      </w:r>
      <w:r>
        <w:t>cionarios públicos. Los derechos humanos forman parte, naturalmente, del funcionamiento de unos bu</w:t>
      </w:r>
      <w:r>
        <w:t>e</w:t>
      </w:r>
      <w:r>
        <w:t>nos servicios públicos, y siempre se ha contado con asesoramiento jurídico para casos concretos. No ob</w:t>
      </w:r>
      <w:r>
        <w:t>s</w:t>
      </w:r>
      <w:r>
        <w:t>tante, la inminencia de la nueva Ley de derechos h</w:t>
      </w:r>
      <w:r>
        <w:t>u</w:t>
      </w:r>
      <w:r>
        <w:t>manos cambiará la situación, y en junio se celebrará una gran conferencia de capacitación, con la particip</w:t>
      </w:r>
      <w:r>
        <w:t>a</w:t>
      </w:r>
      <w:r>
        <w:t>ción de expertos que impartirían instrucción, uno de cuyos oradores será el jefe de la presente delegación del Re</w:t>
      </w:r>
      <w:r>
        <w:t>i</w:t>
      </w:r>
      <w:r>
        <w:t>no Unido.</w:t>
      </w:r>
    </w:p>
    <w:p w:rsidR="00000000" w:rsidRDefault="00000000">
      <w:pPr>
        <w:pStyle w:val="DualTxt"/>
        <w:numPr>
          <w:ilvl w:val="0"/>
          <w:numId w:val="7"/>
        </w:numPr>
        <w:tabs>
          <w:tab w:val="clear" w:pos="960"/>
          <w:tab w:val="left" w:pos="475"/>
          <w:tab w:val="left" w:pos="965"/>
        </w:tabs>
      </w:pPr>
      <w:r>
        <w:t>Con ese evento, que congregará a unos 170 fu</w:t>
      </w:r>
      <w:r>
        <w:t>n</w:t>
      </w:r>
      <w:r>
        <w:t>cionarios tanto del gobierno central como del gobierno local de la isla, se iniciará la tarea de presentarles los conceptos y prácticas que serán necesarios para aplicar el nuevo régimen. Se trata de un punto de partida, pues ulteriormente se ejecutarán programas más amplios y detallados destinados a especialistas, todos los cuales tendrán que concluir antes de que entre en vigor la Ley. Ulteriormente, se requerirá una capacitación perm</w:t>
      </w:r>
      <w:r>
        <w:t>a</w:t>
      </w:r>
      <w:r>
        <w:t>nente, en la que los derechos humanos formarán parte de las futuras actividades de capacitación del sector público. El Pacto se incluirá en esas actividades.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 respuesta a la pregunta acerca de la publicidad dada al Pacto en la isla, dice que el grado de publicidad alcanzado se explicó esa mañana en la contestación inicial a la pregunta. Como lo ha señalado su colega de Jersey, la asistencia al presente período de sesiones del Comité contribuirá a destacar la importancia del tema en la isla. Al regreso de la delegación se formularán preguntas, y el Pacto así como la labor del Comité a</w:t>
      </w:r>
      <w:r>
        <w:t>l</w:t>
      </w:r>
      <w:r>
        <w:t>canzarán una notoriedad sin precedentes. La Conve</w:t>
      </w:r>
      <w:r>
        <w:t>n</w:t>
      </w:r>
      <w:r>
        <w:t>ción Europea de Derechos Humanos se conoce muy bien en la isla, y el orador espera que en el futuro la Convención y el Pacto queden equiparados en la co</w:t>
      </w:r>
      <w:r>
        <w:t>n</w:t>
      </w:r>
      <w:r>
        <w:t>ciencia pública.</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El Sr. Wieruszewski y la Sra. Gaitán de Pombo</w:t>
      </w:r>
      <w:r>
        <w:rPr>
          <w:b/>
        </w:rPr>
        <w:t xml:space="preserve"> </w:t>
      </w:r>
      <w:r>
        <w:t>se</w:t>
      </w:r>
      <w:r>
        <w:rPr>
          <w:b/>
        </w:rPr>
        <w:t xml:space="preserve"> </w:t>
      </w:r>
      <w:r>
        <w:t>han interesado por la compilación del informe y han preguntado si hubo alguna aportación no gubername</w:t>
      </w:r>
      <w:r>
        <w:t>n</w:t>
      </w:r>
      <w:r>
        <w:t>tal. No hubo ninguna participación de fuera del G</w:t>
      </w:r>
      <w:r>
        <w:t>o</w:t>
      </w:r>
      <w:r>
        <w:t>bierno de la Isla de Man, pero el informe se puso a di</w:t>
      </w:r>
      <w:r>
        <w:t>s</w:t>
      </w:r>
      <w:r>
        <w:t>posición del público y no se han formulado observ</w:t>
      </w:r>
      <w:r>
        <w:t>a</w:t>
      </w:r>
      <w:r>
        <w:t>ciones contrarias a su contenido. Habida cuenta del p</w:t>
      </w:r>
      <w:r>
        <w:t>e</w:t>
      </w:r>
      <w:r>
        <w:t>queño tamaño de la jurisdicción —75.000 personas— resulta muy fácil tener acceso a cualquier persona con autoridad. Los medios de difusión son independientes, y es muy alta la proporción de representantes políticos respecto de la población. Todos los políticos son ind</w:t>
      </w:r>
      <w:r>
        <w:t>e</w:t>
      </w:r>
      <w:r>
        <w:t>pendientes, y no están ligados a líneas partidarias. Los electores tienen fácil acceso a todos ellos, y, en cons</w:t>
      </w:r>
      <w:r>
        <w:t>e</w:t>
      </w:r>
      <w:r>
        <w:t>cuencia, cualquier persona puede plantearles sin dif</w:t>
      </w:r>
      <w:r>
        <w:t>i</w:t>
      </w:r>
      <w:r>
        <w:t>cultad sus problemas, quejas o reclamaciones, o bien hacerlo públicamente por conducto de los tribunales, el proceso político o los medios de difusión. En cierto sentido, pues, el concepto de organización no gube</w:t>
      </w:r>
      <w:r>
        <w:t>r</w:t>
      </w:r>
      <w:r>
        <w:t>namental local es de escaso interés. Los habitantes pueden actuar en forma individual y directa ante el G</w:t>
      </w:r>
      <w:r>
        <w:t>o</w:t>
      </w:r>
      <w:r>
        <w:t>bierno y el Parlamento de la isla.</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Se han formulado preguntas sobre cuestiones ca</w:t>
      </w:r>
      <w:r>
        <w:t>r</w:t>
      </w:r>
      <w:r>
        <w:t>celarias. Los delincuentes jóvenes están siempre sep</w:t>
      </w:r>
      <w:r>
        <w:t>a</w:t>
      </w:r>
      <w:r>
        <w:t>rados de los adultos, y los menores también se manti</w:t>
      </w:r>
      <w:r>
        <w:t>e</w:t>
      </w:r>
      <w:r>
        <w:t>nen aparte, en la medida de lo posible, teniendo en cuenta las limitaciones del edificio existente. Hay a</w:t>
      </w:r>
      <w:r>
        <w:t>l</w:t>
      </w:r>
      <w:r>
        <w:t>gunas instalaciones comunes para las actividades de enseñanza, el culto religioso y las visitas. La cuestión del edificio tiene realmente mucho que ver con la pr</w:t>
      </w:r>
      <w:r>
        <w:t>e</w:t>
      </w:r>
      <w:r>
        <w:t>gunta del Sr. Scheinen sobre el Comité Europeo contra la Tortura, que visitó la cárcel en 1992. Es un viejísimo establecimiento situado en un emplazamiento de acceso restringido, y se mantiene un régimen lo más humano posible. Por cierto, en relación con otra serie de pr</w:t>
      </w:r>
      <w:r>
        <w:t>e</w:t>
      </w:r>
      <w:r>
        <w:t>guntas, el encarg</w:t>
      </w:r>
      <w:r>
        <w:t>a</w:t>
      </w:r>
      <w:r>
        <w:t>do de la cárcel es una mujer.</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 relación con el tema de la superpoblación, el número máximo de presos se ha reducido de 120 a 95, proporción de la que no cabe enorgullecerse, pero que es conforme a las sugerencias del Comité. Se ha con</w:t>
      </w:r>
      <w:r>
        <w:t>s</w:t>
      </w:r>
      <w:r>
        <w:t>truido en el predio de la cárcel, una nueva dependencia de reclusión, que en realidad constituye una de las mejores instalaciones de la prisión. Se aplica allí un nuevo régimen, que refleja las recomendaciones del Comité contra la Tortura. No obstante, la verdadera respuesta a todos esos problemas es una nueva prisión, para la cual ya se han formulado propuestas.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 última pregunta, formulada por el Sr. Yalden, se refiere al tema del ombudsman mediador. La cue</w:t>
      </w:r>
      <w:r>
        <w:t>s</w:t>
      </w:r>
      <w:r>
        <w:t>tión se planteó ya hace unos 10 años en el Parlamento de la Isla de Man, y un comité formuló recomendaci</w:t>
      </w:r>
      <w:r>
        <w:t>o</w:t>
      </w:r>
      <w:r>
        <w:t>nes contrarias a la idea de nombrar un ombudsman. La isla es demasiado pequeña, y las soluciones que ya ti</w:t>
      </w:r>
      <w:r>
        <w:t>e</w:t>
      </w:r>
      <w:r>
        <w:t>ne a su alcance la población gracias al fácil acceso al proceso político y a los representantes elegidos, es un sucedáneo más que adecuado. Tras ello, empero, se ha creado un cargo de mediador en el ámbito de las pe</w:t>
      </w:r>
      <w:r>
        <w:t>n</w:t>
      </w:r>
      <w:r>
        <w:t>siones, y se ha asumido el compromiso de designar otro para los servicios financieros. El Tynwald (Parlamento) ha establecido un comité encargado de examinar la cuestión de si sería apropiado nombrar un ombudsman general para la Isla de Man.</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El Sr. Klein</w:t>
      </w:r>
      <w:r>
        <w:t xml:space="preserve"> hace una breve pregunta conexa con la cuestión de la publicidad. ¿Tienen intención las aut</w:t>
      </w:r>
      <w:r>
        <w:t>o</w:t>
      </w:r>
      <w:r>
        <w:t>ridades competentes de publicar las observaciones f</w:t>
      </w:r>
      <w:r>
        <w:t>i</w:t>
      </w:r>
      <w:r>
        <w:t>nales que formule el Comité, y hay algún proced</w:t>
      </w:r>
      <w:r>
        <w:t>i</w:t>
      </w:r>
      <w:r>
        <w:t>miento oficial para tramitar esas observaci</w:t>
      </w:r>
      <w:r>
        <w:t>o</w:t>
      </w:r>
      <w:r>
        <w:t>nes?</w:t>
      </w:r>
    </w:p>
    <w:p w:rsidR="00000000" w:rsidRDefault="00000000">
      <w:pPr>
        <w:pStyle w:val="DualTxt"/>
        <w:numPr>
          <w:ilvl w:val="0"/>
          <w:numId w:val="7"/>
        </w:numPr>
        <w:tabs>
          <w:tab w:val="clear" w:pos="960"/>
          <w:tab w:val="left" w:pos="475"/>
          <w:tab w:val="left" w:pos="965"/>
        </w:tabs>
      </w:pPr>
      <w:r>
        <w:rPr>
          <w:b/>
        </w:rPr>
        <w:t>El Sr. de Pulford</w:t>
      </w:r>
      <w:r>
        <w:t xml:space="preserve"> (Reino Unido) confirma que las autoridades de la isla procurarán efectivamente h</w:t>
      </w:r>
      <w:r>
        <w:t>a</w:t>
      </w:r>
      <w:r>
        <w:t>cer públicas las conclusiones y recomendaciones del Comité. Actualmente no hay ningún procedimiento of</w:t>
      </w:r>
      <w:r>
        <w:t>i</w:t>
      </w:r>
      <w:r>
        <w:t>cial, habida cuenta del pequeño tamaño de la jurisdi</w:t>
      </w:r>
      <w:r>
        <w:t>c</w:t>
      </w:r>
      <w:r>
        <w:t>ción, pero las autoridades examinarán la manera más eficaz de poner en práctica las sugerencias que se fo</w:t>
      </w:r>
      <w:r>
        <w:t>r</w:t>
      </w:r>
      <w:r>
        <w:t>mulen.</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El Presidente</w:t>
      </w:r>
      <w:r>
        <w:t xml:space="preserve"> dice que la presencia de una a</w:t>
      </w:r>
      <w:r>
        <w:t>m</w:t>
      </w:r>
      <w:r>
        <w:t>plia y destacada delegación del Reino Unido y los t</w:t>
      </w:r>
      <w:r>
        <w:t>e</w:t>
      </w:r>
      <w:r>
        <w:t>rritorios dependientes de la Corona es un testimonio elocuente del compromiso del Gobierno del Reino Unido y de la población de las islas con los derechos humanos. Se ha celebrado un debate muy interesante y fructífero con respecto a la situación de los derechos humanos en los territorios. Subsisten unas pocas pre</w:t>
      </w:r>
      <w:r>
        <w:t>o</w:t>
      </w:r>
      <w:r>
        <w:t>cupaciones, que se recogerán en las observaciones f</w:t>
      </w:r>
      <w:r>
        <w:t>i</w:t>
      </w:r>
      <w:r>
        <w:t>nales del Comité. Entre esas preocupaciones figuran la no incorporación del Pacto al derecho interno de los t</w:t>
      </w:r>
      <w:r>
        <w:t>e</w:t>
      </w:r>
      <w:r>
        <w:t>rritorios insulares; la conveniencia de contar con un ombudsman para las cuestiones de derechos humanos; la persistencia del delito de blasfemia, que es una re</w:t>
      </w:r>
      <w:r>
        <w:t>s</w:t>
      </w:r>
      <w:r>
        <w:t>tricción a la libertad de palabra y expresión; y la nec</w:t>
      </w:r>
      <w:r>
        <w:t>e</w:t>
      </w:r>
      <w:r>
        <w:t>sidad de impartir formación a los jueces, abogados y funcionarios encargados de hacer cumplir la ley a fin de que conozcan las disposiciones del Pacto y su c</w:t>
      </w:r>
      <w:r>
        <w:t>a</w:t>
      </w:r>
      <w:r>
        <w:t>rácter obligatorio.</w:t>
      </w:r>
    </w:p>
    <w:p w:rsidR="00000000" w:rsidRDefault="00000000">
      <w:pPr>
        <w:pStyle w:val="DualTxt"/>
        <w:numPr>
          <w:ilvl w:val="0"/>
          <w:numId w:val="7"/>
        </w:numPr>
        <w:tabs>
          <w:tab w:val="clear" w:pos="960"/>
          <w:tab w:val="left" w:pos="475"/>
          <w:tab w:val="left" w:pos="965"/>
        </w:tabs>
      </w:pPr>
      <w:r>
        <w:t>Celebra los considerables progresos realizados en lo tocante a la situación de los derechos humanos en las islas y el hecho de que se esté considerando la posibil</w:t>
      </w:r>
      <w:r>
        <w:t>i</w:t>
      </w:r>
      <w:r>
        <w:t>dad de sancionar leyes sobre la igualdad entre los gén</w:t>
      </w:r>
      <w:r>
        <w:t>e</w:t>
      </w:r>
      <w:r>
        <w:t>ros. Se pregunta si existe algún mecanismo de examen periódico de la situación a ese respecto, y también si en las escuelas financiadas con fondos públicos se ofrecen instrucción religiosa y oportunidades de culto a los miembros de religiones minoritarias como el judaísmo y el islam, al igual que a los cristianos. Por último, f</w:t>
      </w:r>
      <w:r>
        <w:t>e</w:t>
      </w:r>
      <w:r>
        <w:t>licita a la delegación del Reino Unido por la alta cal</w:t>
      </w:r>
      <w:r>
        <w:t>i</w:t>
      </w:r>
      <w:r>
        <w:t>dad de las exposiciones realizadas.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El Sr. de Pulford</w:t>
      </w:r>
      <w:r>
        <w:t xml:space="preserve"> (Reino Unido) expresa el agr</w:t>
      </w:r>
      <w:r>
        <w:t>a</w:t>
      </w:r>
      <w:r>
        <w:t>decimiento de su delegación por haber tenido la opo</w:t>
      </w:r>
      <w:r>
        <w:t>r</w:t>
      </w:r>
      <w:r>
        <w:t>tunidad de examinar con el Comité la situación de los derechos humanos en los territorios dependientes de la Corona. Ese examen es casi tan importante como la í</w:t>
      </w:r>
      <w:r>
        <w:t>n</w:t>
      </w:r>
      <w:r>
        <w:t>dole de las preguntas que se han formulado. El estudio de esas preguntas en el marco del proceso democrático favorecerá ciertamente las reformas en curso y dará frutos muy valiosos en los próximos años.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rPr>
          <w:i/>
        </w:rPr>
      </w:pPr>
      <w:r>
        <w:rPr>
          <w:i/>
        </w:rPr>
        <w:t>La delegación del Reino Unido se retira.</w:t>
      </w:r>
    </w:p>
    <w:p w:rsidR="00000000" w:rsidRDefault="00000000">
      <w:pPr>
        <w:pStyle w:val="DualTxt"/>
        <w:rPr>
          <w:i/>
        </w:rPr>
      </w:pPr>
      <w:r>
        <w:rPr>
          <w:i/>
        </w:rPr>
        <w:t>Se suspende la sesión a las 16.45 horas y se reanuda a las 17.00 horas.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rPr>
          <w:i/>
          <w:spacing w:val="2"/>
          <w:w w:val="101"/>
        </w:rPr>
      </w:pPr>
      <w:r>
        <w:rPr>
          <w:i/>
          <w:spacing w:val="2"/>
          <w:w w:val="101"/>
        </w:rPr>
        <w:t>La Sra. Evatt, Vicepresidenta, ocupa la Preside</w:t>
      </w:r>
      <w:r>
        <w:rPr>
          <w:i/>
          <w:spacing w:val="2"/>
          <w:w w:val="101"/>
        </w:rPr>
        <w:t>n</w:t>
      </w:r>
      <w:r>
        <w:rPr>
          <w:i/>
          <w:spacing w:val="2"/>
          <w:w w:val="101"/>
        </w:rPr>
        <w:t>cia.</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pPr>
      <w:r>
        <w:rPr>
          <w:b/>
          <w:spacing w:val="2"/>
        </w:rPr>
        <w:t>Observaciones generales del Comité</w:t>
      </w:r>
      <w:r>
        <w:t xml:space="preserve"> (</w:t>
      </w:r>
      <w:r>
        <w:rPr>
          <w:i/>
        </w:rPr>
        <w:t>continu</w:t>
      </w:r>
      <w:r>
        <w:rPr>
          <w:i/>
        </w:rPr>
        <w:t>a</w:t>
      </w:r>
      <w:r>
        <w:rPr>
          <w:i/>
        </w:rPr>
        <w:t>ción</w:t>
      </w:r>
      <w:r>
        <w:t>)</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Proyecto de observación general sobre el artículo 3 del Pacto (continu</w:t>
      </w:r>
      <w:r>
        <w:t>a</w:t>
      </w:r>
      <w:r>
        <w:t>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Párrafo 10</w:t>
      </w:r>
    </w:p>
    <w:p w:rsidR="00000000" w:rsidRDefault="00000000">
      <w:pPr>
        <w:pStyle w:val="DualTxt"/>
        <w:spacing w:after="0" w:line="120" w:lineRule="exact"/>
        <w:rPr>
          <w:sz w:val="10"/>
        </w:rPr>
      </w:pPr>
    </w:p>
    <w:p w:rsidR="00000000" w:rsidRDefault="00000000">
      <w:pPr>
        <w:pStyle w:val="DualTxt"/>
        <w:numPr>
          <w:ilvl w:val="0"/>
          <w:numId w:val="14"/>
        </w:numPr>
        <w:tabs>
          <w:tab w:val="clear" w:pos="960"/>
          <w:tab w:val="left" w:pos="965"/>
          <w:tab w:val="left" w:pos="1440"/>
          <w:tab w:val="left" w:pos="1915"/>
          <w:tab w:val="left" w:pos="2405"/>
          <w:tab w:val="left" w:pos="2880"/>
          <w:tab w:val="left" w:pos="3355"/>
        </w:tabs>
      </w:pPr>
      <w:r>
        <w:rPr>
          <w:b/>
        </w:rPr>
        <w:t>La Presidenta</w:t>
      </w:r>
      <w:r>
        <w:t>, refiriéndose al párrafo 10 del proyecto, dice que el Sr. Kretzmer le ha pedido que comunique al Comité su deseo de que se haga una pr</w:t>
      </w:r>
      <w:r>
        <w:t>e</w:t>
      </w:r>
      <w:r>
        <w:t>gunta adicional a los Estados, a saber, si la práctica de la mutilación genital femenina existe en su territorio, y en qué med</w:t>
      </w:r>
      <w:r>
        <w:t>i</w:t>
      </w:r>
      <w:r>
        <w:t>da.</w:t>
      </w:r>
    </w:p>
    <w:p w:rsidR="00000000" w:rsidRDefault="00000000">
      <w:pPr>
        <w:pStyle w:val="DualTxt"/>
        <w:numPr>
          <w:ilvl w:val="0"/>
          <w:numId w:val="14"/>
        </w:numPr>
        <w:tabs>
          <w:tab w:val="clear" w:pos="960"/>
          <w:tab w:val="left" w:pos="965"/>
          <w:tab w:val="left" w:pos="1440"/>
          <w:tab w:val="left" w:pos="1915"/>
          <w:tab w:val="left" w:pos="2405"/>
          <w:tab w:val="left" w:pos="2880"/>
          <w:tab w:val="left" w:pos="3355"/>
        </w:tabs>
      </w:pPr>
      <w:r>
        <w:rPr>
          <w:b/>
        </w:rPr>
        <w:t>El Sr. Amor</w:t>
      </w:r>
      <w:r>
        <w:t xml:space="preserve"> dice que esa pregunta sólo deberá formularse cuando el Comité tenga motivos para creer que tal práctica existe en el Estado de que se trate. Además, no ve claro cuál es la relación entre el artículo 7, mencionado al comienzo de la primera oración del párrafo 10, y los problemas de violencia doméstica, violación y prostitución mencionados más adelante en la oración.</w:t>
      </w:r>
    </w:p>
    <w:p w:rsidR="00000000" w:rsidRDefault="00000000">
      <w:pPr>
        <w:pStyle w:val="DualTxt"/>
        <w:numPr>
          <w:ilvl w:val="0"/>
          <w:numId w:val="14"/>
        </w:numPr>
        <w:tabs>
          <w:tab w:val="clear" w:pos="960"/>
          <w:tab w:val="left" w:pos="965"/>
          <w:tab w:val="left" w:pos="1440"/>
          <w:tab w:val="left" w:pos="1915"/>
          <w:tab w:val="left" w:pos="2405"/>
          <w:tab w:val="left" w:pos="2880"/>
          <w:tab w:val="left" w:pos="3355"/>
        </w:tabs>
      </w:pPr>
      <w:r>
        <w:rPr>
          <w:b/>
        </w:rPr>
        <w:t>La Presidenta</w:t>
      </w:r>
      <w:r>
        <w:t xml:space="preserve"> dice que en varias ocasiones el Comité ha tratado esos problemas en relación con el artículo 7, para considerar que suponen un trato inh</w:t>
      </w:r>
      <w:r>
        <w:t>u</w:t>
      </w:r>
      <w:r>
        <w:t>mano o degradante de la mujer. Cuando esas prácticas son generalizadas, es responsabilidad del Estado apl</w:t>
      </w:r>
      <w:r>
        <w:t>i</w:t>
      </w:r>
      <w:r>
        <w:t>car medidas para proteger a las mujeres. Además, dado que en muchos casos esas prácticas afectan a mujeres menores de 18 años, se aplica también el art</w:t>
      </w:r>
      <w:r>
        <w:t>í</w:t>
      </w:r>
      <w:r>
        <w:t>culo 24.</w:t>
      </w:r>
    </w:p>
    <w:p w:rsidR="00000000" w:rsidRDefault="00000000">
      <w:pPr>
        <w:pStyle w:val="DualTxt"/>
        <w:numPr>
          <w:ilvl w:val="0"/>
          <w:numId w:val="14"/>
        </w:numPr>
        <w:tabs>
          <w:tab w:val="clear" w:pos="960"/>
          <w:tab w:val="left" w:pos="965"/>
          <w:tab w:val="left" w:pos="1440"/>
          <w:tab w:val="left" w:pos="1915"/>
          <w:tab w:val="left" w:pos="2405"/>
          <w:tab w:val="left" w:pos="2880"/>
          <w:tab w:val="left" w:pos="3355"/>
        </w:tabs>
      </w:pPr>
      <w:r>
        <w:rPr>
          <w:b/>
        </w:rPr>
        <w:t>El Sr. Klein</w:t>
      </w:r>
      <w:r>
        <w:t xml:space="preserve"> está de acuerdo en que esos probl</w:t>
      </w:r>
      <w:r>
        <w:t>e</w:t>
      </w:r>
      <w:r>
        <w:t>mas deben tratarse en relación con el artículo 7.</w:t>
      </w:r>
    </w:p>
    <w:p w:rsidR="00000000" w:rsidRDefault="00000000">
      <w:pPr>
        <w:pStyle w:val="DualTxt"/>
        <w:numPr>
          <w:ilvl w:val="0"/>
          <w:numId w:val="14"/>
        </w:numPr>
        <w:tabs>
          <w:tab w:val="clear" w:pos="960"/>
          <w:tab w:val="left" w:pos="965"/>
          <w:tab w:val="left" w:pos="1440"/>
          <w:tab w:val="left" w:pos="1915"/>
          <w:tab w:val="left" w:pos="2405"/>
          <w:tab w:val="left" w:pos="2880"/>
          <w:tab w:val="left" w:pos="3355"/>
        </w:tabs>
      </w:pPr>
      <w:r>
        <w:rPr>
          <w:b/>
        </w:rPr>
        <w:t>El Sr. Ando</w:t>
      </w:r>
      <w:r>
        <w:t xml:space="preserve"> dice que debe quedar claro que los Estados Partes en el Pacto tienen la obligación de i</w:t>
      </w:r>
      <w:r>
        <w:t>n</w:t>
      </w:r>
      <w:r>
        <w:t>formar sobre la medida en que esas formas de violencia existen en su territorio y sobre la legislación para pr</w:t>
      </w:r>
      <w:r>
        <w:t>e</w:t>
      </w:r>
      <w:r>
        <w:t>venirlas y castigarlas.</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rPr>
          <w:b/>
        </w:rPr>
        <w:t>El Sr. Amor</w:t>
      </w:r>
      <w:r>
        <w:t xml:space="preserve"> dice que si bien la prostitución pu</w:t>
      </w:r>
      <w:r>
        <w:t>e</w:t>
      </w:r>
      <w:r>
        <w:t>de implicar una forma de coacción o de esclavitud, en caso de lo cual se aplica el artículo 7, la prostitución en sí misma puede ser resultado de las condiciones ec</w:t>
      </w:r>
      <w:r>
        <w:t>o</w:t>
      </w:r>
      <w:r>
        <w:t>nómicas y sociales, caso éste en el que la prostituta no sufre necesariamente un trato cruel y d</w:t>
      </w:r>
      <w:r>
        <w:t>e</w:t>
      </w:r>
      <w:r>
        <w:t>gradante.</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rPr>
          <w:b/>
        </w:rPr>
        <w:t>La Sra. Chanet</w:t>
      </w:r>
      <w:r>
        <w:t xml:space="preserve"> propone que no se mencione la prostitución en el párrafo 10, pero que la cuestión de la prostitución infantil se mencione en el párrafo 23, en rel</w:t>
      </w:r>
      <w:r>
        <w:t>a</w:t>
      </w:r>
      <w:r>
        <w:t>ción con el artículo 24.</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rPr>
          <w:b/>
        </w:rPr>
        <w:t>La Presidenta</w:t>
      </w:r>
      <w:r>
        <w:t xml:space="preserve"> dice que se suprimirá la referencia a la prostitución y se añadirá la referencia a la mutil</w:t>
      </w:r>
      <w:r>
        <w:t>a</w:t>
      </w:r>
      <w:r>
        <w:t>ción genital femenina sugerida por el Sr. Kretzmer.</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Párrafo 11</w:t>
      </w:r>
    </w:p>
    <w:p w:rsidR="00000000" w:rsidRDefault="00000000">
      <w:pPr>
        <w:pStyle w:val="DualTxt"/>
        <w:spacing w:after="0" w:line="120" w:lineRule="exact"/>
        <w:rPr>
          <w:sz w:val="10"/>
        </w:rPr>
      </w:pP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rPr>
          <w:b/>
        </w:rPr>
        <w:t>El Sr. Klein</w:t>
      </w:r>
      <w:r>
        <w:t xml:space="preserve"> dice que el final de la última oración del párrafo 11 debería decir “los Estados en que son r</w:t>
      </w:r>
      <w:r>
        <w:t>e</w:t>
      </w:r>
      <w:r>
        <w:t>cibidas” en vez de “los Estados que las reciben”.</w:t>
      </w:r>
    </w:p>
    <w:p w:rsidR="00000000" w:rsidRDefault="00000000">
      <w:pPr>
        <w:pStyle w:val="DualTxt"/>
        <w:numPr>
          <w:ilvl w:val="0"/>
          <w:numId w:val="16"/>
        </w:numPr>
        <w:tabs>
          <w:tab w:val="clear" w:pos="960"/>
          <w:tab w:val="left" w:pos="965"/>
        </w:tabs>
      </w:pPr>
      <w:r>
        <w:rPr>
          <w:b/>
        </w:rPr>
        <w:t>El Sr. Amor</w:t>
      </w:r>
      <w:r>
        <w:t xml:space="preserve"> propone que se suprima la última oración, porque suele haber complicidad entre el Est</w:t>
      </w:r>
      <w:r>
        <w:t>a</w:t>
      </w:r>
      <w:r>
        <w:t>do receptor y el Estado de origen. Lamentablemente, la cooperación entre los dos Estados intervinientes a m</w:t>
      </w:r>
      <w:r>
        <w:t>e</w:t>
      </w:r>
      <w:r>
        <w:t>nudo tienen por objeto ocultar i</w:t>
      </w:r>
      <w:r>
        <w:t>n</w:t>
      </w:r>
      <w:r>
        <w:t>formación.</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La Presidenta</w:t>
      </w:r>
      <w:r>
        <w:t xml:space="preserve"> dice que se supone que la refere</w:t>
      </w:r>
      <w:r>
        <w:t>n</w:t>
      </w:r>
      <w:r>
        <w:t>cia a la “cooperación” alude a medidas positivas enc</w:t>
      </w:r>
      <w:r>
        <w:t>a</w:t>
      </w:r>
      <w:r>
        <w:t>minadas a prevenir que se vulneren los derechos de las mujeres.</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El Sr. Zakhia</w:t>
      </w:r>
      <w:r>
        <w:t xml:space="preserve"> señala que la primera oración se refiere a la trata de mujeres y niños, y dice que la s</w:t>
      </w:r>
      <w:r>
        <w:t>e</w:t>
      </w:r>
      <w:r>
        <w:t>gunda debería referirse también a los niños así como a las muj</w:t>
      </w:r>
      <w:r>
        <w:t>e</w:t>
      </w:r>
      <w:r>
        <w:t>res.</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La Sra. Gaitán de Pombo</w:t>
      </w:r>
      <w:r>
        <w:t xml:space="preserve"> se refiere a la segunda oración y dice que el proyecto debería modificarse para que reflejara el hecho de que la esclavitud encubierta a menudo adopta la forma de otros tipos de empleo, y no sólo el empleo en el serv</w:t>
      </w:r>
      <w:r>
        <w:t>i</w:t>
      </w:r>
      <w:r>
        <w:t>cio doméstico.</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El Sr. Solari Yrigoyen</w:t>
      </w:r>
      <w:r>
        <w:t xml:space="preserve"> comparte la preocupación de la Sra. Gaitán de Pombo. Los ejemplos dados no d</w:t>
      </w:r>
      <w:r>
        <w:t>e</w:t>
      </w:r>
      <w:r>
        <w:t>berían limitarse al servicio doméstico. El párrafo deb</w:t>
      </w:r>
      <w:r>
        <w:t>e</w:t>
      </w:r>
      <w:r>
        <w:t>ría referirse a “ciertos tipos de servicios”. Además, en la versión española, donde dice “entre otras cosas”, d</w:t>
      </w:r>
      <w:r>
        <w:t>e</w:t>
      </w:r>
      <w:r>
        <w:t>bería decir “entre otras causas”.</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rPr>
          <w:spacing w:val="0"/>
        </w:rPr>
      </w:pPr>
      <w:r>
        <w:rPr>
          <w:b/>
          <w:spacing w:val="0"/>
        </w:rPr>
        <w:t>La Presidenta</w:t>
      </w:r>
      <w:r>
        <w:rPr>
          <w:spacing w:val="0"/>
        </w:rPr>
        <w:t xml:space="preserve"> pregunta si la oración “servicio d</w:t>
      </w:r>
      <w:r>
        <w:rPr>
          <w:spacing w:val="0"/>
        </w:rPr>
        <w:t>o</w:t>
      </w:r>
      <w:r>
        <w:rPr>
          <w:spacing w:val="0"/>
        </w:rPr>
        <w:t>méstico u otras clases de servicio personal” es ace</w:t>
      </w:r>
      <w:r>
        <w:rPr>
          <w:spacing w:val="0"/>
        </w:rPr>
        <w:t>p</w:t>
      </w:r>
      <w:r>
        <w:rPr>
          <w:spacing w:val="0"/>
        </w:rPr>
        <w:t>table.</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La Sra. Gaitán de Pombo</w:t>
      </w:r>
      <w:r>
        <w:t xml:space="preserve"> dice que lo que tiene presente no es sólo el servicio doméstico sino otras cl</w:t>
      </w:r>
      <w:r>
        <w:t>a</w:t>
      </w:r>
      <w:r>
        <w:t>ses de contratos laborales ficticios que equivalen a condiciones de esclavitud.</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La Presidenta</w:t>
      </w:r>
      <w:r>
        <w:t xml:space="preserve"> dice que la oración “encubierta entre otras cosas en otras formas de servicios person</w:t>
      </w:r>
      <w:r>
        <w:t>a</w:t>
      </w:r>
      <w:r>
        <w:t>les” podría abarcar las preocupaciones expr</w:t>
      </w:r>
      <w:r>
        <w:t>e</w:t>
      </w:r>
      <w:r>
        <w:t>sadas.</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El Sr. Amor</w:t>
      </w:r>
      <w:r>
        <w:t xml:space="preserve"> sugiere la frase “ciertos servicios o ciertas prestaciones de servicios”. Lo importante es que los Estados de que se trate se hagan responsables de las personas bajo jurisdicción y no tengan posibilidad de soslayar esa responsabilidad con la excusa de la coop</w:t>
      </w:r>
      <w:r>
        <w:t>e</w:t>
      </w:r>
      <w:r>
        <w:t>ración con otros Estados. Si no se suprime la última oración, podría enunciarse de la siguiente manera: “En todas estas situaciones, se deberá proporcionar info</w:t>
      </w:r>
      <w:r>
        <w:t>r</w:t>
      </w:r>
      <w:r>
        <w:t>mación sobre las medidas adoptadas por los Estados, por sí solos o en cooperación con otros Estados, para co</w:t>
      </w:r>
      <w:r>
        <w:t>m</w:t>
      </w:r>
      <w:r>
        <w:t>batir esos fenómenos”.</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El Sr. Ando</w:t>
      </w:r>
      <w:r>
        <w:t xml:space="preserve"> propone que la última oración se vuelva a redactar como sigue: “En todas estas situaci</w:t>
      </w:r>
      <w:r>
        <w:t>o</w:t>
      </w:r>
      <w:r>
        <w:t>nes, los Estados Partes también deberán proporcionar información sobre las medidas, nacionales e intern</w:t>
      </w:r>
      <w:r>
        <w:t>a</w:t>
      </w:r>
      <w:r>
        <w:t>cionales, adoptadas para prevenir esos fen</w:t>
      </w:r>
      <w:r>
        <w:t>ó</w:t>
      </w:r>
      <w:r>
        <w:t>menos.</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La Presidenta</w:t>
      </w:r>
      <w:r>
        <w:t xml:space="preserve"> dice que las palabras finales deb</w:t>
      </w:r>
      <w:r>
        <w:t>e</w:t>
      </w:r>
      <w:r>
        <w:t>rían ser “para prot</w:t>
      </w:r>
      <w:r>
        <w:t>e</w:t>
      </w:r>
      <w:r>
        <w:t>ger los derechos de las mujeres”.</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El Sr. Bhagwati</w:t>
      </w:r>
      <w:r>
        <w:t xml:space="preserve"> propone que el párrafo vuelva a redactarse de la siguiente manera, comenzando por la segunda oración: “... para proteger a las mujeres, i</w:t>
      </w:r>
      <w:r>
        <w:t>n</w:t>
      </w:r>
      <w:r>
        <w:t>cluidas las mujeres y los niños extranjeros, de la escl</w:t>
      </w:r>
      <w:r>
        <w:t>a</w:t>
      </w:r>
      <w:r>
        <w:t>vitud encubierta en ciertas formas de servicios. En t</w:t>
      </w:r>
      <w:r>
        <w:t>o</w:t>
      </w:r>
      <w:r>
        <w:t>das esas situaciones, deberá proporcionarse inform</w:t>
      </w:r>
      <w:r>
        <w:t>a</w:t>
      </w:r>
      <w:r>
        <w:t>ción sobre las medidas adoptadas por los Estados en que se recluta a las mujeres y los Estados que las rec</w:t>
      </w:r>
      <w:r>
        <w:t>i</w:t>
      </w:r>
      <w:r>
        <w:t>ben, a fin de proteger los derechos de las mujeres”. Ambos Est</w:t>
      </w:r>
      <w:r>
        <w:t>a</w:t>
      </w:r>
      <w:r>
        <w:t>dos deben asumir su responsabilidad.</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La Presidenta</w:t>
      </w:r>
      <w:r>
        <w:t xml:space="preserve"> propone que la última oración d</w:t>
      </w:r>
      <w:r>
        <w:t>i</w:t>
      </w:r>
      <w:r>
        <w:t>ga lo siguiente: “En todas estas situaciones, los Estados en que se recluta a las mujeres y los Estados en que son recibidas deberán proporcionar información sobre las medidas que hayan adoptado, tanto en el plano naci</w:t>
      </w:r>
      <w:r>
        <w:t>o</w:t>
      </w:r>
      <w:r>
        <w:t>nal como en el internacional, para proteger los der</w:t>
      </w:r>
      <w:r>
        <w:t>e</w:t>
      </w:r>
      <w:r>
        <w:t>chos de las mujeres”. De esta manera se centrará la atención en las medidas adoptadas por ambos Estados en todos los planos.</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t>Sigue creyendo que es necesario mantener el co</w:t>
      </w:r>
      <w:r>
        <w:t>n</w:t>
      </w:r>
      <w:r>
        <w:t>cepto de servicio doméstico, así como el de otras fo</w:t>
      </w:r>
      <w:r>
        <w:t>r</w:t>
      </w:r>
      <w:r>
        <w:t>mas de servicio, en la segunda oración, porque ése es uno de los puntos principales. Como en la oración fig</w:t>
      </w:r>
      <w:r>
        <w:t>u</w:t>
      </w:r>
      <w:r>
        <w:t>ran las palabras “entre otras cosas”, sería redundante añadir “otras formas de servicios”.</w:t>
      </w:r>
    </w:p>
    <w:p w:rsidR="00000000" w:rsidRDefault="00000000">
      <w:pPr>
        <w:pStyle w:val="DualTxt"/>
        <w:numPr>
          <w:ilvl w:val="0"/>
          <w:numId w:val="16"/>
        </w:numPr>
        <w:tabs>
          <w:tab w:val="clear" w:pos="960"/>
          <w:tab w:val="left" w:pos="965"/>
        </w:tabs>
      </w:pPr>
      <w:r>
        <w:t>Es necesario repetir la referencia a los niños, c</w:t>
      </w:r>
      <w:r>
        <w:t>o</w:t>
      </w:r>
      <w:r>
        <w:t>mo lo ha sugerido el Sr. Z</w:t>
      </w:r>
      <w:r>
        <w:t>a</w:t>
      </w:r>
      <w:r>
        <w:t>khia.</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Párrafo 12</w:t>
      </w:r>
    </w:p>
    <w:p w:rsidR="00000000" w:rsidRDefault="00000000">
      <w:pPr>
        <w:pStyle w:val="DualTxt"/>
        <w:spacing w:after="0" w:line="120" w:lineRule="exact"/>
        <w:rPr>
          <w:sz w:val="10"/>
        </w:rPr>
      </w:pP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La Sra. Chanet</w:t>
      </w:r>
      <w:r>
        <w:t xml:space="preserve"> dice que tiene muchas dificult</w:t>
      </w:r>
      <w:r>
        <w:t>a</w:t>
      </w:r>
      <w:r>
        <w:t>des con el párrafo. Si bien lo que se pretende es hacer referencia al artículo 9, el texto contiene tal amalgama de ideas que se acaba por oscurecer su relación con el artículo 9.</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t>Al comienzo del párrafo se declara que el artíc</w:t>
      </w:r>
      <w:r>
        <w:t>u</w:t>
      </w:r>
      <w:r>
        <w:t>lo 9 prohíbe la privación de libertad arbitraria o ilegal, y luego se pasa a una exposición acerca de la libe</w:t>
      </w:r>
      <w:r>
        <w:t>r</w:t>
      </w:r>
      <w:r>
        <w:t>tad de circulación y otros derechos. La libertad de ci</w:t>
      </w:r>
      <w:r>
        <w:t>r</w:t>
      </w:r>
      <w:r>
        <w:t>culación corresponde al artículo 12, y se le debe ded</w:t>
      </w:r>
      <w:r>
        <w:t>i</w:t>
      </w:r>
      <w:r>
        <w:t>car un párrafo concreto, que se ha de insertar entre los párr</w:t>
      </w:r>
      <w:r>
        <w:t>a</w:t>
      </w:r>
      <w:r>
        <w:t>fos 13 y 14.</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t>Las prescripciones sobre la forma de vestir no tienen nada que ver con el artículo 9 ni con el artíc</w:t>
      </w:r>
      <w:r>
        <w:t>u</w:t>
      </w:r>
      <w:r>
        <w:t>lo 12; corresponden al artículo 17. Si el párrafo se r</w:t>
      </w:r>
      <w:r>
        <w:t>e</w:t>
      </w:r>
      <w:r>
        <w:t>fiere a las detenciones realizadas por el sólo motivo de incumplimiento de ciertas prescripciones sobre la fo</w:t>
      </w:r>
      <w:r>
        <w:t>r</w:t>
      </w:r>
      <w:r>
        <w:t>ma de vestir, ello representa una refundición de der</w:t>
      </w:r>
      <w:r>
        <w:t>e</w:t>
      </w:r>
      <w:r>
        <w:t>cho sustantivo y proced</w:t>
      </w:r>
      <w:r>
        <w:t>i</w:t>
      </w:r>
      <w:r>
        <w:t>miento.</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t>La oradora propone que el párrafo referente al a</w:t>
      </w:r>
      <w:r>
        <w:t>r</w:t>
      </w:r>
      <w:r>
        <w:t>tículo 9 se vuelva a redactar de la siguiente manera: “La prohibición de la privación de libertad arbitraria o ilegal conforme al artículo 9 exige que el Comité ex</w:t>
      </w:r>
      <w:r>
        <w:t>a</w:t>
      </w:r>
      <w:r>
        <w:t>mine si las leyes y prácticas de los Estados protegen esos derechos en igualdad de condiciones por lo que respecta a las mujeres. Los Estados deberán proporci</w:t>
      </w:r>
      <w:r>
        <w:t>o</w:t>
      </w:r>
      <w:r>
        <w:t>nar información sobre toda disposición jurídica o toda práctica que restrinja e</w:t>
      </w:r>
      <w:r>
        <w:t>s</w:t>
      </w:r>
      <w:r>
        <w:t>tos derechos”.</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t>Se debería redactar un párrafo aparte sobre el a</w:t>
      </w:r>
      <w:r>
        <w:t>r</w:t>
      </w:r>
      <w:r>
        <w:t>tículo 12, consistente en la segunda oración del párrafo actual, suprimiendo la oración “prescripciones estrictas en materia de vestimenta de la mujer en lugares públ</w:t>
      </w:r>
      <w:r>
        <w:t>i</w:t>
      </w:r>
      <w:r>
        <w:t>cos”. Esa oración, a su vez, debería colocarse en un p</w:t>
      </w:r>
      <w:r>
        <w:t>á</w:t>
      </w:r>
      <w:r>
        <w:t>rrafo r</w:t>
      </w:r>
      <w:r>
        <w:t>e</w:t>
      </w:r>
      <w:r>
        <w:t>ferente al ejercicio de la libertad personal.</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La Presidenta</w:t>
      </w:r>
      <w:r>
        <w:t xml:space="preserve"> señala que si las autoridades de un Estado utilizan sus legítimas potestades de detención para detener a mujeres por el solo hecho de que no han cumplido las prescripciones en materia de vestimenta, se trataría de una detención no justificada. Cree que en el Sudán ha habido casos de mujeres que han sido ll</w:t>
      </w:r>
      <w:r>
        <w:t>e</w:t>
      </w:r>
      <w:r>
        <w:t>vadas ante un magistrado y detenidas a causa de su vestimenta. Esto podría ser un asunto relacionado con el artículo 9.</w:t>
      </w:r>
    </w:p>
    <w:p w:rsidR="00000000" w:rsidRDefault="00000000">
      <w:pPr>
        <w:pStyle w:val="DualTxt"/>
        <w:numPr>
          <w:ilvl w:val="0"/>
          <w:numId w:val="16"/>
        </w:numPr>
        <w:tabs>
          <w:tab w:val="clear" w:pos="960"/>
          <w:tab w:val="left" w:pos="965"/>
        </w:tabs>
      </w:pPr>
      <w:r>
        <w:rPr>
          <w:b/>
          <w:spacing w:val="2"/>
          <w:w w:val="101"/>
        </w:rPr>
        <w:t>El Sr. Klein</w:t>
      </w:r>
      <w:r>
        <w:rPr>
          <w:spacing w:val="2"/>
          <w:w w:val="101"/>
        </w:rPr>
        <w:t xml:space="preserve"> dice que, en sustancia, la Sra. Chanet tiene razón. Si bien en su comentario general sobre el a</w:t>
      </w:r>
      <w:r>
        <w:rPr>
          <w:spacing w:val="2"/>
          <w:w w:val="101"/>
        </w:rPr>
        <w:t>r</w:t>
      </w:r>
      <w:r>
        <w:rPr>
          <w:spacing w:val="2"/>
          <w:w w:val="101"/>
        </w:rPr>
        <w:t>tículo 12, el Comité señaló que el artículo 9 y el artículo 12 a veces podían aplicarse juntos, sería mejor separar las dos cuestiones. El párrafo 13 podría ser el mejor lugar p</w:t>
      </w:r>
      <w:r>
        <w:rPr>
          <w:spacing w:val="2"/>
          <w:w w:val="101"/>
        </w:rPr>
        <w:t>a</w:t>
      </w:r>
      <w:r>
        <w:rPr>
          <w:spacing w:val="2"/>
          <w:w w:val="101"/>
        </w:rPr>
        <w:t>ra abordar el artículo 9. El Comité podría tratar a cont</w:t>
      </w:r>
      <w:r>
        <w:rPr>
          <w:spacing w:val="2"/>
          <w:w w:val="101"/>
        </w:rPr>
        <w:t>i</w:t>
      </w:r>
      <w:r>
        <w:rPr>
          <w:spacing w:val="2"/>
          <w:w w:val="101"/>
        </w:rPr>
        <w:t>nuación las cuestiones relativas al artículo 12</w:t>
      </w:r>
      <w:r>
        <w:t>.</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El Sr. Amor</w:t>
      </w:r>
      <w:r>
        <w:t xml:space="preserve"> está de acuerdo con la Sra. Chanet en que en el párrafo se abordan tres asuntos que deb</w:t>
      </w:r>
      <w:r>
        <w:t>e</w:t>
      </w:r>
      <w:r>
        <w:t>rían tratarse por s</w:t>
      </w:r>
      <w:r>
        <w:t>e</w:t>
      </w:r>
      <w:r>
        <w:t>parado.</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t>En primer lugar, el artículo 9, que prohíbe la pr</w:t>
      </w:r>
      <w:r>
        <w:t>i</w:t>
      </w:r>
      <w:r>
        <w:t>vación arbitraria de libertad, se aplica igualmente a hombres y mujeres, pero hay aspectos especiales rel</w:t>
      </w:r>
      <w:r>
        <w:t>a</w:t>
      </w:r>
      <w:r>
        <w:t>tivos a las mujeres, a saber, que éstas son privadas de su libertad en forma arbitraria o ilegal a causa de su vestimenta, o porque en ciertos países no se les permite salir de su casa sin permiso. En otros tiempos, las e</w:t>
      </w:r>
      <w:r>
        <w:t>s</w:t>
      </w:r>
      <w:r>
        <w:t>posas desobedientes, incluso se enviaban a los así ll</w:t>
      </w:r>
      <w:r>
        <w:t>a</w:t>
      </w:r>
      <w:r>
        <w:t>mados centros de reeducación. Esas situaciones se d</w:t>
      </w:r>
      <w:r>
        <w:t>e</w:t>
      </w:r>
      <w:r>
        <w:t>ben condenar enérgicamente, y se debe pedir a los E</w:t>
      </w:r>
      <w:r>
        <w:t>s</w:t>
      </w:r>
      <w:r>
        <w:t>tados que proporcionen información al re</w:t>
      </w:r>
      <w:r>
        <w:t>s</w:t>
      </w:r>
      <w:r>
        <w:t>pecto.</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t>En segundo lugar, en relación con el artículo 12, hay cuestiones concretas referentes a la libertad de ci</w:t>
      </w:r>
      <w:r>
        <w:t>r</w:t>
      </w:r>
      <w:r>
        <w:t>culación de las mujeres, como la emisión de pasaportes y la prohibición impuesta a las mujeres en algunos pa</w:t>
      </w:r>
      <w:r>
        <w:t>í</w:t>
      </w:r>
      <w:r>
        <w:t>ses de viajar al extranjero por su cuenta.</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t>En tercer lugar, en relación con el artículo 17, se plantea la cuestión de las prescripciones en materia de vestimenta.</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El Sr. Scheinin</w:t>
      </w:r>
      <w:r>
        <w:t xml:space="preserve"> dice que las cuestiones tratadas en el párrafo corresponden al artículo 12. Recuerda que en el examen por el Comité de ciertos informes de pa</w:t>
      </w:r>
      <w:r>
        <w:t>í</w:t>
      </w:r>
      <w:r>
        <w:t>ses, hubo algún desacuerdo en cuanto a la clasificación de determinadas cuestiones. En su opinión, el confin</w:t>
      </w:r>
      <w:r>
        <w:t>a</w:t>
      </w:r>
      <w:r>
        <w:t>miento en el hogar es una restricción impuesta a la l</w:t>
      </w:r>
      <w:r>
        <w:t>i</w:t>
      </w:r>
      <w:r>
        <w:t>bertad de circulación, prohibida por el artículo 12, y no una privación arbitraria de libertad, prohibida por el artículo 9. No tiene dificultad tampoco en que se abo</w:t>
      </w:r>
      <w:r>
        <w:t>r</w:t>
      </w:r>
      <w:r>
        <w:t>den las prescripciones estrictas en materia de vest</w:t>
      </w:r>
      <w:r>
        <w:t>i</w:t>
      </w:r>
      <w:r>
        <w:t>menta en relación con el artículo 12, porque esas ex</w:t>
      </w:r>
      <w:r>
        <w:t>i</w:t>
      </w:r>
      <w:r>
        <w:t>gencias son una forma de hacer cumplir el confin</w:t>
      </w:r>
      <w:r>
        <w:t>a</w:t>
      </w:r>
      <w:r>
        <w:t>miento en el h</w:t>
      </w:r>
      <w:r>
        <w:t>o</w:t>
      </w:r>
      <w:r>
        <w:t>gar.</w:t>
      </w:r>
    </w:p>
    <w:p w:rsidR="00000000" w:rsidRDefault="00000000">
      <w:pPr>
        <w:pStyle w:val="DualTxt"/>
        <w:numPr>
          <w:ilvl w:val="0"/>
          <w:numId w:val="16"/>
        </w:numPr>
        <w:tabs>
          <w:tab w:val="clear" w:pos="960"/>
          <w:tab w:val="left" w:pos="965"/>
        </w:tabs>
      </w:pPr>
      <w:r>
        <w:rPr>
          <w:b/>
        </w:rPr>
        <w:t xml:space="preserve">La Sra. Chanet </w:t>
      </w:r>
      <w:r>
        <w:t>dice que parece haber consenso en cuanto a que todos los asuntos correspondientes al artículo 12 deberían tratarse en un nuevo párrafo, que habría que insertar entre los párrafos 13 y 14.</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t>Cuando las restricciones en materia de vestimenta se llevan a extremos, pueden corresponder a varios a</w:t>
      </w:r>
      <w:r>
        <w:t>r</w:t>
      </w:r>
      <w:r>
        <w:t>tículos. Por ese motivo, prefiere que se traten en rel</w:t>
      </w:r>
      <w:r>
        <w:t>a</w:t>
      </w:r>
      <w:r>
        <w:t>ción con el artículo 17.</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t>La primera parte del párrafo 12 podría mantene</w:t>
      </w:r>
      <w:r>
        <w:t>r</w:t>
      </w:r>
      <w:r>
        <w:t>se en su redacción actual, suprimiéndose la referencia al artículo 12. En los ejemplos de disposiciones o prácticas restrictivas de los derechos protegidos por el artículo 9, se podrían mencionar las restricciones en materia de vestimenta. El mejor ejemplo de violación directa del artículo 9, empero, es, como lo ha señalado el Sr. Amor, la práctica de confinar a las mujeres en sus casas.</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El Sr. Zakhia</w:t>
      </w:r>
      <w:r>
        <w:t xml:space="preserve"> está de acuerdo con la Sra. Chanet y con el Sr. Amor en que el párrafo debe dividirse en tres partes. La cuestión de la libertad de circulación es especialmente importante, puesto que cientos de mill</w:t>
      </w:r>
      <w:r>
        <w:t>o</w:t>
      </w:r>
      <w:r>
        <w:t>nes de mujeres se ven privadas de sus derechos más b</w:t>
      </w:r>
      <w:r>
        <w:t>á</w:t>
      </w:r>
      <w:r>
        <w:t>sicos. En algunos países, las mujeres tienen derecho a dirigir un negocio, pero al mismo tiempo, no se les permite salir de su casa.</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El Sr. Lallah</w:t>
      </w:r>
      <w:r>
        <w:t xml:space="preserve"> dice que es correcto hacer hinc</w:t>
      </w:r>
      <w:r>
        <w:t>a</w:t>
      </w:r>
      <w:r>
        <w:t>pié en el artículo 17, ya que de lo que se trata es de la criminalización del derecho de la mujer a vestirse a su antojo.</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 xml:space="preserve">La Presidenta </w:t>
      </w:r>
      <w:r>
        <w:t>resume el debate y propone que la referencia a la privación arbitraria de libertad en rel</w:t>
      </w:r>
      <w:r>
        <w:t>a</w:t>
      </w:r>
      <w:r>
        <w:t>ción con el artículo 9 se haga en un párrafo aparte. El Comité deberá dejar en claro que desea garantizar que se concedan a las mujeres los derechos pertinentes en igualdad de condiciones con los hombres. Deberían darse ejemplos de detención ilegal o arbitraria, que p</w:t>
      </w:r>
      <w:r>
        <w:t>o</w:t>
      </w:r>
      <w:r>
        <w:t>drían incluir el incumplimiento de las leyes relativas a la vest</w:t>
      </w:r>
      <w:r>
        <w:t>i</w:t>
      </w:r>
      <w:r>
        <w:t>menta.</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t>A ese párrafo seguirá el actual párrafo 13. Luego otro párrafo referente sólo a la libertad de circulación en relación con el artículo 12, al que seguirá el texto del actual párrafo 11, excepto la referencia a las pre</w:t>
      </w:r>
      <w:r>
        <w:t>s</w:t>
      </w:r>
      <w:r>
        <w:t>cripciones sobre la forma de vestir. Esa referencia se hará en un párrafo relativo al artículo 17.</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 xml:space="preserve">La Sra. Chanet </w:t>
      </w:r>
      <w:r>
        <w:t>dice que, como las cuestiones r</w:t>
      </w:r>
      <w:r>
        <w:t>e</w:t>
      </w:r>
      <w:r>
        <w:t>ferentes a la vestimenta guardan relación con tantos d</w:t>
      </w:r>
      <w:r>
        <w:t>e</w:t>
      </w:r>
      <w:r>
        <w:t>rechos, sería conveniente tratar el asunto en un párrafo aparte relativo a los art</w:t>
      </w:r>
      <w:r>
        <w:t>í</w:t>
      </w:r>
      <w:r>
        <w:t>culos 16 y 17.</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18.00 horas.</w:t>
      </w:r>
    </w:p>
    <w:p w:rsidR="00000000" w:rsidRDefault="00000000">
      <w:pPr>
        <w:pStyle w:val="DualTxt"/>
      </w:pPr>
    </w:p>
    <w:p w:rsidR="00000000" w:rsidRDefault="00000000">
      <w:pPr>
        <w:pStyle w:val="DualTxt"/>
      </w:pPr>
    </w:p>
    <w:p w:rsidR="00000000" w:rsidRDefault="00000000">
      <w:pPr>
        <w:pStyle w:val="DualTxt"/>
        <w:tabs>
          <w:tab w:val="clear" w:pos="480"/>
          <w:tab w:val="clear" w:pos="960"/>
          <w:tab w:val="left" w:pos="965"/>
          <w:tab w:val="left" w:pos="1440"/>
          <w:tab w:val="left" w:pos="1915"/>
          <w:tab w:val="left" w:pos="2405"/>
          <w:tab w:val="left" w:pos="2880"/>
          <w:tab w:val="left" w:pos="3355"/>
        </w:tabs>
      </w:pPr>
    </w:p>
    <w:sectPr w:rsidR="00000000">
      <w:headerReference w:type="first" r:id="rId16"/>
      <w:footerReference w:type="first" r:id="rId17"/>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NO&gt;&gt;N0034792S&lt;&lt;ODS JOB NO&gt;&gt;</w:t>
      </w:r>
    </w:p>
    <w:p w:rsidR="00000000" w:rsidRDefault="00000000">
      <w:pPr>
        <w:pStyle w:val="CommentText"/>
      </w:pPr>
      <w:r>
        <w:t>&lt;&lt;ODS DOC SYMBOL1&gt;&gt;CCPR/C/SR.1819&lt;&lt;ODS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0034792s.doc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0034792s.doc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00-34792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*0034792*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CCPR/C/SR.1819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CCPR/C/SR.1819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/C/SR.1819</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4 de diciembre de 2001</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82F4C"/>
    <w:multiLevelType w:val="singleLevel"/>
    <w:tmpl w:val="DEEEDA34"/>
    <w:lvl w:ilvl="0">
      <w:start w:val="1"/>
      <w:numFmt w:val="decimal"/>
      <w:lvlRestart w:val="0"/>
      <w:lvlText w:val="%1."/>
      <w:lvlJc w:val="left"/>
      <w:pPr>
        <w:tabs>
          <w:tab w:val="num" w:pos="475"/>
        </w:tabs>
        <w:ind w:left="0" w:firstLine="0"/>
      </w:pPr>
      <w:rPr>
        <w:b w:val="0"/>
        <w:i w:val="0"/>
        <w:spacing w:val="0"/>
        <w:w w:val="100"/>
      </w:rPr>
    </w:lvl>
  </w:abstractNum>
  <w:abstractNum w:abstractNumId="1">
    <w:nsid w:val="18F05309"/>
    <w:multiLevelType w:val="singleLevel"/>
    <w:tmpl w:val="DABC00A6"/>
    <w:lvl w:ilvl="0">
      <w:start w:val="47"/>
      <w:numFmt w:val="decimal"/>
      <w:lvlRestart w:val="0"/>
      <w:lvlText w:val="%1."/>
      <w:lvlJc w:val="left"/>
      <w:pPr>
        <w:tabs>
          <w:tab w:val="num" w:pos="475"/>
        </w:tabs>
        <w:ind w:left="0" w:firstLine="0"/>
      </w:pPr>
      <w:rPr>
        <w:b w:val="0"/>
        <w:i w:val="0"/>
        <w:spacing w:val="0"/>
        <w:w w:val="100"/>
      </w:rPr>
    </w:lvl>
  </w:abstractNum>
  <w:abstractNum w:abstractNumId="2">
    <w:nsid w:val="1AC95018"/>
    <w:multiLevelType w:val="singleLevel"/>
    <w:tmpl w:val="DC7E635C"/>
    <w:lvl w:ilvl="0">
      <w:start w:val="1"/>
      <w:numFmt w:val="decimal"/>
      <w:lvlRestart w:val="0"/>
      <w:lvlText w:val="%1."/>
      <w:lvlJc w:val="left"/>
      <w:pPr>
        <w:tabs>
          <w:tab w:val="num" w:pos="475"/>
        </w:tabs>
        <w:ind w:left="0" w:firstLine="0"/>
      </w:pPr>
      <w:rPr>
        <w:b w:val="0"/>
        <w:i w:val="0"/>
        <w:caps w:val="0"/>
        <w:strike w:val="0"/>
        <w:dstrike w:val="0"/>
        <w:shadow w:val="0"/>
        <w:emboss w:val="0"/>
        <w:imprint w:val="0"/>
        <w:vanish w:val="0"/>
        <w:spacing w:val="0"/>
        <w:w w:val="100"/>
        <w:sz w:val="20"/>
        <w:vertAlign w:val="baseline"/>
      </w:rPr>
    </w:lvl>
  </w:abstractNum>
  <w:abstractNum w:abstractNumId="3">
    <w:nsid w:val="20DE1432"/>
    <w:multiLevelType w:val="singleLevel"/>
    <w:tmpl w:val="D632CD36"/>
    <w:lvl w:ilvl="0">
      <w:start w:val="61"/>
      <w:numFmt w:val="decimal"/>
      <w:lvlRestart w:val="0"/>
      <w:lvlText w:val="%1."/>
      <w:lvlJc w:val="left"/>
      <w:pPr>
        <w:tabs>
          <w:tab w:val="num" w:pos="1742"/>
        </w:tabs>
        <w:ind w:left="1267" w:firstLine="0"/>
      </w:pPr>
      <w:rPr>
        <w:b w:val="0"/>
        <w:i w:val="0"/>
        <w:spacing w:val="0"/>
        <w:w w:val="100"/>
      </w:rPr>
    </w:lvl>
  </w:abstractNum>
  <w:abstractNum w:abstractNumId="4">
    <w:nsid w:val="31106CDF"/>
    <w:multiLevelType w:val="singleLevel"/>
    <w:tmpl w:val="A2A04108"/>
    <w:lvl w:ilvl="0">
      <w:start w:val="1"/>
      <w:numFmt w:val="decimal"/>
      <w:lvlRestart w:val="0"/>
      <w:lvlText w:val="%1."/>
      <w:lvlJc w:val="left"/>
      <w:pPr>
        <w:tabs>
          <w:tab w:val="num" w:pos="475"/>
        </w:tabs>
        <w:ind w:left="0" w:firstLine="0"/>
      </w:pPr>
      <w:rPr>
        <w:b w:val="0"/>
        <w:i w:val="0"/>
        <w:spacing w:val="0"/>
        <w:w w:val="100"/>
      </w:rPr>
    </w:lvl>
  </w:abstractNum>
  <w:abstractNum w:abstractNumId="5">
    <w:nsid w:val="3156644D"/>
    <w:multiLevelType w:val="singleLevel"/>
    <w:tmpl w:val="CECE5160"/>
    <w:lvl w:ilvl="0">
      <w:start w:val="99"/>
      <w:numFmt w:val="decimal"/>
      <w:lvlRestart w:val="0"/>
      <w:lvlText w:val="%1."/>
      <w:lvlJc w:val="left"/>
      <w:pPr>
        <w:tabs>
          <w:tab w:val="num" w:pos="1742"/>
        </w:tabs>
        <w:ind w:left="1267" w:firstLine="0"/>
      </w:pPr>
      <w:rPr>
        <w:b w:val="0"/>
        <w:i w:val="0"/>
        <w:spacing w:val="0"/>
        <w:w w:val="100"/>
      </w:rPr>
    </w:lvl>
  </w:abstractNum>
  <w:abstractNum w:abstractNumId="6">
    <w:nsid w:val="328F52E5"/>
    <w:multiLevelType w:val="singleLevel"/>
    <w:tmpl w:val="BB1CCE9A"/>
    <w:lvl w:ilvl="0">
      <w:start w:val="68"/>
      <w:numFmt w:val="decimal"/>
      <w:lvlRestart w:val="0"/>
      <w:lvlText w:val="%1."/>
      <w:lvlJc w:val="left"/>
      <w:pPr>
        <w:tabs>
          <w:tab w:val="num" w:pos="475"/>
        </w:tabs>
        <w:ind w:left="0" w:firstLine="0"/>
      </w:pPr>
      <w:rPr>
        <w:b w:val="0"/>
        <w:i w:val="0"/>
        <w:caps w:val="0"/>
        <w:strike w:val="0"/>
        <w:dstrike w:val="0"/>
        <w:shadow w:val="0"/>
        <w:emboss w:val="0"/>
        <w:imprint w:val="0"/>
        <w:vanish w:val="0"/>
        <w:spacing w:val="0"/>
        <w:w w:val="100"/>
        <w:sz w:val="20"/>
        <w:vertAlign w:val="baseline"/>
      </w:rPr>
    </w:lvl>
  </w:abstractNum>
  <w:abstractNum w:abstractNumId="7">
    <w:nsid w:val="41563944"/>
    <w:multiLevelType w:val="singleLevel"/>
    <w:tmpl w:val="9E62BF46"/>
    <w:lvl w:ilvl="0">
      <w:start w:val="67"/>
      <w:numFmt w:val="decimal"/>
      <w:lvlRestart w:val="0"/>
      <w:lvlText w:val="%1."/>
      <w:lvlJc w:val="left"/>
      <w:pPr>
        <w:tabs>
          <w:tab w:val="num" w:pos="1742"/>
        </w:tabs>
        <w:ind w:left="1267" w:firstLine="0"/>
      </w:pPr>
      <w:rPr>
        <w:b w:val="0"/>
        <w:i w:val="0"/>
        <w:spacing w:val="0"/>
        <w:w w:val="100"/>
      </w:rPr>
    </w:lvl>
  </w:abstractNum>
  <w:abstractNum w:abstractNumId="8">
    <w:nsid w:val="4A637131"/>
    <w:multiLevelType w:val="singleLevel"/>
    <w:tmpl w:val="E48C6DE6"/>
    <w:lvl w:ilvl="0">
      <w:start w:val="73"/>
      <w:numFmt w:val="decimal"/>
      <w:lvlRestart w:val="0"/>
      <w:lvlText w:val="%1."/>
      <w:lvlJc w:val="left"/>
      <w:pPr>
        <w:tabs>
          <w:tab w:val="num" w:pos="475"/>
        </w:tabs>
        <w:ind w:left="0" w:firstLine="0"/>
      </w:pPr>
      <w:rPr>
        <w:b w:val="0"/>
        <w:i w:val="0"/>
        <w:spacing w:val="0"/>
        <w:w w:val="100"/>
      </w:rPr>
    </w:lvl>
  </w:abstractNum>
  <w:abstractNum w:abstractNumId="9">
    <w:nsid w:val="58FF6A5F"/>
    <w:multiLevelType w:val="singleLevel"/>
    <w:tmpl w:val="D82004F0"/>
    <w:lvl w:ilvl="0">
      <w:start w:val="73"/>
      <w:numFmt w:val="decimal"/>
      <w:lvlRestart w:val="0"/>
      <w:lvlText w:val="%1."/>
      <w:lvlJc w:val="left"/>
      <w:pPr>
        <w:tabs>
          <w:tab w:val="num" w:pos="475"/>
        </w:tabs>
        <w:ind w:left="0" w:firstLine="0"/>
      </w:pPr>
      <w:rPr>
        <w:b w:val="0"/>
        <w:i w:val="0"/>
        <w:caps w:val="0"/>
        <w:strike w:val="0"/>
        <w:dstrike w:val="0"/>
        <w:shadow w:val="0"/>
        <w:emboss w:val="0"/>
        <w:imprint w:val="0"/>
        <w:vanish w:val="0"/>
        <w:spacing w:val="0"/>
        <w:w w:val="100"/>
        <w:sz w:val="20"/>
        <w:vertAlign w:val="baseline"/>
      </w:rPr>
    </w:lvl>
  </w:abstractNum>
  <w:abstractNum w:abstractNumId="10">
    <w:nsid w:val="632B3BB6"/>
    <w:multiLevelType w:val="singleLevel"/>
    <w:tmpl w:val="1E980D04"/>
    <w:lvl w:ilvl="0">
      <w:start w:val="78"/>
      <w:numFmt w:val="decimal"/>
      <w:lvlRestart w:val="0"/>
      <w:lvlText w:val="%1."/>
      <w:lvlJc w:val="left"/>
      <w:pPr>
        <w:tabs>
          <w:tab w:val="num" w:pos="1742"/>
        </w:tabs>
        <w:ind w:left="1267" w:firstLine="0"/>
      </w:pPr>
      <w:rPr>
        <w:b w:val="0"/>
        <w:i w:val="0"/>
        <w:spacing w:val="0"/>
        <w:w w:val="100"/>
      </w:rPr>
    </w:lvl>
  </w:abstractNum>
  <w:abstractNum w:abstractNumId="11">
    <w:nsid w:val="71AD3865"/>
    <w:multiLevelType w:val="singleLevel"/>
    <w:tmpl w:val="C46CDDA0"/>
    <w:lvl w:ilvl="0">
      <w:start w:val="1"/>
      <w:numFmt w:val="decimal"/>
      <w:lvlRestart w:val="0"/>
      <w:lvlText w:val="%1."/>
      <w:lvlJc w:val="left"/>
      <w:pPr>
        <w:tabs>
          <w:tab w:val="num" w:pos="475"/>
        </w:tabs>
        <w:ind w:left="0" w:firstLine="0"/>
      </w:pPr>
      <w:rPr>
        <w:b w:val="0"/>
        <w:i w:val="0"/>
        <w:spacing w:val="0"/>
        <w:w w:val="100"/>
      </w:rPr>
    </w:lvl>
  </w:abstractNum>
  <w:abstractNum w:abstractNumId="12">
    <w:nsid w:val="757C74CF"/>
    <w:multiLevelType w:val="singleLevel"/>
    <w:tmpl w:val="109454AE"/>
    <w:lvl w:ilvl="0">
      <w:start w:val="19"/>
      <w:numFmt w:val="decimal"/>
      <w:lvlRestart w:val="0"/>
      <w:lvlText w:val="%1."/>
      <w:lvlJc w:val="left"/>
      <w:pPr>
        <w:tabs>
          <w:tab w:val="num" w:pos="1742"/>
        </w:tabs>
        <w:ind w:left="1267" w:firstLine="0"/>
      </w:pPr>
      <w:rPr>
        <w:b w:val="0"/>
        <w:i w:val="0"/>
        <w:spacing w:val="0"/>
        <w:w w:val="100"/>
      </w:rPr>
    </w:lvl>
  </w:abstractNum>
  <w:abstractNum w:abstractNumId="13">
    <w:nsid w:val="7E2E07B8"/>
    <w:multiLevelType w:val="singleLevel"/>
    <w:tmpl w:val="5B9E32B6"/>
    <w:lvl w:ilvl="0">
      <w:start w:val="23"/>
      <w:numFmt w:val="decimal"/>
      <w:lvlRestart w:val="0"/>
      <w:lvlText w:val="%1."/>
      <w:lvlJc w:val="left"/>
      <w:pPr>
        <w:tabs>
          <w:tab w:val="num" w:pos="475"/>
        </w:tabs>
        <w:ind w:left="0" w:firstLine="0"/>
      </w:pPr>
      <w:rPr>
        <w:b w:val="0"/>
        <w:i w:val="0"/>
        <w:spacing w:val="0"/>
        <w:w w:val="100"/>
      </w:rPr>
    </w:lvl>
  </w:abstractNum>
  <w:abstractNum w:abstractNumId="14">
    <w:nsid w:val="7E5C636B"/>
    <w:multiLevelType w:val="singleLevel"/>
    <w:tmpl w:val="CC02F0D0"/>
    <w:lvl w:ilvl="0">
      <w:start w:val="47"/>
      <w:numFmt w:val="decimal"/>
      <w:lvlRestart w:val="0"/>
      <w:lvlText w:val="%1."/>
      <w:lvlJc w:val="left"/>
      <w:pPr>
        <w:tabs>
          <w:tab w:val="num" w:pos="475"/>
        </w:tabs>
        <w:ind w:left="0" w:firstLine="0"/>
      </w:pPr>
      <w:rPr>
        <w:b w:val="0"/>
        <w:i w:val="0"/>
        <w:caps w:val="0"/>
        <w:strike w:val="0"/>
        <w:dstrike w:val="0"/>
        <w:shadow w:val="0"/>
        <w:emboss w:val="0"/>
        <w:imprint w:val="0"/>
        <w:vanish w:val="0"/>
        <w:spacing w:val="0"/>
        <w:w w:val="100"/>
        <w:sz w:val="20"/>
        <w:vertAlign w:val="baseline"/>
      </w:rPr>
    </w:lvl>
  </w:abstractNum>
  <w:num w:numId="1">
    <w:abstractNumId w:val="0"/>
  </w:num>
  <w:num w:numId="2">
    <w:abstractNumId w:val="12"/>
  </w:num>
  <w:num w:numId="3">
    <w:abstractNumId w:val="11"/>
  </w:num>
  <w:num w:numId="4">
    <w:abstractNumId w:val="13"/>
  </w:num>
  <w:num w:numId="5">
    <w:abstractNumId w:val="1"/>
  </w:num>
  <w:num w:numId="6">
    <w:abstractNumId w:val="2"/>
  </w:num>
  <w:num w:numId="7">
    <w:abstractNumId w:val="14"/>
  </w:num>
  <w:num w:numId="8">
    <w:abstractNumId w:val="3"/>
  </w:num>
  <w:num w:numId="9">
    <w:abstractNumId w:val="7"/>
  </w:num>
  <w:num w:numId="10">
    <w:abstractNumId w:val="4"/>
  </w:num>
  <w:num w:numId="11">
    <w:abstractNumId w:val="9"/>
  </w:num>
  <w:num w:numId="12">
    <w:abstractNumId w:val="10"/>
  </w:num>
  <w:num w:numId="13">
    <w:abstractNumId w:val="5"/>
  </w:num>
  <w:num w:numId="14">
    <w:abstractNumId w:val="6"/>
  </w:num>
  <w:num w:numId="15">
    <w:abstractNumId w:val="14"/>
    <w:lvlOverride w:ilvl="0">
      <w:lvl w:ilvl="0">
        <w:start w:val="68"/>
        <w:numFmt w:val="decimal"/>
        <w:lvlRestart w:val="0"/>
        <w:lvlText w:val="%1."/>
        <w:lvlJc w:val="left"/>
        <w:pPr>
          <w:tabs>
            <w:tab w:val="num" w:pos="475"/>
          </w:tabs>
          <w:ind w:left="0" w:firstLine="0"/>
        </w:pPr>
        <w:rPr>
          <w:b w:val="0"/>
          <w:i w:val="0"/>
          <w:caps w:val="0"/>
          <w:strike w:val="0"/>
          <w:dstrike w:val="0"/>
          <w:shadow w:val="0"/>
          <w:emboss w:val="0"/>
          <w:imprint w:val="0"/>
          <w:vanish w:val="0"/>
          <w:spacing w:val="0"/>
          <w:w w:val="100"/>
          <w:sz w:val="20"/>
          <w:vertAlign w:val="baseline"/>
        </w:rPr>
      </w:lvl>
    </w:lvlOverride>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11/2001 12:17:24"/>
    <w:docVar w:name="DocCategory" w:val="SROthers"/>
    <w:docVar w:name="DocType" w:val="Final"/>
    <w:docVar w:name="JobNo" w:val="0034792S"/>
    <w:docVar w:name="OandT" w:val="MEP"/>
    <w:docVar w:name="Symbol1" w:val="CCPR/C/SR.181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11</Pages>
  <Words>6810</Words>
  <Characters>38818</Characters>
  <Application>Microsoft Office Word</Application>
  <DocSecurity>4</DocSecurity>
  <Lines>323</Lines>
  <Paragraphs>77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47671</CharactersWithSpaces>
  <SharedDoc>false</SharedDoc>
  <HLinks>
    <vt:vector size="6" baseType="variant">
      <vt:variant>
        <vt:i4>4522087</vt:i4>
      </vt:variant>
      <vt:variant>
        <vt:i4>48306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Pousa, María Elvira</dc:creator>
  <cp:keywords/>
  <dc:description/>
  <cp:lastModifiedBy>Gutierrez, Luz Angela</cp:lastModifiedBy>
  <cp:revision>14</cp:revision>
  <cp:lastPrinted>2001-12-03T11:54:00Z</cp:lastPrinted>
  <dcterms:created xsi:type="dcterms:W3CDTF">2001-12-03T11:43:00Z</dcterms:created>
  <dcterms:modified xsi:type="dcterms:W3CDTF">2001-12-03T16:25:00Z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CCPR/C/SR.1819</vt:lpwstr>
  </property>
  <property fmtid="{D5CDD505-2E9C-101B-9397-08002B2CF9AE}" pid="3" name="Symbol2">
    <vt:lpwstr/>
  </property>
  <property fmtid="{D5CDD505-2E9C-101B-9397-08002B2CF9AE}" pid="4" name="Translator">
    <vt:lpwstr/>
  </property>
  <property fmtid="{D5CDD505-2E9C-101B-9397-08002B2CF9AE}" pid="5" name="Operator">
    <vt:lpwstr>MEP</vt:lpwstr>
  </property>
  <property fmtid="{D5CDD505-2E9C-101B-9397-08002B2CF9AE}" pid="6" name="DraftPages">
    <vt:lpwstr> </vt:lpwstr>
  </property>
  <property fmtid="{D5CDD505-2E9C-101B-9397-08002B2CF9AE}" pid="7" name="Comment">
    <vt:lpwstr/>
  </property>
  <property fmtid="{D5CDD505-2E9C-101B-9397-08002B2CF9AE}" pid="8" name="JobNo">
    <vt:lpwstr>0034792S</vt:lpwstr>
  </property>
</Properties>
</file>