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1" type="#_x0000_t202" style="position:absolute;margin-left:85.05pt;margin-top:672.5pt;width:198pt;height:19.85pt;z-index:1;mso-position-horizontal-relative:page" filled="f" stroked="f">
            <v:textbox inset="0,0,0,0">
              <w:txbxContent>
                <w:p w:rsidR="00000000" w:rsidRDefault="00000000">
                  <w:pPr>
                    <w:rPr>
                      <w:lang w:val="en-US"/>
                    </w:rPr>
                  </w:pPr>
                  <w:r>
                    <w:rPr>
                      <w:lang w:val="en-US"/>
                    </w:rPr>
                    <w:t>GE.01-40868</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080601     310801</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proofErr w:type="spellStart"/>
            <w:r>
              <w:rPr>
                <w:sz w:val="72"/>
              </w:rPr>
              <w:t>CCPR</w:t>
            </w:r>
            <w:proofErr w:type="spellEnd"/>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p w:rsidR="00000000" w:rsidRDefault="00000000">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МЕЖДУНАРОДНЫЙ ПАКТ</w:t>
            </w:r>
          </w:p>
          <w:p w:rsidR="00000000" w:rsidRDefault="00000000">
            <w:pPr>
              <w:tabs>
                <w:tab w:val="left" w:pos="0"/>
                <w:tab w:val="left" w:pos="7086"/>
              </w:tabs>
              <w:suppressAutoHyphens/>
              <w:ind w:right="284"/>
              <w:rPr>
                <w:sz w:val="32"/>
                <w:lang w:val="en-US"/>
              </w:rPr>
            </w:pPr>
            <w:r>
              <w:rPr>
                <w:sz w:val="32"/>
              </w:rPr>
              <w:t>О ГРАЖДАНСКИХ</w:t>
            </w:r>
          </w:p>
          <w:p w:rsidR="00000000" w:rsidRDefault="00000000">
            <w:pPr>
              <w:tabs>
                <w:tab w:val="left" w:pos="0"/>
                <w:tab w:val="left" w:pos="7086"/>
              </w:tabs>
              <w:suppressAutoHyphens/>
              <w:ind w:right="284"/>
              <w:rPr>
                <w:sz w:val="32"/>
              </w:rPr>
            </w:pPr>
            <w:r>
              <w:rPr>
                <w:sz w:val="32"/>
              </w:rPr>
              <w:t xml:space="preserve">И ПОЛИТИЧЕСКИХ </w:t>
            </w:r>
          </w:p>
          <w:p w:rsidR="00000000" w:rsidRDefault="00000000">
            <w:pPr>
              <w:tabs>
                <w:tab w:val="left" w:pos="0"/>
                <w:tab w:val="left" w:pos="7086"/>
              </w:tabs>
              <w:suppressAutoHyphens/>
              <w:ind w:right="284"/>
              <w:rPr>
                <w:sz w:val="32"/>
              </w:rPr>
            </w:pPr>
            <w:r>
              <w:rPr>
                <w:sz w:val="32"/>
              </w:rPr>
              <w:t>ПРАВАХ</w:t>
            </w:r>
          </w:p>
          <w:p w:rsidR="00000000" w:rsidRDefault="00000000">
            <w:pPr>
              <w:pStyle w:val="Heading8"/>
              <w:spacing w:line="288" w:lineRule="auto"/>
              <w:ind w:left="0" w:right="284" w:firstLine="1440"/>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CCPR</w:t>
            </w:r>
            <w:proofErr w:type="spellEnd"/>
            <w:r>
              <w:rPr>
                <w:sz w:val="22"/>
                <w:lang w:val="en-US"/>
              </w:rPr>
              <w:t>/C/GEO/2000/2</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26 February 2001</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pStyle w:val="Title"/>
        <w:jc w:val="left"/>
        <w:rPr>
          <w:b w:val="0"/>
          <w:bCs/>
        </w:rPr>
      </w:pPr>
      <w:r>
        <w:rPr>
          <w:b w:val="0"/>
          <w:bCs/>
        </w:rPr>
        <w:t>КОМИТЕТ ПО ПРАВАМ ЧЕЛОВЕКА</w:t>
      </w:r>
    </w:p>
    <w:p w:rsidR="00000000" w:rsidRDefault="00000000">
      <w:pPr>
        <w:pStyle w:val="Title"/>
        <w:jc w:val="left"/>
        <w:rPr>
          <w:b w:val="0"/>
          <w:bCs/>
        </w:rPr>
      </w:pPr>
    </w:p>
    <w:p w:rsidR="00000000" w:rsidRDefault="00000000">
      <w:pPr>
        <w:pStyle w:val="Title"/>
        <w:jc w:val="left"/>
        <w:rPr>
          <w:b w:val="0"/>
          <w:bCs/>
        </w:rPr>
      </w:pPr>
    </w:p>
    <w:p w:rsidR="00000000" w:rsidRDefault="00000000">
      <w:pPr>
        <w:pStyle w:val="Title"/>
        <w:rPr>
          <w:b w:val="0"/>
          <w:bCs/>
        </w:rPr>
      </w:pPr>
      <w:r>
        <w:rPr>
          <w:b w:val="0"/>
          <w:bCs/>
        </w:rPr>
        <w:t>РАССМОТРЕНИЕ ДОКЛАДОВ, ПРЕДСТАВЛЕННЫХ ГОСУДАРСТВАМИ-УЧАСТНИКАМИ В СООТВЕТСТВИИ СО СТАТЬЕЙ 40 ПАКТА</w:t>
      </w:r>
    </w:p>
    <w:p w:rsidR="00000000" w:rsidRDefault="00000000">
      <w:pPr>
        <w:pStyle w:val="Title"/>
        <w:rPr>
          <w:b w:val="0"/>
          <w:bCs/>
          <w:lang w:val="en-US"/>
        </w:rPr>
      </w:pPr>
    </w:p>
    <w:p w:rsidR="00000000" w:rsidRDefault="00000000">
      <w:pPr>
        <w:pStyle w:val="Title"/>
        <w:rPr>
          <w:b w:val="0"/>
          <w:bCs/>
          <w:lang w:val="en-US"/>
        </w:rPr>
      </w:pPr>
    </w:p>
    <w:p w:rsidR="00000000" w:rsidRDefault="00000000">
      <w:pPr>
        <w:pStyle w:val="Title"/>
        <w:rPr>
          <w:b w:val="0"/>
          <w:bCs/>
        </w:rPr>
      </w:pPr>
      <w:r>
        <w:rPr>
          <w:b w:val="0"/>
          <w:bCs/>
        </w:rPr>
        <w:t>ВТОРЫЕ ПЕРИОДИЧЕСКИЕ ДОКЛАДЫ ГОСУДАРСТВ-УЧАСТНИКОВ, ПОДЛЕЖАЩИЕ ПРЕДСТАВЛЕНИЮ 2 АВГУСТА 2000 ГОДА</w:t>
      </w:r>
    </w:p>
    <w:p w:rsidR="00000000" w:rsidRDefault="00000000">
      <w:pPr>
        <w:pStyle w:val="Title"/>
        <w:rPr>
          <w:b w:val="0"/>
          <w:bCs/>
          <w:lang w:val="en-US"/>
        </w:rPr>
      </w:pPr>
    </w:p>
    <w:p w:rsidR="00000000" w:rsidRDefault="00000000">
      <w:pPr>
        <w:pStyle w:val="Title"/>
        <w:rPr>
          <w:b w:val="0"/>
          <w:bCs/>
          <w:lang w:val="en-US"/>
        </w:rPr>
      </w:pPr>
    </w:p>
    <w:p w:rsidR="00000000" w:rsidRDefault="00000000">
      <w:pPr>
        <w:pStyle w:val="Title"/>
        <w:jc w:val="right"/>
        <w:rPr>
          <w:b w:val="0"/>
          <w:bCs/>
        </w:rPr>
      </w:pPr>
      <w:r>
        <w:rPr>
          <w:b w:val="0"/>
          <w:bCs/>
        </w:rPr>
        <w:t>[ЯЗЫК ОРИГИНАЛА:  РУССКИЙ]</w:t>
      </w:r>
    </w:p>
    <w:p w:rsidR="00000000" w:rsidRDefault="00000000">
      <w:pPr>
        <w:pStyle w:val="Title"/>
        <w:jc w:val="right"/>
        <w:rPr>
          <w:b w:val="0"/>
          <w:bCs/>
        </w:rPr>
      </w:pPr>
      <w:r>
        <w:rPr>
          <w:b w:val="0"/>
          <w:bCs/>
        </w:rPr>
        <w:t>9 АВГУСТА 2000 ГОДА</w:t>
      </w: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rPr>
          <w:b w:val="0"/>
          <w:bCs/>
        </w:rPr>
      </w:pPr>
    </w:p>
    <w:p w:rsidR="00000000" w:rsidRDefault="00000000">
      <w:pPr>
        <w:pStyle w:val="Title"/>
      </w:pPr>
      <w:r>
        <w:rPr>
          <w:b w:val="0"/>
          <w:bCs/>
        </w:rPr>
        <w:br w:type="page"/>
      </w:r>
      <w:r>
        <w:t>ОСУЩЕСТВЛЕНИЕ ПАКТА О ГРАЖДАНСКИХ</w:t>
      </w:r>
    </w:p>
    <w:p w:rsidR="00000000" w:rsidRDefault="00000000">
      <w:pPr>
        <w:pStyle w:val="Title"/>
      </w:pPr>
      <w:r>
        <w:t>И ПОЛИТИЧЕСКИХ ПРАВАХ</w:t>
      </w:r>
    </w:p>
    <w:p w:rsidR="00000000" w:rsidRDefault="00000000">
      <w:pPr>
        <w:pStyle w:val="16"/>
      </w:pPr>
    </w:p>
    <w:p w:rsidR="00000000" w:rsidRDefault="00000000">
      <w:pPr>
        <w:jc w:val="center"/>
        <w:rPr>
          <w:u w:val="single"/>
        </w:rPr>
      </w:pPr>
      <w:r>
        <w:rPr>
          <w:u w:val="single"/>
        </w:rPr>
        <w:t>Второй периодический доклад, представленный государством-участником</w:t>
      </w:r>
    </w:p>
    <w:p w:rsidR="00000000" w:rsidRDefault="00000000">
      <w:pPr>
        <w:pStyle w:val="11"/>
      </w:pPr>
      <w:r>
        <w:t>в соответствии со статьей 40 Пакта</w:t>
      </w:r>
    </w:p>
    <w:p w:rsidR="00000000" w:rsidRDefault="00000000">
      <w:pPr>
        <w:jc w:val="center"/>
      </w:pPr>
    </w:p>
    <w:p w:rsidR="00000000" w:rsidRDefault="00000000">
      <w:pPr>
        <w:pStyle w:val="Heading3"/>
        <w:jc w:val="center"/>
        <w:rPr>
          <w:i w:val="0"/>
          <w:iCs/>
        </w:rPr>
      </w:pPr>
      <w:r>
        <w:rPr>
          <w:i w:val="0"/>
          <w:iCs/>
        </w:rPr>
        <w:t>ГРУЗИЯ</w:t>
      </w:r>
    </w:p>
    <w:p w:rsidR="00000000" w:rsidRDefault="00000000">
      <w:pPr>
        <w:pStyle w:val="16"/>
      </w:pPr>
    </w:p>
    <w:p w:rsidR="00000000" w:rsidRDefault="00000000">
      <w:pPr>
        <w:pStyle w:val="Heading1"/>
        <w:jc w:val="center"/>
        <w:rPr>
          <w:b w:val="0"/>
          <w:bCs/>
        </w:rPr>
      </w:pPr>
      <w:r>
        <w:rPr>
          <w:b w:val="0"/>
          <w:bCs/>
        </w:rPr>
        <w:t>СОДЕРЖАНИЕ</w:t>
      </w:r>
    </w:p>
    <w:p w:rsidR="00000000" w:rsidRDefault="00000000">
      <w:pPr>
        <w:jc w:val="center"/>
      </w:pPr>
    </w:p>
    <w:tbl>
      <w:tblPr>
        <w:tblW w:w="0" w:type="auto"/>
        <w:tblLayout w:type="fixed"/>
        <w:tblCellMar>
          <w:left w:w="56" w:type="dxa"/>
          <w:right w:w="56" w:type="dxa"/>
        </w:tblCellMar>
        <w:tblLook w:val="0000" w:firstRow="0" w:lastRow="0" w:firstColumn="0" w:lastColumn="0" w:noHBand="0" w:noVBand="0"/>
      </w:tblPr>
      <w:tblGrid>
        <w:gridCol w:w="7356"/>
        <w:gridCol w:w="1055"/>
        <w:gridCol w:w="1055"/>
      </w:tblGrid>
      <w:tr w:rsidR="00000000">
        <w:tblPrEx>
          <w:tblCellMar>
            <w:top w:w="0" w:type="dxa"/>
            <w:bottom w:w="0" w:type="dxa"/>
          </w:tblCellMar>
        </w:tblPrEx>
        <w:tc>
          <w:tcPr>
            <w:tcW w:w="7356" w:type="dxa"/>
          </w:tcPr>
          <w:p w:rsidR="00000000" w:rsidRDefault="00000000">
            <w:pPr>
              <w:pStyle w:val="FootnoteText"/>
              <w:tabs>
                <w:tab w:val="clear" w:pos="567"/>
                <w:tab w:val="clear" w:pos="1134"/>
                <w:tab w:val="clear" w:pos="1701"/>
                <w:tab w:val="clear" w:pos="2268"/>
                <w:tab w:val="clear" w:pos="6237"/>
                <w:tab w:val="left" w:leader="dot" w:pos="7088"/>
              </w:tabs>
              <w:spacing w:line="288" w:lineRule="auto"/>
            </w:pPr>
          </w:p>
        </w:tc>
        <w:tc>
          <w:tcPr>
            <w:tcW w:w="1055" w:type="dxa"/>
          </w:tcPr>
          <w:p w:rsidR="00000000" w:rsidRDefault="00000000">
            <w:pPr>
              <w:jc w:val="center"/>
              <w:rPr>
                <w:u w:val="single"/>
              </w:rPr>
            </w:pPr>
            <w:r>
              <w:rPr>
                <w:u w:val="single"/>
              </w:rPr>
              <w:t>Пункты</w:t>
            </w:r>
          </w:p>
        </w:tc>
        <w:tc>
          <w:tcPr>
            <w:tcW w:w="1055" w:type="dxa"/>
          </w:tcPr>
          <w:p w:rsidR="00000000" w:rsidRDefault="00000000">
            <w:pPr>
              <w:pStyle w:val="11"/>
            </w:pPr>
            <w:r>
              <w:t>Стр</w:t>
            </w:r>
            <w:r>
              <w:rPr>
                <w:u w:val="none"/>
              </w:rPr>
              <w:t>.</w:t>
            </w:r>
          </w:p>
        </w:tc>
      </w:tr>
      <w:tr w:rsidR="00000000">
        <w:tblPrEx>
          <w:tblCellMar>
            <w:top w:w="0" w:type="dxa"/>
            <w:bottom w:w="0" w:type="dxa"/>
          </w:tblCellMar>
        </w:tblPrEx>
        <w:tc>
          <w:tcPr>
            <w:tcW w:w="7356" w:type="dxa"/>
          </w:tcPr>
          <w:p w:rsidR="00000000" w:rsidRDefault="00000000">
            <w:pPr>
              <w:pStyle w:val="FootnoteText"/>
              <w:tabs>
                <w:tab w:val="clear" w:pos="567"/>
                <w:tab w:val="clear" w:pos="1134"/>
                <w:tab w:val="clear" w:pos="1701"/>
                <w:tab w:val="clear" w:pos="2268"/>
                <w:tab w:val="clear" w:pos="6237"/>
                <w:tab w:val="left" w:leader="dot" w:pos="7088"/>
              </w:tabs>
              <w:spacing w:line="288" w:lineRule="auto"/>
            </w:pPr>
            <w:r>
              <w:t>Введение</w:t>
            </w:r>
            <w:r>
              <w:tab/>
            </w:r>
          </w:p>
        </w:tc>
        <w:tc>
          <w:tcPr>
            <w:tcW w:w="1055" w:type="dxa"/>
          </w:tcPr>
          <w:p w:rsidR="00000000" w:rsidRDefault="00000000">
            <w:pPr>
              <w:jc w:val="center"/>
            </w:pPr>
            <w:r>
              <w:t>1 - 21</w:t>
            </w:r>
          </w:p>
        </w:tc>
        <w:tc>
          <w:tcPr>
            <w:tcW w:w="1055" w:type="dxa"/>
          </w:tcPr>
          <w:p w:rsidR="00000000" w:rsidRDefault="00000000">
            <w:pPr>
              <w:pStyle w:val="16"/>
              <w:rPr>
                <w:lang w:val="en-US"/>
              </w:rPr>
            </w:pPr>
            <w:r>
              <w:rPr>
                <w:lang w:val="en-US"/>
              </w:rPr>
              <w:t>3</w:t>
            </w:r>
          </w:p>
        </w:tc>
      </w:tr>
      <w:tr w:rsidR="00000000">
        <w:tblPrEx>
          <w:tblCellMar>
            <w:top w:w="0" w:type="dxa"/>
            <w:bottom w:w="0" w:type="dxa"/>
          </w:tblCellMar>
        </w:tblPrEx>
        <w:tc>
          <w:tcPr>
            <w:tcW w:w="7356" w:type="dxa"/>
          </w:tcPr>
          <w:p w:rsidR="00000000" w:rsidRDefault="00000000">
            <w:pPr>
              <w:pStyle w:val="FootnoteText"/>
              <w:tabs>
                <w:tab w:val="clear" w:pos="567"/>
                <w:tab w:val="clear" w:pos="1134"/>
                <w:tab w:val="clear" w:pos="1701"/>
                <w:tab w:val="clear" w:pos="2268"/>
                <w:tab w:val="clear" w:pos="6237"/>
                <w:tab w:val="left" w:leader="dot" w:pos="7088"/>
              </w:tabs>
              <w:spacing w:line="288" w:lineRule="auto"/>
            </w:pPr>
            <w:r>
              <w:t>Статья 1</w:t>
            </w:r>
            <w:r>
              <w:tab/>
            </w:r>
          </w:p>
        </w:tc>
        <w:tc>
          <w:tcPr>
            <w:tcW w:w="1055" w:type="dxa"/>
          </w:tcPr>
          <w:p w:rsidR="00000000" w:rsidRDefault="00000000">
            <w:pPr>
              <w:jc w:val="center"/>
            </w:pPr>
            <w:r>
              <w:t>22 - 41</w:t>
            </w:r>
          </w:p>
        </w:tc>
        <w:tc>
          <w:tcPr>
            <w:tcW w:w="1055" w:type="dxa"/>
          </w:tcPr>
          <w:p w:rsidR="00000000" w:rsidRDefault="00000000">
            <w:pPr>
              <w:jc w:val="center"/>
              <w:rPr>
                <w:lang w:val="en-US"/>
              </w:rPr>
            </w:pPr>
            <w:r>
              <w:rPr>
                <w:lang w:val="en-US"/>
              </w:rPr>
              <w:t>8</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w:t>
            </w:r>
            <w:r>
              <w:tab/>
            </w:r>
          </w:p>
        </w:tc>
        <w:tc>
          <w:tcPr>
            <w:tcW w:w="1055" w:type="dxa"/>
          </w:tcPr>
          <w:p w:rsidR="00000000" w:rsidRDefault="00000000">
            <w:pPr>
              <w:jc w:val="center"/>
            </w:pPr>
            <w:r>
              <w:t>42 - 52</w:t>
            </w:r>
          </w:p>
        </w:tc>
        <w:tc>
          <w:tcPr>
            <w:tcW w:w="1055" w:type="dxa"/>
          </w:tcPr>
          <w:p w:rsidR="00000000" w:rsidRDefault="00000000">
            <w:pPr>
              <w:jc w:val="center"/>
              <w:rPr>
                <w:lang w:val="en-US"/>
              </w:rPr>
            </w:pPr>
            <w:r>
              <w:rPr>
                <w:lang w:val="en-US"/>
              </w:rPr>
              <w:t>14</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3</w:t>
            </w:r>
            <w:r>
              <w:tab/>
            </w:r>
          </w:p>
        </w:tc>
        <w:tc>
          <w:tcPr>
            <w:tcW w:w="1055" w:type="dxa"/>
          </w:tcPr>
          <w:p w:rsidR="00000000" w:rsidRDefault="00000000">
            <w:pPr>
              <w:jc w:val="center"/>
            </w:pPr>
            <w:r>
              <w:t>53 - 59</w:t>
            </w:r>
          </w:p>
        </w:tc>
        <w:tc>
          <w:tcPr>
            <w:tcW w:w="1055" w:type="dxa"/>
          </w:tcPr>
          <w:p w:rsidR="00000000" w:rsidRDefault="00000000">
            <w:pPr>
              <w:jc w:val="center"/>
              <w:rPr>
                <w:lang w:val="en-US"/>
              </w:rPr>
            </w:pPr>
            <w:r>
              <w:rPr>
                <w:lang w:val="en-US"/>
              </w:rPr>
              <w:t>17</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4</w:t>
            </w:r>
            <w:r>
              <w:tab/>
            </w:r>
          </w:p>
        </w:tc>
        <w:tc>
          <w:tcPr>
            <w:tcW w:w="1055" w:type="dxa"/>
          </w:tcPr>
          <w:p w:rsidR="00000000" w:rsidRDefault="00000000">
            <w:pPr>
              <w:jc w:val="center"/>
            </w:pPr>
            <w:r>
              <w:t>60 - 73</w:t>
            </w:r>
          </w:p>
        </w:tc>
        <w:tc>
          <w:tcPr>
            <w:tcW w:w="1055" w:type="dxa"/>
          </w:tcPr>
          <w:p w:rsidR="00000000" w:rsidRDefault="00000000">
            <w:pPr>
              <w:jc w:val="center"/>
            </w:pPr>
            <w:r>
              <w:t>1</w:t>
            </w:r>
            <w:r>
              <w:rPr>
                <w:lang w:val="en-US"/>
              </w:rPr>
              <w:t>9</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5</w:t>
            </w:r>
            <w:r>
              <w:tab/>
            </w:r>
          </w:p>
        </w:tc>
        <w:tc>
          <w:tcPr>
            <w:tcW w:w="1055" w:type="dxa"/>
          </w:tcPr>
          <w:p w:rsidR="00000000" w:rsidRDefault="00000000">
            <w:pPr>
              <w:jc w:val="center"/>
            </w:pPr>
            <w:r>
              <w:t>74 - 78</w:t>
            </w:r>
          </w:p>
        </w:tc>
        <w:tc>
          <w:tcPr>
            <w:tcW w:w="1055" w:type="dxa"/>
          </w:tcPr>
          <w:p w:rsidR="00000000" w:rsidRDefault="00000000">
            <w:pPr>
              <w:jc w:val="center"/>
              <w:rPr>
                <w:lang w:val="en-US"/>
              </w:rPr>
            </w:pPr>
            <w:r>
              <w:rPr>
                <w:lang w:val="en-US"/>
              </w:rPr>
              <w:t>22</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6</w:t>
            </w:r>
            <w:r>
              <w:tab/>
            </w:r>
          </w:p>
        </w:tc>
        <w:tc>
          <w:tcPr>
            <w:tcW w:w="1055" w:type="dxa"/>
          </w:tcPr>
          <w:p w:rsidR="00000000" w:rsidRDefault="00000000">
            <w:pPr>
              <w:jc w:val="center"/>
            </w:pPr>
            <w:r>
              <w:t>79 - 110</w:t>
            </w:r>
          </w:p>
        </w:tc>
        <w:tc>
          <w:tcPr>
            <w:tcW w:w="1055" w:type="dxa"/>
          </w:tcPr>
          <w:p w:rsidR="00000000" w:rsidRDefault="00000000">
            <w:pPr>
              <w:jc w:val="center"/>
              <w:rPr>
                <w:lang w:val="en-US"/>
              </w:rPr>
            </w:pPr>
            <w:r>
              <w:rPr>
                <w:lang w:val="en-US"/>
              </w:rPr>
              <w:t>23</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7</w:t>
            </w:r>
            <w:r>
              <w:tab/>
            </w:r>
          </w:p>
        </w:tc>
        <w:tc>
          <w:tcPr>
            <w:tcW w:w="1055" w:type="dxa"/>
          </w:tcPr>
          <w:p w:rsidR="00000000" w:rsidRDefault="00000000">
            <w:pPr>
              <w:jc w:val="center"/>
            </w:pPr>
            <w:r>
              <w:t>111 - 140</w:t>
            </w:r>
          </w:p>
        </w:tc>
        <w:tc>
          <w:tcPr>
            <w:tcW w:w="1055" w:type="dxa"/>
          </w:tcPr>
          <w:p w:rsidR="00000000" w:rsidRDefault="00000000">
            <w:pPr>
              <w:jc w:val="center"/>
              <w:rPr>
                <w:lang w:val="en-US"/>
              </w:rPr>
            </w:pPr>
            <w:r>
              <w:rPr>
                <w:lang w:val="en-US"/>
              </w:rPr>
              <w:t>30</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8</w:t>
            </w:r>
            <w:r>
              <w:tab/>
            </w:r>
          </w:p>
        </w:tc>
        <w:tc>
          <w:tcPr>
            <w:tcW w:w="1055" w:type="dxa"/>
          </w:tcPr>
          <w:p w:rsidR="00000000" w:rsidRDefault="00000000">
            <w:pPr>
              <w:jc w:val="center"/>
            </w:pPr>
            <w:r>
              <w:t>141 - 159</w:t>
            </w:r>
          </w:p>
        </w:tc>
        <w:tc>
          <w:tcPr>
            <w:tcW w:w="1055" w:type="dxa"/>
          </w:tcPr>
          <w:p w:rsidR="00000000" w:rsidRDefault="00000000">
            <w:pPr>
              <w:jc w:val="center"/>
              <w:rPr>
                <w:lang w:val="en-US"/>
              </w:rPr>
            </w:pPr>
            <w:r>
              <w:rPr>
                <w:lang w:val="en-US"/>
              </w:rPr>
              <w:t>36</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9</w:t>
            </w:r>
            <w:r>
              <w:tab/>
            </w:r>
          </w:p>
        </w:tc>
        <w:tc>
          <w:tcPr>
            <w:tcW w:w="1055" w:type="dxa"/>
          </w:tcPr>
          <w:p w:rsidR="00000000" w:rsidRDefault="00000000">
            <w:pPr>
              <w:jc w:val="center"/>
            </w:pPr>
            <w:r>
              <w:t>160 - 192</w:t>
            </w:r>
          </w:p>
        </w:tc>
        <w:tc>
          <w:tcPr>
            <w:tcW w:w="1055" w:type="dxa"/>
          </w:tcPr>
          <w:p w:rsidR="00000000" w:rsidRDefault="00000000">
            <w:pPr>
              <w:jc w:val="center"/>
              <w:rPr>
                <w:lang w:val="en-US"/>
              </w:rPr>
            </w:pPr>
            <w:r>
              <w:rPr>
                <w:lang w:val="en-US"/>
              </w:rPr>
              <w:t>41</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10</w:t>
            </w:r>
            <w:r>
              <w:tab/>
            </w:r>
          </w:p>
        </w:tc>
        <w:tc>
          <w:tcPr>
            <w:tcW w:w="1055" w:type="dxa"/>
          </w:tcPr>
          <w:p w:rsidR="00000000" w:rsidRDefault="00000000">
            <w:pPr>
              <w:jc w:val="center"/>
            </w:pPr>
            <w:r>
              <w:t>193 - 238</w:t>
            </w:r>
          </w:p>
        </w:tc>
        <w:tc>
          <w:tcPr>
            <w:tcW w:w="1055" w:type="dxa"/>
          </w:tcPr>
          <w:p w:rsidR="00000000" w:rsidRDefault="00000000">
            <w:pPr>
              <w:jc w:val="center"/>
              <w:rPr>
                <w:lang w:val="en-US"/>
              </w:rPr>
            </w:pPr>
            <w:r>
              <w:rPr>
                <w:lang w:val="en-US"/>
              </w:rPr>
              <w:t>49</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11</w:t>
            </w:r>
            <w:r>
              <w:tab/>
            </w:r>
          </w:p>
        </w:tc>
        <w:tc>
          <w:tcPr>
            <w:tcW w:w="1055" w:type="dxa"/>
          </w:tcPr>
          <w:p w:rsidR="00000000" w:rsidRDefault="00000000">
            <w:pPr>
              <w:jc w:val="center"/>
            </w:pPr>
            <w:r>
              <w:t>239 - 242</w:t>
            </w:r>
          </w:p>
        </w:tc>
        <w:tc>
          <w:tcPr>
            <w:tcW w:w="1055" w:type="dxa"/>
          </w:tcPr>
          <w:p w:rsidR="00000000" w:rsidRDefault="00000000">
            <w:pPr>
              <w:jc w:val="center"/>
              <w:rPr>
                <w:lang w:val="en-US"/>
              </w:rPr>
            </w:pPr>
            <w:r>
              <w:rPr>
                <w:lang w:val="en-US"/>
              </w:rPr>
              <w:t>60</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12</w:t>
            </w:r>
            <w:r>
              <w:tab/>
            </w:r>
          </w:p>
        </w:tc>
        <w:tc>
          <w:tcPr>
            <w:tcW w:w="1055" w:type="dxa"/>
          </w:tcPr>
          <w:p w:rsidR="00000000" w:rsidRDefault="00000000">
            <w:pPr>
              <w:jc w:val="center"/>
            </w:pPr>
            <w:r>
              <w:t>243 - 268</w:t>
            </w:r>
          </w:p>
        </w:tc>
        <w:tc>
          <w:tcPr>
            <w:tcW w:w="1055" w:type="dxa"/>
          </w:tcPr>
          <w:p w:rsidR="00000000" w:rsidRDefault="00000000">
            <w:pPr>
              <w:jc w:val="center"/>
            </w:pPr>
            <w:r>
              <w:t>61</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13</w:t>
            </w:r>
            <w:r>
              <w:tab/>
            </w:r>
          </w:p>
        </w:tc>
        <w:tc>
          <w:tcPr>
            <w:tcW w:w="1055" w:type="dxa"/>
          </w:tcPr>
          <w:p w:rsidR="00000000" w:rsidRDefault="00000000">
            <w:pPr>
              <w:jc w:val="center"/>
            </w:pPr>
            <w:r>
              <w:t>269 - 291</w:t>
            </w:r>
          </w:p>
        </w:tc>
        <w:tc>
          <w:tcPr>
            <w:tcW w:w="1055" w:type="dxa"/>
          </w:tcPr>
          <w:p w:rsidR="00000000" w:rsidRDefault="00000000">
            <w:pPr>
              <w:jc w:val="center"/>
              <w:rPr>
                <w:lang w:val="en-US"/>
              </w:rPr>
            </w:pPr>
            <w:r>
              <w:t>66</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14</w:t>
            </w:r>
            <w:r>
              <w:tab/>
            </w:r>
          </w:p>
        </w:tc>
        <w:tc>
          <w:tcPr>
            <w:tcW w:w="1055" w:type="dxa"/>
          </w:tcPr>
          <w:p w:rsidR="00000000" w:rsidRDefault="00000000">
            <w:pPr>
              <w:jc w:val="center"/>
            </w:pPr>
            <w:r>
              <w:t>292 - 389</w:t>
            </w:r>
          </w:p>
        </w:tc>
        <w:tc>
          <w:tcPr>
            <w:tcW w:w="1055" w:type="dxa"/>
          </w:tcPr>
          <w:p w:rsidR="00000000" w:rsidRDefault="00000000">
            <w:pPr>
              <w:jc w:val="center"/>
              <w:rPr>
                <w:lang w:val="en-US"/>
              </w:rPr>
            </w:pPr>
            <w:r>
              <w:rPr>
                <w:lang w:val="en-US"/>
              </w:rPr>
              <w:t>70</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15</w:t>
            </w:r>
            <w:r>
              <w:tab/>
            </w:r>
          </w:p>
        </w:tc>
        <w:tc>
          <w:tcPr>
            <w:tcW w:w="1055" w:type="dxa"/>
          </w:tcPr>
          <w:p w:rsidR="00000000" w:rsidRDefault="00000000">
            <w:pPr>
              <w:jc w:val="center"/>
            </w:pPr>
            <w:r>
              <w:t>390 - 393</w:t>
            </w:r>
          </w:p>
        </w:tc>
        <w:tc>
          <w:tcPr>
            <w:tcW w:w="1055" w:type="dxa"/>
          </w:tcPr>
          <w:p w:rsidR="00000000" w:rsidRDefault="00000000">
            <w:pPr>
              <w:jc w:val="center"/>
            </w:pPr>
            <w:r>
              <w:t>9</w:t>
            </w:r>
            <w:r>
              <w:rPr>
                <w:lang w:val="en-US"/>
              </w:rPr>
              <w:t>5</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16</w:t>
            </w:r>
            <w:r>
              <w:tab/>
            </w:r>
          </w:p>
        </w:tc>
        <w:tc>
          <w:tcPr>
            <w:tcW w:w="1055" w:type="dxa"/>
          </w:tcPr>
          <w:p w:rsidR="00000000" w:rsidRDefault="00000000">
            <w:pPr>
              <w:jc w:val="center"/>
            </w:pPr>
            <w:r>
              <w:t>394 - 397</w:t>
            </w:r>
          </w:p>
        </w:tc>
        <w:tc>
          <w:tcPr>
            <w:tcW w:w="1055" w:type="dxa"/>
          </w:tcPr>
          <w:p w:rsidR="00000000" w:rsidRDefault="00000000">
            <w:pPr>
              <w:jc w:val="center"/>
              <w:rPr>
                <w:lang w:val="en-US"/>
              </w:rPr>
            </w:pPr>
            <w:r>
              <w:rPr>
                <w:lang w:val="en-US"/>
              </w:rPr>
              <w:t>96</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17</w:t>
            </w:r>
            <w:r>
              <w:tab/>
            </w:r>
          </w:p>
        </w:tc>
        <w:tc>
          <w:tcPr>
            <w:tcW w:w="1055" w:type="dxa"/>
          </w:tcPr>
          <w:p w:rsidR="00000000" w:rsidRDefault="00000000">
            <w:pPr>
              <w:jc w:val="center"/>
            </w:pPr>
            <w:r>
              <w:t>398 - 429</w:t>
            </w:r>
          </w:p>
        </w:tc>
        <w:tc>
          <w:tcPr>
            <w:tcW w:w="1055" w:type="dxa"/>
          </w:tcPr>
          <w:p w:rsidR="00000000" w:rsidRDefault="00000000">
            <w:pPr>
              <w:jc w:val="center"/>
              <w:rPr>
                <w:lang w:val="en-US"/>
              </w:rPr>
            </w:pPr>
            <w:r>
              <w:rPr>
                <w:lang w:val="en-US"/>
              </w:rPr>
              <w:t>97</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18</w:t>
            </w:r>
            <w:r>
              <w:tab/>
            </w:r>
          </w:p>
        </w:tc>
        <w:tc>
          <w:tcPr>
            <w:tcW w:w="1055" w:type="dxa"/>
          </w:tcPr>
          <w:p w:rsidR="00000000" w:rsidRDefault="00000000">
            <w:pPr>
              <w:jc w:val="center"/>
            </w:pPr>
            <w:r>
              <w:t>430 - 440</w:t>
            </w:r>
          </w:p>
        </w:tc>
        <w:tc>
          <w:tcPr>
            <w:tcW w:w="1055" w:type="dxa"/>
          </w:tcPr>
          <w:p w:rsidR="00000000" w:rsidRDefault="00000000">
            <w:pPr>
              <w:jc w:val="center"/>
              <w:rPr>
                <w:lang w:val="en-US"/>
              </w:rPr>
            </w:pPr>
            <w:r>
              <w:rPr>
                <w:lang w:val="en-US"/>
              </w:rPr>
              <w:t>105</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19</w:t>
            </w:r>
            <w:r>
              <w:tab/>
            </w:r>
          </w:p>
        </w:tc>
        <w:tc>
          <w:tcPr>
            <w:tcW w:w="1055" w:type="dxa"/>
          </w:tcPr>
          <w:p w:rsidR="00000000" w:rsidRDefault="00000000">
            <w:pPr>
              <w:jc w:val="center"/>
            </w:pPr>
            <w:r>
              <w:t>441 - 467</w:t>
            </w:r>
          </w:p>
        </w:tc>
        <w:tc>
          <w:tcPr>
            <w:tcW w:w="1055" w:type="dxa"/>
          </w:tcPr>
          <w:p w:rsidR="00000000" w:rsidRDefault="00000000">
            <w:pPr>
              <w:jc w:val="center"/>
              <w:rPr>
                <w:lang w:val="en-US"/>
              </w:rPr>
            </w:pPr>
            <w:r>
              <w:rPr>
                <w:lang w:val="en-US"/>
              </w:rPr>
              <w:t>108</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20</w:t>
            </w:r>
            <w:r>
              <w:tab/>
            </w:r>
          </w:p>
        </w:tc>
        <w:tc>
          <w:tcPr>
            <w:tcW w:w="1055" w:type="dxa"/>
          </w:tcPr>
          <w:p w:rsidR="00000000" w:rsidRDefault="00000000">
            <w:pPr>
              <w:jc w:val="center"/>
            </w:pPr>
            <w:r>
              <w:t>468 - 472</w:t>
            </w:r>
          </w:p>
        </w:tc>
        <w:tc>
          <w:tcPr>
            <w:tcW w:w="1055" w:type="dxa"/>
          </w:tcPr>
          <w:p w:rsidR="00000000" w:rsidRDefault="00000000">
            <w:pPr>
              <w:jc w:val="center"/>
              <w:rPr>
                <w:lang w:val="en-US"/>
              </w:rPr>
            </w:pPr>
            <w:r>
              <w:rPr>
                <w:lang w:val="en-US"/>
              </w:rPr>
              <w:t>114</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21</w:t>
            </w:r>
            <w:r>
              <w:tab/>
            </w:r>
          </w:p>
        </w:tc>
        <w:tc>
          <w:tcPr>
            <w:tcW w:w="1055" w:type="dxa"/>
          </w:tcPr>
          <w:p w:rsidR="00000000" w:rsidRDefault="00000000">
            <w:pPr>
              <w:jc w:val="center"/>
            </w:pPr>
            <w:r>
              <w:t>473 - 479</w:t>
            </w:r>
          </w:p>
        </w:tc>
        <w:tc>
          <w:tcPr>
            <w:tcW w:w="1055" w:type="dxa"/>
          </w:tcPr>
          <w:p w:rsidR="00000000" w:rsidRDefault="00000000">
            <w:pPr>
              <w:jc w:val="center"/>
              <w:rPr>
                <w:lang w:val="en-US"/>
              </w:rPr>
            </w:pPr>
            <w:r>
              <w:rPr>
                <w:lang w:val="en-US"/>
              </w:rPr>
              <w:t>115</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22</w:t>
            </w:r>
            <w:r>
              <w:tab/>
            </w:r>
          </w:p>
        </w:tc>
        <w:tc>
          <w:tcPr>
            <w:tcW w:w="1055" w:type="dxa"/>
          </w:tcPr>
          <w:p w:rsidR="00000000" w:rsidRDefault="00000000">
            <w:pPr>
              <w:jc w:val="center"/>
            </w:pPr>
            <w:r>
              <w:t>480 - 500</w:t>
            </w:r>
          </w:p>
        </w:tc>
        <w:tc>
          <w:tcPr>
            <w:tcW w:w="1055" w:type="dxa"/>
          </w:tcPr>
          <w:p w:rsidR="00000000" w:rsidRDefault="00000000">
            <w:pPr>
              <w:jc w:val="center"/>
              <w:rPr>
                <w:lang w:val="en-US"/>
              </w:rPr>
            </w:pPr>
            <w:r>
              <w:rPr>
                <w:lang w:val="en-US"/>
              </w:rPr>
              <w:t>117</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23</w:t>
            </w:r>
            <w:r>
              <w:tab/>
            </w:r>
          </w:p>
        </w:tc>
        <w:tc>
          <w:tcPr>
            <w:tcW w:w="1055" w:type="dxa"/>
          </w:tcPr>
          <w:p w:rsidR="00000000" w:rsidRDefault="00000000">
            <w:pPr>
              <w:jc w:val="center"/>
            </w:pPr>
            <w:r>
              <w:t>501 - 516</w:t>
            </w:r>
          </w:p>
        </w:tc>
        <w:tc>
          <w:tcPr>
            <w:tcW w:w="1055" w:type="dxa"/>
          </w:tcPr>
          <w:p w:rsidR="00000000" w:rsidRDefault="00000000">
            <w:pPr>
              <w:jc w:val="center"/>
              <w:rPr>
                <w:lang w:val="en-US"/>
              </w:rPr>
            </w:pPr>
            <w:r>
              <w:rPr>
                <w:lang w:val="en-US"/>
              </w:rPr>
              <w:t>123</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24</w:t>
            </w:r>
            <w:r>
              <w:tab/>
            </w:r>
          </w:p>
        </w:tc>
        <w:tc>
          <w:tcPr>
            <w:tcW w:w="1055" w:type="dxa"/>
          </w:tcPr>
          <w:p w:rsidR="00000000" w:rsidRDefault="00000000">
            <w:pPr>
              <w:jc w:val="center"/>
            </w:pPr>
            <w:r>
              <w:t>517 - 534</w:t>
            </w:r>
          </w:p>
        </w:tc>
        <w:tc>
          <w:tcPr>
            <w:tcW w:w="1055" w:type="dxa"/>
          </w:tcPr>
          <w:p w:rsidR="00000000" w:rsidRDefault="00000000">
            <w:pPr>
              <w:jc w:val="center"/>
              <w:rPr>
                <w:lang w:val="en-US"/>
              </w:rPr>
            </w:pPr>
            <w:r>
              <w:rPr>
                <w:lang w:val="en-US"/>
              </w:rPr>
              <w:t>126</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25</w:t>
            </w:r>
            <w:r>
              <w:tab/>
            </w:r>
          </w:p>
        </w:tc>
        <w:tc>
          <w:tcPr>
            <w:tcW w:w="1055" w:type="dxa"/>
          </w:tcPr>
          <w:p w:rsidR="00000000" w:rsidRDefault="00000000">
            <w:pPr>
              <w:jc w:val="center"/>
            </w:pPr>
            <w:r>
              <w:t>535 - 565</w:t>
            </w:r>
          </w:p>
        </w:tc>
        <w:tc>
          <w:tcPr>
            <w:tcW w:w="1055" w:type="dxa"/>
          </w:tcPr>
          <w:p w:rsidR="00000000" w:rsidRDefault="00000000">
            <w:pPr>
              <w:jc w:val="center"/>
              <w:rPr>
                <w:lang w:val="en-US"/>
              </w:rPr>
            </w:pPr>
            <w:r>
              <w:rPr>
                <w:lang w:val="en-US"/>
              </w:rPr>
              <w:t>131</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26</w:t>
            </w:r>
            <w:r>
              <w:tab/>
            </w:r>
          </w:p>
        </w:tc>
        <w:tc>
          <w:tcPr>
            <w:tcW w:w="1055" w:type="dxa"/>
          </w:tcPr>
          <w:p w:rsidR="00000000" w:rsidRDefault="00000000">
            <w:pPr>
              <w:jc w:val="center"/>
            </w:pPr>
            <w:r>
              <w:t>566 - 574</w:t>
            </w:r>
          </w:p>
        </w:tc>
        <w:tc>
          <w:tcPr>
            <w:tcW w:w="1055" w:type="dxa"/>
          </w:tcPr>
          <w:p w:rsidR="00000000" w:rsidRDefault="00000000">
            <w:pPr>
              <w:jc w:val="center"/>
              <w:rPr>
                <w:lang w:val="en-US"/>
              </w:rPr>
            </w:pPr>
            <w:r>
              <w:rPr>
                <w:lang w:val="en-US"/>
              </w:rPr>
              <w:t>138</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Статья 27</w:t>
            </w:r>
            <w:r>
              <w:tab/>
            </w:r>
          </w:p>
        </w:tc>
        <w:tc>
          <w:tcPr>
            <w:tcW w:w="1055" w:type="dxa"/>
          </w:tcPr>
          <w:p w:rsidR="00000000" w:rsidRDefault="00000000">
            <w:pPr>
              <w:jc w:val="center"/>
            </w:pPr>
            <w:r>
              <w:t>575 - 600</w:t>
            </w:r>
          </w:p>
        </w:tc>
        <w:tc>
          <w:tcPr>
            <w:tcW w:w="1055" w:type="dxa"/>
          </w:tcPr>
          <w:p w:rsidR="00000000" w:rsidRDefault="00000000">
            <w:pPr>
              <w:jc w:val="center"/>
              <w:rPr>
                <w:lang w:val="en-US"/>
              </w:rPr>
            </w:pPr>
            <w:r>
              <w:rPr>
                <w:lang w:val="en-US"/>
              </w:rPr>
              <w:t>139</w:t>
            </w:r>
          </w:p>
        </w:tc>
      </w:tr>
      <w:tr w:rsidR="00000000">
        <w:tblPrEx>
          <w:tblCellMar>
            <w:top w:w="0" w:type="dxa"/>
            <w:bottom w:w="0" w:type="dxa"/>
          </w:tblCellMar>
        </w:tblPrEx>
        <w:tc>
          <w:tcPr>
            <w:tcW w:w="7356" w:type="dxa"/>
          </w:tcPr>
          <w:p w:rsidR="00000000" w:rsidRDefault="00000000">
            <w:pPr>
              <w:tabs>
                <w:tab w:val="clear" w:pos="567"/>
                <w:tab w:val="clear" w:pos="1134"/>
                <w:tab w:val="clear" w:pos="1701"/>
                <w:tab w:val="clear" w:pos="2268"/>
                <w:tab w:val="clear" w:pos="6237"/>
                <w:tab w:val="left" w:leader="dot" w:pos="7088"/>
              </w:tabs>
            </w:pPr>
            <w:r>
              <w:t>Список приложений</w:t>
            </w:r>
            <w:r>
              <w:tab/>
            </w:r>
          </w:p>
        </w:tc>
        <w:tc>
          <w:tcPr>
            <w:tcW w:w="1055" w:type="dxa"/>
          </w:tcPr>
          <w:p w:rsidR="00000000" w:rsidRDefault="00000000">
            <w:pPr>
              <w:jc w:val="center"/>
            </w:pPr>
          </w:p>
        </w:tc>
        <w:tc>
          <w:tcPr>
            <w:tcW w:w="1055" w:type="dxa"/>
          </w:tcPr>
          <w:p w:rsidR="00000000" w:rsidRDefault="00000000">
            <w:pPr>
              <w:jc w:val="center"/>
              <w:rPr>
                <w:lang w:val="en-US"/>
              </w:rPr>
            </w:pPr>
            <w:r>
              <w:t>147</w:t>
            </w:r>
          </w:p>
        </w:tc>
      </w:tr>
    </w:tbl>
    <w:p w:rsidR="00000000" w:rsidRDefault="00000000">
      <w:pPr>
        <w:pStyle w:val="Caption"/>
      </w:pPr>
      <w:r>
        <w:t>ВВЕДЕНИЕ</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w:t>
      </w:r>
      <w:r>
        <w:tab/>
        <w:t>Грузия присоединилась к Международному пакту о гражданских и  политических правах (далее по тексту - "Пакт") постановлением парламента от 25 января 1994 года.  Для Грузии Пакт вступил в силу 3 августа 1994 года.  В соответствии с требованиями статьи 40 (1) Пакта в ноябре 1995 года Комитету по правам человека Организации Объединенных Наций был представлен первоначальный доклад о мерах по осуществлению взятых на себя в рамках данного документа обязательств (</w:t>
      </w:r>
      <w:proofErr w:type="spellStart"/>
      <w:r>
        <w:t>CCPR</w:t>
      </w:r>
      <w:proofErr w:type="spellEnd"/>
      <w:r>
        <w:t>/</w:t>
      </w:r>
      <w:proofErr w:type="spellStart"/>
      <w:r>
        <w:t>C</w:t>
      </w:r>
      <w:proofErr w:type="spellEnd"/>
      <w:r>
        <w:t>/100/</w:t>
      </w:r>
      <w:proofErr w:type="spellStart"/>
      <w:r>
        <w:t>Add.1</w:t>
      </w:r>
      <w:proofErr w:type="spellEnd"/>
      <w:r>
        <w:t xml:space="preserve">).  Доклад был рассмотрен в марте 1997 года (см. документ </w:t>
      </w:r>
      <w:proofErr w:type="spellStart"/>
      <w:r>
        <w:t>CCPR</w:t>
      </w:r>
      <w:proofErr w:type="spellEnd"/>
      <w:r>
        <w:t>/</w:t>
      </w:r>
      <w:proofErr w:type="spellStart"/>
      <w:r>
        <w:t>C</w:t>
      </w:r>
      <w:proofErr w:type="spellEnd"/>
      <w:r>
        <w:t>/</w:t>
      </w:r>
      <w:r>
        <w:rPr>
          <w:lang w:val="en-US"/>
        </w:rPr>
        <w:t>SR</w:t>
      </w:r>
      <w:r>
        <w:t xml:space="preserve">.1564-1566 и </w:t>
      </w:r>
      <w:r>
        <w:rPr>
          <w:lang w:val="en-US"/>
        </w:rPr>
        <w:t>SR</w:t>
      </w:r>
      <w:r>
        <w:t>.1583).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w:t>
      </w:r>
      <w:r>
        <w:tab/>
        <w:t>Настоящий доклад является вторым периодическим докладом и охватывает период с момента представления первоначального доклада по первое полугодие 2000 года включительно.  Доклад подготовлен в соответствии с общими руководящими принципами, принятыми Комитетом по правам человека 1 ноября 1999 года (</w:t>
      </w:r>
      <w:proofErr w:type="spellStart"/>
      <w:r>
        <w:t>CCPR</w:t>
      </w:r>
      <w:proofErr w:type="spellEnd"/>
      <w:r>
        <w:t>/</w:t>
      </w:r>
      <w:proofErr w:type="spellStart"/>
      <w:r>
        <w:t>C</w:t>
      </w:r>
      <w:proofErr w:type="spellEnd"/>
      <w:r>
        <w:t>/66/</w:t>
      </w:r>
      <w:proofErr w:type="spellStart"/>
      <w:r>
        <w:t>GUI</w:t>
      </w:r>
      <w:proofErr w:type="spellEnd"/>
      <w:r>
        <w:t>/</w:t>
      </w:r>
      <w:proofErr w:type="spellStart"/>
      <w:r>
        <w:t>Rev.1</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w:t>
      </w:r>
      <w:r>
        <w:tab/>
        <w:t xml:space="preserve">Настоящий доклад подготовлен Службой по вопросам защиты прав человека, руководимой заместителем секретаря Совета национальной безопасности Грузии.  Совет национальной безопасности является конституционным органом, возглавляемым президентом страны.  С января 2000 года на вышеупомянутую Службу возложена подготовка всех государственных докладов Грузии, отражающих </w:t>
      </w:r>
      <w:proofErr w:type="spellStart"/>
      <w:r>
        <w:t>имплементацию</w:t>
      </w:r>
      <w:proofErr w:type="spellEnd"/>
      <w:r>
        <w:t xml:space="preserve"> международных документов по правам человека и подлежащих представлению в соответствующие договорные органы.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w:t>
      </w:r>
      <w:r>
        <w:tab/>
        <w:t>Приведенная в докладе фактическая  информация представлена министерствами: здравоохранения и социальной защиты;  внутренних дел;  обороны;  транспорта и коммуникаций;  по охране окружающей среды и экологии;  юстиции;  а также прокуратурой Грузии, Центральной избирательной комиссией, Советом юстиции, Объединением профсоюзов Грузии.  К докладу прилагается обновленная версия базового документа.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lang w:val="en-US"/>
        </w:rPr>
      </w:pPr>
      <w:r>
        <w:t>5.</w:t>
      </w:r>
      <w:r>
        <w:tab/>
        <w:t xml:space="preserve">За отчетный период Грузия предприняла ряд важных шагов на пути строительства правового государства и демократического общества.  Практически полностью обновлена законодательная база.  Она приведена в соответствие с положениями Конституции и международными обязательствами страны и создает благоприятное правовое поле для проведения в стране широкомасштабных социально-экономических и политических реформ.  </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В июне 1997 года президент Грузии издал указ "О мерах по усилению защиты прав человека в Грузии", который стал непосредственным результатом рассмотрения Комитетом по правам человека первоначального доклада нашего государства по Пакту.  С учетом и во исполнение рекомендаций Комитета в указе намечен целый ряд мероприятий.  Прежде всего была создана Межведомственная комиссия по разработке неотложных организационных мероприятий по защите прав человека во главе с заместителем секретаря Совета национальной безопасности Грузии.  Соответствующим министерствам и ведомствам было поручено: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осуществить меры по контролю и обязательному обеспечению прав лиц, находящихся в предварительном заключении и отбывающих наказание в местах лишения свободы, и периодически докладывать о проделанной работе;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довести до сведения общественности адреса и номера телефонов, по которым можно обратиться в случае возникновения критической ситуации, угрожающей правам и свободам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распространить среди работников правоохранительных органов материалы о международных стандартах в сфере защиты прав лиц, подвергшихся задержанию и аресту;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принять меры по улучшению условий содержания и медицинского обслуживания заключенных и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 xml:space="preserve">разработать мероприятия по эффективному </w:t>
      </w:r>
      <w:proofErr w:type="spellStart"/>
      <w:r>
        <w:t>задействованию</w:t>
      </w:r>
      <w:proofErr w:type="spellEnd"/>
      <w:r>
        <w:t xml:space="preserve"> системы освобождения под залог;</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подготовить программу по улучшению положения детей из наиболее уязвимых групп;</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уделить особое внимание вопросам обучения правам человека как в системе образования, так и при подготовке кадров для правоохранительных органов и сил безопасности;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 xml:space="preserve">разработать национальную программу по планированию семьи и репродуктивному здоровью населения, в достаточном количестве обеспечить медицинские учреждения и аптечную сеть </w:t>
      </w:r>
      <w:proofErr w:type="spellStart"/>
      <w:r>
        <w:t>контрацептивными</w:t>
      </w:r>
      <w:proofErr w:type="spellEnd"/>
      <w:r>
        <w:t xml:space="preserve"> средствами, решить вопрос их популяризации при помощи средств массовой информации.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 xml:space="preserve">Президент также обратился с просьбой к Верховному Суду обеспечить активное использование судами Грузии международно-правовых норм в области прав человека.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Следует отметить, что в соответствии с данным указом рекомендации Комитета по правам человека Организации Объединенных Наций были опубликованы в грузинской прессе.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Предусмотренные указом президента меры были достаточно эффективно реализованы.  Информация по этим вопросам содержится в комментариях настоящего доклада к соответствующим статьям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w:t>
      </w:r>
      <w:r>
        <w:tab/>
        <w:t xml:space="preserve">В Грузии ускорилось проведение реформы судебной власти, призванной в рамках принципа верховенства закона сделать суд подлинно независимым, справедливым и беспристрастным парламентом страны приняты законы:  "Об общих судах" и "О Верховном </w:t>
      </w:r>
      <w:r>
        <w:rPr>
          <w:lang w:val="en-US"/>
        </w:rPr>
        <w:t>c</w:t>
      </w:r>
      <w:r>
        <w:t xml:space="preserve">уде Грузии".  В рамках судебной реформы, в частности, внедрена система квалификационных экзаменов для кандидатов на замещение должности судьи.  В число подлежащих сдаче экзаменационных дисциплин включен предмет:  "Международные акты и международные договоры и соглашения Грузии по правам человека" (Закон "Об общих судах", статья 68, пункт 3).  По итогам сдачи предусмотренных реформой квалификационных экзаменов в районных, городских, окружных судах, верховных судах автономных республик, Верховном суде Грузии произошло обновление </w:t>
      </w:r>
      <w:proofErr w:type="spellStart"/>
      <w:r>
        <w:t>70%</w:t>
      </w:r>
      <w:proofErr w:type="spellEnd"/>
      <w:r>
        <w:t xml:space="preserve"> судейского корпуса.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w:t>
      </w:r>
      <w:r>
        <w:tab/>
        <w:t>Существенным вкладом в правовое обеспечение реформы судебной системы стало принятие парламентом  новых Уголовно-процессуального и Гражданского процессуального кодексов, утвердивших приоритет судебных средств защиты нарушенных прав и свобод человека.  Кроме того, в отчетный период приняты такие важные законодательные акты, как Гражданский, Уголовный и Общий административный кодексы.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w:t>
      </w:r>
      <w:r>
        <w:tab/>
        <w:t>Сформирован и эффективно функционирует орган конституционного контроля - Конституционный суд Грузии, действующий в рамках полномочий, предоставленных ему Конституцией и соответствующим органическим законом.  Из более чем 70 внесенных в Конституционный Суд исков 10 были решены в пользу истца.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w:t>
      </w:r>
      <w:r>
        <w:tab/>
        <w:t>В отчетный период Грузия присоединилась к еще одному документу Организации Объединенных Наций по правам человека - Конвенции о ликвидации всех форм расовой дискриминации (июнь 1999 года).  В настоящее время подготовлен и представлен в соответствующий договорный орган первоначальный государственный доклад о выполнении Грузией требований упомянутой Конвенции.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w:t>
      </w:r>
      <w:r>
        <w:tab/>
        <w:t>В апреле 1999 года Грузия первой среди государств Закавказья стала полноправным членом Совета Европы.  Этот факт свидетельствует о признании европейским сообществом прогресса, достигнутого Грузией в строительстве правового государства.  Вместе с тем, возрастает степень ответственности грузинского государства, в частности, в деле признания, соблюдения и осуществления прав человека.  Грузия обязалась в течение года со дня вступления в Совет Европы присоединиться к Конвенции о защите прав человека и основных свобод (подписана одновременно со вступлением в члены СЕ).  В рамках упомянутой Конвенции наша страна признала юрисдикцию Европейского суда по правам человека, в состав которого уже избран представитель Грузии - бывший председатель Верховного суда Грузии.  Как известно, Конвенция о защите прав человека и основных свобод и дополнительные протоколы  охватывают, главным образом, сферу гражданских и политических прав.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w:t>
      </w:r>
      <w:r>
        <w:tab/>
        <w:t>11 октября 1997 года вступил в силу Закон "О полной отмене исключительной меры наказания - смертной казни".  Согласно настоящему Закону, эта мера наказания была заменена пожизненным заключением.  В марте 1999 года Грузия присоединилась ко Второму факультативному протоколу к Пакту.  Для нашей страны он вступил в силу 22 июня 1999 года.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w:t>
      </w:r>
      <w:r>
        <w:tab/>
        <w:t>21 января 2000 года Грузия поставила свою подпись под Рамочной конвенцией о защите национальных меньшинств, ратификация которой должна состояться в течение одного года с момента вступления в Совет Европы.  С целью исполнения рекомендаций парламентской ассамблеи СЕ до конца апреля 2001 года Грузии предстоит разработать и принять закон о национальных меньшинствах.  Законопроект готовит министерство юстиции.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w:t>
      </w:r>
      <w:r>
        <w:tab/>
        <w:t>В январе 2000 года вступил в силу Закон "О заключенных", согласно которому система исполнения наказаний (пенитенциарная) была передана из ведения министерства внутренних дел (МВД) в структуру министерства юстиции.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w:t>
      </w:r>
      <w:r>
        <w:tab/>
        <w:t>В октябре 1999 года в Грузии состоялись очередные парламентские выборы.  В новом составе парламента созданы и функционируют Комитет по защите прав человека, петициям граждан и строительству гражданского общества и Комитет по гражданской интеграции, занимающийся, в частности, вопросами меньшинств и их более активного вовлечения в политическую и общественную жизнь страны.  В соответствии с Конституцией (статья 56, пункт 1) в круг полномочий парламентского комитета входит предварительная подготовка законодательных актов, содействие выполнению решений, а также контроль за деятельностью правительства и иных подотчетных высшему законодательному органу структур.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w:t>
      </w:r>
      <w:r>
        <w:tab/>
        <w:t>С апреля 1997 года в системе исполнительной власти действует созданный по инициативе президента Грузии аппарат заместителя секретаря Совета национальной безопасности по вопросам защиты прав человека, который наряду с исполнительными и  координирующими функциями располагает в определенной мере и контрольными полномочиями.  В сотрудничестве с администрацией президента страны, а также соответствующими министерствами и ведомствами заместитель секретаря Совета национальной безопасности вносит значительный вклад в практическое выполнение конституционных гарантий прав и свобод человека в стране.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w:t>
      </w:r>
      <w:r>
        <w:tab/>
        <w:t>В январе 1997 года был учрежден пост помощника президента Грузии по вопросам межнациональных отношений.  В функции этого должностного лица и его рабочего аппарата входит, в частности, работа с общественными объединениями национальных меньшинств и проживающими в Грузии диаспорами в целом, налаживание и поддержание контактов с грузинскими диаспорами за рубежом.  Основной задачей помощника президента по вопросам межнациональных отношений является формирование у меньшинств гражданского менталитета, а также более полное использование их потенциала как полноправных граждан страны.  С этой целью при отделе по вопросам межнациональных отношений создан Совет ("</w:t>
      </w:r>
      <w:proofErr w:type="spellStart"/>
      <w:r>
        <w:t>Сататбиро</w:t>
      </w:r>
      <w:proofErr w:type="spellEnd"/>
      <w:r>
        <w:t>")  представителей национальных общин и общественных формирований, в котором объединились около 60 неправительственных организаций меньшинств.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w:t>
      </w:r>
      <w:r>
        <w:tab/>
        <w:t>Вместо упомянутого в первоначальном докладе Государственного комитета по защите прав человека и межнациональным отношениям создан принципиально новый для Грузии конституционный институт Народного защитника (</w:t>
      </w:r>
      <w:proofErr w:type="spellStart"/>
      <w:r>
        <w:t>омбудсмена</w:t>
      </w:r>
      <w:proofErr w:type="spellEnd"/>
      <w:r>
        <w:t xml:space="preserve">).  Закон "О Народном защитнике Грузии", разработанный при участии международных экспертов, предоставляет </w:t>
      </w:r>
      <w:proofErr w:type="spellStart"/>
      <w:r>
        <w:t>омбудсмену</w:t>
      </w:r>
      <w:proofErr w:type="spellEnd"/>
      <w:r>
        <w:t xml:space="preserve"> широкие полномочия для выявления и расследования нарушений прав человека со стороны органов государства.  Правом обращения к Народному защитнику наделены как граждане Грузии, так  и иностранцы и лица без гражданства, а также неправительственные организации.  Два раза в год </w:t>
      </w:r>
      <w:proofErr w:type="spellStart"/>
      <w:r>
        <w:t>омбудсмен</w:t>
      </w:r>
      <w:proofErr w:type="spellEnd"/>
      <w:r>
        <w:t xml:space="preserve"> представляет парламенту отчет о положении с соблюдением прав и свобод человека в Грузии, подлежащий публикации в официальном печатном органе парламента.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w:t>
      </w:r>
      <w:r>
        <w:tab/>
        <w:t>В ноябре 1998 года состоялись первые в истории независимой Грузии выборы органов местного самоуправления.  В сформированных по их итогам районных представительных органах в ряде случаев были созданы и функционируют комиссии по вопросам прав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w:t>
      </w:r>
      <w:r>
        <w:tab/>
        <w:t>В стране активно развивается "третий сектор".  Растет число неправительственных организаций различного профиля, в том числе тех, которые занимаются вопросами прав и свобод человека.  В контексте Пакта следует отметить, что большая часть НПО осуществляет свою деятельность именно в сфере гражданских и политических прав.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w:t>
      </w:r>
      <w:r>
        <w:tab/>
        <w:t>Одним из ключевых вопросов является то, какое место занимает Пакт в правовой системе Грузии.  В период, истекший с момента представления первоначального доклада, эта проблема получила однозначное разрешение.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w:t>
      </w:r>
      <w:r>
        <w:tab/>
        <w:t>Согласно статье 6 Конституции, не противоречащие ей международные договоры и соглашения Грузии имеют преобладающую юридическую силу в отношении внутригосударственных нормативных актов.  Закон "О нормативных актах" признает международный договор Грузии  ее нормативным актом, что означает, что положения заключенного нашей страной международного договора применяются в том же порядке, который предусмотрен для внутренних законодательных актов.  В правовой системе Грузии заключенный ею международный договор иерархически стоит на втором (после Конституции) месте.  Кроме того, в соответствии с Законом "О международных договорах Грузии" международный договор Грузии после подписания (ратификации) становится неотъемлемой частью внутреннего законодательства.  Положения международного договора, устанавливающие права и обязанности конкретного характера, не требуют принятия уточняющих внутригосударственных нормативных актов и в Грузии действуют непосредственно.  Таким образом, вполне допускается непосредственное применение Пакта и ссылки на него в суде.</w:t>
      </w:r>
    </w:p>
    <w:p w:rsidR="00000000" w:rsidRDefault="00000000">
      <w:pPr>
        <w:pStyle w:val="Heading9"/>
        <w:keepNext w:val="0"/>
        <w:tabs>
          <w:tab w:val="left" w:pos="567"/>
          <w:tab w:val="left" w:pos="1134"/>
          <w:tab w:val="left" w:pos="1701"/>
          <w:tab w:val="left" w:pos="2268"/>
        </w:tabs>
        <w:spacing w:line="288" w:lineRule="auto"/>
        <w:ind w:firstLine="0"/>
        <w:jc w:val="left"/>
        <w:rPr>
          <w:sz w:val="24"/>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w:t>
      </w:r>
    </w:p>
    <w:p w:rsidR="00000000" w:rsidRDefault="00000000">
      <w:pPr>
        <w:keepNext/>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22.</w:t>
      </w:r>
      <w:r>
        <w:tab/>
        <w:t>В соответствии с целями и  принципами Устава Организации Объединенных Наций статья 1 Пакта признает, что все народы имеют право на самоопределение.  Право на самоопределение имеет особое значение, поскольку  его реализация - существенное условие обеспечения эффективных гарантий соблюдения, а также развития и укрепления индивидуальных прав.  Именно поэтому право на самоопределение закреплено в нормах позитивного права, как в настоящем Пакте, так и в Пакте об экономических, социальных и культурных правах.</w:t>
      </w:r>
    </w:p>
    <w:p w:rsidR="00000000" w:rsidRDefault="00000000">
      <w:pPr>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О праве на самоопределение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w:t>
      </w:r>
      <w:r>
        <w:tab/>
        <w:t xml:space="preserve">Конституция страны, принятая 24 августа 1995 года, провозглашает, что Грузия является независимым, единым и неделимым государством, формой политического устройства которого избрана демократическая республика (статья 1).  Территориальная целостность и неприкосновенность государственных границ Грузии подтверждены ее Конституцией и законодательством, признаны мировым сообществом и международными организациями (статья 2).  Конституция особо оговаривает, что государственно-территориальное устройство Грузии будет определено конституционным законом на основе принципа разграничения  полномочий после полного восстановления юрисдикции грузинского государства на всей территории страны (статья 2, пункт 3).  Наличие в Конституции данного положения обусловлено все еще де-факто нарушенной территориальной целостностью страны.  За истекший после представления первоначального доклада период не удалось, несмотря на определенные сдвиги, добиться политического урегулирования конфликтов вокруг Абхазии и </w:t>
      </w:r>
      <w:proofErr w:type="spellStart"/>
      <w:r>
        <w:t>Цхинвальского</w:t>
      </w:r>
      <w:proofErr w:type="spellEnd"/>
      <w:r>
        <w:t xml:space="preserve"> региона (бывшей Юго-Осетинской автономной области).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w:t>
      </w:r>
      <w:r>
        <w:tab/>
        <w:t>Согласно Конституции, вопросы местного значения граждане Грузии решают посредством местного самоуправления без ущерба для суверенитета государства.  Порядок создания, полномочия органов местного самоуправления и их отношения с государственными органами определяются органическим законом (статья 2, пункт 4).  Органический закон "О местном самоуправлении и управлении" был принят в октябре 1997 года и до принятия конституционного закона о государственно-территориальном устройстве Грузии установил основы создания и деятельности исполнительных и представительных органов власти на местах.  В соответствии со статьей 49 данного Закона он вступил в силу с момента официального обнародования результатов выборов в органы местного самоуправления и управления.  Как отмечалось в вводной части настоящего доклада, они состоялись в ноябре 1998 года.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w:t>
      </w:r>
      <w:r>
        <w:tab/>
        <w:t xml:space="preserve">Согласно Конституции, после создания на всей территории Грузии надлежащих условий и завершения формирования органов местного самоуправления парламент страны будет состоять из двух палат - Совета Республики и Сената.  В Совет Республики войдут депутаты, избранные по пропорциональной системе.  В составе Сената будут представлены члены, избранные в Абхазии, Аджарской автономной республике и других территориальных единицах Грузии, а также пять сенаторов, назначаемых президентом страны (статья 4).  В настоящее время высшим законодательным органом страны является  однопалатный парламент, избираемый по специальной системе на основе всеобщего, равного и прямого избирательного права при тайном голосовании (Конституция, статья 49, пункт 1).  Очевидно, что вступлению в силу вышеупомянутых положений статьи 4 препятствует </w:t>
      </w:r>
      <w:proofErr w:type="spellStart"/>
      <w:r>
        <w:t>неурегулированность</w:t>
      </w:r>
      <w:proofErr w:type="spellEnd"/>
      <w:r>
        <w:t xml:space="preserve"> конфликтов, о которых уже упоминалось.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w:t>
      </w:r>
      <w:r>
        <w:tab/>
        <w:t>В контексте данного пункта  статьи 1 следует упомянуть о том, что после длительных дебатов парламент страны в марте 2000 года конституционно зафиксировал статус одной из территориальных единиц Грузии - Аджарии как автономной республики в составе грузинского государства с внесением соответствующих поправок в текст основного закона (статьи 4, 55, 67, 89).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w:t>
      </w:r>
      <w:r>
        <w:tab/>
        <w:t xml:space="preserve">Наиболее трудным и болезненным вопросом государственного строительства Грузии продолжает оставаться </w:t>
      </w:r>
      <w:proofErr w:type="spellStart"/>
      <w:r>
        <w:t>невосстановленная</w:t>
      </w:r>
      <w:proofErr w:type="spellEnd"/>
      <w:r>
        <w:t xml:space="preserve"> территориальная целостность страны.  Наличие этой проблемы, в свою очередь, порождает целый ряд негативных последствий, отражающихся на политической, экономической, социальной и иных сферах жизни грузинского общества.  Руководство </w:t>
      </w:r>
      <w:proofErr w:type="spellStart"/>
      <w:r>
        <w:t>самопровозглашенных</w:t>
      </w:r>
      <w:proofErr w:type="spellEnd"/>
      <w:r>
        <w:t xml:space="preserve"> "республик" - Абхазии и Южной Осетии - в своих сепаратистских устремлениях апеллирует именно к праву на самоопределение.  Между тем, очевидно, что подобного рода претензии абсолютно безосновательны.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w:t>
      </w:r>
      <w:r>
        <w:tab/>
        <w:t xml:space="preserve">Применительно к праву народов на самоопределение современное международное право весьма категорично:  признавая право на самоопределение как в рамках уже действующего государства, так и применительно к малым народам, вплетенным в ткань населения такого государства, оно в то же время отвергает право этих малых народов, проживающих в демократическом государстве, на одностороннее, без учета воли всего государства, отделение.  Декларация Организации Объединенных Наций о принципах международного права (1970 год), Венская всемирная конференция  по правам человека (1993 год), основополагающие документы </w:t>
      </w:r>
      <w:proofErr w:type="spellStart"/>
      <w:r>
        <w:t>ОБСЕ</w:t>
      </w:r>
      <w:proofErr w:type="spellEnd"/>
      <w:r>
        <w:t>, единодушно признавая право на самоопределение, вплоть до отделения, лишь за колониальными и зависящими народами, подчеркивают в то же время, что реализация этого права не должна использоваться как разрешение или поощрение любых действий, нарушающих или подрывающих территориальную целостность или политическое единство суверенных независимых государств, которые соблюдают принцип равноправия и самоопределения народов и имеют правительства, представляющие интересы всего народа на их территории без каких</w:t>
      </w:r>
      <w:r>
        <w:noBreakHyphen/>
        <w:t>либо различий.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w:t>
      </w:r>
      <w:r>
        <w:tab/>
        <w:t xml:space="preserve">На всех стадиях конфликтов международное сообщество неизменно поддерживало и поддерживает принцип территориальной целостности Грузии и ее суверенитет.  Применительно к Абхазии эта поддержка выражена во всех резолюциях Совета Безопасности Организации Объединенных Наций начиная с 1993 года.  Именно в этом контексте надлежит рассматривать формулу о необходимости определения "политического статуса Абхазии в составе государства Грузия" (резолюция 1095/1996, 12 июля 1996 года).  Приверженность незыблемости суверенитета и территориальной целостности Грузии совершенно однозначно отражены в документах Будапештского (1995 год), Лиссабонского (1997 год) и Стамбульского (1999 год) саммитов </w:t>
      </w:r>
      <w:proofErr w:type="spellStart"/>
      <w:r>
        <w:t>ОБСЕ</w:t>
      </w:r>
      <w:proofErr w:type="spellEnd"/>
      <w:r>
        <w:t xml:space="preserve">, саммитов СНГ.  Совет Безопасности Организации Объединенных Наций расценил как незаконные и неприемлемые (резолюция от 31 января 2000 года) попытки </w:t>
      </w:r>
      <w:proofErr w:type="spellStart"/>
      <w:r>
        <w:t>легитимизировать</w:t>
      </w:r>
      <w:proofErr w:type="spellEnd"/>
      <w:r>
        <w:t xml:space="preserve"> сепаратистский режим в Абхазии путем проведения "выборов" и "референдума о статусе" региона.  В условиях, когда большая часть населения Абхазии изгнана  из мест постоянного проживания в результате этнических чисток и насилия со стороны сепаратистов, такая оценка совершенно адекватно отражает позицию мирового сообщества.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w:t>
      </w:r>
      <w:r>
        <w:tab/>
        <w:t xml:space="preserve">Таким образом, урегулирование конфликта вокруг Абхазии возможно путем определения политического статуса региона в составе единой Грузии, репатриации сотен тысяч перемещенных лиц.  На это направлены усилия грузинской стороны,  международного сообщества.  В переговорный процесс, наряду со структурами Объединенных Наций, включаются и "страны - друзья Генерального секретаря Организации Объединенных Наций", а также Украина и некоторые страны региона Южного Кавказа.  Важную положительную роль в урегулировании конфликта может сыграть Россия.  Применительно к статусу региона Грузия предлагала и предлагает Абхазии выход на более высокий уровень - от автономной республики до субъекта федерации, отличающегося от остальных субъектов своим высоким статусом, но не путем заключения международного договора, а посредством конституционного урегулирования.  Эту позицию политического руководства страны разделяет и международное  сообщество.  К сожалению, позиция абхазской стороны, готовой "обсуждать только один вопрос - вопрос о возможных взаимоотношениях двух равноправных суверенных государств - Абхазии и Грузии" (письмо абхазского лидера В. </w:t>
      </w:r>
      <w:proofErr w:type="spellStart"/>
      <w:r>
        <w:t>Ардзинба</w:t>
      </w:r>
      <w:proofErr w:type="spellEnd"/>
      <w:r>
        <w:t xml:space="preserve"> на имя Генерального секретаря Организации Объединенных Наций, 14 февраля 2000 года), отнюдь не способствует разрешению конфликта.  Весьма проблематична и перспектива репатриации перемещенных лиц, главным образом грузин, в Абхазию, по крайней мере, в обозримом будущем.  Причиной тому - выдвигаемые сепаратистами предварительные условия, рассмотрение которых выходит за рамки настоящего доклада, а также отсутствие гарантий безопасности по возвращении этих лиц в места постоянного проживания.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w:t>
      </w:r>
      <w:r>
        <w:tab/>
        <w:t xml:space="preserve">Акцент, сделанный на проблемах, связанных с урегулированием вокруг Абхазии, обусловлен более сложным положением  по сравнению с конфликтом в </w:t>
      </w:r>
      <w:proofErr w:type="spellStart"/>
      <w:r>
        <w:t>Цхинвальском</w:t>
      </w:r>
      <w:proofErr w:type="spellEnd"/>
      <w:r>
        <w:t xml:space="preserve"> регионе.  В истекший со времени представления первоначального доклада период переговоры между грузинской и осетинской сторонами по разрешению конфликта носили более или менее регулярный характер.  Из числа международных организаций в этом процессе активно задействована </w:t>
      </w:r>
      <w:proofErr w:type="spellStart"/>
      <w:r>
        <w:t>ОБСЕ</w:t>
      </w:r>
      <w:proofErr w:type="spellEnd"/>
      <w:r>
        <w:t xml:space="preserve">, хотя в плане содействия экономической реабилитации региона значительную роль играет </w:t>
      </w:r>
      <w:proofErr w:type="spellStart"/>
      <w:r>
        <w:t>ПРООР</w:t>
      </w:r>
      <w:proofErr w:type="spellEnd"/>
      <w:r>
        <w:t xml:space="preserve">.  Немаловажное значение имеет и тот факт, что между </w:t>
      </w:r>
      <w:proofErr w:type="spellStart"/>
      <w:r>
        <w:t>Цхинвальским</w:t>
      </w:r>
      <w:proofErr w:type="spellEnd"/>
      <w:r>
        <w:t xml:space="preserve"> регионом и остальной  Грузией сохраняются торгово-экономические контакты, и в целом регион менее изолировался.  По оценке политического руководства Грузии, грузино-осетинские (имеется в виду бывшая Южная Осетия) отношения вступили в </w:t>
      </w:r>
      <w:proofErr w:type="spellStart"/>
      <w:r>
        <w:t>постконфликтную</w:t>
      </w:r>
      <w:proofErr w:type="spellEnd"/>
      <w:r>
        <w:t xml:space="preserve"> фазу.  Основу этому заложила народная дипломатия - важнейший фактор урегулирования конфликта, - которая достигла значительных успехов.  Как известно, разрешение конфликтов такого рода невозможно без доброй воли населения.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w:t>
      </w:r>
      <w:r>
        <w:tab/>
        <w:t>Приоритетное для Грузии значение скорейшего урегулирования внутренних конфликтов, причем исключительно мирными средствами, выразилось в решении президента Грузии об учреждении специального поста министра по особым поручениям.  Основной задачей этого должностного лица явится решение вопросов по урегулированию, и в этих целях министр оснащен достаточно широкими полномочиями.</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праве на естественные ресурсы и средства существования</w:t>
      </w:r>
    </w:p>
    <w:p w:rsidR="00000000" w:rsidRDefault="00000000">
      <w:pPr>
        <w:keepNext/>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w:t>
      </w:r>
      <w:r>
        <w:tab/>
        <w:t>Согласно статье 31 Конституции, государство заботится о равномерном социально-экономическом развитии страны.  Законом установлены льготы, обеспечивающие социально-экономический прогресс высокогорных регионов.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w:t>
      </w:r>
      <w:r>
        <w:tab/>
        <w:t>Конституция признает и гарантирует собственность и право наследования, запрещает отмену всеобщего права на приобретение, отчуждение или наследование собственности.  Лишение собственности для необходимых общественных нужд допускается в прямо предусмотренных законом случаях, по решению суда или при возникновении неотложной необходимости, установленной органическим Законом, и только при соответствующем вознаграждении (статья 21).  Государство обязуется содействовать развитию свободного предпринимательства и конкуренции, запрещая в то же время монопольную деятельность и в законном порядке защищая права потребителей (статья 30).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w:t>
      </w:r>
      <w:r>
        <w:tab/>
        <w:t>Сегодня в Грузии немало тяжелых экономических проблем.  Не упорядочен социальный быт людей, особой остроты достиг вопрос занятости, низок уровень заработной платы, недостаточное развитие получил производительный труд.  Одной из центральных задач развития страны является преодоление бедности.  Борьба с бедностью понимается не только как создание условий для физического существования человека.  Не менее важно также формирование благоприятных предпосылок для социальной интеграции каждого человека, его полноценного вовлечения в общественные отношения.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w:t>
      </w:r>
      <w:r>
        <w:tab/>
        <w:t xml:space="preserve">Стратегия экономического развития Грузии направлена на строительство социально ориентированной рыночной экономики современного типа.  Такая экономика основана на следующих принципах:  опора на рыночные механизмы;  </w:t>
      </w:r>
      <w:proofErr w:type="spellStart"/>
      <w:r>
        <w:t>задействование</w:t>
      </w:r>
      <w:proofErr w:type="spellEnd"/>
      <w:r>
        <w:t xml:space="preserve"> потенциала частного сектора;  ограничение  вмешательства государства необходимым минимумом с целью поддержания эффективности рыночных механизмов;  обеспечение государством правил функционирования рыночной экономики, соблюдение социальной справедливости;  оказание государством помощи частному сектору в достижении международной конкуренто</w:t>
      </w:r>
      <w:r>
        <w:softHyphen/>
        <w:t>способности.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w:t>
      </w:r>
      <w:r>
        <w:tab/>
        <w:t>В короткие сроки в Грузии была осуществлена широ</w:t>
      </w:r>
      <w:r>
        <w:softHyphen/>
        <w:t>комасштабная приватизация, прекратилось государственное субси</w:t>
      </w:r>
      <w:r>
        <w:softHyphen/>
        <w:t xml:space="preserve">дирование нерентабельных предприятий, проведены либерализация цен и внешней торговли, реформы финансовой системы.  Столь радикальные изменения вызвали крайнее обострение социальных проблем, и в этом смысле Грузия прошла наиболее болезненный среди стран с переходной экономикой путь.  В то же время можно утверждать, что наша страна опередила большинство государств бывшего СССР на пути строительства полноценной рыночной экономики.  Важной экономической задачей государства по-прежнему остается достижение макроэкономической стабильности.  Начавшийся в 1998 году в России финансовый кризис отразился и на Грузии, поколебав экономическую ситуацию.  Фискальная и монетарная политика государства была направлена на преодоление последствий кризиса.  Правительству удалось стабилизировать курс национальной валюты - лари, хотя и на более низком, но сравнительно с </w:t>
      </w:r>
      <w:proofErr w:type="spellStart"/>
      <w:r>
        <w:t>докризисным</w:t>
      </w:r>
      <w:proofErr w:type="spellEnd"/>
      <w:r>
        <w:t xml:space="preserve"> периодом, уровне, не допустить роста инфляции.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w:t>
      </w:r>
      <w:r>
        <w:tab/>
        <w:t>В настоящее время  макроэкономической стабильности в Грузии угрожает острый бюджетный кризис, вызванный, в основном, крайне низким уровнем государственных доходов.  В связи с этим настоятельной необходимостью является эффективное управление бюджетными процессами, рационализация государственных расходов, способствующих сбалансированности государственного бюджета.  Ресурсы быстрого роста доходной части бюджета состоят, очевидно, и в совершенствовании таможенной и налоговой служб.</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w:t>
      </w:r>
      <w:r>
        <w:tab/>
        <w:t>Истекший с момента представления первоначального доклада период был весьма плодотворным с точки зрения развития международных экономических связей Грузии.  В этом контексте остановимся на наиболее важных моментах: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в 1999 году Грузия стала полноправным членом Всемирной торговой организации;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 xml:space="preserve">в 1996-1999 годах Грузия стала в европейском пространстве одним из ведущих государств в осуществляемых под эгидой </w:t>
      </w:r>
      <w:proofErr w:type="spellStart"/>
      <w:r>
        <w:t>Евросоюза</w:t>
      </w:r>
      <w:proofErr w:type="spellEnd"/>
      <w:r>
        <w:t xml:space="preserve"> проектах - </w:t>
      </w:r>
      <w:proofErr w:type="spellStart"/>
      <w:r>
        <w:t>ТRАСЕСА</w:t>
      </w:r>
      <w:proofErr w:type="spellEnd"/>
      <w:r>
        <w:t xml:space="preserve"> (транспортный коридор </w:t>
      </w:r>
      <w:proofErr w:type="spellStart"/>
      <w:r>
        <w:t>Европа-Кавказ-Азия</w:t>
      </w:r>
      <w:proofErr w:type="spellEnd"/>
      <w:r>
        <w:t xml:space="preserve">) и </w:t>
      </w:r>
      <w:proofErr w:type="spellStart"/>
      <w:r>
        <w:t>INOGATE</w:t>
      </w:r>
      <w:proofErr w:type="spellEnd"/>
      <w:r>
        <w:t xml:space="preserve"> (межгосударственный проект транспортировки нефти и газа в Европу):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 xml:space="preserve">достигнуты принципиальные соглашения по </w:t>
      </w:r>
      <w:proofErr w:type="spellStart"/>
      <w:r>
        <w:t>ОЭТ</w:t>
      </w:r>
      <w:proofErr w:type="spellEnd"/>
      <w:r>
        <w:t xml:space="preserve"> (основному экспортному трубопроводу для каспийской нефти) Баку - </w:t>
      </w:r>
      <w:proofErr w:type="spellStart"/>
      <w:r>
        <w:t>Тбилиси-Джейхан</w:t>
      </w:r>
      <w:proofErr w:type="spellEnd"/>
      <w:r>
        <w:t xml:space="preserve">, а также по </w:t>
      </w:r>
      <w:proofErr w:type="spellStart"/>
      <w:r>
        <w:t>Транскаспийскому</w:t>
      </w:r>
      <w:proofErr w:type="spellEnd"/>
      <w:r>
        <w:t xml:space="preserve"> газопроводу.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Усиливается интеграция Грузии с мировой экономической системой и сотрудничество с международными финансовыми институтами (МВФ, </w:t>
      </w:r>
      <w:proofErr w:type="spellStart"/>
      <w:r>
        <w:t>ВБ</w:t>
      </w:r>
      <w:proofErr w:type="spellEnd"/>
      <w:r>
        <w:t>).  В результате помощи, оказываемой организациями системы Организации Объединенных Наций, создан благоприятный для привлечения инвестиций климат, в значительной мере обеспечивается экономическое развитие государства.</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i/>
          <w:iCs/>
        </w:rPr>
      </w:pPr>
      <w:r>
        <w:rPr>
          <w:i/>
          <w:iCs/>
        </w:rPr>
        <w:t>Об уважении  права на самоопределение</w:t>
      </w:r>
    </w:p>
    <w:p w:rsidR="00000000" w:rsidRDefault="00000000">
      <w:pPr>
        <w:keepNext/>
        <w:tabs>
          <w:tab w:val="clear" w:pos="6237"/>
          <w:tab w:val="left" w:pos="567"/>
          <w:tab w:val="left" w:pos="1134"/>
          <w:tab w:val="left" w:pos="1701"/>
          <w:tab w:val="left" w:pos="2268"/>
        </w:tabs>
        <w:rPr>
          <w:i/>
          <w:iCs/>
        </w:rPr>
      </w:pPr>
    </w:p>
    <w:p w:rsidR="00000000" w:rsidRDefault="00000000">
      <w:pPr>
        <w:tabs>
          <w:tab w:val="clear" w:pos="6237"/>
          <w:tab w:val="left" w:pos="567"/>
          <w:tab w:val="left" w:pos="1134"/>
          <w:tab w:val="left" w:pos="1701"/>
          <w:tab w:val="left" w:pos="2268"/>
        </w:tabs>
      </w:pPr>
      <w:r>
        <w:t>40.</w:t>
      </w:r>
      <w:r>
        <w:tab/>
        <w:t>Грузия с безусловным уважением относится к праву народов на самоопределение как оно интерпретируется современным международным правом.  Данное право следует рассматривать как свободу максимального самовыражения в отрасли традиций, культуры, языка и даже политических институтов, но в границах государства, уважающего это право и права и свободы человека в целом.  Вопросы реализации прав меньшинств в Грузии рассматриваются в настоящем докладе в комментариях к статье 27.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w:t>
      </w:r>
      <w:r>
        <w:tab/>
        <w:t>В контексте данной статьи Пакта делается ссылка на первоначальный доклад Грузии по Пакту об экономических, социальных и культурных правах (</w:t>
      </w:r>
      <w:proofErr w:type="spellStart"/>
      <w:r>
        <w:t>E</w:t>
      </w:r>
      <w:proofErr w:type="spellEnd"/>
      <w:r>
        <w:t>/1990/5/</w:t>
      </w:r>
      <w:proofErr w:type="spellStart"/>
      <w:r>
        <w:t>Add.37</w:t>
      </w:r>
      <w:proofErr w:type="spellEnd"/>
      <w:r>
        <w:t>), комментарии к статье 1 (пункты 25 - 46).</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w:t>
      </w:r>
    </w:p>
    <w:p w:rsidR="00000000" w:rsidRDefault="00000000">
      <w:pPr>
        <w:keepNext/>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Об уважении и  осуществлении прав всех лиц  под юрисдикцией государства</w:t>
      </w:r>
    </w:p>
    <w:p w:rsidR="00000000" w:rsidRDefault="00000000">
      <w:pPr>
        <w:keepNext/>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42.</w:t>
      </w:r>
      <w:r>
        <w:tab/>
        <w:t>Статья 14 Конституции гласит:  "Все люди от рождения свободны и равны перед законом независимо от расы, цвета кожи, языка, пола, религии, политических и иных взглядов, национальной, этнической и социальной принадлежности, происхождения, имущественного и сословного положения, местожительства".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w:t>
      </w:r>
      <w:r>
        <w:tab/>
        <w:t>Согласно Конституции, граждане Грузии равноправны в социальной, экономической, культурной и политической жизни независимо от их языка, национальной, этнической и религиозной принадлежности.  В соответствии с общепризнанными принципами и нормами международного права они вправе свободно, без какой-либо дискриминации и вмешательства развивать собственную культуру, пользоваться родным языком в личной жизни и публично (статья 38,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w:t>
      </w:r>
      <w:r>
        <w:tab/>
        <w:t>В соответствии с пунктом 2 статьи 85 Конституции в районах Грузии, где население не владеет государственным языком, обеспечивается решение вопросов, связанных с изучением государственного языка и судопроизводством.  Внесение в текст Конституции данного положения объясняется наследием советского периода, когда проживающие в Грузии меньшинства не имели мотивации к овладению грузинским языком, а языком межнационального общения являлся русский.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w:t>
      </w:r>
      <w:r>
        <w:tab/>
        <w:t xml:space="preserve">Конституция обеспечивает соблюдение принципа </w:t>
      </w:r>
      <w:proofErr w:type="spellStart"/>
      <w:r>
        <w:t>недискриминационности</w:t>
      </w:r>
      <w:proofErr w:type="spellEnd"/>
      <w:r>
        <w:t xml:space="preserve">  применительно и к </w:t>
      </w:r>
      <w:proofErr w:type="spellStart"/>
      <w:r>
        <w:t>негражданам</w:t>
      </w:r>
      <w:proofErr w:type="spellEnd"/>
      <w:r>
        <w:t xml:space="preserve"> страны, провозглашая, что "иностранные граждане и лица без гражданства, проживающие в Грузии, имеют равные с гражданами Грузии права и обязанности, кроме случаев, предусмотренных Конституцией и законом" (статья 47, пункт 1).  Одним из таких исключений, по Конституции, является правомочие государства устанавливать ограничения политической деятельности как иностранцев, так и лиц без гражданства  (статья 27).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w:t>
      </w:r>
      <w:r>
        <w:tab/>
        <w:t xml:space="preserve">Зафиксированные в главе </w:t>
      </w:r>
      <w:proofErr w:type="spellStart"/>
      <w:r>
        <w:t>II</w:t>
      </w:r>
      <w:proofErr w:type="spellEnd"/>
      <w:r>
        <w:t xml:space="preserve"> Конституции права и свободы человека условно можно разделить на две группы:  права "для всех" и права "для граждан".  Применительно к положениям Пакта Конституция гарантирует всем лицам следующие права:</w:t>
      </w:r>
    </w:p>
    <w:p w:rsidR="00000000" w:rsidRDefault="00000000">
      <w:pPr>
        <w:tabs>
          <w:tab w:val="clear" w:pos="6237"/>
          <w:tab w:val="left" w:pos="567"/>
          <w:tab w:val="left" w:pos="1134"/>
          <w:tab w:val="left" w:pos="1701"/>
          <w:tab w:val="left" w:pos="2268"/>
        </w:tabs>
      </w:pPr>
    </w:p>
    <w:p w:rsidR="00000000" w:rsidRDefault="00000000">
      <w:pPr>
        <w:pStyle w:val="FootnoteText"/>
        <w:tabs>
          <w:tab w:val="clear" w:pos="6237"/>
          <w:tab w:val="left" w:pos="567"/>
          <w:tab w:val="left" w:pos="1134"/>
          <w:tab w:val="left" w:pos="1701"/>
          <w:tab w:val="left" w:pos="2268"/>
        </w:tabs>
        <w:spacing w:line="288" w:lineRule="auto"/>
      </w:pPr>
      <w:r>
        <w:tab/>
        <w:t xml:space="preserve">- </w:t>
      </w:r>
      <w:r>
        <w:tab/>
        <w:t>право на жизнь (статья 15);</w:t>
      </w:r>
    </w:p>
    <w:p w:rsidR="00000000" w:rsidRDefault="00000000">
      <w:pPr>
        <w:tabs>
          <w:tab w:val="clear" w:pos="6237"/>
          <w:tab w:val="left" w:pos="567"/>
          <w:tab w:val="left" w:pos="1134"/>
          <w:tab w:val="left" w:pos="1701"/>
          <w:tab w:val="left" w:pos="2268"/>
        </w:tabs>
      </w:pPr>
      <w:r>
        <w:tab/>
        <w:t xml:space="preserve">- </w:t>
      </w:r>
      <w:r>
        <w:tab/>
        <w:t>запрещение пыток (статья 17, пункт 2);</w:t>
      </w:r>
    </w:p>
    <w:p w:rsidR="00000000" w:rsidRDefault="00000000">
      <w:pPr>
        <w:tabs>
          <w:tab w:val="clear" w:pos="6237"/>
          <w:tab w:val="left" w:pos="567"/>
          <w:tab w:val="left" w:pos="1134"/>
          <w:tab w:val="left" w:pos="1701"/>
          <w:tab w:val="left" w:pos="2268"/>
        </w:tabs>
      </w:pPr>
      <w:r>
        <w:tab/>
        <w:t xml:space="preserve">- </w:t>
      </w:r>
      <w:r>
        <w:tab/>
        <w:t>свободу труда (статья 30, пункт 1);</w:t>
      </w:r>
    </w:p>
    <w:p w:rsidR="00000000" w:rsidRDefault="00000000">
      <w:pPr>
        <w:tabs>
          <w:tab w:val="clear" w:pos="6237"/>
          <w:tab w:val="left" w:pos="567"/>
          <w:tab w:val="left" w:pos="1134"/>
          <w:tab w:val="left" w:pos="1701"/>
          <w:tab w:val="left" w:pos="2268"/>
        </w:tabs>
      </w:pPr>
      <w:r>
        <w:tab/>
        <w:t xml:space="preserve">- </w:t>
      </w:r>
      <w:r>
        <w:tab/>
        <w:t>право на свободу и личную неприкосновенность (статья 18);</w:t>
      </w:r>
    </w:p>
    <w:p w:rsidR="00000000" w:rsidRDefault="00000000">
      <w:pPr>
        <w:tabs>
          <w:tab w:val="clear" w:pos="6237"/>
          <w:tab w:val="left" w:pos="567"/>
          <w:tab w:val="left" w:pos="1134"/>
          <w:tab w:val="left" w:pos="1701"/>
          <w:tab w:val="left" w:pos="2268"/>
        </w:tabs>
      </w:pPr>
      <w:r>
        <w:tab/>
        <w:t xml:space="preserve">- </w:t>
      </w:r>
      <w:r>
        <w:tab/>
        <w:t>свободу передвижения и выбора места жительства (статья 22);</w:t>
      </w:r>
    </w:p>
    <w:p w:rsidR="00000000" w:rsidRDefault="00000000">
      <w:pPr>
        <w:tabs>
          <w:tab w:val="clear" w:pos="6237"/>
          <w:tab w:val="left" w:pos="567"/>
          <w:tab w:val="left" w:pos="1134"/>
          <w:tab w:val="left" w:pos="1701"/>
          <w:tab w:val="left" w:pos="2268"/>
        </w:tabs>
      </w:pPr>
      <w:r>
        <w:tab/>
        <w:t xml:space="preserve">- </w:t>
      </w:r>
      <w:r>
        <w:tab/>
        <w:t>право на справедливый суд (статьи 40, 42 и 85);</w:t>
      </w:r>
    </w:p>
    <w:p w:rsidR="00000000" w:rsidRDefault="00000000">
      <w:pPr>
        <w:tabs>
          <w:tab w:val="clear" w:pos="6237"/>
          <w:tab w:val="left" w:pos="567"/>
          <w:tab w:val="left" w:pos="1134"/>
          <w:tab w:val="left" w:pos="1701"/>
          <w:tab w:val="left" w:pos="2268"/>
        </w:tabs>
      </w:pPr>
      <w:r>
        <w:tab/>
        <w:t xml:space="preserve">- </w:t>
      </w:r>
      <w:r>
        <w:tab/>
        <w:t>запрещение ретроактивного действия закона (статья 42, пункт 5);</w:t>
      </w:r>
    </w:p>
    <w:p w:rsidR="00000000" w:rsidRDefault="00000000">
      <w:pPr>
        <w:tabs>
          <w:tab w:val="clear" w:pos="6237"/>
          <w:tab w:val="left" w:pos="567"/>
          <w:tab w:val="left" w:pos="1134"/>
          <w:tab w:val="left" w:pos="1701"/>
          <w:tab w:val="left" w:pos="2268"/>
        </w:tabs>
      </w:pPr>
      <w:r>
        <w:tab/>
        <w:t xml:space="preserve">- </w:t>
      </w:r>
      <w:r>
        <w:tab/>
        <w:t>неприкосновенность личной и семейной жизни (статья  20);</w:t>
      </w:r>
    </w:p>
    <w:p w:rsidR="00000000" w:rsidRDefault="00000000">
      <w:pPr>
        <w:tabs>
          <w:tab w:val="clear" w:pos="6237"/>
          <w:tab w:val="left" w:pos="567"/>
          <w:tab w:val="left" w:pos="1134"/>
          <w:tab w:val="left" w:pos="1701"/>
          <w:tab w:val="left" w:pos="2268"/>
        </w:tabs>
      </w:pPr>
      <w:r>
        <w:tab/>
        <w:t xml:space="preserve">- </w:t>
      </w:r>
      <w:r>
        <w:tab/>
        <w:t>свободу мысли, совести и религии (статьи 9, 19);</w:t>
      </w:r>
    </w:p>
    <w:p w:rsidR="00000000" w:rsidRDefault="00000000">
      <w:pPr>
        <w:tabs>
          <w:tab w:val="clear" w:pos="6237"/>
          <w:tab w:val="left" w:pos="567"/>
          <w:tab w:val="left" w:pos="1134"/>
          <w:tab w:val="left" w:pos="1701"/>
          <w:tab w:val="left" w:pos="2268"/>
        </w:tabs>
      </w:pPr>
      <w:r>
        <w:tab/>
        <w:t xml:space="preserve">- </w:t>
      </w:r>
      <w:r>
        <w:tab/>
        <w:t>свободу мнений и информации (статьи 19, 24);</w:t>
      </w:r>
    </w:p>
    <w:p w:rsidR="00000000" w:rsidRDefault="00000000">
      <w:pPr>
        <w:tabs>
          <w:tab w:val="clear" w:pos="6237"/>
          <w:tab w:val="left" w:pos="567"/>
          <w:tab w:val="left" w:pos="1134"/>
          <w:tab w:val="left" w:pos="1701"/>
          <w:tab w:val="left" w:pos="2268"/>
        </w:tabs>
      </w:pPr>
      <w:r>
        <w:tab/>
        <w:t xml:space="preserve">- </w:t>
      </w:r>
      <w:r>
        <w:tab/>
        <w:t>свободу мирных собраний (статья 25);</w:t>
      </w:r>
    </w:p>
    <w:p w:rsidR="00000000" w:rsidRDefault="00000000">
      <w:pPr>
        <w:tabs>
          <w:tab w:val="clear" w:pos="6237"/>
          <w:tab w:val="left" w:pos="567"/>
          <w:tab w:val="left" w:pos="1134"/>
          <w:tab w:val="left" w:pos="1701"/>
          <w:tab w:val="left" w:pos="2268"/>
        </w:tabs>
        <w:ind w:left="1134" w:hanging="1134"/>
      </w:pPr>
      <w:r>
        <w:tab/>
        <w:t xml:space="preserve">- </w:t>
      </w:r>
      <w:r>
        <w:tab/>
        <w:t>свободу ассоциаций (статья 26);  (</w:t>
      </w:r>
      <w:r>
        <w:rPr>
          <w:i/>
          <w:iCs/>
        </w:rPr>
        <w:t>Примечание</w:t>
      </w:r>
      <w:r>
        <w:t>:  В качестве условия для создания политической партии и членства в ней предусмотрено гражданство.);</w:t>
      </w:r>
    </w:p>
    <w:p w:rsidR="00000000" w:rsidRDefault="00000000">
      <w:pPr>
        <w:tabs>
          <w:tab w:val="clear" w:pos="6237"/>
          <w:tab w:val="left" w:pos="567"/>
          <w:tab w:val="left" w:pos="1134"/>
          <w:tab w:val="left" w:pos="1701"/>
          <w:tab w:val="left" w:pos="2268"/>
        </w:tabs>
        <w:ind w:left="1134" w:hanging="1134"/>
      </w:pPr>
      <w:r>
        <w:tab/>
        <w:t xml:space="preserve">- </w:t>
      </w:r>
      <w:r>
        <w:tab/>
        <w:t>право на вступление в брак и создание семьи (статья 36, пункт 1);</w:t>
      </w:r>
    </w:p>
    <w:p w:rsidR="00000000" w:rsidRDefault="00000000">
      <w:pPr>
        <w:tabs>
          <w:tab w:val="clear" w:pos="6237"/>
          <w:tab w:val="left" w:pos="567"/>
          <w:tab w:val="left" w:pos="1134"/>
          <w:tab w:val="left" w:pos="1701"/>
          <w:tab w:val="left" w:pos="2268"/>
        </w:tabs>
        <w:ind w:left="1134" w:hanging="1134"/>
      </w:pPr>
      <w:r>
        <w:tab/>
        <w:t xml:space="preserve">- </w:t>
      </w:r>
      <w:r>
        <w:tab/>
        <w:t>гражданские права ребенка (статья 12, пункт 1);</w:t>
      </w:r>
    </w:p>
    <w:p w:rsidR="00000000" w:rsidRDefault="00000000">
      <w:pPr>
        <w:tabs>
          <w:tab w:val="clear" w:pos="6237"/>
          <w:tab w:val="left" w:pos="567"/>
          <w:tab w:val="left" w:pos="1134"/>
          <w:tab w:val="left" w:pos="1701"/>
          <w:tab w:val="left" w:pos="2268"/>
        </w:tabs>
        <w:ind w:left="1134" w:hanging="1134"/>
      </w:pPr>
      <w:r>
        <w:tab/>
        <w:t xml:space="preserve">- </w:t>
      </w:r>
      <w:r>
        <w:tab/>
        <w:t>запрещение дискриминации перед законом (статья 14);</w:t>
      </w:r>
    </w:p>
    <w:p w:rsidR="00000000" w:rsidRDefault="00000000">
      <w:pPr>
        <w:tabs>
          <w:tab w:val="clear" w:pos="6237"/>
          <w:tab w:val="left" w:pos="567"/>
          <w:tab w:val="left" w:pos="1134"/>
          <w:tab w:val="left" w:pos="1701"/>
          <w:tab w:val="left" w:pos="2268"/>
        </w:tabs>
        <w:ind w:left="1134" w:hanging="1134"/>
      </w:pPr>
      <w:r>
        <w:tab/>
        <w:t xml:space="preserve">- </w:t>
      </w:r>
      <w:r>
        <w:tab/>
        <w:t>права меньшинств (статья 34, пункт 1 и статья 38,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Только на граждан распространяются следующие права: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право на свободные выборы и доступ к государственной службе (статьи 28, 29);</w:t>
      </w:r>
    </w:p>
    <w:p w:rsidR="00000000" w:rsidRDefault="00000000">
      <w:pPr>
        <w:tabs>
          <w:tab w:val="clear" w:pos="6237"/>
          <w:tab w:val="left" w:pos="567"/>
          <w:tab w:val="left" w:pos="1134"/>
          <w:tab w:val="left" w:pos="1701"/>
          <w:tab w:val="left" w:pos="2268"/>
        </w:tabs>
        <w:ind w:left="1134" w:hanging="1134"/>
      </w:pPr>
      <w:r>
        <w:tab/>
        <w:t xml:space="preserve">- </w:t>
      </w:r>
      <w:r>
        <w:tab/>
        <w:t>запрещение выдворения из страны (статья 13, пункт 3);</w:t>
      </w:r>
    </w:p>
    <w:p w:rsidR="00000000" w:rsidRDefault="00000000">
      <w:pPr>
        <w:tabs>
          <w:tab w:val="clear" w:pos="6237"/>
          <w:tab w:val="left" w:pos="567"/>
          <w:tab w:val="left" w:pos="1134"/>
          <w:tab w:val="left" w:pos="1701"/>
          <w:tab w:val="left" w:pos="2268"/>
        </w:tabs>
        <w:ind w:left="1134" w:hanging="1134"/>
      </w:pPr>
      <w:r>
        <w:tab/>
        <w:t xml:space="preserve">- </w:t>
      </w:r>
      <w:r>
        <w:tab/>
        <w:t>право на свободу информации в части, касающейся доступа к данным, хранящимся в государственных органах (статья 41).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w:t>
      </w:r>
      <w:r>
        <w:tab/>
        <w:t>Подробная информация о запрете дискриминации в грузинском законодательстве содержится в разделе настоящего доклада по статье 26 Пакта.</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i/>
          <w:iCs/>
        </w:rPr>
      </w:pPr>
      <w:r>
        <w:rPr>
          <w:i/>
          <w:iCs/>
        </w:rPr>
        <w:t>О средствах правовой защиты</w:t>
      </w:r>
    </w:p>
    <w:p w:rsidR="00000000" w:rsidRDefault="00000000">
      <w:pPr>
        <w:keepNext/>
        <w:tabs>
          <w:tab w:val="clear" w:pos="6237"/>
          <w:tab w:val="left" w:pos="567"/>
          <w:tab w:val="left" w:pos="1134"/>
          <w:tab w:val="left" w:pos="1701"/>
          <w:tab w:val="left" w:pos="2268"/>
        </w:tabs>
        <w:rPr>
          <w:i/>
          <w:iCs/>
        </w:rPr>
      </w:pPr>
    </w:p>
    <w:p w:rsidR="00000000" w:rsidRDefault="00000000">
      <w:pPr>
        <w:tabs>
          <w:tab w:val="clear" w:pos="6237"/>
          <w:tab w:val="left" w:pos="567"/>
          <w:tab w:val="left" w:pos="1134"/>
          <w:tab w:val="left" w:pos="1701"/>
          <w:tab w:val="left" w:pos="2268"/>
        </w:tabs>
      </w:pPr>
      <w:r>
        <w:t>48.</w:t>
      </w:r>
      <w:r>
        <w:tab/>
        <w:t>Согласно Конституции, каждый человек имеет право обратиться в суд за защитой своих прав и свобод.  За счет государственных средств в судебном порядке всем гарантируется полное возмещение ущерба, незаконно нанесенного государственными органами, органами самоуправления, а также их служащими (статья 42, пункты 1 и 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w:t>
      </w:r>
      <w:r>
        <w:tab/>
        <w:t>В Грузии в числе средств правовой защиты, предназначенных для восстановления нарушенных прав и свобод любого лица, приоритет отдается судебным механизмам, что, однако, не исключает применения иных предусмотренных законом возможностей правовой защиты.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w:t>
      </w:r>
      <w:r>
        <w:tab/>
        <w:t xml:space="preserve">В контексте данного пункта статьи 2 представляется целесообразным сделать ссылку на первоначальный доклад Грузии об осуществлении Конвенции о ликвидации всех форм расовой дискриминации, представленный соответствующему договорному органу Организации Объединенных Наций в мае 2000 года.  В разделе упомянутого доклада по статье 6 Конвенции содержится достаточно подробная информация о структуре и порядке деятельности судебной системы (пункты 283-290), судебной процедуре конституционного надзора (пункты 291, 292), административном судопроизводстве (пункты 293-295), гражданском судопроизводстве (пункты 296, 297), уголовном </w:t>
      </w:r>
      <w:proofErr w:type="spellStart"/>
      <w:r>
        <w:t>правопроизводстве</w:t>
      </w:r>
      <w:proofErr w:type="spellEnd"/>
      <w:r>
        <w:t xml:space="preserve"> (пункты 298-302), а также относительно права обращаться за защитой нарушенных прав и свобод в другие учреждения (пункты 303, 304).  Помимо этого, любое лицо вправе апеллировать в связи с посягательством на его права и свободы к соответствующим структурам законодательной и исполнительной власти, упомянутым во "Введении" к настоящему докладу.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w:t>
      </w:r>
      <w:r>
        <w:tab/>
        <w:t>Как упоминалось в разделе "Введение", судейский корпус Грузии в достаточной мере осведомлен о правах и свободах человека, предусмотренных Пактом, а также иными договорами, участником которых является наше государство.  Что касается вопросов обучения других категорий государственных служащих, то следует отметить, что с момента своего создания (октябрь 1997 года) аппарат Народного защитника Грузии начал периодически проводить семинары и тренинги по правозащитной тематике как с участием местных, так и международных экспертов.  Примечательно, что некоторые семинары, проводимые в 1999 году, носили характер "тренинга для тренеров" и впоследствии их участники - работники районных органов полиции и прокуратуры - организовали специальные занятия по правам человека среди своих коллег на местах.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w:t>
      </w:r>
      <w:r>
        <w:tab/>
        <w:t>Применительно к роли средств массовой информации в повышении информированности населения о правах и свободах человека сошлемся на первоначальный доклад по Конвенции о ликвидации всех форм расовой дискриминации  (пункты 321, 322).</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b w:val="0"/>
          <w:bCs w:val="0"/>
          <w:sz w:val="24"/>
          <w:u w:val="none"/>
          <w:lang w:eastAsia="en-US"/>
        </w:rPr>
      </w:pPr>
      <w:r>
        <w:rPr>
          <w:sz w:val="24"/>
          <w:u w:val="none"/>
        </w:rPr>
        <w:t>Статья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w:t>
      </w:r>
      <w:r>
        <w:tab/>
        <w:t>Как отмечалось выше, статья 14 Конституции постулирует свободу и равенство всех людей перед законом, в частности, независимо и от пола.  Применительно к женщинам заслуживает внимания еще одно конституционное положение, предусматривающее охрану прав материнства со стороны закона (статья 36,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w:t>
      </w:r>
      <w:r>
        <w:tab/>
        <w:t xml:space="preserve">Исходя  из значения, придаваемого на современном этапе вопросам достижения </w:t>
      </w:r>
      <w:proofErr w:type="spellStart"/>
      <w:r>
        <w:t>гендерного</w:t>
      </w:r>
      <w:proofErr w:type="spellEnd"/>
      <w:r>
        <w:t xml:space="preserve"> равенства, возможно, имело бы смысл прямо воспроизвести в Конституции формулировку статьи 3 Пакта.  Подобный шаг полностью отвечал бы как духу и букве грузинского законодательства, так и международным обязательствам нашей страны в сфере прав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w:t>
      </w:r>
      <w:r>
        <w:tab/>
        <w:t>22 сентября 1994 года Грузия присоединилась к Конвенции о ликвидации всех форм дискриминации в отношении женщин, тем самым взяв на себя обязательство выполнять ее положения и периодически представлять доклады соответствующему договорному органу Организации Объединенных Наций.  В 1998 году наша страна представила первоначальный доклад Комитету по ликвидации дискриминации в отношении женщин.  Доклад был рассмотрен Комитетом в июне 1999 года на его двадцать первой сессии.  Наряду с позитивной оценкой предпринятых Грузией мер по осуществлению Конвенции Комитет представил ряд рекомендаций по вопросам, вызвавшим его озабоченность.  На основе этих рекомендаций Государственная комиссия по разработке политики в области развития женщин, созданная в феврале 1998 года, подготовила проект указа президента Грузии "О мерах по усилению защиты прав женщин  в Грузии".  Проект был обсужден на заседании правительства Грузии и подписан президентом.  Согласно указу, вышеупомянутой Государственной комиссии поручено осуществлять перманентный мониторинг "Национального плана действий по улучшению положения женщин" (принят в июне 1998 года согласно распоряжению президента страны), а также разработать "Национальную программу по борьбе с насилием против женщин, включая домашнее насилие".  Программа была разработана, и в феврале 2000 года президент Грузии издал указ "Об утверждении плана борьбы против насилия в отношении женщин на 2000-2002 годы".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w:t>
      </w:r>
      <w:r>
        <w:tab/>
        <w:t xml:space="preserve">С 1997 года осуществляется совместный проект правительства Грузии и Программы развития Организации Объединенных Наций "Женщины в развитии".  На первом этапе проекта (1998-1999 годы) основное внимание было уделено вопросам преодоления стереотипных подходов к </w:t>
      </w:r>
      <w:proofErr w:type="spellStart"/>
      <w:r>
        <w:t>гендерной</w:t>
      </w:r>
      <w:proofErr w:type="spellEnd"/>
      <w:r>
        <w:t xml:space="preserve"> проблематике, ознакомлению общества с самой сутью этих проблем, обеспечению более активного вовлечения женщин в социально-экономическую и политическую жизнь страны.  Реализация проекта содействовала росту в обществе интереса к проблемам женщин, учреждению Государственной комиссии по разработке политики в области развития женщин и ее деятельности, осуществлению "Национального плана действий...".  Несмотря на финансовые трудности, в бюджете на 2000 год предусмотрено долевое участие государства в этой программе (60 000 лари), что указывает на интерес государства к </w:t>
      </w:r>
      <w:proofErr w:type="spellStart"/>
      <w:r>
        <w:t>гендерной</w:t>
      </w:r>
      <w:proofErr w:type="spellEnd"/>
      <w:r>
        <w:t xml:space="preserve"> проблематике.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w:t>
      </w:r>
      <w:r>
        <w:tab/>
        <w:t>Основными проблемами, влияющими на осуществление прав женщин в Грузии, являются: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 xml:space="preserve">неадекватная </w:t>
      </w:r>
      <w:proofErr w:type="spellStart"/>
      <w:r>
        <w:t>представленность</w:t>
      </w:r>
      <w:proofErr w:type="spellEnd"/>
      <w:r>
        <w:t xml:space="preserve"> на уровне принятия решений в структурах законодательной и исполнительной власти в центре и на местах (в судебной системе ситуация иная - около половины судейского корпуса составляют женщины);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возросший уровень бедности в переходный период, особенно среди лиц с фиксированным доходом - работников бюджетной сферы и пенсионеров - что, в частности, связано с кризисными явлениями в финансовой и бюджетной областях и многомесячной задолженностью государства по выплатам заработной платы и пенсий;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более высокий уровень безработицы, чем у мужчин, наряду с практической невозможностью найти работу специалистам с высшим образованием (на рынке труда превалируют профессии сферы услуг и торговли, не требующие  высокой квалификации);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последствия внутренних конфликтов, в результате которых тысячи женщин оказались в положении перемещенных лиц;</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недостаточная осведомленность о своих правах и свободах и способах их защиты, правовая неграмотность в целом (что характерно и для мужчин).</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w:t>
      </w:r>
      <w:r>
        <w:tab/>
        <w:t xml:space="preserve">Подробная информация относительно </w:t>
      </w:r>
      <w:proofErr w:type="spellStart"/>
      <w:r>
        <w:t>недискриминационности</w:t>
      </w:r>
      <w:proofErr w:type="spellEnd"/>
      <w:r>
        <w:t xml:space="preserve"> грузинского законодательства, в том числе применительно к полу, о положении с его реализацией на практике, деятельности учреждений, занимающихся проблемами женщин, о проблемах </w:t>
      </w:r>
      <w:proofErr w:type="spellStart"/>
      <w:r>
        <w:t>гендерного</w:t>
      </w:r>
      <w:proofErr w:type="spellEnd"/>
      <w:r>
        <w:t xml:space="preserve"> равенства и развития женщин в целом содержится в первоначальном докладе по Конвенции о ликвидации всех форм дискриминации в отношении женщин (</w:t>
      </w:r>
      <w:proofErr w:type="spellStart"/>
      <w:r>
        <w:t>CEDAW</w:t>
      </w:r>
      <w:proofErr w:type="spellEnd"/>
      <w:r>
        <w:t>/</w:t>
      </w:r>
      <w:proofErr w:type="spellStart"/>
      <w:r>
        <w:t>C</w:t>
      </w:r>
      <w:proofErr w:type="spellEnd"/>
      <w:r>
        <w:t>/</w:t>
      </w:r>
      <w:proofErr w:type="spellStart"/>
      <w:r>
        <w:t>GEO</w:t>
      </w:r>
      <w:proofErr w:type="spellEnd"/>
      <w:r>
        <w:t xml:space="preserve">/1 и </w:t>
      </w:r>
      <w:proofErr w:type="spellStart"/>
      <w:r>
        <w:t>Add.1</w:t>
      </w:r>
      <w:proofErr w:type="spellEnd"/>
      <w:r>
        <w:t xml:space="preserve"> и </w:t>
      </w:r>
      <w:proofErr w:type="spellStart"/>
      <w:r>
        <w:t>Corr.1</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w:t>
      </w:r>
      <w:r>
        <w:tab/>
        <w:t>Следует отметить, что с момента представления вышеуказанных документов существенных изменений в положении женщин не произошло.  Имели место лишь незначительные колебания в некоторых показателях, не влияющие на общие традиции, о которых говорилось выше в настоящем разделе.</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60.</w:t>
      </w:r>
      <w:r>
        <w:tab/>
        <w:t>Согласно Конституции (статья 46), во время чрезвычайного или военного положения президент Грузии вправе ограничить в стране или в какой-либо ее части ряд конституционных прав и свобод.  Свое решение президент обязан в течение 48 часов внести на утверждение парламента.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61.</w:t>
      </w:r>
      <w:r>
        <w:tab/>
        <w:t>В соответствии с вышеуказанной статьей Конституции ограничению в случае чрезвычайного (военного) положения могут подлежать следующие права и свободы: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неприкосновенность свободы человека (статья 18);</w:t>
      </w:r>
    </w:p>
    <w:p w:rsidR="00000000" w:rsidRDefault="00000000">
      <w:pPr>
        <w:tabs>
          <w:tab w:val="clear" w:pos="6237"/>
          <w:tab w:val="left" w:pos="567"/>
          <w:tab w:val="left" w:pos="1134"/>
          <w:tab w:val="left" w:pos="1701"/>
          <w:tab w:val="left" w:pos="2268"/>
        </w:tabs>
      </w:pPr>
      <w:r>
        <w:tab/>
        <w:t xml:space="preserve">- </w:t>
      </w:r>
      <w:r>
        <w:tab/>
        <w:t>неприкосновенность личной жизни (статья 20);</w:t>
      </w:r>
    </w:p>
    <w:p w:rsidR="00000000" w:rsidRDefault="00000000">
      <w:pPr>
        <w:tabs>
          <w:tab w:val="clear" w:pos="6237"/>
          <w:tab w:val="left" w:pos="567"/>
          <w:tab w:val="left" w:pos="1134"/>
          <w:tab w:val="left" w:pos="1701"/>
          <w:tab w:val="left" w:pos="2268"/>
        </w:tabs>
      </w:pPr>
      <w:r>
        <w:tab/>
        <w:t xml:space="preserve">- </w:t>
      </w:r>
      <w:r>
        <w:tab/>
        <w:t>неприкосновенность собственности (статья 21);</w:t>
      </w:r>
    </w:p>
    <w:p w:rsidR="00000000" w:rsidRDefault="00000000">
      <w:pPr>
        <w:tabs>
          <w:tab w:val="clear" w:pos="6237"/>
          <w:tab w:val="left" w:pos="567"/>
          <w:tab w:val="left" w:pos="1134"/>
          <w:tab w:val="left" w:pos="1701"/>
          <w:tab w:val="left" w:pos="2268"/>
        </w:tabs>
      </w:pPr>
      <w:r>
        <w:tab/>
        <w:t xml:space="preserve">- </w:t>
      </w:r>
      <w:r>
        <w:tab/>
        <w:t>свобода передвижения (статья 22);</w:t>
      </w:r>
    </w:p>
    <w:p w:rsidR="00000000" w:rsidRDefault="00000000">
      <w:pPr>
        <w:tabs>
          <w:tab w:val="clear" w:pos="6237"/>
          <w:tab w:val="left" w:pos="567"/>
          <w:tab w:val="left" w:pos="1134"/>
          <w:tab w:val="left" w:pos="1701"/>
          <w:tab w:val="left" w:pos="2268"/>
        </w:tabs>
      </w:pPr>
      <w:r>
        <w:tab/>
        <w:t xml:space="preserve">- </w:t>
      </w:r>
      <w:r>
        <w:tab/>
        <w:t>свобода информации (статьи 24 и 41);</w:t>
      </w:r>
    </w:p>
    <w:p w:rsidR="00000000" w:rsidRDefault="00000000">
      <w:pPr>
        <w:tabs>
          <w:tab w:val="clear" w:pos="6237"/>
          <w:tab w:val="left" w:pos="567"/>
          <w:tab w:val="left" w:pos="1134"/>
          <w:tab w:val="left" w:pos="1701"/>
          <w:tab w:val="left" w:pos="2268"/>
        </w:tabs>
      </w:pPr>
      <w:r>
        <w:tab/>
        <w:t xml:space="preserve">- </w:t>
      </w:r>
      <w:r>
        <w:tab/>
        <w:t>свобода мирных собраний (статья 25);</w:t>
      </w:r>
    </w:p>
    <w:p w:rsidR="00000000" w:rsidRDefault="00000000">
      <w:pPr>
        <w:tabs>
          <w:tab w:val="clear" w:pos="6237"/>
          <w:tab w:val="left" w:pos="567"/>
          <w:tab w:val="left" w:pos="1134"/>
          <w:tab w:val="left" w:pos="1701"/>
          <w:tab w:val="left" w:pos="2268"/>
        </w:tabs>
      </w:pPr>
      <w:r>
        <w:tab/>
        <w:t xml:space="preserve">- </w:t>
      </w:r>
      <w:r>
        <w:tab/>
        <w:t>свобода труда (статья 30);</w:t>
      </w:r>
    </w:p>
    <w:p w:rsidR="00000000" w:rsidRDefault="00000000">
      <w:pPr>
        <w:tabs>
          <w:tab w:val="clear" w:pos="6237"/>
          <w:tab w:val="left" w:pos="567"/>
          <w:tab w:val="left" w:pos="1134"/>
          <w:tab w:val="left" w:pos="1701"/>
          <w:tab w:val="left" w:pos="2268"/>
        </w:tabs>
      </w:pPr>
      <w:r>
        <w:tab/>
        <w:t xml:space="preserve">- </w:t>
      </w:r>
      <w:r>
        <w:tab/>
        <w:t>право на забастовку (статья 33).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62.</w:t>
      </w:r>
      <w:r>
        <w:tab/>
        <w:t>Помимо этого, пункт 2 статьи 46 косвенно ограничивает право на свободные выборы, указывая, что выборы любого рода в стране могут проводиться только после отмены чрезвычайного (военного) положения.  Следует отметить также, что объявление чрезвычайного (военного) положения влечет приостановление пересмотра Конституции до отмены указанного положения (Конституция, статья 103).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63.</w:t>
      </w:r>
      <w:r>
        <w:tab/>
        <w:t>Конституция не наделяет исключительной прерогативой введения чрезвычайного (военного) положения какую-либо одну ветвь власти, предусматривая утверждение решения президента - главы государства и исполнительной власти - высшим законодательным органом страны.  Подобный подход по существу исключает возможность принятия необоснованных или произвольных решений.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64.</w:t>
      </w:r>
      <w:r>
        <w:tab/>
        <w:t xml:space="preserve">Согласно статье 4 Пакта, в условиях чрезвычайного  положения не подлежат ограничению право на жизнь (статья 6), право не подвергаться пыткам (статья 7), свобода от рабства и подневольного состояния (статья 8, пункты 1 и 2), запрещение лишения свободы за невыполнение договорного обязательства (статья 11), запрещение ретроактивного действия закона (статья 15), право на признание </w:t>
      </w:r>
      <w:proofErr w:type="spellStart"/>
      <w:r>
        <w:t>правосубъектности</w:t>
      </w:r>
      <w:proofErr w:type="spellEnd"/>
      <w:r>
        <w:t xml:space="preserve"> конкретного лица (статья 16), право на свободу мысли, совести и религии (статья 18).  Сопоставление ограничительных положений Конституции и требований Пакта показывает, что между ними нет противоречий.  Предусмотренное Конституцией ограничение свободы труда полностью отвечает условиям пункта 3 (подпункт с) - </w:t>
      </w:r>
      <w:proofErr w:type="spellStart"/>
      <w:r>
        <w:t>III</w:t>
      </w:r>
      <w:proofErr w:type="spellEnd"/>
      <w:r>
        <w:t xml:space="preserve">) </w:t>
      </w:r>
      <w:proofErr w:type="spellStart"/>
      <w:r>
        <w:t>cтатьи</w:t>
      </w:r>
      <w:proofErr w:type="spellEnd"/>
      <w:r>
        <w:t xml:space="preserve"> 8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65.</w:t>
      </w:r>
      <w:r>
        <w:tab/>
        <w:t>Конституция не отражает обязанности государства информировать какую-либо международную организацию или иное государство о введении и отмене чрезвычайного положения.  Эта процедура предусмотрена соответствующими законодательными актами Грузии, о чем говорится ниже.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66.</w:t>
      </w:r>
      <w:r>
        <w:tab/>
        <w:t>Вопросы объявления и осуществления режима чрезвычайного (военного) положения регулируются еще несколькими статьями Конституции.  Так, статья 61 оговаривает, что парламент собирается по собственному праву в течение 48 часов после объявления президентом Грузии чрезвычайного (военного) положения.  Решения парламента в связи с вопросами чрезвычайного (военного) положения, а также ограничения конституционных прав и свобод принимаются большинством голосов полного состава высшего  законодательного органа (статья 62).  Весьма важен пункт "</w:t>
      </w:r>
      <w:proofErr w:type="spellStart"/>
      <w:r>
        <w:t>з</w:t>
      </w:r>
      <w:proofErr w:type="spellEnd"/>
      <w:r>
        <w:t>" статьи 73 Конституции, определяющий предпосылки введения  чрезвычайного положения - война или массовые беспорядки, посягательство на территориальную целостность страны, военный переворот или вооруженное восстание, экологическая катастрофа или эпидемии, иные случаи, когда органы государственной власти лишены возможности нормально осуществлять свои конституционные полномочия.  В том же пункте указано, что во время чрезвычайного положения президент издает имеющие силу закона декреты, действующие до окончания чрезвычайного положения.  Вместе с тем, декреты подлежат представлению в парламент, а чрезвычайные полномочия в целом распространяются только на ту территорию, где объявлено чрезвычайное положение.  Что касается собственно военного положения, то президент объявляет его "в случае вооруженного нападения на Грузию" (статья 73, пункт "ж").</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67.</w:t>
      </w:r>
      <w:r>
        <w:tab/>
        <w:t>Вопросы, связанные с чрезвычайными ситуациями, регулируются принятыми в октябре 1997 года законами "О чрезвычайном положении" и "О военном положении".  Формулировки обоих законов и даже их структура (вплоть до нумерации статей) практически идентичны.  Это дает возможность рассмотреть оба закона одновременно, с указанием имеющихся различий.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68.</w:t>
      </w:r>
      <w:r>
        <w:tab/>
        <w:t xml:space="preserve">В обоих законах текстуально повторяются конституционные положения о процедуре введения чрезвычайного (военного) положения, воспроизведен перечень прав и свобод, которые могут быть ограничены.  Законы предусматривают, что </w:t>
      </w:r>
      <w:proofErr w:type="spellStart"/>
      <w:r>
        <w:t>правоограничивающие</w:t>
      </w:r>
      <w:proofErr w:type="spellEnd"/>
      <w:r>
        <w:t xml:space="preserve"> декреты президента подлежат утверждению парламентом (статья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69.</w:t>
      </w:r>
      <w:r>
        <w:tab/>
        <w:t>Согласно статье 3 обоих законов, в указе президента о чрезвычайном (военном) положении должны быть изложены мотивы принятия такого решения, срок действия, а в случае чрезвычайного положения - также его территориальные границы.  Военное положение, в отличие от чрезвычайного, объявляется на всей территории страны (закон "О военном положении", статья 2, пункт 1).  Продление срока или досрочная отмена чрезвычайного (военного) положения допускаются с согласия парламента.  С момента отмены чрезвычайного (военного) положения  все изданные президентом в этот период декреты утрачивают силу.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70.</w:t>
      </w:r>
      <w:r>
        <w:tab/>
        <w:t>В период чрезвычайного (военного) положения высшие органы исполнительной власти вправе осуществлять, с соблюдением требований законодательства, ряд мероприятий, вследствие которых в определенной мере ограничиваются права и свободы человека, а именно: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введение в местах действия чрезвычайного (военного) положения особого режима въезда и выезда граждан, ограничение свободы передвижения (статья 4, пункты "в" и "г");</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запрет на проведение на территории, в период действия чрезвычайного  положения (в период военного положения), собраний, митингов, уличных шествий, демонстраций и иных массовых мероприятий  (статья 4, пункт "</w:t>
      </w:r>
      <w:proofErr w:type="spellStart"/>
      <w:r>
        <w:t>е</w:t>
      </w:r>
      <w:proofErr w:type="spellEnd"/>
      <w:r>
        <w:t>");</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учреждение, в соответствии с законом, контроля над средствами массовой информации (статья 4, пункт "н");</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временный запрет на освобождение от работы по собственному желанию рабочих и служащих государственных предприятий, учреждений и организаций стратегического и жизненно важного значения, привлечение трудоспособных граждан к работе на предприятиях, в организациях и учреждениях (статья 4, пункты "ж" и "к");</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запрет на проведение забастовок (статья 4, пункт "и");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с целью предотвращения и ликвидации последствий чрезвычайной ситуации (военных действий) - использование с соответствующей компенсацией принадлежащих юридическим и физическим лицам имущества и материальных средств (статья 4, пункт "</w:t>
      </w:r>
      <w:proofErr w:type="spellStart"/>
      <w:r>
        <w:t>з</w:t>
      </w:r>
      <w:proofErr w:type="spellEnd"/>
      <w:r>
        <w:t>");</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проверка документов в местах массового скопления граждан, а при наличии соответствующих оснований - проведение личной проверки (статья  4, пункт "т");</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задержание нарушителей комендантского часа до его окончания, а в случае отсутствия удостоверяющих личность документов - до установления личности, но не более 72 часов (статья 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71.</w:t>
      </w:r>
      <w:r>
        <w:tab/>
        <w:t>Законами "О чрезвычайном положении" и "О военном положении" предусмотрено, что министерство иностранных дел Грузии незамедлительно информирует Генерального секретаря Организации Объединенных Наций об объявлении и отмене чрезвычайного (военного) положения.  Став полноправным членом Совета Европы и присоединившись к Европейской конвенции о правах человека, Грузия приняла соответствующие обязательства и перед Генеральным секретарем Совета Европы.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72.</w:t>
      </w:r>
      <w:r>
        <w:tab/>
        <w:t xml:space="preserve">В контексте данной статьи Пакта следует указать, что оба вышеупомянутых закона предусматривают, что </w:t>
      </w:r>
      <w:proofErr w:type="spellStart"/>
      <w:r>
        <w:t>неутверждение</w:t>
      </w:r>
      <w:proofErr w:type="spellEnd"/>
      <w:r>
        <w:t xml:space="preserve"> парламентом решения президента о введении чрезвычайного (военного) положения влечет за собой незамедлительную отмену данного положения (статья 2,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73.</w:t>
      </w:r>
      <w:r>
        <w:tab/>
        <w:t>В период, истекший с момента представления первоначального доклада, прецедентов введения чрезвычайного либо военного положения в Грузии не было.</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74.</w:t>
      </w:r>
      <w:r>
        <w:tab/>
        <w:t>Согласно Конституции, законодательство Грузии соответствует общепризнанным принципам и нормам международного права.  Не противоречащие Конституции международные договоры и соглашения Грузии имеют преобладающую юридическую силу в отношении внутригосударственных нормативных актов (статья 6,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75.</w:t>
      </w:r>
      <w:r>
        <w:tab/>
        <w:t>В свете статьи 5 Пакта особое значение приобретает статья 7 Конституции, провозглашающая:  "Грузия признает и соблюдает общепризнанные права и свободы человека как непреходящие и высшие человеческие ценности.  При осуществлении власти народ и государство ограничены этими правами и свободами как непосредственно действующим правом".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76.</w:t>
      </w:r>
      <w:r>
        <w:tab/>
        <w:t xml:space="preserve">Глава </w:t>
      </w:r>
      <w:proofErr w:type="spellStart"/>
      <w:r>
        <w:t>II</w:t>
      </w:r>
      <w:proofErr w:type="spellEnd"/>
      <w:r>
        <w:t xml:space="preserve"> Конституции почти полностью посвящена гарантиям прав и свобод человека.  Тридцать четыре статьи этой главы охватывают весь спектр прав человека - гражданских и политических, экономических, социальных и культурных.  Кроме того,  согласно статье 39 Конституции, основной закон страны "не отвергает других общепризнанных прав, свобод и гарантий человека, которые в ней не упомянуты, но сами по себе вытекают из принципов Конституции".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77.</w:t>
      </w:r>
      <w:r>
        <w:tab/>
        <w:t xml:space="preserve">Во введении к настоящему докладу отмечено, какое место занимают международные договоры (соглашения) Грузии, в том числе и Пакт, в правовой системе государства и  каковы механизмы их реализации на практике.  Полагаем, что тем самым достаточно эффективно обеспечивается </w:t>
      </w:r>
      <w:proofErr w:type="spellStart"/>
      <w:r>
        <w:t>имплементация</w:t>
      </w:r>
      <w:proofErr w:type="spellEnd"/>
      <w:r>
        <w:t xml:space="preserve"> положений статьи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78.</w:t>
      </w:r>
      <w:r>
        <w:tab/>
        <w:t>Будучи полноправным членом Совета Европы Грузия в рамках Европейской конвенции по правам человека (как известно, охватывающей, главным образом, сферу гражданских и политических прав)  признала без всяких оговорок обязательную юрисдикцию Европейского суда по правам человека.  Наряду с контрольными механизмами, функционирующими в системе органов Организации Объединенных Наций, это создает находящимся под юрисдикцией  грузинского государства лицам еще одну гарантию защиты их прав и свобод.</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6</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79.</w:t>
      </w:r>
      <w:r>
        <w:tab/>
        <w:t>Статья 15 Конституции гласит: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pPr>
      <w:r>
        <w:t>"1.</w:t>
      </w:r>
      <w:r>
        <w:tab/>
        <w:t>Жизнь - неприкосновенное право человека, и оно защищено законом.</w:t>
      </w:r>
    </w:p>
    <w:p w:rsidR="00000000" w:rsidRDefault="00000000">
      <w:pPr>
        <w:tabs>
          <w:tab w:val="clear" w:pos="6237"/>
          <w:tab w:val="left" w:pos="567"/>
          <w:tab w:val="left" w:pos="1134"/>
          <w:tab w:val="left" w:pos="1701"/>
          <w:tab w:val="left" w:pos="2268"/>
        </w:tabs>
      </w:pPr>
    </w:p>
    <w:p w:rsidR="00000000" w:rsidRDefault="00000000">
      <w:pPr>
        <w:pStyle w:val="BodyTextIndent3"/>
      </w:pPr>
      <w:r>
        <w:t>2.</w:t>
      </w:r>
      <w:r>
        <w:tab/>
        <w:t>Исключительная мера наказания - смертная  казнь до полной ее отмены - может предусматриваться органическим законом за совершение направленных против жизни особо тяжких преступлений…".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80.</w:t>
      </w:r>
      <w:r>
        <w:tab/>
        <w:t>Пункт 2 статьи 15 Конституции  на данный момент представляет собой анахронизм, поскольку Закон Грузии "О полной отмене исключительной меры наказания - смертной казни" положил конец практике "узаконенного лишения жизни" в нашей действительности.  Данный Закон был обнародован и вступил в силу 11 октября 1997 года.  В последний раз смертная казнь в Грузии была приведена в исполнение в феврале 1995 года.  Действующий Уголовный кодекс предусматривает в качестве высшей меры наказания пожизненное заключение (статья 40, пункт "к");  для несовершеннолетних в возрасте до 16 лет - лишение свободы сроком до 10 лет; в возрасте 16-18 лет за совершение особо тяжких преступлений - свыше 10, но не более 15 лет лишения свободы (статья 88,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81.</w:t>
      </w:r>
      <w:r>
        <w:tab/>
        <w:t>22 марта 1999 года Грузия присоединилась ко Второму факультативному протоколу к Пакту, предусматривающему отмену смертной казни  без всяких оговорок.  Для нашей страны Протокол вступил в силу 22 июня 1999 года.</w:t>
      </w:r>
    </w:p>
    <w:p w:rsidR="00000000" w:rsidRDefault="00000000">
      <w:pPr>
        <w:tabs>
          <w:tab w:val="clear" w:pos="6237"/>
          <w:tab w:val="left" w:pos="567"/>
          <w:tab w:val="left" w:pos="1134"/>
          <w:tab w:val="left" w:pos="1701"/>
          <w:tab w:val="left" w:pos="2268"/>
        </w:tabs>
      </w:pPr>
    </w:p>
    <w:p w:rsidR="00000000" w:rsidRDefault="00000000">
      <w:pPr>
        <w:pStyle w:val="Heading5"/>
        <w:tabs>
          <w:tab w:val="clear" w:pos="6237"/>
          <w:tab w:val="left" w:pos="567"/>
          <w:tab w:val="left" w:pos="1134"/>
          <w:tab w:val="left" w:pos="1701"/>
          <w:tab w:val="left" w:pos="2268"/>
        </w:tabs>
        <w:rPr>
          <w:u w:val="none"/>
        </w:rPr>
      </w:pPr>
      <w:r>
        <w:rPr>
          <w:u w:val="none"/>
        </w:rPr>
        <w:t>Уменьшение угрозы войны и связанных с ней преступлений против жизни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82.</w:t>
      </w:r>
      <w:r>
        <w:tab/>
        <w:t>Военная доктрина Грузии непосредственно вытекает из принципов  демократического, гуманного и миролюбивого государства, задачей которого является предотвращение войны и защита страны от возможной агрессии.  Военная доктрина предусматривает, в частности, официально признанные нашей страной нормы и принципы международных отношений, содействие совместным усилиям мирового сообщества по предотвращению воин и вооруженных конфликтов, отказ от производства, размещения и транспортировки ядерного оружия на территории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83.</w:t>
      </w:r>
      <w:r>
        <w:tab/>
        <w:t>Уголовный кодекс Грузии провозглашает уголовно наказуемым преступлением подготовку или ведение агрессивной войны (статья 404), призывы к развязыванию агрессивной войны (статья 405), производство, приобретение или сбыт оружия массового поражения (статья 406), геноцид (статья 407), преступления против человечества (статья 408).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84.</w:t>
      </w:r>
      <w:r>
        <w:tab/>
        <w:t>Статьи 411-413 Уголовного кодекса предусматривают также весьма жесткие санкции за нарушение норм международного гуманитарного права.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85.</w:t>
      </w:r>
      <w:r>
        <w:tab/>
        <w:t>Уголовно наказуемым деянием, согласно Уголовному кодексу, признано изготовление ядерного оружия или иного ядерного взрывного устройства (статья 232).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86.</w:t>
      </w:r>
      <w:r>
        <w:tab/>
        <w:t>Грузия придерживается политики мирного сосуществования со всеми государствами мира и твердо стоит на позициях разрешения любых конфликтов, внутренних или межгосударственных, исключительно мирными политическими средствами.</w:t>
      </w:r>
    </w:p>
    <w:p w:rsidR="00000000" w:rsidRDefault="00000000">
      <w:pPr>
        <w:tabs>
          <w:tab w:val="clear" w:pos="6237"/>
          <w:tab w:val="left" w:pos="567"/>
          <w:tab w:val="left" w:pos="1134"/>
          <w:tab w:val="left" w:pos="1701"/>
          <w:tab w:val="left" w:pos="2268"/>
        </w:tabs>
      </w:pPr>
    </w:p>
    <w:p w:rsidR="00000000" w:rsidRDefault="00000000">
      <w:pPr>
        <w:pStyle w:val="Heading5"/>
        <w:tabs>
          <w:tab w:val="clear" w:pos="6237"/>
          <w:tab w:val="left" w:pos="567"/>
          <w:tab w:val="left" w:pos="1134"/>
          <w:tab w:val="left" w:pos="1701"/>
          <w:tab w:val="left" w:pos="2268"/>
        </w:tabs>
        <w:rPr>
          <w:u w:val="none"/>
        </w:rPr>
      </w:pPr>
      <w:r>
        <w:rPr>
          <w:u w:val="none"/>
        </w:rPr>
        <w:t>Меры по обеспечению неотъемлемого права на жизнь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87.</w:t>
      </w:r>
      <w:r>
        <w:tab/>
        <w:t>Как отмечалось в комментариях к пункту 2 статьи 1 Пакта, одной из ключевых проблем, которые предстоит решить грузинскому государству в обозримом будущем, является преодоление бедности.  В том же разделе настоящего доклада были изложены как причины тяжелого экономического и  социального положения, так и предполагаемые пути выхода их него.  В контексте настоящей статьи Пакта следует отметить также, что в январе 2000 года правительство Грузии приняло документ под названием "Концептуальные основы социального развития", который заложил фундамент новой долгосрочной программы преобразования социальной сферы в стране.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88.</w:t>
      </w:r>
      <w:r>
        <w:tab/>
        <w:t>Стратегическими целями программы являются: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значительное улучшение условий жизни и материального положения населения;</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 xml:space="preserve">обеспечение эффективного трудоустройства и занятости, повышение качества и </w:t>
      </w:r>
      <w:proofErr w:type="spellStart"/>
      <w:r>
        <w:t>конкурентноспособности</w:t>
      </w:r>
      <w:proofErr w:type="spellEnd"/>
      <w:r>
        <w:t xml:space="preserve"> рабочей силы;</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обеспечение реализации конституционных гарантий в сфере труда, социальной защиты, образования, здравоохранения, культуры;</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перенос акцента в социальной политике на семью, обеспечение прав и социальных гарантий семьи, женщин, детей и молодежи;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улучшение демографической  ситуации и совершенствование  социальной инфраструктуры.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89.</w:t>
      </w:r>
      <w:r>
        <w:tab/>
        <w:t>Что касается вопросов охраны здоровья и жизни детей, то представляется целесообразным привести более обширную информацию.</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90.</w:t>
      </w:r>
      <w:r>
        <w:tab/>
        <w:t>В Грузии разработаны и действуют государственные медицинские программы "Акушерство" и "Медицинская помощь детям", осуществляемые по страховому принципу.  В министерстве здравоохранения и социальной защиты действует комиссия по борьбе со смертностью среди матерей и детей, оперативно рассматривающая случаи смерти матерей и детей.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91.</w:t>
      </w:r>
      <w:r>
        <w:tab/>
        <w:t xml:space="preserve">В столице и близлежащих районах действует созданная приказом министра здравоохранения и социальной защиты </w:t>
      </w:r>
      <w:proofErr w:type="spellStart"/>
      <w:r>
        <w:t>реферальная</w:t>
      </w:r>
      <w:proofErr w:type="spellEnd"/>
      <w:r>
        <w:t xml:space="preserve"> система для беременных, рожениц, родильниц и новорожденных, целью которой является сокращение количества осложнений, связанных с родами, лечение беременных, рожениц и родильниц с факторами риска, снижение вероятности рождения больных и недоношенных детей и их лечение.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92.</w:t>
      </w:r>
      <w:r>
        <w:tab/>
        <w:t xml:space="preserve">В январе 1997 года президент Грузии издал указ "О создании управляемой системы питания новорожденных".  Был сформирован национальный комитет по грудному питанию, который за истекший период провел ряд тренингов для работников здравоохранения по следующим темам:  "Грудное питание", "Инициатива о благорасположенной к ребенку больнице", "Международный кодекс маркетинга заменителей женского молока".  Министерство здравоохранения совместно с </w:t>
      </w:r>
      <w:proofErr w:type="spellStart"/>
      <w:r>
        <w:t>ЮНИСЕФ</w:t>
      </w:r>
      <w:proofErr w:type="spellEnd"/>
      <w:r>
        <w:t xml:space="preserve"> и неправительственной организацией "</w:t>
      </w:r>
      <w:proofErr w:type="spellStart"/>
      <w:r>
        <w:t>Каритас</w:t>
      </w:r>
      <w:proofErr w:type="spellEnd"/>
      <w:r>
        <w:t>" провело целый ряд  мероприятий, имеющих отношение к рассматриваемому вопросу.  В частности, в восьми регионах Грузии был организован мониторинг международного кодекса маркетинга заменителей женского молока.  Подготовленный  по его итогам отчет был признан одним из лучших и представлен Всемирной ассамблее по здравоохранению</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93.</w:t>
      </w:r>
      <w:r>
        <w:tab/>
        <w:t>В сентябре 1999 года парламентом страны принят закон "О защите и поощрении естественного питания детей, а также использовании искусственного питания", базирующийся на положениях международного кодекса маркетинга заменителей женского молока.  Кроме того, разработан и утвержден  государственный стандарт "Формула детского питания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94.</w:t>
      </w:r>
      <w:r>
        <w:tab/>
        <w:t>Государственные медицинские программы по безопасному материнству и спасению детей действуют с 1995 года.  Их целью является наблюдение за беременными, предотвращение связанных с беременностью осложнений, обеспечение безопасных родов, а также, в случае необходимости, оказание медицинской помощи.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95.</w:t>
      </w:r>
      <w:r>
        <w:tab/>
        <w:t>Внедрение в 1999 году нового механизма управления и финансирования системы здравоохранения обусловило разработку единой государственной страховой программы медицинской помощи для детей, в которой объединены следующие подпрограммы: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государственная программа медицинской помощи детям до трех лет;</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государственная программа управления случаями острой заболеваемости детей до 3-х лет в Тбилиси;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государственная программа  детской кардиохирургической помощи;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государственная программа медицинской помощи лишенным родительской опеки детям раннего возраста;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государственная программа медицинской  помощи детям, лишенным родительской опеки, а также нуждающимся в постоянном динамичном лечении.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Бюджет программы, в которой было задействовано 255 медицинских учреждений, составил 10,6 млн. лари.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96.</w:t>
      </w:r>
      <w:r>
        <w:tab/>
        <w:t>Министерство здравоохранения и социальной защиты одобрило и приняло к исполнению разработанную ВОЗ стратегию по интегрированному управлению болезнями детского возраста (</w:t>
      </w:r>
      <w:proofErr w:type="spellStart"/>
      <w:r>
        <w:t>IMCI</w:t>
      </w:r>
      <w:proofErr w:type="spellEnd"/>
      <w:r>
        <w:t xml:space="preserve">), в связи с чем в декабре 1999 года при содействии </w:t>
      </w:r>
      <w:proofErr w:type="spellStart"/>
      <w:r>
        <w:t>ЮНИСЕФ</w:t>
      </w:r>
      <w:proofErr w:type="spellEnd"/>
      <w:r>
        <w:t xml:space="preserve">  была начата разработка соответствующей адаптированной национальной программы.  Утверждена рабочая группа по подготовке плана адаптации и осуществления учебных программ по </w:t>
      </w:r>
      <w:proofErr w:type="spellStart"/>
      <w:r>
        <w:t>IMCI</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97.</w:t>
      </w:r>
      <w:r>
        <w:tab/>
        <w:t>Следует отметить, что в качестве государства-участника Грузия представила соответствующим договорным органам Организации Объединенных Наций первоначальные доклады об осуществлении Пакта об экономических, социальных и культурных правах (</w:t>
      </w:r>
      <w:proofErr w:type="spellStart"/>
      <w:r>
        <w:t>E</w:t>
      </w:r>
      <w:proofErr w:type="spellEnd"/>
      <w:r>
        <w:t>/1990/5/</w:t>
      </w:r>
      <w:proofErr w:type="spellStart"/>
      <w:r>
        <w:t>Add.37</w:t>
      </w:r>
      <w:proofErr w:type="spellEnd"/>
      <w:r>
        <w:t>), Конвенции о правах ребенка  (</w:t>
      </w:r>
      <w:proofErr w:type="spellStart"/>
      <w:r>
        <w:t>CRC</w:t>
      </w:r>
      <w:proofErr w:type="spellEnd"/>
      <w:r>
        <w:t>/</w:t>
      </w:r>
      <w:proofErr w:type="spellStart"/>
      <w:r>
        <w:t>C</w:t>
      </w:r>
      <w:proofErr w:type="spellEnd"/>
      <w:r>
        <w:t xml:space="preserve">/41/ </w:t>
      </w:r>
      <w:proofErr w:type="spellStart"/>
      <w:r>
        <w:t>Add.4</w:t>
      </w:r>
      <w:proofErr w:type="spellEnd"/>
      <w:r>
        <w:t>/</w:t>
      </w:r>
      <w:proofErr w:type="spellStart"/>
      <w:r>
        <w:t>Rev.1</w:t>
      </w:r>
      <w:proofErr w:type="spellEnd"/>
      <w:r>
        <w:t>), а также Конвенции о ликвидации всех форм дискриминации в отношении женщин.  Упомянутые доклады были рассмотрены договорными органами соответственно в апреле и мае 2000 года и в июне 1999 года.  Содержащаяся в первоначальных докладах информация, наряду с ответами на дополнительные вопросы комитетов по экономическим, социальным и культурным правам и по правам ребенка, создает целостную картину соблюдения права на жизнь в контексте данного раздела настоящего доклада.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Защита от произвольного лишения жизни</w:t>
      </w:r>
    </w:p>
    <w:p w:rsidR="00000000" w:rsidRDefault="00000000">
      <w:pPr>
        <w:keepNext/>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98.</w:t>
      </w:r>
      <w:r>
        <w:tab/>
        <w:t>В Уголовном кодексе содержится раздел: "Преступления против человека", в который  входят, в частности, главы "Преступления против жизни" (статьи 108-116), "Создание угрозы жизни и здоровью человека" (статьи 127-136).  Кодекс признает уголовно наказуемым деянием насильственные действия в отношении личности, предусматривая за них соответствующие санкции.  К числу наиболее тяжких преступлений отнесено убийство, совершенное умышленно или при отягчающих обстоятельствах.  Наказание в виде лишения свободы на различные сроки предусмотрены за такие преступления, как умышленное убийство, совершенное в состоянии внезапного сильного душевного волнения, умышленное убийство матерью новорожденного ребенка, причинение смерти по неосторожности, доведение до самоубийства.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99.</w:t>
      </w:r>
      <w:r>
        <w:tab/>
        <w:t>Даже при наличии внешних признаков преступления против личности не считается противоправным действие, совершенное в пределах необходимой обороны (статья 28 Уголовного кодекса).  В то же время убийство, совершенное при превышении пределов необходимой обороны, карается по закону как уголовное преступление (статья 114 Уголовного кодекса).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100.</w:t>
      </w:r>
      <w:r>
        <w:tab/>
        <w:t>Аналогично Уголовный кодекс (статья 29, пункт 1) не признает противоправным действие, направленное на захват преступника без превышения необходимых для этого мер с целью представления его в органы власти.  Вместе с тем Кодексом (статья 114) отнесено к числу наказуемых деяний убийство, совершенное при превышении мер, необходимых для задержания преступника.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101.</w:t>
      </w:r>
      <w:r>
        <w:tab/>
        <w:t xml:space="preserve">В правовой системе Грузии убийство не допускается даже по желанию жертвы.  Согласно статье 110 Уголовного кодекса, </w:t>
      </w:r>
      <w:proofErr w:type="spellStart"/>
      <w:r>
        <w:t>эвтаназия</w:t>
      </w:r>
      <w:proofErr w:type="spellEnd"/>
      <w:r>
        <w:t xml:space="preserve"> (лишение жизни жертвы по ее настойчивой просьбе и в соответствии с ее волеизъявлением, совершенное с целью избавления умирающего от сильной физической боли) приравнивается к убийству и карается лишением свободы сроком до трех лет.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102.</w:t>
      </w:r>
      <w:r>
        <w:tab/>
        <w:t>Согласно принципам грузинского законодательства, началом жизни человека считается тот момент процесса родов, когда происходит отделение ребенка от материнского чрева.  Поэтому об убийстве человека можно говорить лишь с того момента, когда плод хотя бы частично отделяется от чрева матери, пусть он даже еще не дышит.  Соответственно, законом не предусмотрено какой-либо ответственности за искусственное прерывание беременности при соблюдении предусмотренных соответствующими правовыми нормами условий.  Отметим вместе с тем, что  Уголовный кодекс устанавливает достаточно жесткие санкции (в том числе в виде лишения свободы) за осуществление незаконного аборта.  В мае 2000 года парламент страны принял Закон "Об абортах", разработанный в соответствии с требованиями международных документов по правам человека, участником которых является  Грузия.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103.</w:t>
      </w:r>
      <w:r>
        <w:tab/>
        <w:t>Вопросы применения оружия работниками правоохранительных органов регламентируются Законом "О полиции" (статья 13), согласно которому запрещается применять огнестрельное оружие в местах, где возможно причинение вреда посторонним лицам, по отношению к женщинам с очевидными признаками беременности, несовершеннолетним, инвалидам, старикам (кроме случаев оказания ими вооруженного сопротивления или совершения группового нападения, угрожающего жизни граждан либо сотрудника правоохранительных органов).  Положения аналогичного содержания включены и в Закон "О службе государственной безопасности" (статья 11).  Кроме того, оба вышеупомянутых закона запрещают применение таких видов огнестрельного оружия и боеприпасов, которые вызывают тяжкое увечье человека, связаны с неоправданным риском и запрещены международными конвенциями и другими международными актами.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104.</w:t>
      </w:r>
      <w:r>
        <w:tab/>
        <w:t>Согласно данным министерства внутренних дел, в период 1996-2000 годов зарегистрировано восемь фактов неправомерного применения огнестрельного оружия сотрудниками полиции.  Во всех случаях соответствующие структуры министерства провели служебное расследование, а органы прокуратуры - следствие.  В результате  шесть уголовных дел было передано в суд, который  вынес обвинительные приговоры, в одном случае сотрудник полиции был уволен, а его непосредственные руководители получили различные дисциплинарные взыскания.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105.</w:t>
      </w:r>
      <w:r>
        <w:tab/>
        <w:t>С целью предотвращения такого рода фактов по приказу министра внутренних дел с сотрудниками полиции регулярно проводятся занятия по вопросам боевой и служебной подготовки,  на которых особое внимание уделяется изучению Закона "О полиции", в котором четко указаны все случаи, когда допускается применение  работником полиции огнестрельного оружия.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106.</w:t>
      </w:r>
      <w:r>
        <w:tab/>
        <w:t>За истекший период фактов применения оружия работниками органов безопасности не зарегистрировано.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107.</w:t>
      </w:r>
      <w:r>
        <w:tab/>
        <w:t>С точки зрения недопущения произвольного лишения жизни особое значение приобретает вопрос о предотвращении исчезновения частных лиц.  В связи с этим представляется целесообразным привести сведения о принятой в Грузии процедуре расследования фактов исчезновения людей.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108.</w:t>
      </w:r>
      <w:r>
        <w:tab/>
        <w:t>Сообщения о безвестном отсутствии лица принимается органами внутренних дел, как в письменном виде, так и устно либо по телефону, и подлежит немедленной регистрации.  В связи с сообщением незамедлительно проводятся следующие мероприятия:  выясняются время и обстоятельства исчезновения лица, его внешность и одежда, предпринимаются шаги по обнаружению пропавшего "по горячим следам".  Информация об исчезновении лица передается по телевидению и публикуется в других средствах массовой информации, в соответствующие структуры рассылаются фотографии и приметы пропавшего.  Кроме того, проводятся освидетельствования неопознанных трупов, проверяются учреждения системы министерства здравоохранения и социальной защиты, направляется запрос Департаменту по охране границ на предмет пересечения разыскиваемым лицом государственной границы и т.д.  В случае, если лицо не удается отыскать в течение 5 дней, возбуждается дело по розыску.  Перечень мер, подлежащих осуществлению с целью определения местонахождения пропавшего без вести, детально регламентирован приказом министра внутренних дел.</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109.</w:t>
      </w:r>
      <w:r>
        <w:tab/>
        <w:t>Если в процессе розыска лица будет получена информация о том, что пропавший стал жертвой уголовного преступления, прокуратура возбуждает уголовное дело.  Розыск  пропавшего прекращается в двух случаях:  если определено его местонахождение либо если лицо в судебном порядке признано умершим.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110.</w:t>
      </w:r>
      <w:r>
        <w:tab/>
        <w:t>В отчетный период ни государственными органами, ни аппаратом Народного защитника (</w:t>
      </w:r>
      <w:proofErr w:type="spellStart"/>
      <w:r>
        <w:t>омбудсмена</w:t>
      </w:r>
      <w:proofErr w:type="spellEnd"/>
      <w:r>
        <w:t>) не было получено сообщений об исчезновении лица, к которому предположительно могли быть причастны правоохранительные органы либо силы безопасности.</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111.</w:t>
      </w:r>
      <w:r>
        <w:tab/>
        <w:t>Конституция Грузии гласит, что честь и достоинство человека неприкосновенны.  Запрещаются пытка человека, негуманное, жестокое, унижающее его честь и достоинство обращение и наказание (статья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112.</w:t>
      </w:r>
      <w:r>
        <w:tab/>
        <w:t>Грузия присоединилась к Конвенции против пыток, других жестоких, бесчеловечных или унижающих достоинство видов обращения и наказания в сентябре 1994 года.  Комитету против пыток представлены первоначальный (июнь 1996 года) и второй периодический (август 1999 года) доклады об осуществлении положений Конвенции в Грузии.  Первоначальный доклад был рассмотрен Комитетом против пыток в ноябре 1996 года.  Заключительные замечания Комитета были учтены при подготовке второго периодического доклада, в котором отражены положения практически полностью обновленного законодательства нашей страны.  В комментарии настоящего доклада по статье 7 делаются ссылки на второй периодический доклад.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113.</w:t>
      </w:r>
      <w:r>
        <w:tab/>
        <w:t>В июле 2000 года вступил в силу новый Уголовный кодекс, целый ряд статей которого непосредственно затрагивает нарушения, предусмотренные настоящей статьей Пакта.  Большинство упомянутых положений Кодекса рассматривается ниже, применительно к конкретным аспектам запрета пыток.  Здесь отметим лишь, что к числу уголовно-наказуемых деяний отнесена собственно "пытка" (статья 126), интерпретируемая как "причинение физических или психических страданий путем систематического нанесения побоев, либо иными насильственными действиями", не повлекшие за собой более или менее тяжкого вреда для здоровья.  Отягчающими данное преступление обстоятельствами являются использование служебного положения, а также мотив "расовой, религиозной, национальной или этнической нетерпимости".  Предложенная Уголовным кодексом дефиниция "пытки" не вполне соответствует значению этого термина в рамках Конвенции против пыток, поскольку в диспозиции соответствующей статьи Кодекса отсутствуют мотивы извлечения информации, запугивания и принуждения.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114.</w:t>
      </w:r>
      <w:r>
        <w:tab/>
        <w:t>Ни Конституция, ни законодательство Грузии не предусматривают каких-либо ограничений на запрет применения пыток даже в условиях чрезвычайного или военного положения.  Никакие оправдывающие или смягчающие обстоятельства не могут быть использованы в обоснование нарушения статьи 7  Пакта в любых целях.</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Применение телесных наказаний</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115.</w:t>
      </w:r>
      <w:r>
        <w:tab/>
        <w:t>Налагаемые статьей 7 запреты включают в себя телесные наказания, используемые в качестве наказаний за преступления или в качестве обучающей либо собственно дисциплинарной меры.  В этом смысле законодательство и практика Грузии полностью соответствуют требованиям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116.</w:t>
      </w:r>
      <w:r>
        <w:tab/>
        <w:t>Уголовный кодекс (статья 40), определяя перечень видов наказания за совершения преступлений, не включает в их число телесные наказания.  Закон "О заключении", указывая виды дисциплинарных наказаний, которым могут подвергаться осужденные, также не предусматривает применения телесных наказаний (статья 30).  Более того, Уголовный кодекс содержит статью 125 – "Побои", согласно которой нанесение побоев или совершение иных насильственных действий, причинивших физическую боль, но не нанесших вреда здоровью, наказывается санкциями различной степени тяжести, вплоть до ареста сроком до двух месяцев.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117.</w:t>
      </w:r>
      <w:r>
        <w:tab/>
        <w:t>В системе образования, а также учреждениях институционального ухода использование физических наказаний запрещено.  Если учитель либо иной работник школы прибегает к физическому наказанию, учащийся или его родитель имеют право внести жалобу в школьную администрацию либо вышестоящую инстанцию.  В этом случае на лицо, применившее телесное наказание, налагается административное взыскание.  Если же следствием телесного наказания стала травма ученика, то на основании медицинского заключения, виновный привлекается к уголовной ответственности.  Что касается телесных наказаний в семье, то их выявление затруднено, если отсутствует жалоба пострадавшего ребенка.  Вместе с тем телесное наказание, повлекшее за собой расстройство здоровья ребенка, является уголовно наказуемым деянием.</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Применение одиночного тюремного заключения</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118.</w:t>
      </w:r>
      <w:r>
        <w:tab/>
        <w:t>Сроки задержания или ареста лица определяются главами 19 и 20 Уголовно-процессуального кодекса.  В частности, согласно статье 146 Кодекса, регламентирующей срок задержания лица полицией, "проверка (законности и обоснованности задержания) должна завершиться не позже чем через 12 часов с момента доставления задержанного в учреждения полиции или другой орган дознания" (пункт 2).  В соответствии  с пунктом 6 данной статьи задержанный по подозрению должен быть допрошен не позже 24 часов с момента доставления в учреждения полиции или иной орган дознания.  Что касается срока дознания до предъявления обвинения, то он не должен превышать 48 часов с момента доставления задержанного в орган дознания.  Если в течение последующих 24 часов суд не примет решения о заключении лица под стражу или применении иной меры пресечения, лицо подлежит немедленному освобождению (статья 146, пункт 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119.</w:t>
      </w:r>
      <w:r>
        <w:tab/>
        <w:t>Таким образом, общая продолжительность задержания лица до предъявления обвинения либо освобождения не превышает 72 часов.  В этих условиях едва ли возможно говорить о "длительности" одиночного заключения, даже если задержанное лицо содержится в одиночестве.  Согласно статье 149 Уголовно-процессуального кодекса, задержанные содержатся в изоляторах временного содержания, а военнослужащие - на гауптвахте.  Порядок содержания определяется законодательством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120.</w:t>
      </w:r>
      <w:r>
        <w:tab/>
        <w:t>Что касается сроков содержания  обвиняемого под стражей (предварительного заключения), то согласно статье 162 Уголовно-процессуального кодекса, во всех случаях срок не должен превышать девяти месяцев.  В соответствии с Законом "О заключении" в случае, если подвергшийся аресту обвиняемый нарушил режим и внутренний распорядок в месте заключения, в качестве меры дисциплинарного воздействия может быть использовано помещение в карцер сроком до десяти дней (статья 91).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121.</w:t>
      </w:r>
      <w:r>
        <w:tab/>
        <w:t xml:space="preserve">Закон "О заключении" предусматривает различные меры дисциплинарного характера по отношению к заключенным, отбывающим наказание.  При этом особо оговаривается, что "дисциплинарное наказание не должно быть для осужденного унизительным и оскорбительным для его чести и достоинства" (статья 30, пункт 10).  В числе мер дисциплинарного воздействия предусмотрены, в частности, помещение в карцер сроком до 20 дней (в воспитательном учреждении - до десяти дней), в учреждениях строгого режима - помещение в одиночную камеру сроком до одного года (статья 30, пункт 6-д) и </w:t>
      </w:r>
      <w:proofErr w:type="spellStart"/>
      <w:r>
        <w:t>з</w:t>
      </w:r>
      <w:proofErr w:type="spellEnd"/>
      <w:r>
        <w:t>)).  Не допускается помещение в одиночную камеру женщин (там же, пункт 7), а также несовершеннолетних (до 18 лет).</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Проведение медицинских и научных опытов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122.</w:t>
      </w:r>
      <w:r>
        <w:tab/>
        <w:t>Данная сфера регулируется Законом "Об охране здоровья", принятым в декабре 1997 года.  Закон прямо указывает, что права участвующего в научном исследовании больного или здорового добровольца охраняются грузинским законодательством и признанными международными нормами проведения биомедицинских исследований на человеке.  Участие в медицинских исследованиях недееспособного либо лишенного способности принимать осознанные решения пациента допускается лишь по его заранее высказанной воле (когда он был способен принимать осознанные решения), а при отсутствии таковой - с информированного согласия его родственника либо законного представителя (статьи 8, пункт 2, и 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123.</w:t>
      </w:r>
      <w:r>
        <w:tab/>
        <w:t>Глава "Медико-биологические исследования" упомянутого Закона непосредственно затрагивает обеспечение прав и интересов человека как объекта исследования.  Ему должна быть заранее предоставлена полная информация о целях, методах и ожидаемых результатах исследования, о связанном с ним риске и возможном дискомфорте.  Медико-биологическое исследование не может быть проведено без письменного информированного согласия участвующего в нем лица.  В обязательном порядке ему должно быть сообщено о праве на отказ от участия в исследовании на любом этапе (статья 109).  На тех же условиях объектом медико-биологического исследования может стать недееспособное лицо, если оно не противится этому и имеется информированное согласие его родственника либо законного представителя (статья 110).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124.</w:t>
      </w:r>
      <w:r>
        <w:tab/>
        <w:t>Лица, находящиеся в местах исполнения наказания, пользуются всеми вышеперечисленными правами, причем их участие в медико-биологическом исследовании допускается лишь в том случае, если ожидается, что результаты исследования принесут прямую и значительную пользу здоровью этих лиц (статья 112).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125.</w:t>
      </w:r>
      <w:r>
        <w:tab/>
        <w:t>В целом, как отмечается в Законе "Об охране здоровья" (статья 108), еще до начала медико-биологического исследования с участием человека должны быть сопоставлены риск исследования и ожидаемые положительные результаты.  При осуществлении исследования интересы и благополучие человека как объекта исследования более важны, нежели интересы науки и общества.</w:t>
      </w:r>
    </w:p>
    <w:p w:rsidR="00000000" w:rsidRDefault="00000000">
      <w:pPr>
        <w:tabs>
          <w:tab w:val="clear" w:pos="6237"/>
          <w:tab w:val="left" w:pos="567"/>
          <w:tab w:val="left" w:pos="1134"/>
          <w:tab w:val="left" w:pos="1701"/>
          <w:tab w:val="left" w:pos="2268"/>
        </w:tabs>
      </w:pPr>
    </w:p>
    <w:p w:rsidR="00000000" w:rsidRDefault="00000000">
      <w:pPr>
        <w:keepNext/>
        <w:tabs>
          <w:tab w:val="clear" w:pos="6237"/>
          <w:tab w:val="left" w:pos="567"/>
          <w:tab w:val="left" w:pos="1134"/>
          <w:tab w:val="left" w:pos="1701"/>
          <w:tab w:val="left" w:pos="2268"/>
        </w:tabs>
        <w:rPr>
          <w:i/>
          <w:iCs/>
        </w:rPr>
      </w:pPr>
      <w:r>
        <w:rPr>
          <w:i/>
          <w:iCs/>
        </w:rPr>
        <w:t>Высылка и выдача</w:t>
      </w:r>
    </w:p>
    <w:p w:rsidR="00000000" w:rsidRDefault="00000000">
      <w:pPr>
        <w:keepNext/>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126.</w:t>
      </w:r>
      <w:r>
        <w:tab/>
        <w:t>Применительно к правовому регулированию вопросов высылки, выдачи и экстрадиции ссылка делается на второй периодический доклад Грузии по Конвенции против пыток (пункты 34 - 39, 62 - 65).</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Обучение и информация, касающиеся запрета пыток</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127.</w:t>
      </w:r>
      <w:r>
        <w:tab/>
        <w:t>В системе министерства внутренних дел на регулярной основе проводится обучение личного состава с целью повышения профессионального уровня работников полиции.  В ходе учебы командиры  соответствующих подразделений значительное внимание уделяют вопросам защиты прав человека в плане обращения с заключенными и задержанными.  Тематические планы занятий включают и ознакомление с Конвенцией против пыток.  Отмечено также, что изучение вопросов прав человека предусмотрено в учебных программах академии министерства внутренних дел, куда работники правоохранительных органов направляются как для первоначальной подготовки, так и для повышения своей квалификации.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128.</w:t>
      </w:r>
      <w:r>
        <w:tab/>
        <w:t>Пенитенциарная система Грузии с 1 января 2000 года перешла в ведение министерства юстиции, однако персональный состав Департамента по исполнению наказаний, в основном, сохранился со времени его пребывания в системе министерства внутренних дел.  Работники Департамента получили соответствующую подготовку в области обращения с осужденными и лицами, находящимися в предварительном заключении, в соответствии с требованиями Закона "О заключении".  Согласно пункту 3 статьи 1 данного Закона, законодательство о заключении соответствует Конституции Грузии, общепризнанным нормам и принципам международного права.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129.</w:t>
      </w:r>
      <w:r>
        <w:tab/>
        <w:t>По данному вопросу см. также второй периодический доклад Грузии по Конвенции против пыток (пункты 70 и 71).</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Гарантии защиты от пыток</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130.</w:t>
      </w:r>
      <w:r>
        <w:tab/>
        <w:t>Следственные органы министерств внутренних дел и безопасности, органов прокуратуры для проведения в ходе предварительного расследования следственных действий строго руководствуются положениями Уголовно-процессуального кодекса.  При этом практически любое следственное действие, связанное с ограничением конституционных прав и свобод человека, осуществляется в условиях судебного и ведомственного контроля.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131.</w:t>
      </w:r>
      <w:r>
        <w:tab/>
        <w:t xml:space="preserve">По отношению к задержанным и арестованным лицам применяются процессуальные нормы Уголовно-процессуального кодекса.  Исходя из принципов </w:t>
      </w:r>
      <w:proofErr w:type="spellStart"/>
      <w:r>
        <w:t>правопроизводства</w:t>
      </w:r>
      <w:proofErr w:type="spellEnd"/>
      <w:r>
        <w:t>, арестованное и задержанное лицо пользуется следующими предусмотренными Кодексом правами и гарантиями (речь идет о подозреваемых):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не позже чем через 12 часов после задержания получить на руки  копию постановления о возбуждении уголовного дела, в котором должно быть указано, в чем он подозревается;</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давать или не давать показания;</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пользоваться услугами защитника и иметь с ним свидания без свидетелей продолжительностью не более одного часа в день;</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 случае  незнания языка судопроизводства, пользоваться при проведении допросов и других следственных действий услугами переводчика;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после первого же допроса требовать бесплатное медицинское освидетельствование и соответствующее письменное заключение;</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заявлять ходатайства и отводы, представлять доказательства;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подавать прокурору или судье жалобы на действия или решения органа дознания, дознавателя или следователя;</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немедленно сообщить родственникам (близким лицам) о месте задержания или своем местонахождении;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получить возмещение ущерба, причиненного ему незаконным и необоснованным задержанием;</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получить от дознавателя (следователя) исчерпывающее разъяснение своих прав (Уголовно-процессуальный кодекс, статья 73).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132.</w:t>
      </w:r>
      <w:r>
        <w:tab/>
        <w:t>По данному вопросу см. также второй периодический доклад Грузии по Конвенции против пыток (пункты 79-81).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133.</w:t>
      </w:r>
      <w:r>
        <w:tab/>
        <w:t>Изложенные выше права и гарантии для подозреваемых в совершении преступления лиц распространяются, согласно статье 75 Уголовно-процессуального кодекса, и на обвиняемых.</w:t>
      </w:r>
    </w:p>
    <w:p w:rsidR="00000000" w:rsidRDefault="00000000">
      <w:pPr>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О заявлениях, сделанных под пыткой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134.</w:t>
      </w:r>
      <w:r>
        <w:tab/>
        <w:t>Согласно пункту 7 статьи 42 Конституции, доказательства, полученные с нарушением закона, юридической силы не имеют.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135.</w:t>
      </w:r>
      <w:r>
        <w:tab/>
        <w:t>В Уголовно-процессуальном кодексе содержится целый ряд положений, отражающих требование  о неприемлемости заявлений, сделанных под  принуждением либо с использованием пыток.  Подробнее об этом изложено во втором периодическом докладе Грузии по Конвенции против пыток (пункты 119-121).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136.</w:t>
      </w:r>
      <w:r>
        <w:tab/>
        <w:t>В Уголовном кодексе содержится статья 335, квалифицирующая как уголовное преступление "принуждение подозреваемого, обвиняемого, потерпевшего, свидетеля к даче показаний… путем применения угроз или иных незаконных действий со стороны прокурора, следователя или дознавателя".  В рамках действий данной статьи Кодекса для лица, совершившего акт принуждения, сопряженный с применением насилия, издевательств или пыток, предусмотрена санкция в виде лишения свободы сроком от двух до восьми лет.</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Право на предъявление жалобы.  Компенсация и реабилитация</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137.</w:t>
      </w:r>
      <w:r>
        <w:tab/>
        <w:t>Подробные сведения о процедурах представления и рассмотрения жалоб об обращении, запрещенном статьей 7 Пакта, содержатся во втором периодическом докладе Грузии по Конвенции против пыток (пункты 100-108).  В дополнение к ним представляется целесообразным упомянуть, что после состоявшихся в октябре 1999 года парламентских выборов в высшем  законодательном органе страны на смену Комитету по правам человека и вопросам национальных меньшинств пришел Комитет по защите прав человека, петициям граждан и строительству гражданского общества.  В настоящее время парламент страны разрабатывает закон, позволяющий более эффективно реализовывать контрольные функции законодательной ветви власти.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138.</w:t>
      </w:r>
      <w:r>
        <w:tab/>
        <w:t>Вопросы компенсации и реабилитации жертв пыток регламентируются Уголовно-процессуальным кодексом.  В связи с этим делается ссылка на второй периодический доклад Грузии по Конвенции против пыток  (пункты  110-118).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139.</w:t>
      </w:r>
      <w:r>
        <w:tab/>
        <w:t>В период, прошедший с момента представления первоначального доклада по Пакту, по сведениям министерства внутренних дел, против работников полиции была внесена одна жалоба о применении пыток (в 1998 году).  Проведенное служебное расследование факта пыток не подтвердило.  Соответствующие материалы были переданы прокурорским органам.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140.</w:t>
      </w:r>
      <w:r>
        <w:tab/>
        <w:t>В то же время  следует отметить, что в ежегодных докладах Народного защитника Грузии о положении с правами человека в стране за 1998 и 1999 годы отмечен ряд фактов, вызывающих обоснованные предположения о применении мер, запрещенных в рамках статьи 7 Пакта.  Аналогичные случаи неоднократно становились известны и соответствующим компетентным органам государства, в том числе из средств массовой информации.  Во всех случаях проводилось расследование, по нескольким эпизодам возбуждались уголовные дела, однако в целом квалификация деяния как "пытки" не устанавливалась.  Как правило, виновные несли наказание по статье Уголовного кодекса, предусматривающей санкции за превышение власти или служебных полномочий.  На наш взгляд, отчасти это можно объяснить неадекватностью диспозиции статьи Кодекса относительно пыток, о чем говорилось выше (пункт 113).</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8</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141.</w:t>
      </w:r>
      <w:r>
        <w:tab/>
        <w:t>Конституция провозглашает, что все люди от рождения свободны (статья 14).  Следует отметить, что исторически в Грузии не существовало рабства и не практиковалась работорговля.  Традиционно  неприемлемыми для грузинского общества являются и иные сходные с рабством формы подневольного состояния.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142.</w:t>
      </w:r>
      <w:r>
        <w:tab/>
        <w:t xml:space="preserve">Применительно к формулировке пункта 3 а) статьи 8 следует отметить, что согласно Конституции, труд в Грузии свободен (статья 30, пункт 1).  В Уголовном кодексе содержится статья 150 – "Принуждение", - согласно диспозиции  которой преступлением признается физическое или психическое принуждение лица к совершению или </w:t>
      </w:r>
      <w:proofErr w:type="spellStart"/>
      <w:r>
        <w:t>несовершению</w:t>
      </w:r>
      <w:proofErr w:type="spellEnd"/>
      <w:r>
        <w:t xml:space="preserve"> каких-либо действий, осуществление которых является его правом.  Поскольку лицо, находящееся под юрисдикцией Грузии, обладает именно правом на свободу труда, принуждение его к труду, согласно закону, запрещается.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143.</w:t>
      </w:r>
      <w:r>
        <w:tab/>
        <w:t xml:space="preserve">Форма подневольного состояния может возникнуть в ситуации, когда какое-либо лицо вынужденно попадает в зависимость от другого лица.  Такое возможно, в частности, при сексуальной эксплуатации либо торговле наркотиками.  В связи с этим представляется целесообразным изложить соответствующие положения уголовного законодательства.  Применительно к проблеме сексуальной эксплуатации отметим, что в качестве наказуемых деяний квалифицируются вовлечение в проституцию путем применения или угрозы применения насилия, организация или содержание притонов для занятий проституцией, вовлечение несовершеннолетнего в проституцию или иной  сексуальный разврат (статьи 253, 254 и 171, пункт 1 Уголовного кодекса).  Что касается торговли наркотиками, то уголовно наказуемым преступлением признаны приобретение и сбыт наркотических средств, их аналогов и </w:t>
      </w:r>
      <w:proofErr w:type="spellStart"/>
      <w:r>
        <w:t>прекурсоров</w:t>
      </w:r>
      <w:proofErr w:type="spellEnd"/>
      <w:r>
        <w:t xml:space="preserve">, а также психотропных веществ, их аналогов или сильнодействующих веществ, незаконный ввоз, вывоз, транзит через Грузию наркотических средств, их аналогов или </w:t>
      </w:r>
      <w:proofErr w:type="spellStart"/>
      <w:r>
        <w:t>прокурсоров</w:t>
      </w:r>
      <w:proofErr w:type="spellEnd"/>
      <w:r>
        <w:t>, а также психотропных веществ, склонение к потреблению наркотических средств (статьи 260-263 и 272 Уголовного кодекса).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144.</w:t>
      </w:r>
      <w:r>
        <w:tab/>
        <w:t xml:space="preserve">Кроме того, закон </w:t>
      </w:r>
      <w:proofErr w:type="spellStart"/>
      <w:r>
        <w:t>криминализировал</w:t>
      </w:r>
      <w:proofErr w:type="spellEnd"/>
      <w:r>
        <w:t xml:space="preserve"> совершение таких деяний, как купля или продажа несовершеннолетнего либо совершение в отношении него иных незаконных сделок, в том числе с целью незаконного вывоза за границу (статья 172, пункты 2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145.</w:t>
      </w:r>
      <w:r>
        <w:tab/>
        <w:t xml:space="preserve">Уголовный кодекс устанавливает виды наказаний за совершение того или иного преступления (статья  40).  В их числе указаны и такие, как "общественно полезный труд" и "исправительные работы".  В соответствии с диспозицией соответствующих статей Кодекса общественно полезный труд определяется как выполнение осужденным в свободное время бесплатных общественно полезных работ.  Их срок колеблется в пределах 20 - 400 часов и отбывается не свыше четырех часов в день.  Общественно полезный труд не назначается лицам, признанным инвалидами </w:t>
      </w:r>
      <w:proofErr w:type="spellStart"/>
      <w:r>
        <w:t>I</w:t>
      </w:r>
      <w:proofErr w:type="spellEnd"/>
      <w:r>
        <w:t xml:space="preserve"> и </w:t>
      </w:r>
      <w:proofErr w:type="spellStart"/>
      <w:r>
        <w:t>II</w:t>
      </w:r>
      <w:proofErr w:type="spellEnd"/>
      <w:r>
        <w:t xml:space="preserve"> группы, беременным и женщинам, имеющим детей в возрасте до семи лет, лицам пенсионного возраста, а также военнослужащим срочной службы (статья 44).  Что касается исправительных работ, то они устанавливаются на срок от одного месяца до двух лет и отбываются по месту работы осужденного.  Из заработка осужденного производятся удержания в доход государства в размере, установленном приговором суда, в пределах </w:t>
      </w:r>
      <w:proofErr w:type="spellStart"/>
      <w:r>
        <w:t>5-20%</w:t>
      </w:r>
      <w:proofErr w:type="spellEnd"/>
      <w:r>
        <w:t xml:space="preserve"> (статья 45).  В случае отказа осужденного от выполнения общественно полезных работ, злостное уклонение от них, а также от исправительных работ, данные виды наказания могут быть заменены ограничением свободы, арестом или лишением свободы.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146.</w:t>
      </w:r>
      <w:r>
        <w:tab/>
        <w:t>Трудовая деятельность заключенных регулируется Законом "О заключении" и осуществляется в порядке, установленном трудовым законодательством.  Труд  осужденных, как правило, организуется на территории учреждения по исполнению наказаний.  Осужденный имеет право избрать себе вид труда из числа работ, предложенных администрацией.  Запрещается принуждать осужденного к труду, унижающему честь и достоинство человека.  Несовершеннолетний осужденный работает в свободное от учебы время, причем совокупная продолжительность работы и учебы не должна превышать 8 часов в день.  Сверхурочная работа осужденного, труд в выходные или нерабочие дни возможны только с согласия осужденного.  Продолжительность рабочего дня не должна превышать 8 часов.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147.</w:t>
      </w:r>
      <w:r>
        <w:tab/>
        <w:t>По инициативе администрации, в порядке исключения, допускается использование труда осужденных за пределами территории учреждения по исполнению наказаний  в случае стихийного бедствия, при предотвращении либо ликвидации аварий на производстве и их последствий, для предотвращения несчастных случаев, а также с целью благоустройства территории, зданий и сооружений пенитенциарного заведения.  Осуществление этих работ осужденными возможно только с их согласия и в том случае, если это будет способствовать достижению целей исполнения наказания.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148.</w:t>
      </w:r>
      <w:r>
        <w:tab/>
        <w:t xml:space="preserve">Что касается оплаты труда осужденных, то 50% зарплаты выдается самому осужденному на личные нужды, 15% перечисляется в государственный бюджет, </w:t>
      </w:r>
      <w:proofErr w:type="spellStart"/>
      <w:r>
        <w:t>10%</w:t>
      </w:r>
      <w:proofErr w:type="spellEnd"/>
      <w:r>
        <w:t xml:space="preserve"> отчисляется на покрытие расходов данного пенитенциарного заведения.  </w:t>
      </w:r>
      <w:proofErr w:type="spellStart"/>
      <w:r>
        <w:t>25%</w:t>
      </w:r>
      <w:proofErr w:type="spellEnd"/>
      <w:r>
        <w:t> зарплаты осужденного может быть удержано в установленном законом порядке по исполнительному листу.  Если такое удержание не производится, соответствующая сумма перечисляется на счет (депозит) осужденного и выдается ему при освобождении.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149.</w:t>
      </w:r>
      <w:r>
        <w:tab/>
        <w:t>Администрация учреждения по исполнению наказаний обязана создать заключенному безопасные для жизни и здоровья условия труда.  Если в период отбывания наказания осужденный утратил трудоспособность по причине производственной деятельности, после освобождения он имеет право потребовать назначения пенсии и возмещения нанесенного ущерба в случаях и порядке, установленных законом.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150.</w:t>
      </w:r>
      <w:r>
        <w:tab/>
        <w:t xml:space="preserve">Вышеизложенные положения содержатся в статьях 53-56 Закона "О заключении" и не указывают на принудительный характер труда осужденных.  Однако в законе не оговаривается право осужденного вообще не работать.  Напротив, согласно статье 27, пункт 1 а), осужденный обязан работать на выделенном администрацией (пенитенциарного заведения) рабочем месте на условиях, установленных настоящим Законом и внутренним распорядком заведения.  Таким образом, узаконивается обязательность труда осужденного, вне зависимости от его желания, что, на наш взгляд, не противоречит положению пункта 3 а) статьи 8, так же, как и Конституции, в свете толкования, предложенного в пункте 3 </w:t>
      </w:r>
      <w:proofErr w:type="spellStart"/>
      <w:r>
        <w:t>е</w:t>
      </w:r>
      <w:proofErr w:type="spellEnd"/>
      <w:r>
        <w:t xml:space="preserve">) </w:t>
      </w:r>
      <w:proofErr w:type="spellStart"/>
      <w:r>
        <w:t>i</w:t>
      </w:r>
      <w:proofErr w:type="spellEnd"/>
      <w:r>
        <w:t xml:space="preserve"> ) статьи 8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151.</w:t>
      </w:r>
      <w:r>
        <w:tab/>
        <w:t>В связи с вопросом об условном осуждении следует отметить, что в этом случае суд вправе назначить лицу дополнительные виды наказания либо возложить исполнение других обязанностей, способствующих его исправлению (Уголовный кодекс, статьи 63 и 65).  Данные положения также не противоречат требованиям Пакта.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Военная и альтернативная служба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152.</w:t>
      </w:r>
      <w:r>
        <w:tab/>
        <w:t>Для военнослужащих в Грузии установлены следующие сроки военной службы: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для военнослужащих, призванных для прохождения срочной службы, - 18 месяцев;</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для военнослужащих, имеющих высшее образование и призванных для прохождения срочной службы, - 12 месяцев;</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для призванных из резерва офицеров - 24 месяца;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для кадровых офицеров - не менее 10 лет.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153.</w:t>
      </w:r>
      <w:r>
        <w:tab/>
        <w:t>Согласно Закону "О статусе военнослужащего", военная служба представляет собой особый вид государственной службы и ставит целью обеспечение обороны Грузии (статья 10, пункт 1).  Использование военнослужащего на работах, не связанных непосредственно с его службой, недопустимо, за исключением предусмотренных законом случаев.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154.</w:t>
      </w:r>
      <w:r>
        <w:tab/>
        <w:t>Закон "О невоенной (альтернативной) трудовой службе" был принят в октябре 1997 года.  На данном этапе уже подготовлено положение о прохождении альтернативной службы и положение департамента по альтернативной службе, создание которого предполагается в структуре министерства здравоохранения и социальной защиты.  Тем самым обеспечивается требование о сугубо гражданском характере альтернативной службы.  Полагаем, что практически Закон "О невоенной (альтернативной) трудовой службе" заработает к намеченному на ноябрь 2000 года очередному призыву на военную службу.  Следует отметить, что по данным на середину мая 2000 года уже 367 призывников изъявили желание отбыть альтернативную службу.</w:t>
      </w:r>
    </w:p>
    <w:p w:rsidR="00000000" w:rsidRDefault="00000000">
      <w:pPr>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Вопросы труда в условиях чрезвычайных обстоятельств</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155.</w:t>
      </w:r>
      <w:r>
        <w:tab/>
        <w:t>В октябре 1997 года были приняты и вступили в силу Законы "О чрезвычайном положении" и "О военном положении".  Подробно о них говорится в комментариях настоящего доклада к статье 4 Пакта.  В обоих Законах содержатся идентичные положения, согласно которым в период чрезвычайного (военного) положения высшие органы исполнительной власти Грузии вправе: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временно запретить рабочим и служащим предприятий и организаций стратегического и жизненно важного значения увольняться по собственному желанию (кроме освобождения от работы по уважительной причине);</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запретить организацию забастовок;</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привлекать трудоспособных граждан к работе предприятий, учреждений и организаций (со средним уровнем оплаты труда), а также к ликвидации последствий чрезвычайного (военного) положения, обеспечив при этом безопасность их труда.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156.</w:t>
      </w:r>
      <w:r>
        <w:tab/>
        <w:t>Кроме того, в период чрезвычайного положения и военного положения руководители предприятий, учреждений и организаций  имеют право, в случае необходимости, без их согласия временно переводить рабочих и служащих на такую работу, которая не предусмотрена трудовым договором.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157.</w:t>
      </w:r>
      <w:r>
        <w:tab/>
        <w:t xml:space="preserve">Вышеизложенные положения статей 4 и 6 Законов "О чрезвычайном положении" и "О военном положении" не противоречат условиям пункта 3 с) </w:t>
      </w:r>
      <w:proofErr w:type="spellStart"/>
      <w:r>
        <w:t>iii</w:t>
      </w:r>
      <w:proofErr w:type="spellEnd"/>
      <w:r>
        <w:t>) статьи 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158.</w:t>
      </w:r>
      <w:r>
        <w:tab/>
        <w:t>В соответствии с указом президента Грузии в 1997 году в систему министерства внутренних дел был введен Департамент по чрезвычайным ситуациям и гражданской обороне.  При Совете национальной безопасности была создана постоянная межведомственная комиссия по чрезвычайным ситуациям и гражданской обороне, которая фактически является руководящим органов в деле защиты населения в чрезвычайных обстоятельствах.  В настоящее время подготовлен законопроект "О защите населения и территорий от чрезвычайных ситуаций", после принятия которого будет однозначно определен тот орган исполнительной власти, на который возлагается решение задач, возникающих в период чрезвычайных ситуаций.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159.</w:t>
      </w:r>
      <w:r>
        <w:tab/>
        <w:t xml:space="preserve">В заключение данной темы отметим, что все перечисленные в рамках настоящего раздела положения закона подлежат реализации на </w:t>
      </w:r>
      <w:proofErr w:type="spellStart"/>
      <w:r>
        <w:t>антидискриминационной</w:t>
      </w:r>
      <w:proofErr w:type="spellEnd"/>
      <w:r>
        <w:t xml:space="preserve"> основе и совместимы с другими  требованиями Пакта.</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9</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160.</w:t>
      </w:r>
      <w:r>
        <w:tab/>
        <w:t>В первоначальном докладе Грузии уже была упомянута статья 18 Конституции, гарантирующая права, предусмотренные статьей 9 Пакта.  Тем не менее представляется целесообразным вновь воспроизвести в настоящем докладе конституционные положения, расположив их в порядке, принятом в рассматриваемой статье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161.</w:t>
      </w:r>
      <w:r>
        <w:tab/>
        <w:t>Статья 18 Конституции провозглашает, что свобода человека неприкосновенна и лишение либо иное ограничение личной свободы без решения суда не допускается (пункты 1 и 2).  Задержанному или арестованному лицу незамедлительно разъясняются его права и основания ограничения свободы.  С момента задержания (ареста) лицу по его требованию предоставляется помощь защитника (пункт 5).  Задержанное или иным образом ограниченное в свободе лицо должно предстать перед соответствующим судом не позднее 48 часов.  Если в течение последующих 24 часов суд не примет решения об аресте или ином ограничении свободы, лицо незамедлительно должно быть освобождено (пункт 3).  Срок задержания подозреваемого в совершении преступления лица не должен превышать 72 часов, а предварительное заключение обвиняемого - 9 месяцев (пункт 6).  Незаконно задержанное (арестованное) лицо имеет право на компенсацию (пункт 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162.</w:t>
      </w:r>
      <w:r>
        <w:tab/>
        <w:t>Приведенные положения Конституции позволяют констатировать их соответствие требованиям статьи 9.  Соответственно, грузинское законодательство также не противоречит рассматриваемой статье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163.</w:t>
      </w:r>
      <w:r>
        <w:tab/>
        <w:t>В Уголовно-процессуальном кодексе содержится специальная статья 12 - "Неприкосновенность личности, защита ее части и достоинства".  Она гласит:</w:t>
      </w:r>
    </w:p>
    <w:p w:rsidR="00000000" w:rsidRDefault="00000000">
      <w:pPr>
        <w:tabs>
          <w:tab w:val="clear" w:pos="6237"/>
          <w:tab w:val="left" w:pos="567"/>
          <w:tab w:val="left" w:pos="1134"/>
          <w:tab w:val="left" w:pos="1701"/>
          <w:tab w:val="left" w:pos="2268"/>
        </w:tabs>
      </w:pPr>
    </w:p>
    <w:p w:rsidR="00000000" w:rsidRDefault="00000000">
      <w:pPr>
        <w:pStyle w:val="BodyTextIndent3"/>
      </w:pPr>
      <w:r>
        <w:t>"каждый человек имеет право на свободу, личную неприкосновенность, защиту своей чести и достоинства;</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не допускается ограничение свободы без законных оснований и соблюдения законного порядка.  Задержанному или арестованному немедленно должны быть сообщены причины задержания либо ареста;</w:t>
      </w:r>
    </w:p>
    <w:p w:rsidR="00000000" w:rsidRDefault="00000000">
      <w:pPr>
        <w:pStyle w:val="BodyTextIndent3"/>
      </w:pPr>
    </w:p>
    <w:p w:rsidR="00000000" w:rsidRDefault="00000000">
      <w:pPr>
        <w:pStyle w:val="BodyTextIndent3"/>
      </w:pPr>
      <w:r>
        <w:t>запрещается задержание подозреваемого на срок свыше 48 часов.  Арест лица либо его помещение с целью экспертизы в медицинское учреждение допускается лишь с согласия судьи либо по определению суда.  Судья, прокурор, следователь, дознаватель обязаны немедленно освободить незаконно задержанное или арестованное лицо;</w:t>
      </w:r>
    </w:p>
    <w:p w:rsidR="00000000" w:rsidRDefault="00000000">
      <w:pPr>
        <w:tabs>
          <w:tab w:val="clear" w:pos="6237"/>
          <w:tab w:val="left" w:pos="567"/>
          <w:tab w:val="left" w:pos="1134"/>
          <w:tab w:val="left" w:pos="1701"/>
          <w:tab w:val="left" w:pos="2268"/>
        </w:tabs>
        <w:ind w:left="567"/>
      </w:pPr>
    </w:p>
    <w:p w:rsidR="00000000" w:rsidRDefault="00000000">
      <w:pPr>
        <w:tabs>
          <w:tab w:val="clear" w:pos="6237"/>
          <w:tab w:val="left" w:pos="567"/>
          <w:tab w:val="left" w:pos="1134"/>
          <w:tab w:val="left" w:pos="1701"/>
          <w:tab w:val="left" w:pos="2268"/>
        </w:tabs>
        <w:ind w:left="567"/>
      </w:pPr>
      <w:r>
        <w:t>лицо, свобода которого была незаконно и необоснованно ограничена, имеет право на полное возмещение нанесенного ему ущерба".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164.</w:t>
      </w:r>
      <w:r>
        <w:tab/>
        <w:t xml:space="preserve">Согласно Уголовно-процессуальному кодексу, задержание лица  относится к предусмотренным законом мерам принуждения.  Они применяются в случае, если участник уголовного </w:t>
      </w:r>
      <w:proofErr w:type="spellStart"/>
      <w:r>
        <w:t>правопроизводства</w:t>
      </w:r>
      <w:proofErr w:type="spellEnd"/>
      <w:r>
        <w:t xml:space="preserve"> препятствует проведению следственных либо судебных действий, не выполняет возложенных на него процессуальных обязанностей или с целью пресечения поведения, создающего помехи выполнению задач уголовного </w:t>
      </w:r>
      <w:proofErr w:type="spellStart"/>
      <w:r>
        <w:t>правопроизводства</w:t>
      </w:r>
      <w:proofErr w:type="spellEnd"/>
      <w:r>
        <w:t xml:space="preserve"> (статья 133).  После привода задержанного в учреждение полиции либо к полномочному лицу органа дознания немедленно составляется протокол задержания, который своими подписями свидетельствуют лицо, составившее протокол, лицо, осуществившее задержание, и сам задержанный.  Не позднее, чем через 12 часов после привода задержанного осуществляется проверка законности и обоснованности задержания, после чего уполномоченное лицо органа дознания выносит мотивированное постановление о возбуждении уголовного дела, признании лица подозреваемым и его задержании, либо об отказе в возбуждении дела и освобождении задержанного.  Содержание постановления немедленно доводится до сведения прокурора.  В случае вынесения постановления о возбуждении уголовного дела и задержании подозреваемого, ему письменно разъясняются его права.  Задержанное на основе подозрения лицо должно быть допрошено не позднее, чем через 24 часа с момента привода, по требованию задержанного, после допроса должно быть проведено его освидетельствование врачом.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165.</w:t>
      </w:r>
      <w:r>
        <w:tab/>
        <w:t>Срок задержания до предъявления обвинения не должен превышать 48 часов.  Если в течение последующих 24 часов не будет вынесено решение об аресте либо применении иной меры пресечения, лицо должно быть немедленно освобождено.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166.</w:t>
      </w:r>
      <w:r>
        <w:tab/>
        <w:t>Задержанный подлежит освобождению, если:  не подтвердилось подозрение, что он совершил преступление, арест задержанного не является необходимым, прошел установленный срок задержания;  при задержании были серьезно нарушены положения Уголовно-процессуального закона.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167.</w:t>
      </w:r>
      <w:r>
        <w:tab/>
        <w:t>Ущерб, причиненный в результате незаконного и необоснованного задержания, в полном объеме возмещается из государственного бюджета, вне зависимости от того, будет ли задержанный осужден (Уголовно-процессуальный кодекс, статьи 146, 150).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168.</w:t>
      </w:r>
      <w:r>
        <w:tab/>
        <w:t>В части производства дознания принципиально новым положением в процессуальном законодательстве является то, что любые оперативно-розыскные мероприятия, ограничивающие конституционные права и свободы человека, до возбуждения уголовного дела проводятся только по приказу судьи, а если речь идет о делах, связанных с посягательством на конституционный строй и безопасность государства - судьи Коллегии по уголовным делам Верховного суда Грузии (статья 65).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169.</w:t>
      </w:r>
      <w:r>
        <w:tab/>
        <w:t>В Уголовном кодексе предусмотрены санкции различной степени строгости, вплоть до лишения свободы сроком от 4 до 15 лет, за умышленное незаконное задержание или арест (статья 147).</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Иные случаи лишения свободы, не связанные с уголовным производством</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170.</w:t>
      </w:r>
      <w:r>
        <w:tab/>
        <w:t xml:space="preserve">В контексте пункта 1 статьи 9 представляется необходимым указать, что, согласно уголовному законодательству, в качестве преступлений квалифицируются и иные случаи незаконного лишения свободы, а не только задержание (арест).  Статья 143 Уголовного кодекса </w:t>
      </w:r>
      <w:proofErr w:type="spellStart"/>
      <w:r>
        <w:t>криминализирует</w:t>
      </w:r>
      <w:proofErr w:type="spellEnd"/>
      <w:r>
        <w:t xml:space="preserve"> незаконное лишение свободы лица, кем бы оно ни было осуществлено и вне зависимости от мотивов.  В то же время отметим, что, согласно примечанию к данной статье Кодекса, если в течение 72 часов с момента лишения свободы человека виновное лицо добровольно освобождает его, оно не будет подлежать уголовной ответственности, но лишь при условии отсутствия в его действиях признаков иного преступления и отказа потерпевшего от предъявления жалобы.  Помимо этого, Уголовный кодекс признает преступным и такое деяние, как незаконное помещение и содержание в психиатрической больнице, в том числе совершенное с использованием служебного положения (статья 149).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171.</w:t>
      </w:r>
      <w:r>
        <w:tab/>
        <w:t>Одним из частых случаев незаконного лишения лица свободы является захват заложника, который Уголовный кодекс Грузии квалифицирует как отдельное преступление (статья 144).  По отношению к данной статье Кодекса также действует примечание, о котором говорилось выше применительно к статье 143.</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Порядок заключения под стражу и срок предварительного заключения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172.</w:t>
      </w:r>
      <w:r>
        <w:tab/>
        <w:t>Уголовно-процессуальный кодекс гласит, что никто не может быть арестован без приказа судьи или иного судебного решения, и незаконно арестованное лицо подлежит немедленному освобождению (статья 159).  Арест как мера пресечения применяется только по отношению к лицу, обвиняемому в совершении преступления, караемого лишением свободы сроком более двух лет.  Арест, как правило, не применяется к больным, престарелым (женщины - после 60 лет, мужчины - после 65), беременным более 12 недель и женщинам, имеющих детей в возрасте до одного года;  арест может не применяться  в случае совершения преступления по неосторожности (там же).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173.</w:t>
      </w:r>
      <w:r>
        <w:tab/>
        <w:t>В соответствии со статьей 162 данного Кодекса срок содержания под стражей исчисляется с момента доставления лица в качестве подозреваемого в учреждение полиции (орган дознания), а при отсутствии такового - с момента исполнения судебного приказа об избрании такой меры пресечения (пункт 1).  Срок содержания под стражей при расследовании дела не может превышать двух месяцев с момента задержания подозреваемого либо заключения под стражу обвиняемого (пункт 3).  В случае невозможности завершить следствие ввиду его сложности срок содержания обвиняемого под стражей может быть по ходатайству прокурора продлен до трех месяцев судьей по месту производства.  На тех же основаниях по приказу главного военного либо транспортного прокуроров, а также прокуроров Тбилиси, Абхазской и Аджарской автономных республик, окружных прокуроров, судей следственной коллегии апелляционного суда срок содержания обвиняемого под стражей может быть продлен до шести месяцев.  В исключительных случаях, по ходатайству Генерального прокурора, приказу судьи судебной коллегии по уголовным делам Верховного суда срок содержания под стражей может быть продлен на срок свыше шести, но не более девяти месяцев.  После этого обвиняемый подлежит немедленному освобождению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174.</w:t>
      </w:r>
      <w:r>
        <w:tab/>
        <w:t>Обсуждение вопроса об общей продолжительности пребывания лица под стражей в период судебного разбирательства его дела по существу, до вынесения приговора, выходит за рамки данной статьи.  Тем не менее отметим, что при рассмотрении дела районным (городским) судом срок содержания подсудимого под стражей до вынесения итогового решения после передачи дела в суд не должен превышать шести месяцев, а по делам, подсудным Верховному суду и окружным, а также при рассмотрении дела в апелляционном суде - 12 месяцев.  В особых случаях этот срок по представлению суда, рассматривающего дело, может быть продлен Пленумом Верховного суда еще на шесть месяцев.  Дальнейшее пребывание подсудимого под стражей не допускается (Уголовно-процессуальный кодекс, статья 162, пункты 7 и 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i/>
          <w:iCs/>
        </w:rPr>
      </w:pPr>
      <w:r>
        <w:rPr>
          <w:i/>
          <w:iCs/>
        </w:rPr>
        <w:t>Право на компенсацию в связи с незаконным задержанием (арестом)</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175.</w:t>
      </w:r>
      <w:r>
        <w:tab/>
        <w:t>Данное право предусматривается соответствующими статьями Уголовно-процессуального кодекса, положения которых приводятся ниже.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176.</w:t>
      </w:r>
      <w:r>
        <w:tab/>
        <w:t>Лицо, свобода которого была ограничена, имеет право на полное возмещение имущественного ущерба, если его задержание или арест были незаконными либо необоснованными.  Физический ущерб возмещается государством посредством выплаты суммы, компенсирующей расходы на лечение, потерю или снижение трудоспособности, в случае, если заболевание вызвано нарушением режима пребывания арестованного в местах заключения.  Возмещение морального ущерба осуществляется путем принесения извинений через прессу или иные средства массовой информации, а также посредством денежной компенсации (статья 165).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177.</w:t>
      </w:r>
      <w:r>
        <w:tab/>
        <w:t>Вне зависимости от исхода дела, должен быть возмещен ущерб, нанесенный лицу в результате незаконного или необоснованного ареста, задержания, помещения с целью экспертизы в медицинское учреждение, а также иных незаконных или необоснованных  действий  органов правопорядка, нанесших обвиняемому лицу имущественный, физический или моральный ущерб (статья 221).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178.</w:t>
      </w:r>
      <w:r>
        <w:tab/>
        <w:t>Если будет установлено, что здоровье лица пострадало в результате нарушения правил задержания, ареста, помещения в места ограничения или лишения свободы либо несвоевременного оказания медицинской помощи, государство обязуется полностью возместить этот ущерб.  Возмещение ущерба может быть истребовано в ходе производства уголовного дела, в процессе отбывания наказания и в течение шести месяцев после него (статья 224).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179.</w:t>
      </w:r>
      <w:r>
        <w:tab/>
        <w:t>При наличии сведений, что ущерб нанесен в результате незаконных или необоснованных действий дознавателя, следователя, прокурора, лицо, считающее себя пострадавшим, имеет право внести жалобу в суд до окончания предварительного следствия.  Постановление судьи по этому вопросу должно быть вынесено не позже одного месяца.  Если основания для реабилитации были выявлены в суде, после прекращения дела, в оправдательном приговоре либо определении, за которым следует реабилитация, суд должен признать право реабилитированного на возмещение всех видов ущерба, что затем оформляется  отдельным определением (постановлением) (статья 227).</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Статистические данные в связи с задержаниями и арестами</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180.</w:t>
      </w:r>
      <w:r>
        <w:tab/>
        <w:t>Ниже приводятся в разбивке по годам статистические данные за период, прошедший с представления первоначального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1996 году задержанию подверглись 3 133 лица.  Из них на 2 778 лиц была выдана санкция на арест.  355 человек были освобождены из-под стражи, в том числе 325 - ввиду избрания меры пресечения, не связанной с арестом, 20 - в связи с недоказанностью подозрения в совершении преступления, 10 - вследствие истечения срока задержания.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1997 году были задержаны 2 796 человек, из которых санкция на арест была выдана в 2 340 случаях.  456 человек были освобождены из-под стражи, в том числе 425 - ввиду избрания меры пресечения, не связанной с лишением свободы, 9 - в связи с незаконностью подозрения в совершении преступления, 22 - вследствие истечения срока задержания.</w:t>
      </w:r>
    </w:p>
    <w:p w:rsidR="00000000" w:rsidRDefault="00000000">
      <w:pPr>
        <w:tabs>
          <w:tab w:val="clear" w:pos="6237"/>
          <w:tab w:val="left" w:pos="567"/>
          <w:tab w:val="left" w:pos="1134"/>
          <w:tab w:val="left" w:pos="1701"/>
          <w:tab w:val="left" w:pos="2268"/>
        </w:tabs>
      </w:pPr>
      <w:r>
        <w:tab/>
        <w:t>В 1998 году были задержаны 2 617 лиц.  Санкция прокурора либо приказ судьи об аресте был издан в 2 257 случаях.  360 человек были освобождены из-под стражи, в том числе 352 - ввиду избрания меры пресечения, не связанной с лишением свободы, 8 </w:t>
      </w:r>
      <w:r>
        <w:noBreakHyphen/>
        <w:t> в связи с истечением срока задержания.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1999 году было задержано 3 380 лиц, из которых на 2 676 человек был выдан приказ судьи об аресте.  613 задержанных были затем освобождены, в том числе 593 - ввиду избрания меры пресечения, не связанной с лишением свободы, 12 - в связи с недоказанностью подозрения в совершении преступления, 8 - вследствие истечения срока задержания.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В </w:t>
      </w:r>
      <w:proofErr w:type="spellStart"/>
      <w:r>
        <w:t>I</w:t>
      </w:r>
      <w:proofErr w:type="spellEnd"/>
      <w:r>
        <w:t xml:space="preserve"> квартале 2000 года всего задержанию подверглись 647 лиц.  В 623 случаях был выдан судебный приказ об аресте.  24 человека были освобождены из-под стражи, в том числе 21 - ввиду избрания меры пресечения, не связанной с лишением свободы, 1 - ввиду недоказанности подозрения в совершении преступления, 2 - вследствие истечения срока задержания.</w:t>
      </w:r>
    </w:p>
    <w:p w:rsidR="00000000" w:rsidRDefault="00000000">
      <w:pPr>
        <w:tabs>
          <w:tab w:val="clear" w:pos="6237"/>
          <w:tab w:val="left" w:pos="567"/>
          <w:tab w:val="left" w:pos="1134"/>
          <w:tab w:val="left" w:pos="1701"/>
          <w:tab w:val="left" w:pos="2268"/>
        </w:tabs>
        <w:rPr>
          <w:u w:val="single"/>
        </w:rPr>
      </w:pPr>
    </w:p>
    <w:p w:rsidR="00000000" w:rsidRDefault="00000000">
      <w:pPr>
        <w:pStyle w:val="BodyText3"/>
      </w:pPr>
      <w:r>
        <w:t>Данные о количестве лиц, помещенных для принудительного лечения в психиатрические учреждения</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181.</w:t>
      </w:r>
      <w:r>
        <w:tab/>
        <w:t xml:space="preserve">Согласно Уголовному кодексу, принудительные меры медицинского характера могут быть назначены судом лицам: </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 xml:space="preserve">совершившим преступления в состоянии невменяемости либо ограниченной вменяемости; </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 xml:space="preserve">у которых после совершения преступления наступило психическое расстройство, исключающее назначение или исполнение наказания;  </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 xml:space="preserve">признанным нуждающимися в лечении от алкоголизма либо наркомании (статья 101).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Вид принудительных мер, в число которых входит и помещение на стационарное лечение в психиатрическое учреждение, также определяется судом (статья 102).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182.</w:t>
      </w:r>
      <w:r>
        <w:tab/>
        <w:t>В 1996-2000 годах всего органами внутренних дел для принудительного лечения были помещены в психиатрические учреждения 1 375 больных.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183.</w:t>
      </w:r>
      <w:r>
        <w:tab/>
        <w:t>В соответствии с Уголовным кодексом продление, изменение и прекращение применения принудительных мер медицинского характера осуществляется судом на основании представления администрации соответствующего медицинского учреждения (статья 105, пункт 1).</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Применение административного ареста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184.</w:t>
      </w:r>
      <w:r>
        <w:tab/>
        <w:t>Порядок и условия административного ареста регулируется статьей 32 Кодекса об  административных правонарушениях, согласно которой административный арест устанавливается и применяется лишь в исключительных случаях за совершение отдельных видов административных правонарушений сроком до 30 суток.  Решение об административном  аресте выносится судьей районного (городского) суда.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185.</w:t>
      </w:r>
      <w:r>
        <w:tab/>
        <w:t xml:space="preserve">Административный арест не может быть наложен на беременных женщин, а также женщин, имеющих детей в возрасте до 12 лет, лиц, не достигших 18 лет, инвалидов </w:t>
      </w:r>
      <w:proofErr w:type="spellStart"/>
      <w:r>
        <w:t>I</w:t>
      </w:r>
      <w:proofErr w:type="spellEnd"/>
      <w:r>
        <w:t xml:space="preserve"> и </w:t>
      </w:r>
      <w:proofErr w:type="spellStart"/>
      <w:r>
        <w:t>II</w:t>
      </w:r>
      <w:proofErr w:type="spellEnd"/>
      <w:r>
        <w:t> группы.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186.</w:t>
      </w:r>
      <w:r>
        <w:tab/>
        <w:t>Порядок отбывания административного ареста и использование труда лиц, на которых наложен арест, регулируется  соответственно статьями 303 и 310 Кодекса административных правонарушений.  В соответствии с упомянутыми статьями лица, на которых наложен административный арест, отбывают положенный срок в отведенных органами внутренних дел для этой цели местах в установленном законом порядке.  Эти лица используются на физической работе, организацию которой осуществляют местные органы власти.  Период пребывания под административным арестом по месту постоянной работы лицу не оплачивается.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187.</w:t>
      </w:r>
      <w:r>
        <w:tab/>
        <w:t xml:space="preserve">Административный арест используется за такие виды правонарушений, как мелкое хищение государственного и общественного имущества, мелкое хулиганство, </w:t>
      </w:r>
      <w:proofErr w:type="spellStart"/>
      <w:r>
        <w:t>распитие</w:t>
      </w:r>
      <w:proofErr w:type="spellEnd"/>
      <w:r>
        <w:t xml:space="preserve"> спиртных напитков в общественных местах, пребывание в общественном месте в нетрезвом виде, злостное неподчинение законному требованию работника полиции, нарушение порядка валютных операций, приобретение и хранение незначительного количества наркотиков, либо их использование без назначения врача.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Применение в качестве меры пресечения  домашнего ареста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188.</w:t>
      </w:r>
      <w:r>
        <w:tab/>
        <w:t>Вышеупомянутая мера пресечения вошла в практику с принятием Уголовно-процессуального кодекса, вступившего в силу в августе 1998 года.  Применение домашнего ареста не приводит к полной изоляции от общества и в то же время является весьма эффективным с точки зрения цели, для которой используются меры пресечения.  Тем не менее, как свидетельствует имеющаяся статистика, в процессе следствия домашний арест применяется достаточно редко.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189.</w:t>
      </w:r>
      <w:r>
        <w:tab/>
        <w:t>По сведениям Прокуратуры Грузии, из 3 974 лиц, привлеченных к ответственности в качестве обвиняемых в 1999 году, домашний арест был наложен лишь на 22 человека.  При этом аресту как мере пресечения подверглось 2 090 обвиняемых.  Тенденция, согласно которой основной мерой пресечения является арест, сохранилась и в 2000 году.  Примечательно и то, что домашний арест практически не применяется по отношению к несовершеннолетним обвиняемым.  Так, из 668 несовершеннолетних, в 1999 году привлеченных к уголовной ответственности органами внутренних дел и прокуратуры, под домашний арест были помещены лишь трое.  Между тем, арест в качестве меры пресечения был применен по отношению к 177 несовершеннолетним.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190.</w:t>
      </w:r>
      <w:r>
        <w:tab/>
        <w:t xml:space="preserve">Столь редкое применение в качестве меры пресечения домашнего ареста может быть объяснено определенными объективными факторами.  Согласно статье 166 Уголовно-процессуального кодекса, круг обвиняемых, к которым может быть применен домашний арест, ограничен следующими категориями лиц: инвалиды </w:t>
      </w:r>
      <w:proofErr w:type="spellStart"/>
      <w:r>
        <w:t>I</w:t>
      </w:r>
      <w:proofErr w:type="spellEnd"/>
      <w:r>
        <w:t xml:space="preserve"> и </w:t>
      </w:r>
      <w:proofErr w:type="spellStart"/>
      <w:r>
        <w:t>II</w:t>
      </w:r>
      <w:proofErr w:type="spellEnd"/>
      <w:r>
        <w:t xml:space="preserve"> группы, больные тяжелой степенью хронического или инфекционного недуга, женщины со сроком беременности свыше 12 недель, обвиняемые, находящиеся в тяжелых семейных обстоятельствах.  Кроме того, указывается характер совершенного преступления, судимость обвиняемого и иные обстоятельства.  Следует отметить также, что применение домашнего ареста связано с использованием со стороны правоохранительных органов определенных технических средств и с проведением иных конкретных мероприятий, что влечет за собой весьма значительные затраты.  В настоящее время правоохранительные органы соответствующими средствами не располагают.</w:t>
      </w:r>
    </w:p>
    <w:p w:rsidR="00000000" w:rsidRDefault="00000000">
      <w:pPr>
        <w:tabs>
          <w:tab w:val="clear" w:pos="6237"/>
          <w:tab w:val="left" w:pos="567"/>
          <w:tab w:val="left" w:pos="1134"/>
          <w:tab w:val="left" w:pos="1701"/>
          <w:tab w:val="left" w:pos="2268"/>
        </w:tabs>
      </w:pPr>
    </w:p>
    <w:p w:rsidR="00000000" w:rsidRDefault="00000000">
      <w:pPr>
        <w:pStyle w:val="BodyText3"/>
      </w:pPr>
      <w:r>
        <w:t>Практическая реализация права на получение компенсации ввиду незаконного задержания (ареста)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191.</w:t>
      </w:r>
      <w:r>
        <w:tab/>
        <w:t>По сведениям Прокуратуры Грузии, за последние годы в практике прокурорских органов не отмечено факта, когда гражданин потребовал и получил компенсацию ввиду незаконного задержания (ареста).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192.</w:t>
      </w:r>
      <w:r>
        <w:tab/>
        <w:t xml:space="preserve">По сообщению министерства внутренних дел, в 1998 году двое граждан в судебном порядке получили компенсацию в связи с незаконностью их ареста.  Компенсация была выплачена департаментом материально-технического и финансового обеспечения министерства и в сумме составила 9 275 лари (1 </w:t>
      </w:r>
      <w:proofErr w:type="spellStart"/>
      <w:r>
        <w:t>USD</w:t>
      </w:r>
      <w:proofErr w:type="spellEnd"/>
      <w:r>
        <w:t xml:space="preserve"> = 1,96 лари).</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10</w:t>
      </w:r>
    </w:p>
    <w:p w:rsidR="00000000" w:rsidRDefault="00000000">
      <w:pPr>
        <w:keepNext/>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Правовые основы функционирования пенитенциарной системы</w:t>
      </w:r>
    </w:p>
    <w:p w:rsidR="00000000" w:rsidRDefault="00000000">
      <w:pPr>
        <w:keepNext/>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193.</w:t>
      </w:r>
      <w:r>
        <w:tab/>
        <w:t>В процессе реформы системы исполнения наказаний и создания правовой базы ее деятельности серьезное внимание было уделено учету тех принципов международного права,  которые закрепляют минимальные гарантии в обращении с осужденными.  Речь, прежде всего, идет о таких документах Организации Объединенных Наций, как Стандартные минимальные правила обращения с заключенными (1957 год), Комплекс принципов защиты лиц при любых формах задержания и тюремного заключения (1988 год), Кодекс поведения должностных лиц по поддержанию правопорядка (1978 год), Принципы медицинской этики, касающиеся роли медицинского персонала, в частности врачей, в защите заключенных и задержанных от пыток  (1982 год).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194.</w:t>
      </w:r>
      <w:r>
        <w:tab/>
        <w:t>Законодательными и подзаконными актами урегулировано функционирование пенитенциарной системы, по-новому упорядочены гарантии защиты прав заключенных и осужденных, определены их обязанности, регламентированы вопросы, связанные с бытовыми условиями содержания под стражей, медицинского обслуживания, образования, труда, социальной защиты.  В рамках реформы пенитенциарной системы были приняты следующие нормативные акты, регулирующие права и обязанности лиц, заключенных под стражу:</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Закон "О заключении" (июль 1999 года);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приказ министров юстиции, здравоохранения и социальной защиты "О нормах питания, одежде и санитарно-гигиенических условиях осужденных" (декабрь 1999 года, № 5/500/т);</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совместный приказ министров юстиции и образования "Об образовании и профессиональном обучении осужденных" (декабрь 1999 года, № 614/6);</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приказ министра юстиции "О социальной службе осужденных" (декабрь 1999 года, № 361);</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приказ министра юстиции "О реабилитационном центре осужденных" (декабрь 1999 года, № 368).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Все упомянутые нормативные акты подготовлены с учетом принципов международного права и прошли экспертизу со стороны специалистов Организации Объединенных Наций.  По заключению экспертов, законодательная база пенитенциарной системы отвечает международным стандартам.  Что касается фактического состояния материально-технической базы исполнения наказаний, то оно, к сожалению, поставленным требованиям не отвечает.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195.</w:t>
      </w:r>
      <w:r>
        <w:tab/>
        <w:t>Помимо вышеупомянутых нормативных актов, отдельные аспекты деятельности пенитенциарной системы, в соответствии с законом "О заключении", регулируются приказами министра юстиции, общее число которых достигает сорока.</w:t>
      </w:r>
    </w:p>
    <w:p w:rsidR="00000000" w:rsidRDefault="00000000">
      <w:pPr>
        <w:tabs>
          <w:tab w:val="clear" w:pos="6237"/>
          <w:tab w:val="left" w:pos="567"/>
          <w:tab w:val="left" w:pos="1134"/>
          <w:tab w:val="left" w:pos="1701"/>
          <w:tab w:val="left" w:pos="2268"/>
        </w:tabs>
      </w:pPr>
    </w:p>
    <w:p w:rsidR="00000000" w:rsidRDefault="00000000">
      <w:pPr>
        <w:pStyle w:val="BodyText3"/>
      </w:pPr>
      <w:r>
        <w:t>Состояние пенитенциарной системы в связи с переходом в систему министерства юстиции</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196.</w:t>
      </w:r>
      <w:r>
        <w:tab/>
        <w:t xml:space="preserve">Передача пенитенциарной системы в ведение министерства юстиции  представляет собой безусловно прогрессивный шаг с точки зрения обеспечения прав и свобод, </w:t>
      </w:r>
      <w:proofErr w:type="spellStart"/>
      <w:r>
        <w:t>гуманизации</w:t>
      </w:r>
      <w:proofErr w:type="spellEnd"/>
      <w:r>
        <w:t xml:space="preserve"> обращения с лицами, лишенными свободы.  Эта мера повлекла за собой ряд позитивных перемен в системе исполнения наказаний, а именно:</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лица, лишенные свободы, перешли из ведения министерства внутренних дел под компетенцию нейтральной организации - министерства юстиции;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внесены изменения в режим исполнения наказаний, а именно, упразднены учреждения усиленного и особого  режима;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создано подразделение по конвоированию в службе специальной охраны департамента по исполнению наказаний;</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возросла периодичность получения осужденными передач и их встреч (свиданий) с родственниками;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осуществлена телефонизация пенитенциарных учреждений;</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резко улучшилась норма калорийности продуктов питания;</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 период отбывания наказания осужденным предоставлено право получить высшее образование;</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на реабилитационные службы возложена обязанность заниматься вопросами бытового устройства осужденных не только в период лишения свободы, но и в течение одного года после освобождения, по месту жительства.  В этом активную помощь им должны оказывать созданные приказом министра юстиции постоянные комиссии общественного контроля за учреждениями по исполнению наказаний.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197.</w:t>
      </w:r>
      <w:r>
        <w:tab/>
        <w:t>Функции контроля над учреждениями по исполнению наказаний осуществляют министерство юстиции и органы прокуратуры по надзору за соблюдением закона в пенитенциарных заведениях.  Кроме того, как отмечалось выше, согласно статье 93 Закона "О заключении", создаются постоянные общественные контрольные комиссии, в состав которых входят представители местных органов власти, общественные деятели, представители неправительственных и религиозных организаций, другие лица.  Деятельность этих комиссий осуществляется на основе положения, утвержденного приказом министра юстиции в декабре 1999 года.  С целью организации внутриведомственного контроля за функционированием пенитенциарных учреждений в системе министерства юстиции созданы такие структуры, как отдел по исполнительным делам и генеральная инспекция.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Следует отметить также, что пенитенциарная система находится под постоянным контролем Народного защитника, Комитета по правам человека парламента, Службы по вопросам защиты прав человека аппарата Совета национальной безопасности Грузии.  </w:t>
      </w:r>
    </w:p>
    <w:p w:rsidR="00000000" w:rsidRDefault="00000000">
      <w:pPr>
        <w:tabs>
          <w:tab w:val="clear" w:pos="6237"/>
          <w:tab w:val="left" w:pos="567"/>
          <w:tab w:val="left" w:pos="1134"/>
          <w:tab w:val="left" w:pos="1701"/>
          <w:tab w:val="left" w:pos="2268"/>
        </w:tabs>
      </w:pPr>
    </w:p>
    <w:p w:rsidR="00000000" w:rsidRDefault="00000000">
      <w:pPr>
        <w:pStyle w:val="BodyText3"/>
      </w:pPr>
      <w:r>
        <w:t>Тренинг персонала пенитенциарных учреждений в сфере прав человека.  Право осужденных на подачу жалоб о нарушении их прав</w:t>
      </w:r>
    </w:p>
    <w:p w:rsidR="00000000" w:rsidRDefault="00000000">
      <w:pPr>
        <w:tabs>
          <w:tab w:val="clear" w:pos="6237"/>
          <w:tab w:val="left" w:pos="567"/>
          <w:tab w:val="left" w:pos="1134"/>
          <w:tab w:val="left" w:pos="1701"/>
          <w:tab w:val="left" w:pos="2268"/>
        </w:tabs>
        <w:rPr>
          <w:u w:val="single"/>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198.</w:t>
      </w:r>
      <w:r>
        <w:rPr>
          <w:sz w:val="24"/>
        </w:rPr>
        <w:tab/>
        <w:t>Тренинг персонала пенитенциарной системы в вопросах защиты прав человека, с точки зрения обращения с осужденными, осуществляется путем систематического повышения квалификации сотрудников.  Речь, в частности, идет об их участии в различных конференциях, совещаниях и семинарах, как республиканских, так и международных.  В 1996-2000 годах работники системы исполнения наказаний Грузии приняли участие примерно в тридцати такого рода мероприятиях, результаты которых были затем обобщены и в качестве передового опыта используются в практической работе.  Кроме того, отметим, что в настоящее время в учебном центре министерства юстиции создается специализированное отделение по подготовке персонала пенитенциарной системы по правам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199.</w:t>
      </w:r>
      <w:r>
        <w:tab/>
        <w:t>Согласно статье 26 Закона "О заключении", осужденный имеет право на подачу жалобы в связи с незаконными действиями администрации и служащих пенитенциарного заведения, департамента по исполнению наказаний либо иного государственного учреждения (пункт Б).  Администрации учреждения по исполнению наказаний запрещается задерживать или проверять заявления, направленные осужденными в адрес суда, департамента по исполнению наказаний, защитника (адвоката) или прокурора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200.</w:t>
      </w:r>
      <w:r>
        <w:tab/>
        <w:t xml:space="preserve">В соответствии со статьей 15 Закона "О Народном защитнике" обеспечивается конфиденциальность заявлений, писем и жалоб, направленных </w:t>
      </w:r>
      <w:proofErr w:type="spellStart"/>
      <w:r>
        <w:t>омбудсмену</w:t>
      </w:r>
      <w:proofErr w:type="spellEnd"/>
      <w:r>
        <w:t xml:space="preserve"> всеми категориями лиц, лишенных свободы (задержанными, находящимися в предварительном заключении и осужденными).  Заявления, письма и жалобы такого рода должны быть переданы Народному защитнику незамедлительно.</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Порядок содержания обвиняемых и осужденных лиц</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201.</w:t>
      </w:r>
      <w:r>
        <w:tab/>
        <w:t>В соответствии с Законом "О заключении" раздельному размещению в пенитенциарном учреждении подлежат:  женщины;  несовершеннолетние осужденные;  лица, впервые осужденные за совершение преступления;  лица, приговоренные к пожизненному лишению свободы.  В лечебном отделении учреждения по исполнению наказаний отдельному содержанию подлежат лица, больные СПИДом и страдающие иными неуправляемыми инфекционными заболеваниями (статья 22).  Что касается условий содержания подвергшихся аресту обвиняемых, то эти последние в порядке, предусмотренном Уголовно-процессуальным кодексом, размещаются в специальном арестантском отделении тюрьмы и контактов с осужденными заключенными не имеют (статья 85).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202.</w:t>
      </w:r>
      <w:r>
        <w:tab/>
        <w:t>Предусмотренные Законом "О заключении" условия содержания обвиняемых (</w:t>
      </w:r>
      <w:proofErr w:type="spellStart"/>
      <w:r>
        <w:t>неосужденных</w:t>
      </w:r>
      <w:proofErr w:type="spellEnd"/>
      <w:r>
        <w:t xml:space="preserve">) и осужденных лиц позволяют констатировать, что </w:t>
      </w:r>
      <w:proofErr w:type="spellStart"/>
      <w:r>
        <w:t>неосужденные</w:t>
      </w:r>
      <w:proofErr w:type="spellEnd"/>
      <w:r>
        <w:t xml:space="preserve"> лица в период пребывания под арестом пользуются определенными льготами.  Так, арестованные обвиняемые  не заняты трудовой деятельностью, на них не могут быть наложены такие предусмотренные для осужденных дисциплинарные взыскания, как лишение свиданий, запрет на получение посылок или переводов, помещения в одиночную камеру.  В то же время находящийся под арестом обвиняемый имеет возможность осуществлять свои процессуальные права, предусмотренные статьей 76 Уголовно-процессуального кодекса.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Социальная реабилитация осужденных</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203.</w:t>
      </w:r>
      <w:r>
        <w:tab/>
        <w:t>В департаменте по исполнению наказаний создана социальная служба, целью которой является содействие осужденным в налаживании и поддержании социальных, правовых и нравственных контактов, оказание помощи в решении личных или семейных проблем.  Социальная служба способствует повышению правовой сознательности осужденных, их контактам с теми представителями общества, которые в состоянии помочь осужденным в устройстве жизни после освобождения.  Социальная служба возглавляет учебные группы по социальной адаптации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204.</w:t>
      </w:r>
      <w:r>
        <w:tab/>
        <w:t>В учреждениях по исполнению наказаний социальными вопросами ведает социальный работник, назначаемый на эту должность директором данного учреждения.  При этом социальный работник должен иметь высшее специальное образование.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205.</w:t>
      </w:r>
      <w:r>
        <w:tab/>
        <w:t>В процессе подготовки к освобождению осужденному оказывается помощь в решении вопросов, связанных с устройством личной жизни, а также с оформлением соответствующих документов.  Осужденный извещается о том, что имеет возможность получить помощь в рамках общего социального обеспечения.  В ходе подготовки осужденного к освобождению социальный работник сообщает органам власти на местах о том, что отбывшее наказание лицо нуждается после своего освобождения в социальной помощи.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206.</w:t>
      </w:r>
      <w:r>
        <w:tab/>
        <w:t>В соответствии с законом с целью обеспечения социальной адаптации осужденных в последнее время начат процесс создания при пенитенциарных учреждениях реабилитационных центров.  Положение о реабилитационном центре утверждается министром юстиции.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207.</w:t>
      </w:r>
      <w:r>
        <w:tab/>
        <w:t>Институты социальной службы и социального работника в пенитенциарной системе вводятся Законом "О заключении" (статьи 57-61).</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Вопросы профессионального обучения и образования осужденных</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208.</w:t>
      </w:r>
      <w:r>
        <w:tab/>
        <w:t>В соответствии с Законом "О заключении" (статья 44) администрация учреждения по исполнению наказаний обязана создать условия для получения осужденными общеобразовательной и профессиональной подготовки.  Более того, согласно статье 45 данного Закона, для несовершеннолетних осужденных получение начального образования является обязательным, причем за счет государства.  Также за счет государственных средств возможно получение базового образования.  Для осужденных, не владеющих государственным языком Грузии, должны быть созданы условия для его изучения.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209.</w:t>
      </w:r>
      <w:r>
        <w:tab/>
        <w:t>Что касается возможности получения профессионального образования, то Законом "О заключении" (статья 46) предусмотрено, что в пенитенциарном учреждении должны быть созданы условия для повышения профессионального уровня  осужденных.  Для осужденных, имеющих какую-либо специальность, а также несовершеннолетних осужденных, не имеющих специального образования, профессиональное обучение является добровольным.  Во время профессионального обучения преимущество отдается тем профессиям, изучение которых возможно в условиях учреждения по исполнению наказаний.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210.</w:t>
      </w:r>
      <w:r>
        <w:tab/>
        <w:t>Помимо сказанного, администрация пенитенциарного учреждения вправе предоставить осужденному возможность экстерном учиться в среднем, профессиональном и высшем учебных заведениях.  Порядок и условия учебы экстерном определяются министром юстиции по согласованию с министерством образования.</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Режим и условия содержания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211.</w:t>
      </w:r>
      <w:r>
        <w:tab/>
        <w:t>Согласно Закону "О заключении" (статья 6), на территории Грузии учреждениями по исполнению наказаний являются следующие: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учреждение общего режима;</w:t>
      </w:r>
    </w:p>
    <w:p w:rsidR="00000000" w:rsidRDefault="00000000">
      <w:pPr>
        <w:tabs>
          <w:tab w:val="clear" w:pos="6237"/>
          <w:tab w:val="left" w:pos="567"/>
          <w:tab w:val="left" w:pos="1134"/>
          <w:tab w:val="left" w:pos="1701"/>
          <w:tab w:val="left" w:pos="2268"/>
        </w:tabs>
      </w:pPr>
      <w:r>
        <w:tab/>
        <w:t xml:space="preserve">- </w:t>
      </w:r>
      <w:r>
        <w:tab/>
        <w:t>учреждение строгого режима;</w:t>
      </w:r>
    </w:p>
    <w:p w:rsidR="00000000" w:rsidRDefault="00000000">
      <w:pPr>
        <w:tabs>
          <w:tab w:val="clear" w:pos="6237"/>
          <w:tab w:val="left" w:pos="567"/>
          <w:tab w:val="left" w:pos="1134"/>
          <w:tab w:val="left" w:pos="1701"/>
          <w:tab w:val="left" w:pos="2268"/>
        </w:tabs>
      </w:pPr>
      <w:r>
        <w:tab/>
        <w:t xml:space="preserve">- </w:t>
      </w:r>
      <w:r>
        <w:tab/>
        <w:t>тюрьма.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Несовершеннолетние осужденные, которым к моменту вынесения приговора не исполнилось 18 лет, помещаются в воспитательное учреждение для несовершеннолетних.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212.</w:t>
      </w:r>
      <w:r>
        <w:tab/>
        <w:t>Законом предусмотрена возможность встреч осужденного с членами семьи, родственниками и иными лицами.  Так, осужденный, являющийся гражданином иностранного государства, имеет право на встречи с консульским представителем своей страны либо защищающим его интересы дипломатическим представителем другой страны.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213.</w:t>
      </w:r>
      <w:r>
        <w:tab/>
        <w:t>Осужденному может быть предоставлено два вида свиданий - кратковременное (до трех часов) и длительное (до трех дней).  Право на кратковременную встречу предоставляется членам семьи, родственникам и иным лицам, право на длительную встречу - строго определенному кругу лиц (жене/мужу, родителям, бабушке, дедушке, ребенку, усыновителю, усыновленному, сестре, брату, а также лицам, с которыми осужденный проживал и вел общее хозяйство в течение двух лет до ареста).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214.</w:t>
      </w:r>
      <w:r>
        <w:tab/>
        <w:t>Все осужденные имеют право на встречу со своим защитником (адвокатом) безо всяких ограничений.  То же самое относится и к встречам с Народным защитником (омбудсменом).  Работники учреждения по исполнению наказаний могут наблюдать за встречей визуально, но без прослушивания.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215.</w:t>
      </w:r>
      <w:r>
        <w:tab/>
        <w:t>Администрация учреждений воспитательного, общего и строго режимов вправе, с согласия прокурора, с учетом личности осужденного и тяжести совершенного преступления, разрешить осужденному в исключительных обстоятельствах покинуть территорию учреждения сроком до семи дней, если будет получена достоверная информация о кончине или опасной для жизни болезни близкого родственника осужденного, а также в случае стихийного бедствия, нанесшего значительный материальный ущерб осужденному либо его семье.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216.</w:t>
      </w:r>
      <w:r>
        <w:tab/>
        <w:t>Осужденный имеет право в неограниченном количестве посылать и получать письма, при наличии в пенитенциарном учреждении телефона общего пользования звонить по нему (под контролем администрации).  В пенитенциарных учреждениях осуществляется трансляция радио- и телепрограмм, и осужденные имеют право пользоваться (с обусловленными режимом ограничениями) собственными радиоприемниками и телевизорами, а также аудио- и видеомагнитофонами.  Использование вышеупомянутых технических средств не должно нарушать внутреннего распорядка пенитенциарного учреждения и мешать спокойствию других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217.</w:t>
      </w:r>
      <w:r>
        <w:tab/>
        <w:t>За свой счет осужденный может выписать любую литературу, газеты и журналы.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218.</w:t>
      </w:r>
      <w:r>
        <w:tab/>
        <w:t>Находящимся в предварительном заключении обвиняемым право на кратковременные свидания может быть предоставлено исходя из тех личных или правовых интересов, осуществление которых невозможно при посредстве третьих лиц.  Разрешение на свидание выдается следователем, прокурором либо судьей.  Арестованный обвиняемый, являющийся гражданином иностранного государства, имеет неограниченное право на встречи с консульским работником либо уполномоченным на него дипломатическим представителем своей страны.  В связи с важными и неотложными личными или правовыми делами, требующими непосредственного участия обвиняемого, суд на основании ходатайства следователя может разрешить кратковременное освобождение арестованного из-под стражи (сроком до трех дней).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219.</w:t>
      </w:r>
      <w:r>
        <w:tab/>
        <w:t>Все вышеупомянутые вопросы, помимо Закона "О заключении", регулируются соответствующими приказами министра юстиции, устанавливающими порядок реализации закрепленных в законе положений.</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Дисциплинарная система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220.</w:t>
      </w:r>
      <w:r>
        <w:tab/>
        <w:t>Согласно Закону "О заключении", за нарушения режима и внутреннего распорядка в месте содержания на арестованного обвиняемого могут быть наложены следующие меры дисциплинарного воздействия: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выговор;</w:t>
      </w:r>
    </w:p>
    <w:p w:rsidR="00000000" w:rsidRDefault="00000000">
      <w:pPr>
        <w:tabs>
          <w:tab w:val="clear" w:pos="6237"/>
          <w:tab w:val="left" w:pos="567"/>
          <w:tab w:val="left" w:pos="1134"/>
          <w:tab w:val="left" w:pos="1701"/>
          <w:tab w:val="left" w:pos="2268"/>
        </w:tabs>
      </w:pPr>
      <w:r>
        <w:tab/>
        <w:t xml:space="preserve">- </w:t>
      </w:r>
      <w:r>
        <w:tab/>
        <w:t>перевод в карцер сроком до 10 дней (статья 91).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случае нарушения внутреннего распорядка пенитенциарного учреждения, не содержащего признаков преступления, осужденный может быть подвергнут следующим видам дисциплинарного наказания: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предупреждение;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выговор;</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запрет кратковременных или длительных свиданий;</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помещение в карцер сроком до 20 дней, а в воспитательном учреждении - сроком до 10 дней;</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запрет на получение посылок, бандеролей и переводов;</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перевод в помещение камерного типа сроком до шести месяцев (для осужденных, отбывающих наказание в учреждениях общего и строгого режима);</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перевод в одиночную камеру сроком до одного года (в учреждениях строгого режима).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Женщины за нарушение установленного режима переводятся в помещение камерного типа сроком до трех месяцев (статья 30).</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Заключение под стражу и отбывание наказания несовершеннолетними</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221.</w:t>
      </w:r>
      <w:r>
        <w:tab/>
        <w:t>В соответствии со статьей 652 Уголовно-процессуального кодекса заключение под стражу в качестве меры пресечения может применяться к несовершеннолетнему обвиняемому при наличии оснований, предусмотренных для взрослых обвиняемых, в случаях, когда несовершеннолетнему предъявлено обвинение в совершении преступления, за которое может быть назначено лишение свободы сроком свыше пяти лет, а другие меры пресечения не могут обеспечить надлежащее поведение обвиняемого, либо если несовершеннолетним обвиняемым была нарушена менее строгая мера пресечения.  Несовершеннолетний, к которому в качестве меры пресечения применено предварительное заключение, подлежит содержанию отдельно от взрослых заключенных и осужденных несовершеннолетних.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222.</w:t>
      </w:r>
      <w:r>
        <w:tab/>
        <w:t>Согласно Закону "О заключении", лишенные свободы осужденные, которым ко времени вынесения приговора не исполнилось 18 лет, помещаются в воспитательные учреждения для несовершеннолетних (статья 82).  При этом осужденные за совершение тяжких преступлений изолируются от остальных осужденных (статья 83,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223.</w:t>
      </w:r>
      <w:r>
        <w:tab/>
        <w:t>Воспитательные учреждения для несовершеннолетних делятся на блоки закрытого, полузакрытого и открытого режимов.  Режим отбытия наказания конкретным несовершеннолетним осужденным определяется администрацией на основе заключения центра классификации.  Вне зависимости от режима содержания несовершеннолетний осужденный имеет неограниченное право на кратковременные свидания и ежемесячные длительные свидания с близкими родственниками.  При условии хорошей учебы и поведения, после отбытия одной четвертой срока наказания, условия содержания несовершеннолетних осужденных могут быть улучшены, и им предоставляется право на два дополнительных длительных свидания в год (статья 83, пункты 2, 4 и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224.</w:t>
      </w:r>
      <w:r>
        <w:tab/>
        <w:t>Порядок реализации вышеприведенных положений Закона "О заключении" устанавливается приказом министра юстиции "Внутренний распорядок воспитательного учреждения для несовершеннолетних" (декабрь 1999 года).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Статистические данные</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225.</w:t>
      </w:r>
      <w:r>
        <w:tab/>
        <w:t>В настоящее время в системе департамента по исполнению наказаний министерства юстиции функционирует 17 учреждений:  пять учреждений общего режима и четыре - строгого режима, пять тюрем, одно воспитательное учреждение для несовершеннолетних, лечебное учреждение для осужденных, больных туберкулезом, лечебное учреждение для арестованных и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226.</w:t>
      </w:r>
      <w:r>
        <w:tab/>
        <w:t>Следствием тяжелых экономических условий в стране является слабость материально-технической базы пенитенциарной системы, не отвечающей имеющимся в этой сфере  международным стандартам.  Так, амортизирована большая часть зданий пенитенциарных учреждений, они не обеспечиваются в должном количестве спальными принадлежностями и сезонной одеждой, ощущается нехватка медицинского инвентаря и т.д.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227.</w:t>
      </w:r>
      <w:r>
        <w:tab/>
        <w:t>Что касается финансирования системы исполнения наказаний, то следует отметить, что в период 1996-2000 годов лишь однажды (в 1998 году) предусмотренные государственным бюджетом ассигнования были выделены в полном объеме.  В 1999 году бюджетом было предусмотрено выделение средств лишь на финансирование защищенных статей.  При этом фактические расходы пенитенциарной системы составили вдвое большую сумму.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228.</w:t>
      </w:r>
      <w:r>
        <w:tab/>
        <w:t>В 1996-2000 годах в местах лишения свободы находилось следующее количество лиц:</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1996 год – 7 443 осужденных и 2 623 заключенных (обвиняемых, по отношению к которым было применено в качестве меры пресечения предварительное заключение);</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1997 год – 8 186 осужденных и 2 066 заключенных;</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 xml:space="preserve">1998 год </w:t>
      </w:r>
      <w:r>
        <w:noBreakHyphen/>
        <w:t xml:space="preserve"> 8 290 осужденных и 2 166 заключенных;</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1999 год – 6 392 осужденных и 2 197 заключенных;</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2000 год (</w:t>
      </w:r>
      <w:proofErr w:type="spellStart"/>
      <w:r>
        <w:t>I</w:t>
      </w:r>
      <w:proofErr w:type="spellEnd"/>
      <w:r>
        <w:t xml:space="preserve"> квартал) – 6 589 осужденных и 2 367 заключенных.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229.</w:t>
      </w:r>
      <w:r>
        <w:tab/>
        <w:t>В отчетный период число осужденных несовершеннолетних и женщин оставалось относительно небольшим.  По последним данным, в воспитательных учреждениях для несовершеннолетних отбывает наказание 41 осужденный, а в женском учреждении общего режима - 117 осужденных женщин.  Следует указать, что женщины, согласно статье 22 Закона "О заключении", могут отбывать наказание только в учреждении общего режима.  Подчеркнем также, что статья 39 названного Закона устанавливает особые условия отбывания наказания для беременных женщин и матерей, имеющих ребенка в возрасте до трех лет.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230.</w:t>
      </w:r>
      <w:r>
        <w:tab/>
        <w:t>Применительно к правам осужденных весьма важным представляется наличие в стране механизма помилования.  Согласно Конституции, помилование осужденных является исключительным правом президента.  В период 1996-2000 годов президентом в общей сложности было помиловано около 6000 осужденных, в том числе 230 несовершеннолетних и 92 женщины.  Особенно примечательным в этом отношении оказался 1999 год, когда в результате  актов широкомасштабного помилования на свободу вышли 3 352 осужденных, в том числе 119 несовершеннолетних и 53 женщины.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231.</w:t>
      </w:r>
      <w:r>
        <w:tab/>
        <w:t>В 2000 году, в рамках процесса национального примирения, президент Грузии помиловал около трехсот осужденных из числа сторонников экс-президента страны З. Гамсахурдиа, отбывавших наказание за совершение различных уголовных преступлений.  В число помилованных не вошли лишь лица, осужденные за убийство.  Помилование коснулось также лиц, сражавшихся за независимость и территориальную целостность Грузии, за указанным выше исключением.</w:t>
      </w:r>
    </w:p>
    <w:p w:rsidR="00000000" w:rsidRDefault="00000000">
      <w:pPr>
        <w:tabs>
          <w:tab w:val="clear" w:pos="6237"/>
          <w:tab w:val="left" w:pos="567"/>
          <w:tab w:val="left" w:pos="1134"/>
          <w:tab w:val="left" w:pos="1701"/>
          <w:tab w:val="left" w:pos="2268"/>
        </w:tabs>
      </w:pPr>
    </w:p>
    <w:p w:rsidR="00000000" w:rsidRDefault="00000000">
      <w:pPr>
        <w:pStyle w:val="BodyText3"/>
      </w:pPr>
      <w:r>
        <w:t>Данные о медицинском обслуживании и состоянии здоровья осужденных и лиц, находящихся в предварительном заключении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232.</w:t>
      </w:r>
      <w:r>
        <w:tab/>
        <w:t>В учреждениях по исполнению наказаний медицинское обслуживание лишенных свободы лиц осуществляется в рамках ведомственной государственный программы и включает пакет мер, обеспечивающих сохранение и восстановление их здоровья.  В рамках программы временно изолированным и осужденным лицам оказываются следующие виды медицинских услуг:  амбулаторная и стационарная медицинская помощь;  лечение туберкулеза (в рамках ведомственной программы по борьбе с этим заболеванием);  противоэпидемическая и профилактическая помощь;  врачебная экспертиза по установлению нетрудоспособности.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233.</w:t>
      </w:r>
      <w:r>
        <w:tab/>
        <w:t>Ниже приводятся данные, позволяющие в определенной мере судить об эффективности системы медицинского обслуживания в пенитенциарных учреждениях.  Для этой цели охвачен период со времени представления первоначального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234.</w:t>
      </w:r>
      <w:r>
        <w:tab/>
        <w:t>В 1996 году число визитов для амбулаторного лечения составило 28 172 (общее количество лиц, лишенных свободы – 10 066 человек), в 1997 году – 35 249 визитов (10 252 заключенных), в 1999 году – 49 318 визитов (8 589 заключенных), в 2000 году (</w:t>
      </w:r>
      <w:proofErr w:type="spellStart"/>
      <w:r>
        <w:t>I</w:t>
      </w:r>
      <w:proofErr w:type="spellEnd"/>
      <w:r>
        <w:t> квартал) – 16 321 визит (8 956 заключенных).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235.</w:t>
      </w:r>
      <w:r>
        <w:tab/>
        <w:t>В лечебном учреждении для заключенных и осужденных из года в год отмечается рост количества лиц, которым была оказана медицинская помощь различного рода.  В 1996 году в больницу поступило 1 150 пациентов, выписалось – 1 134.  В 1997 году эти показатели составили соответственно 1 167 и 1 075, в 1998 году – 1 621 и 1 567, в 1999 году - 1 523 и 1 480, в 2000 году (</w:t>
      </w:r>
      <w:proofErr w:type="spellStart"/>
      <w:r>
        <w:t>I</w:t>
      </w:r>
      <w:proofErr w:type="spellEnd"/>
      <w:r>
        <w:t xml:space="preserve"> квартал) - 300 и 265 пациентов.  За тот же период отмечается рост числа хирургических вмешательств.  В общей сложности в 1996-2000 годах было проведено 1 106 операций различного профиля.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236.</w:t>
      </w:r>
      <w:r>
        <w:tab/>
        <w:t>Начиная с 1998 года отмечается устойчивая тенденция снижения показателя смертности по болезни среди всех категорий лиц, лишенных свободы.  В 1996 году число умерших заключенных составило 78 человек (</w:t>
      </w:r>
      <w:proofErr w:type="spellStart"/>
      <w:r>
        <w:t>0,8%</w:t>
      </w:r>
      <w:proofErr w:type="spellEnd"/>
      <w:r>
        <w:t xml:space="preserve"> от общего числа), в 1997 году скончались 92 человека  (0,9 %), в 1998 году - 85 человек (</w:t>
      </w:r>
      <w:proofErr w:type="spellStart"/>
      <w:r>
        <w:t>0,8%</w:t>
      </w:r>
      <w:proofErr w:type="spellEnd"/>
      <w:r>
        <w:t xml:space="preserve">), в 1999 году - 54 человека (0,6 %), в </w:t>
      </w:r>
      <w:proofErr w:type="spellStart"/>
      <w:r>
        <w:t>I</w:t>
      </w:r>
      <w:proofErr w:type="spellEnd"/>
      <w:r>
        <w:t xml:space="preserve"> квартал 2000 года - 12 человек (</w:t>
      </w:r>
      <w:proofErr w:type="spellStart"/>
      <w:r>
        <w:t>0,11%</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237.</w:t>
      </w:r>
      <w:r>
        <w:tab/>
        <w:t>В период 1996-2000 годы ввиду тяжелых  заболеваний  от дальнейшего отбывания наказания были освобождены в общей сложности 103 осужденных.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238.</w:t>
      </w:r>
      <w:r>
        <w:tab/>
        <w:t>Основной проблемой системы медицинского обслуживания пенитенциарных  заведений является обусловленная недостаточным финан</w:t>
      </w:r>
      <w:r>
        <w:softHyphen/>
        <w:t>сированием нехватка медикаментов и соответствующей  лечебно - диагностической аппаратуры.  Несмотря на ощутимую помощь, оказываемую системе Международным комитетом Красного Креста, медицинский персонал сталкивается в своей работе с серьезными трудностями.</w:t>
      </w:r>
    </w:p>
    <w:p w:rsidR="00000000" w:rsidRDefault="00000000">
      <w:pPr>
        <w:tabs>
          <w:tab w:val="clear" w:pos="6237"/>
          <w:tab w:val="left" w:pos="567"/>
          <w:tab w:val="left" w:pos="1134"/>
          <w:tab w:val="left" w:pos="1701"/>
          <w:tab w:val="left" w:pos="2268"/>
        </w:tabs>
        <w:rPr>
          <w:u w:val="single"/>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11</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239.</w:t>
      </w:r>
      <w:r>
        <w:tab/>
        <w:t>Статья 18 Конституции  провозглашает, что свобода человека неприкосновенна, и лишение либо иное ограничение личной свободы без решения суда не допускается.  Нарушение требований настоящей статьи карается по закону.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240.</w:t>
      </w:r>
      <w:r>
        <w:tab/>
        <w:t>В законодательстве Грузии  нет прямого указания на то, что кто-либо может быть лишен свободы только на том основании, что он не  в состоянии выполнить какое-либо договорное обязательство.  Лишение свободы в грузинской правовой системе может быть следствием только нарушения уголовного законодательства.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241.</w:t>
      </w:r>
      <w:r>
        <w:tab/>
        <w:t xml:space="preserve">Вместе с тем некоторые законодательные акты, действующие в Грузии, вызывают с точки зрения статьи 11 определенные сомнения.  Так, согласно статье 198 Гражданского процессуального кодекса, в качестве одной из мер по обеспечению гражданского иска предусматривается "взятие с ответчика подписки о невыезде с места жительства или пребывания" (пункт 2 </w:t>
      </w:r>
      <w:proofErr w:type="spellStart"/>
      <w:r>
        <w:t>д</w:t>
      </w:r>
      <w:proofErr w:type="spellEnd"/>
      <w:r>
        <w:t>)).  В пункте 3 данной статьи Кодекса  присутствует положение о праве суда применять также другие меры, если это необходимо для обеспечения иска.  Полагаем, что  применение в гражданском праве такой меры, как подписка о невыезде (аналогичной одной из мер пресечения в уголовном процессе), объективно ограничивает свободу человека и это едва ли может считаться приемлемым в свете требований статьи 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242.</w:t>
      </w:r>
      <w:r>
        <w:tab/>
        <w:t>Согласно Закону "О производстве по делам и банкротстве", судебное разбирательство такого рода осуществляется в соответствии с нормами гражданско-процессуального законодательства.  В то же время статья 14 данного Закона указывает, что суд вправе осуществлять по отношению к несостоятельному должнику такие исключительные меры по обеспечению, как принудительный привод и арест "в соответствии с порядком, установленным процессуальным законодательством", а также задержание должника с целью получения от него письменной доверенности.  Как представляется, положение вышеупомянутого Закона в определенной степени расходится со смыслом статьи 11 Пакта.  Помимо этого, задержание и тем более арест являются мерами исключительно уголовно-процессуального принуждения, неприемлемыми в отношении физического лица, не совершившего уголовного преступления.</w:t>
      </w:r>
    </w:p>
    <w:p w:rsidR="00000000" w:rsidRDefault="00000000">
      <w:pPr>
        <w:pStyle w:val="Heading9"/>
        <w:keepNext w:val="0"/>
        <w:tabs>
          <w:tab w:val="left" w:pos="567"/>
          <w:tab w:val="left" w:pos="1134"/>
          <w:tab w:val="left" w:pos="1701"/>
          <w:tab w:val="left" w:pos="2268"/>
        </w:tabs>
        <w:spacing w:line="288" w:lineRule="auto"/>
        <w:ind w:firstLine="0"/>
        <w:jc w:val="left"/>
        <w:rPr>
          <w:sz w:val="24"/>
        </w:rPr>
      </w:pPr>
      <w:r>
        <w:rPr>
          <w:sz w:val="24"/>
        </w:rPr>
        <w:br w:type="page"/>
      </w: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12</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Право на свободу передвижения и проживания в пределах государства</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243.</w:t>
      </w:r>
      <w:r>
        <w:tab/>
        <w:t>Статья 22 (пункт 1) Конституции предусматривает, что каждый, кто законно находится в Грузии, имеет право на свободное передвижение по всей ее территории и свободный выбор места жительства.  Ограничение этого права допускается только в соответствии с законом в целях обеспечения необходимой для осуществления демократического общества государственной или общественной безопасности, охраны здоровья, предотвращения преступности или осуществления правосудия (там же, пункт 3).  В Конституции оговаривается, что данное право может подвергаться ограничению в условиях чрезвычайного или военного положения (статья 46,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244.</w:t>
      </w:r>
      <w:r>
        <w:tab/>
        <w:t>Практические аспекты реализации зафиксированного в Конституции права регламентируются принятым в июне 1996 года Законом "О порядке удостоверения личности и регистрации граждан Грузии и проживающих в Грузии иностранцев".  Изложенные в Законе порядок регистрации, так же, как и правила удостоверения личности, кардинально отличаются от действовавшего до этого времени советского паспортного режима, который на деле ограничивал право свободного выбора места жительства.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245.</w:t>
      </w:r>
      <w:r>
        <w:tab/>
        <w:t>Согласно вышеупомянутому Закону, целью регистрации граждан Грузии и постоянно проживающих в стране иностранцев (в том числе лиц без гражданства) является установление данных о них, а также осуществление их прав и обязанностей.  При этом наличие или отсутствие регистрации не может быть основанием для ограничения конституционных прав и свобод как граждан страны, так и иностранцев, так же, как и условием их осуществления, за исключением случаев, предусмотренных законодательством о выборах (статья 2, пункты 1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246.</w:t>
      </w:r>
      <w:r>
        <w:tab/>
        <w:t>Гражданин Грузии и постоянно проживающий в Грузии иностранец обязаны зарегистрироваться по месту жительства, каковым считается то место, которое лицо избирает само.  Лица в возрасте до 16 лет, а также лица, находящиеся под опекой или попечением, регистрируются вместе со своими родителями, опекунами, попечителями, иными законными представителями.  Независимая регистрация лиц этой категории допускается лишь с письменного согласия родителей, опекунов и т.д. (статья 3, пункты 1</w:t>
      </w:r>
      <w:r>
        <w:noBreakHyphen/>
        <w:t>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247.</w:t>
      </w:r>
      <w:r>
        <w:tab/>
        <w:t>При смене места жительства на срок свыше трех месяцев лицо обязано в течение 10 дней сообщить об этом на новом месте соответствующему государственному органу, который в течение пяти дней осуществляет его регистрацию.  Это положение не распространяется на лиц, находящихся в предварительном заключении, отбывающих наказание либо исполняющих служебные обязанности (статья 4, пункты 1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248.</w:t>
      </w:r>
      <w:r>
        <w:tab/>
        <w:t>Лицо, не имеющее места жительства, регистрируется без указания адреса в том населенном пункте, в котором находится.  Во всех случаях регистрация производится на основании выданного в установленном законом порядке удостоверения личности либо (для иностранца) вида на жительство (статья  5,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249.</w:t>
      </w:r>
      <w:r>
        <w:tab/>
        <w:t>В соответствии с Законом "О правовом положении иностранцев" иностранцы пользуются правом свободного передвижения по территории Грузии и выбора места жительства в соответствии с порядком, установленным законодательством.  Передвижение иностранцев и выбор ими места жительства могут быть ограничены, когда это необходимо для обеспечения государственной безопасности, охраны общественного порядка, здоровья населения, защиты прав и законных интересов граждан Грузии и других лиц (статья 18).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250.</w:t>
      </w:r>
      <w:r>
        <w:tab/>
        <w:t>Уголовный кодекс Грузии предусматривает санкции в виде штрафа, исправительных работ сроком до шести месяцев либо лишения свободы сроком до одного года за препятствование законно находящемуся в стране лицу свободно перемещаться по всей ее территории, свободно выбирать себе место жительства либо свободно покидать Грузию, а для гражданина Грузии - свободно въезжать в нее.  Те же действия, совершенные с применением насилия, угрозы  насилием или с использованием служебного положения, могут караться лишением свободы сроком до двух лет, штрафом или исправительными работами сроком до одного года, с лишением права занимать должность сроком до трех лет (статья 142,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251.</w:t>
      </w:r>
      <w:r>
        <w:tab/>
        <w:t>Согласно сведениям министерства юстиции, в 1998-1999 годах статус иммигранта приобрели 350 совершеннолетних иностранцев.  Статус постоянно проживающих в Грузии лиц получили 205 человек.</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252.</w:t>
      </w:r>
      <w:r>
        <w:tab/>
        <w:t>За тот же период времени, с целью получения статуса беженца, в министерство по беженцам и расселению обратились 25 лиц.  Из них восемь - граждане Пакистана, три - Ирака, по два - Нигерии, Ирана, Судана, Иордании, Азербайджана, Афганистана, по одному - Украины и Турции.  Двадцати двум претендентам было отказано, поскольку они не подпадали под действие положений закона "О беженцах".  Кроме того, за период сентябрь-декабрь 1999 года, ввиду военных действий на юге Российской Федерации, в Грузию вошла большая группа лиц из Чечни.  Свыше пяти тысяч из них уже получили статус беженца.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253.</w:t>
      </w:r>
      <w:r>
        <w:tab/>
        <w:t>По данным министерства внутренних дел, в 1998-1999 годах было выдано видов на жительство гражданам иностранных государств - 547,  лицам без гражданства - 249.</w:t>
      </w:r>
    </w:p>
    <w:p w:rsidR="00000000" w:rsidRDefault="00000000">
      <w:pPr>
        <w:tabs>
          <w:tab w:val="clear" w:pos="6237"/>
          <w:tab w:val="left" w:pos="567"/>
          <w:tab w:val="left" w:pos="1134"/>
          <w:tab w:val="left" w:pos="1701"/>
          <w:tab w:val="left" w:pos="2268"/>
        </w:tabs>
      </w:pPr>
    </w:p>
    <w:p w:rsidR="00000000" w:rsidRDefault="00000000">
      <w:pPr>
        <w:pStyle w:val="BodyText3"/>
      </w:pPr>
      <w:r>
        <w:t>Право покидать любую страну, включая свою собственную, и возвращаться в свою страну</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254.</w:t>
      </w:r>
      <w:r>
        <w:tab/>
        <w:t>Данное право нашло отражение в пункте 2 статьи 22 Конституции, который гласит: "Каждый, кто законно находится в Грузии, может свободно выезжать из Грузии.  Гражданин Грузии вправе свободно въезжать в Грузию".  Как и в случае со свободой передвижения и выбором места жительства, это право не абсолютное и может быть ограничено в установленном законом порядке в условиях чрезвычайного или военного положения, как об этом говорится в пункте 1 статьи 46 Конституции.  Основным законом запрещается выдворение из Грузии ее гражданина либо выдача гражданина страны другому государству, кроме случаев, предусмотренных международными договорами.  Решение о выдаче гражданина Грузии может быть обжаловано в суде (статья 13, пункты 3  и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255.</w:t>
      </w:r>
      <w:r>
        <w:tab/>
        <w:t>Осуществление конституционных гарантий обеспечивается рядом принятых нормативных актов - Законами "О порядке временного выезда из Грузии и въезда в Грузию граждан Грузии", "Об эмиграции", "О правовом положении иностранцев", "О временном въезде, пребывании и выезде иностранцев из Грузии", "Об инспектировании мигрантов".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256.</w:t>
      </w:r>
      <w:r>
        <w:tab/>
        <w:t>Согласно Закону "О порядке временного выезда из Грузии и въезда в Грузию граждан Грузии", временный выезд и въезд в страну ее граждан  осуществляется по паспорту, выдаваемому органами министерства внутренних дел либо заменяющему его документу (статья 5).  Право на возбуждение ходатайства о выдаче паспорта для временного выезда имеет совершеннолетний и дееспособный гражданин, для чего он должен представить удостоверение личности гражданина Грузии и уплатить государственную пошлину (статья 7).  Статьи 7 и 8 настоящего закона регламентируют также порядок выезда вместе со взрослыми несовершеннолетних детей, а также самостоятельного выезда несовершеннолетних и недееспособных лиц.</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257.</w:t>
      </w:r>
      <w:r>
        <w:tab/>
        <w:t xml:space="preserve">Основаниями для ограничения временного выезда из страны гражданина Грузии могут быть следующие обстоятельства: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возбуждение против гражданина уголовного дела;</w:t>
      </w:r>
    </w:p>
    <w:p w:rsidR="00000000" w:rsidRDefault="00000000">
      <w:pPr>
        <w:tabs>
          <w:tab w:val="clear" w:pos="6237"/>
          <w:tab w:val="left" w:pos="567"/>
          <w:tab w:val="left" w:pos="1134"/>
          <w:tab w:val="left" w:pos="1701"/>
          <w:tab w:val="left" w:pos="2268"/>
        </w:tabs>
      </w:pPr>
      <w:r>
        <w:tab/>
        <w:t xml:space="preserve">- </w:t>
      </w:r>
      <w:r>
        <w:tab/>
        <w:t>не отбытое согласно судебному приговору наказание;</w:t>
      </w:r>
    </w:p>
    <w:p w:rsidR="00000000" w:rsidRDefault="00000000">
      <w:pPr>
        <w:tabs>
          <w:tab w:val="clear" w:pos="6237"/>
          <w:tab w:val="left" w:pos="567"/>
          <w:tab w:val="left" w:pos="1134"/>
          <w:tab w:val="left" w:pos="1701"/>
          <w:tab w:val="left" w:pos="2268"/>
        </w:tabs>
      </w:pPr>
      <w:r>
        <w:tab/>
        <w:t xml:space="preserve">- </w:t>
      </w:r>
      <w:r>
        <w:tab/>
        <w:t>возбуждение против гражданина  гражданского иска;</w:t>
      </w:r>
    </w:p>
    <w:p w:rsidR="00000000" w:rsidRDefault="00000000">
      <w:pPr>
        <w:tabs>
          <w:tab w:val="clear" w:pos="6237"/>
          <w:tab w:val="left" w:pos="567"/>
          <w:tab w:val="left" w:pos="1134"/>
          <w:tab w:val="left" w:pos="1701"/>
          <w:tab w:val="left" w:pos="2268"/>
        </w:tabs>
      </w:pPr>
      <w:r>
        <w:tab/>
        <w:t xml:space="preserve">- </w:t>
      </w:r>
      <w:r>
        <w:tab/>
        <w:t>невыполнение обязательства, возложенного решением суда;</w:t>
      </w:r>
    </w:p>
    <w:p w:rsidR="00000000" w:rsidRDefault="00000000">
      <w:pPr>
        <w:tabs>
          <w:tab w:val="clear" w:pos="6237"/>
          <w:tab w:val="left" w:pos="567"/>
          <w:tab w:val="left" w:pos="1134"/>
          <w:tab w:val="left" w:pos="1701"/>
          <w:tab w:val="left" w:pos="2268"/>
        </w:tabs>
      </w:pPr>
      <w:r>
        <w:tab/>
        <w:t xml:space="preserve">- </w:t>
      </w:r>
      <w:r>
        <w:tab/>
        <w:t>представление подложных или не имеющих законной силы документов;</w:t>
      </w:r>
    </w:p>
    <w:p w:rsidR="00000000" w:rsidRDefault="00000000">
      <w:pPr>
        <w:tabs>
          <w:tab w:val="clear" w:pos="6237"/>
          <w:tab w:val="left" w:pos="567"/>
          <w:tab w:val="left" w:pos="1134"/>
          <w:tab w:val="left" w:pos="1701"/>
          <w:tab w:val="left" w:pos="2268"/>
        </w:tabs>
      </w:pPr>
      <w:r>
        <w:tab/>
        <w:t xml:space="preserve">- </w:t>
      </w:r>
      <w:r>
        <w:tab/>
        <w:t>иные предусмотренные законодательством Грузии случаи (статья 10).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258.</w:t>
      </w:r>
      <w:r>
        <w:tab/>
        <w:t>При временном выезде из Грузии гражданин  страны должен иметь визу на выезд в страну непосредственного назначения.  На основании международных договоров Грузии временный выезд из  Грузии возможен и без визы (статья 15).  Гражданин Грузии имеет право вернуться в Грузию в любое время, на что не требуется разрешения (статья 16).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259.</w:t>
      </w:r>
      <w:r>
        <w:tab/>
        <w:t>В Законе оговариваются также условия временного ограничения выезда граждан Грузии в ту или иную страну в целях обеспечения их безопасности, при наличии в государстве назначения чрезвычайной ситуации (статья 17), а также порядок выезда из Грузии военнослужащих (статья 18).  Ни одно из положений настоящего Закона не носит дискриминационного характера применительно к Пакту.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260.</w:t>
      </w:r>
      <w:r>
        <w:tab/>
        <w:t xml:space="preserve">Согласно Закону "Об инспектировании мигрантов", все въезжающие в Грузию и выезжающие из страны мигранты (включая граждан Грузии и постоянно проживающих в Грузии иностранцев)  обязаны заполнить и иметь при себе карточку мигранта.  Целью данной меры является осуществление контроля и управления </w:t>
      </w:r>
      <w:proofErr w:type="spellStart"/>
      <w:r>
        <w:t>иммиграционно-эмиграционными</w:t>
      </w:r>
      <w:proofErr w:type="spellEnd"/>
      <w:r>
        <w:t xml:space="preserve"> процессами, учет и регистрация мигрантов, выявление незаконной миграции.  Порядок выдачи карточек мигранта определяет министерство по беженцам и расселению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261.</w:t>
      </w:r>
      <w:r>
        <w:tab/>
        <w:t>В Грузии действует три вида заграничных паспортов:  общегражданский, выдаваемый министерством внутренних дел, дипломатический и служебный, выдаваемые министерством иностранных дел.  Общегражданский паспорт выдается после уплаты государственной пошлины.  Что касается дипломатического и служебного паспортов, то ими обеспечиваются определенные категории должностных лиц без уплаты пошлины.  Порядок выдачи этих паспортов регулируется специальным положением, принятым на основе Закона "О структуре и порядке деятельности исполнительной власти".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262.</w:t>
      </w:r>
      <w:r>
        <w:tab/>
        <w:t xml:space="preserve">Получение общегражданского заграничного паспорта обходится 35 лари.  Согласно Закону "О государственной пошлине", от уплаты этой суммы освобождаются выезжающие за рубеж на лечение инвалиды </w:t>
      </w:r>
      <w:proofErr w:type="spellStart"/>
      <w:r>
        <w:t>I</w:t>
      </w:r>
      <w:proofErr w:type="spellEnd"/>
      <w:r>
        <w:t xml:space="preserve"> и </w:t>
      </w:r>
      <w:proofErr w:type="spellStart"/>
      <w:r>
        <w:t>II</w:t>
      </w:r>
      <w:proofErr w:type="spellEnd"/>
      <w:r>
        <w:t xml:space="preserve"> группы, участники второй мировой войны, лица, получившие инвалидность в боях за независимость и территориальную целостность Грузии.  50-процентной скидкой пользуются ветераны вооруженных сил и насильственно перемещенные лица.  Постоянно проживающие в Грузии иностранцы освобождаются от уплаты пошлины, если это предусмотрено международными договорами нашей страны.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263.</w:t>
      </w:r>
      <w:r>
        <w:tab/>
        <w:t>Ниже приводятся данные об общем количестве заявлений о выдаче общегражданского заграничного паспорта в 1996-2000 годах, а также о числе отклоненных заявлений такого рода.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264.</w:t>
      </w:r>
      <w:r>
        <w:tab/>
        <w:t>В 1996 году в органы внутренних дел за получением заграничного паспорта обратились 103 135 человек, из них паспорт получили 103 113, отказано в выдаче паспорта 22 заявителям.  В 1997 году общее количество заявителей составило 90 480, из них паспорт получили 90 467 человек, отказано 13.  В 1998 году поступило 81 644 заявления, из которых удовлетворено 81 624, отказано в получении паспорта 20 заявителям.  В 1999 году число желающих получить паспорт составило 123 483 человека, из которых 123 465 заявителей его получили, а 18 было отказано.  В </w:t>
      </w:r>
      <w:proofErr w:type="spellStart"/>
      <w:r>
        <w:t>I</w:t>
      </w:r>
      <w:proofErr w:type="spellEnd"/>
      <w:r>
        <w:t> квартале 2000 года с заявлениями о получении паспорта обратились уже 31 441 человек, из которых лишь четыре заявителя получили отказ.</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265.</w:t>
      </w:r>
      <w:r>
        <w:tab/>
        <w:t>Во всех случаях основанием для отказа в выдаче заграничного паспорта послужили выявленные в процессе рассмотрения заявлений обстоятельства, предусмотренные статьей 10 Закона "О порядке временного выезда из Грузии и въезда в Грузию граждан Грузии" (см.  пункт 257 настоящего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266.</w:t>
      </w:r>
      <w:r>
        <w:tab/>
        <w:t>Иностранцы, выезжая из Грузии, должны представить действительный заграничный паспорт или другой заменяющий его документ, а также карточку мигранта.  Иностранцы, постоянно проживающие в Грузии, при выезде из страны должны представить в компетентный орган действительный заграничный паспорт или другой заменяющий его документ и получить выездную визу или разрешение на выезд из Грузии, а также карточку мигранта.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267.</w:t>
      </w:r>
      <w:r>
        <w:tab/>
        <w:t>Выезд из Грузии иностранному гражданину может быть запрещен:</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если его выезд противоречит интересам обеспечения государственной безопасности – до прекращения действия этих обстоятельств;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если он подозревается или обвиняется в совершении преступления – до окончания производства по делу;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если он осужден за совершение преступления – до отбытия наказания или освобождения от него;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 других случаях, предусмотренных законодательством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Выезд из Грузии иностранца (лица без гражданства) может быть отложен до исполнения им гражданско-правовых обязательств.  Иностранцы могут обжаловать отказ в выезде из Грузии в 10-дневный срок в судебном порядке (Закон "О правовом положении иностранцев", статьи 24, 26).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268.</w:t>
      </w:r>
      <w:r>
        <w:tab/>
        <w:t>Относительно уголовных санкций за препятствование свободному выезду из Грузии, а для гражданина страны – также препятствование свободному возвращению в нее, упомянуто в предыдущем разделе настоящего доклада (пункт 250).</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Cs/>
          <w:u w:val="none"/>
        </w:rPr>
      </w:pPr>
      <w:r>
        <w:rPr>
          <w:bCs/>
          <w:u w:val="none"/>
        </w:rPr>
        <w:t>Статья 13</w:t>
      </w:r>
    </w:p>
    <w:p w:rsidR="00000000" w:rsidRDefault="00000000">
      <w:pPr>
        <w:tabs>
          <w:tab w:val="clear" w:pos="6237"/>
          <w:tab w:val="left" w:pos="567"/>
          <w:tab w:val="left" w:pos="1134"/>
          <w:tab w:val="left" w:pos="1701"/>
          <w:tab w:val="left" w:pos="2268"/>
        </w:tabs>
      </w:pPr>
    </w:p>
    <w:p w:rsidR="00000000" w:rsidRDefault="00000000">
      <w:pPr>
        <w:pStyle w:val="BodyTextIndent2"/>
        <w:tabs>
          <w:tab w:val="left" w:pos="567"/>
          <w:tab w:val="left" w:pos="1134"/>
          <w:tab w:val="left" w:pos="1701"/>
          <w:tab w:val="left" w:pos="2268"/>
        </w:tabs>
        <w:spacing w:line="288" w:lineRule="auto"/>
        <w:ind w:firstLine="0"/>
        <w:jc w:val="left"/>
        <w:rPr>
          <w:i/>
          <w:iCs/>
          <w:sz w:val="24"/>
          <w:u w:val="none"/>
        </w:rPr>
      </w:pPr>
      <w:r>
        <w:rPr>
          <w:i/>
          <w:iCs/>
          <w:sz w:val="24"/>
          <w:u w:val="none"/>
        </w:rPr>
        <w:t>Значение термина "иностранец" согласно грузинскому законодательству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269.</w:t>
      </w:r>
      <w:r>
        <w:tab/>
        <w:t>Конституция Грузии, устанавливая права иностранцев (статьи 47 и 27), не содержит в то же время дефиницию понятия "иностранец".  Данный вопрос регулируется Законом "О правовом положении иностранцев", согласно статье 1 которого иностранцами в Грузии считаются: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лица, не являющиеся гражданами Грузии и имеющие документы, подтверждающие их принадлежность к гражданству другого государства (граждане иностранного государства);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лица без гражданства, имеющие документы, подтверждающие их постоянное проживание в другом государстве (лица без гражданства, постоянно проживающие в другом государстве).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Таким образом, лица без гражданства, не имеющие постоянного места жительства в иностранном государстве, не считаются, согласно грузинскому законодательству, иностранцами.</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Основания и процедура высылки иностранцев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270.</w:t>
      </w:r>
      <w:r>
        <w:tab/>
        <w:t>Конституция Грузии не регулирует вопрос о высылке иностранцев.  В соответствии с Законом "О правовом положении иностранцев" иностранные граждане, а также временно пребывающие на территории Грузии лица без гражданства могут быть выдворены: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если не существует оснований для их дальнейшего пребывания в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если они незаконно проникли и пребывают на территории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если их пребывание в Грузии противоречит интересам обеспечения государственной безопасности и охране общественного порядка;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если это необходимо для охраны здоровья, защиты прав и законных интересов граждан Грузии и других лиц, находящихся в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если они умышленно и систематически нарушают законодательство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 других случаях, предусмотренных законодательством Грузии (статья 29).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271.</w:t>
      </w:r>
      <w:r>
        <w:tab/>
        <w:t>Решение о выдворении из Грузии принимается министром юстиции на основании представления органов внутренних дел, прокуратуры, суда и министерства иностранных дел.</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272.</w:t>
      </w:r>
      <w:r>
        <w:tab/>
        <w:t>Иностранные граждане и временно пребывающие в Грузии лица без гражданства после предъявления на понятном для них  языке решения о выдворении обязаны покинуть Грузию в срок, указанный в этом решении.  Если эти лица откажутся покинуть Грузию либо по неуважительной причине в указанный  срок не покинут ее территорию, они подлежат выдворению в принудительном порядке.  Решение о выдворении иностранцев из Грузии может быть обжаловано в судебном порядке.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273.</w:t>
      </w:r>
      <w:r>
        <w:tab/>
        <w:t>Вышеизложенные положения применяются в отношении лиц, считающихся иностранцами в рамках Закона "О правовом положении иностранцев", т.е.  лиц, не проживающих в Грузии постоянно.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274.</w:t>
      </w:r>
      <w:r>
        <w:tab/>
        <w:t>Специальные нормы относительно высылки содержатся в Законе "Об иммиграции", который охватывает категорию иммигрантов, т.е. иностранцев, получивших право на постоянное проживание в Грузии (статья 3).  В соответствии со статьей 7 настоящего Закона иммигрант может быть выдворен из страны, если:</w:t>
      </w:r>
    </w:p>
    <w:p w:rsidR="00000000" w:rsidRDefault="00000000">
      <w:pPr>
        <w:tabs>
          <w:tab w:val="clear" w:pos="6237"/>
          <w:tab w:val="left" w:pos="567"/>
          <w:tab w:val="left" w:pos="1134"/>
          <w:tab w:val="left" w:pos="1701"/>
          <w:tab w:val="left" w:pos="2268"/>
        </w:tabs>
      </w:pPr>
    </w:p>
    <w:p w:rsidR="00000000" w:rsidRDefault="00000000">
      <w:pPr>
        <w:tabs>
          <w:tab w:val="clear" w:pos="567"/>
          <w:tab w:val="clear" w:pos="6237"/>
          <w:tab w:val="decimal" w:pos="1134"/>
          <w:tab w:val="left" w:pos="1701"/>
          <w:tab w:val="left" w:pos="2268"/>
        </w:tabs>
        <w:ind w:left="1695" w:hanging="1695"/>
      </w:pPr>
      <w:r>
        <w:tab/>
      </w:r>
      <w:proofErr w:type="spellStart"/>
      <w:r>
        <w:rPr>
          <w:lang w:val="en-US"/>
        </w:rPr>
        <w:t>i</w:t>
      </w:r>
      <w:proofErr w:type="spellEnd"/>
      <w:r>
        <w:t>)</w:t>
      </w:r>
      <w:r>
        <w:tab/>
        <w:t>станет известно, что разрешение на проживание в Грузии получено им путем представления подложных или утративших силу документов;</w:t>
      </w:r>
    </w:p>
    <w:p w:rsidR="00000000" w:rsidRDefault="00000000">
      <w:pPr>
        <w:tabs>
          <w:tab w:val="clear" w:pos="567"/>
          <w:tab w:val="clear" w:pos="6237"/>
          <w:tab w:val="decimal" w:pos="1134"/>
          <w:tab w:val="left" w:pos="1701"/>
          <w:tab w:val="left" w:pos="2268"/>
        </w:tabs>
        <w:rPr>
          <w:lang w:val="en-US"/>
        </w:rPr>
      </w:pPr>
    </w:p>
    <w:p w:rsidR="00000000" w:rsidRDefault="00000000">
      <w:pPr>
        <w:tabs>
          <w:tab w:val="clear" w:pos="567"/>
          <w:tab w:val="clear" w:pos="6237"/>
          <w:tab w:val="decimal" w:pos="1134"/>
          <w:tab w:val="left" w:pos="1701"/>
          <w:tab w:val="left" w:pos="2268"/>
        </w:tabs>
      </w:pPr>
      <w:r>
        <w:rPr>
          <w:lang w:val="en-US"/>
        </w:rPr>
        <w:tab/>
        <w:t>ii</w:t>
      </w:r>
      <w:r>
        <w:t>)</w:t>
      </w:r>
      <w:r>
        <w:tab/>
        <w:t>он совершил тяжкое уголовное преступление;</w:t>
      </w:r>
    </w:p>
    <w:p w:rsidR="00000000" w:rsidRDefault="00000000">
      <w:pPr>
        <w:tabs>
          <w:tab w:val="clear" w:pos="567"/>
          <w:tab w:val="clear" w:pos="6237"/>
          <w:tab w:val="decimal" w:pos="1134"/>
          <w:tab w:val="left" w:pos="1701"/>
          <w:tab w:val="left" w:pos="2268"/>
        </w:tabs>
        <w:rPr>
          <w:lang w:val="en-US"/>
        </w:rPr>
      </w:pPr>
    </w:p>
    <w:p w:rsidR="00000000" w:rsidRDefault="00000000">
      <w:pPr>
        <w:tabs>
          <w:tab w:val="clear" w:pos="567"/>
          <w:tab w:val="clear" w:pos="6237"/>
          <w:tab w:val="decimal" w:pos="1134"/>
          <w:tab w:val="left" w:pos="1701"/>
          <w:tab w:val="left" w:pos="2268"/>
        </w:tabs>
        <w:ind w:left="1695" w:hanging="1695"/>
      </w:pPr>
      <w:r>
        <w:rPr>
          <w:lang w:val="en-US"/>
        </w:rPr>
        <w:tab/>
        <w:t>iii</w:t>
      </w:r>
      <w:r>
        <w:t>)</w:t>
      </w:r>
      <w:r>
        <w:tab/>
        <w:t>преднамеренно систематически нарушает законодательство Грузии или отрицательно воздействует на нравственность населения;</w:t>
      </w:r>
    </w:p>
    <w:p w:rsidR="00000000" w:rsidRDefault="00000000">
      <w:pPr>
        <w:tabs>
          <w:tab w:val="clear" w:pos="567"/>
          <w:tab w:val="clear" w:pos="6237"/>
          <w:tab w:val="decimal" w:pos="1134"/>
          <w:tab w:val="left" w:pos="1701"/>
          <w:tab w:val="left" w:pos="2268"/>
        </w:tabs>
        <w:rPr>
          <w:lang w:val="en-US"/>
        </w:rPr>
      </w:pPr>
    </w:p>
    <w:p w:rsidR="00000000" w:rsidRDefault="00000000">
      <w:pPr>
        <w:tabs>
          <w:tab w:val="clear" w:pos="567"/>
          <w:tab w:val="clear" w:pos="6237"/>
          <w:tab w:val="decimal" w:pos="1134"/>
          <w:tab w:val="left" w:pos="1701"/>
          <w:tab w:val="left" w:pos="2268"/>
        </w:tabs>
        <w:ind w:left="1695" w:hanging="1695"/>
      </w:pPr>
      <w:r>
        <w:rPr>
          <w:lang w:val="en-US"/>
        </w:rPr>
        <w:tab/>
        <w:t>iv</w:t>
      </w:r>
      <w:r>
        <w:t>)</w:t>
      </w:r>
      <w:r>
        <w:tab/>
        <w:t>его пребывание в Грузии противоречит интересам государственной безопасности;</w:t>
      </w:r>
    </w:p>
    <w:p w:rsidR="00000000" w:rsidRDefault="00000000">
      <w:pPr>
        <w:tabs>
          <w:tab w:val="clear" w:pos="567"/>
          <w:tab w:val="clear" w:pos="6237"/>
          <w:tab w:val="decimal" w:pos="1134"/>
          <w:tab w:val="left" w:pos="1701"/>
          <w:tab w:val="left" w:pos="2268"/>
        </w:tabs>
        <w:rPr>
          <w:lang w:val="en-US"/>
        </w:rPr>
      </w:pPr>
    </w:p>
    <w:p w:rsidR="00000000" w:rsidRDefault="00000000">
      <w:pPr>
        <w:tabs>
          <w:tab w:val="clear" w:pos="567"/>
          <w:tab w:val="clear" w:pos="6237"/>
          <w:tab w:val="decimal" w:pos="1134"/>
          <w:tab w:val="left" w:pos="1701"/>
          <w:tab w:val="left" w:pos="2268"/>
        </w:tabs>
      </w:pPr>
      <w:r>
        <w:rPr>
          <w:lang w:val="en-US"/>
        </w:rPr>
        <w:tab/>
        <w:t>v</w:t>
      </w:r>
      <w:r>
        <w:t>)</w:t>
      </w:r>
      <w:r>
        <w:tab/>
        <w:t>в других случаях, предусмотренных законодательством.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275.</w:t>
      </w:r>
      <w:r>
        <w:tab/>
        <w:t>Решение о выдворении иммигранта из Грузии принимает министр юстиции на основании представления, соответственно, министерств внутренних дел, здравоохранения и социальной защиты, иностранных дел, прокуратуры, судебных органов и министерства государственной безопасности.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276.</w:t>
      </w:r>
      <w:r>
        <w:tab/>
        <w:t>В случаях, предусмотренных пунктами 1, 3 и 4 части первой статьи 7 Закона "Об иммиграции", решение о выдворении иммигранта из Грузии в течение 10 дней с момента его принятия сообщается в письменной форме иммигранту, который обязан в 30-дневный срок после получения решения покинуть территорию Грузии.  Иммигрант имеет право в 10-дневный срок обжаловать такое решение в суде.  В этом случае 30-дневный срок прерывается и возобновляется с момента вступления в силу судебного решения.  Что касается лиц, указанных в пункте 2 части первой вышеупомянутой статьи, то они обязаны покинуть территорию Грузии в 30-дневный срок после  окончания отбывания наказания.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277.</w:t>
      </w:r>
      <w:r>
        <w:tab/>
        <w:t>Решение о выдворении иммигранта из Грузии не распространяется на членов его семьи.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278.</w:t>
      </w:r>
      <w:r>
        <w:tab/>
        <w:t>Статья 8 Закона "Об иммиграции" предусматривает возможность принудительного выдворения иммигранта из Грузии в случае невыполнения им требований покинуть территорию страны в сроки, установленные статьей 7 настоящего закона.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279.</w:t>
      </w:r>
      <w:r>
        <w:tab/>
        <w:t>Согласно статье 24 Закона "О временном въезде, пребывании и выезде иностранцев из Грузии", иностранцы  выдворяются за пределы Грузии в соответствии со статьей 29 Закона "О правовом положении иностранцев", а также за нарушение правил транзитного проезда через территорию страны.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280.</w:t>
      </w:r>
      <w:r>
        <w:tab/>
        <w:t>В марте 2000 года президент Грузии издал указ № 111 "Об утверждении положения о временном порядке выдворения иностранцев из Грузии".  Положение определяет условия высылки иностранцев из страны, в соответствии с Законами "Об иммиграции" и "О правовом положении иностранцев" и с действующим законодательством.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281.</w:t>
      </w:r>
      <w:r>
        <w:tab/>
        <w:t>Положение "О временном порядке выдворения иностранцев из Грузии" воспроизводит основания для высылки иностранцев, содержащиеся в статье 29 Закона "О правовом положении иностранцев".  Положение содержит перечень министерств и ведомств (министерства внутренних дел, государственной безопасности, юстиции, по делам беженцев и расселению, по налоговым доходам, государственный департамент по охране государственной границы), которым надлежит, при наличии вышеуказанных оснований, в течение трех дней изучить вопрос о выдворении иностранца и представить свое заключение министру юстиции, который уполномочен принять окончательное решение.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282.</w:t>
      </w:r>
      <w:r>
        <w:tab/>
        <w:t>Министр юстиции в течение трех дней рассматривает поступившие материалы и принимает одно из следующих решений: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о выдворении иностранца из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об отказе в выдворении иностранца из Грузии;</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 xml:space="preserve">- </w:t>
      </w:r>
      <w:r>
        <w:tab/>
        <w:t>в случае неполноты материалов - об их возвращении соответствующему органу.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283.</w:t>
      </w:r>
      <w:r>
        <w:tab/>
        <w:t>Приказ министра юстиции о выдворении иностранца направляется в министерство внутренних дел и Государственный департамент по охране государственной границы.  Министерство внутренних дел, в свою очередь, передает копию вышеупомянутого приказа подлежащему высылке лицу.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284.</w:t>
      </w:r>
      <w:r>
        <w:tab/>
        <w:t>Приказ министра юстиции о выдворении иностранца доводится до сведения министерства внутренних дел в течение 24 часов.  В течение следующих после получения приказа 24 часов соответствующая служба либо должностное лицо министерства внутренних дел сообщает заинтересованному иностранцу, на понятном ему языке, решение о выдворении, разъясняет его права и обязанности и предлагает в течение трех дней добровольно покинуть территорию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285.</w:t>
      </w:r>
      <w:r>
        <w:tab/>
        <w:t>Транспортные организации и их представители обязаны оказать выдворяемому иностранцу максимальное содействие в скорейшем выезде из Грузии.  Если иностранец отказывается добровольно покинуть страну в течение трех дней, решение о выдворении незамедлительно приводится  в исполнение министерством внутренних дел.</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286.</w:t>
      </w:r>
      <w:r>
        <w:tab/>
        <w:t>Иностранец может быть выдворен из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 страну его гражданства или постоянного места жительства;</w:t>
      </w:r>
    </w:p>
    <w:p w:rsidR="00000000" w:rsidRDefault="00000000">
      <w:pPr>
        <w:tabs>
          <w:tab w:val="clear" w:pos="6237"/>
          <w:tab w:val="left" w:pos="567"/>
          <w:tab w:val="left" w:pos="1134"/>
          <w:tab w:val="left" w:pos="1701"/>
          <w:tab w:val="left" w:pos="2268"/>
        </w:tabs>
      </w:pPr>
      <w:r>
        <w:tab/>
        <w:t xml:space="preserve">- </w:t>
      </w:r>
      <w:r>
        <w:tab/>
        <w:t>в страну, из которой он прибыл в Грузию;</w:t>
      </w:r>
    </w:p>
    <w:p w:rsidR="00000000" w:rsidRDefault="00000000">
      <w:pPr>
        <w:tabs>
          <w:tab w:val="clear" w:pos="6237"/>
          <w:tab w:val="left" w:pos="567"/>
          <w:tab w:val="left" w:pos="1134"/>
          <w:tab w:val="left" w:pos="1701"/>
          <w:tab w:val="left" w:pos="2268"/>
        </w:tabs>
      </w:pPr>
      <w:r>
        <w:tab/>
        <w:t xml:space="preserve">- </w:t>
      </w:r>
      <w:r>
        <w:tab/>
        <w:t>в любую страну, которая согласна его принять.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По возможности, министерство иностранных дел информирует относительно решения о выдворении иностранца из Грузии какую-либо из вышеупомянутых стран.</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287.</w:t>
      </w:r>
      <w:r>
        <w:tab/>
        <w:t>Положение "О временном порядке выдворения иностранцев из Грузии" особо оговаривает, что порядок обжалования решения о выдворении определяется действующим законодательством.</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запрете массовой высылки иностранцев</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288.</w:t>
      </w:r>
      <w:r>
        <w:tab/>
        <w:t>Грузинское законодательство не предусматривает возможность коллективной высылки иностранцев и не использует  сам термин "коллективная высылка".  Все законодательные акты, регламентирующие вопросы выдворения иностранцев, обеспечивают индивидуальное рассмотрение дел и принятие решения относительно высылки на индивидуальной основе.</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 w:val="0"/>
          <w:bCs/>
          <w:i/>
          <w:iCs/>
          <w:u w:val="none"/>
        </w:rPr>
      </w:pPr>
      <w:r>
        <w:rPr>
          <w:b w:val="0"/>
          <w:bCs/>
          <w:i/>
          <w:iCs/>
          <w:u w:val="none"/>
        </w:rPr>
        <w:t>Практические аспекты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289.</w:t>
      </w:r>
      <w:r>
        <w:tab/>
        <w:t>Согласно данным министерства юстиции, в 1996-2000 годах не было зафиксировано ни одного факта выдворения иностранца из Грузии.</w:t>
      </w:r>
    </w:p>
    <w:p w:rsidR="00000000" w:rsidRDefault="00000000">
      <w:pPr>
        <w:pStyle w:val="Heading7"/>
        <w:tabs>
          <w:tab w:val="clear" w:pos="6237"/>
          <w:tab w:val="left" w:pos="567"/>
          <w:tab w:val="left" w:pos="1134"/>
          <w:tab w:val="left" w:pos="1701"/>
          <w:tab w:val="left" w:pos="2268"/>
        </w:tabs>
        <w:spacing w:before="0" w:after="0"/>
      </w:pPr>
    </w:p>
    <w:p w:rsidR="00000000" w:rsidRDefault="00000000">
      <w:pPr>
        <w:pStyle w:val="Heading7"/>
        <w:tabs>
          <w:tab w:val="clear" w:pos="6237"/>
          <w:tab w:val="left" w:pos="567"/>
          <w:tab w:val="left" w:pos="1134"/>
          <w:tab w:val="left" w:pos="1701"/>
          <w:tab w:val="left" w:pos="2268"/>
        </w:tabs>
        <w:spacing w:before="0" w:after="0"/>
        <w:rPr>
          <w:i/>
          <w:iCs/>
        </w:rPr>
      </w:pPr>
      <w:r>
        <w:rPr>
          <w:i/>
          <w:iCs/>
        </w:rPr>
        <w:t>Выдача (экстрадиция) и возвращение иностранцев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290.</w:t>
      </w:r>
      <w:r>
        <w:tab/>
        <w:t>Вопросы экстрадиции регулируются Уголовно-процессуальным кодексом.  Подробная информация о соответствующих положениях закона содержится во втором периодическом докладе Грузии по Конвенции против пыток (пункты 34 - 37, 39, 63 - 68).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291.</w:t>
      </w:r>
      <w:r>
        <w:tab/>
        <w:t>По данным Прокуратуры Грузии, в 1996-2000 годах принято и рассмотрено поступившее из восьми стран 31 ходатайство о передаче (экстрадиции) их граждан.  Всего удовлетворено 18 ходатайств, полученных из всех этих стран.  В соответствии со статьей 256 Уголовно-процессуального кодекса во всех вышеупомянутых случаях выдача была осуществлена на основе двустороннего договора Грузии с соответствующей страной о взаимной правовой помощи.</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Cs/>
          <w:u w:val="none"/>
        </w:rPr>
      </w:pPr>
      <w:r>
        <w:rPr>
          <w:bCs/>
          <w:u w:val="none"/>
        </w:rPr>
        <w:t>Статья 14</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равенстве перед судом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292.</w:t>
      </w:r>
      <w:r>
        <w:tab/>
        <w:t>Статья 42 Конституции Грузии гласит, в частности, следующее: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br w:type="page"/>
      </w:r>
      <w:r>
        <w:tab/>
        <w:t>"1.</w:t>
      </w:r>
      <w:r>
        <w:tab/>
        <w:t xml:space="preserve">Каждый человек имеет право обратиться в суд за защитой своих прав и свобод.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9.</w:t>
      </w:r>
      <w:r>
        <w:tab/>
        <w:t>За счет государственных средств в судебном порядке всем гарантируется полное возмещение ущерба, незаконно нанесенного государственными органами, органами самоуправления, а также их служащими".</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t>Данное право входит в перечень норм Конституции, не подлежащих ограничению ни при каких условиях.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293.</w:t>
      </w:r>
      <w:r>
        <w:tab/>
        <w:t>Согласно Закону "Об общих судах", "каждый человек вправе для защиты своих прав и свобод лично или через представителей прямо обращаться в суд" (статья 3, пункт 1), а "правосудие осуществляется на основе равенства перед законом и судом всех участвующих в деле лиц; судопроизводство осуществляется на основе равноправия и состязательности сторон" (статья 6, пункты 1 и 2).  Верховный суд Грузии – суд высшей и последней инстанции по осуществлению правосудия на всей территории страны - реализует свои полномочия на принципах равенства и состязательности сторон (Закон "О</w:t>
      </w:r>
      <w:r>
        <w:rPr>
          <w:lang w:val="en-US"/>
        </w:rPr>
        <w:t> </w:t>
      </w:r>
      <w:r>
        <w:t>Верховном суде Грузии", статья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294.</w:t>
      </w:r>
      <w:r>
        <w:tab/>
        <w:t xml:space="preserve">В соответствии с органическим Законом "О Конституционном суде Грузии" физические лица Грузии и других государств, если они считают, что нарушены права и свободы, признанные главой </w:t>
      </w:r>
      <w:proofErr w:type="spellStart"/>
      <w:r>
        <w:t>II</w:t>
      </w:r>
      <w:proofErr w:type="spellEnd"/>
      <w:r>
        <w:t xml:space="preserve"> Конституции Грузии, правомочны внести в Конституционный суд конституционный иск о конституционности нормативных актов или их отдельных норм, вступающих в противоречие с вышеупомянутой главой Основного закона (статья 39,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295.</w:t>
      </w:r>
      <w:r>
        <w:tab/>
        <w:t>Гражданский процессуальный кодекс предусматривает, в частности, что:</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 xml:space="preserve">- </w:t>
      </w:r>
      <w:r>
        <w:tab/>
        <w:t>любому лицу обеспечивается защита (своего) права в судебном порядке.  К</w:t>
      </w:r>
      <w:r>
        <w:rPr>
          <w:lang w:val="en-US"/>
        </w:rPr>
        <w:t> </w:t>
      </w:r>
      <w:r>
        <w:t>рассмотрению дела суд приступает по заявлению лица, обратившемуся к нему за защитой своего права либо предусмотренных законом интересов (статья 2, пункт 1);</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 xml:space="preserve">- </w:t>
      </w:r>
      <w:r>
        <w:tab/>
        <w:t>правосудие по гражданским делам осуществляется только судом на началах равенства всех лиц перед законом и судом (статья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296.</w:t>
      </w:r>
      <w:r>
        <w:tab/>
        <w:t>В статье 9 (пункт 1) Уголовно-процессуального кодекса подчеркивается, что "все равны перед законом и судом, независимо от расы, национальности, языка, пола, социального происхождения, имущественного и должностного положения, места жительства, отношения к религии, вероисповедания, а также иных обстоятельств".  Рассмотрение уголовных дел во всех судах открытое (там же, статья 16, пункт 1).</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на справедливый суд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297.</w:t>
      </w:r>
      <w:r>
        <w:tab/>
        <w:t xml:space="preserve">Основы судебной системы устанавливаются главой </w:t>
      </w:r>
      <w:proofErr w:type="spellStart"/>
      <w:r>
        <w:t>V</w:t>
      </w:r>
      <w:proofErr w:type="spellEnd"/>
      <w:r>
        <w:t xml:space="preserve"> Конституции – "Судебная власть".  Согласно статье 82, судебная власть независима и осуществляется только судами, посредством конституционного контроля, правосудия и в установленных законом иных формах.  Статья 83 устанавливает, в частности, что правосудие осуществляется общими судами.  Их система и порядок судопроизводства устанавливаются законом.  Судопроизводство осуществляется на основе равноправия и состязательности сторон (статья 85).  Отмена, изменение или приостановление решения суда могут быть осуществлены только судом в установленном законом порядке (статья 84).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298.</w:t>
      </w:r>
      <w:r>
        <w:tab/>
        <w:t>Деятельность судебной системы Грузии и осуществление  судебных процедур регламентируются органическими Законами "Об общих судах", "О Верховном суде Грузии", "О Конституционном суде Грузии", Уголовно-процессуальным, Гражданским процессуальным и Административным процессуальным кодексами.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299.</w:t>
      </w:r>
      <w:r>
        <w:tab/>
        <w:t xml:space="preserve">Согласно Закону "Об общих судах", судебная система Грузии включает три уровня.  Судами первой инстанции являются районный (городской) суд и окружной суд.  Судом второй инстанции является апелляционный суд, правомочия которого осуществляют верховные суды Абхазии и Аджарской автономной республики, апелляционные суды городов Тбилиси и Кутаиси.  Они в апелляционном порядке рассматривают жалобы на решения районных (городских) и окружных судов.  Верховный суд Грузии осуществляет надзор над судопроизводством в общих судах, в качестве суда первой инстанции рассматривает категорию дел, определенную законом, осуществляет предусмотренные Конституцией правомочия при </w:t>
      </w:r>
      <w:proofErr w:type="spellStart"/>
      <w:r>
        <w:t>задействовании</w:t>
      </w:r>
      <w:proofErr w:type="spellEnd"/>
      <w:r>
        <w:t xml:space="preserve"> процедур </w:t>
      </w:r>
      <w:proofErr w:type="spellStart"/>
      <w:r>
        <w:t>импичмента</w:t>
      </w:r>
      <w:proofErr w:type="spellEnd"/>
      <w:r>
        <w:t xml:space="preserve"> и назначении трех (из девяти) членов Конституционного суда.  В соответствии с Законом "О Верховном суде Грузии" на территории Грузии Верховный суд является судом высшей и последней инстанции по осуществлению правосудия.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300.</w:t>
      </w:r>
      <w:r>
        <w:tab/>
        <w:t>Система общих судов Грузии едина.  Учреждение военных судов допускается только в условиях войны и только в системе общих судов.  Создание чрезвычайных или специальных судов не допускается.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301.</w:t>
      </w:r>
      <w:r>
        <w:tab/>
        <w:t>В районном (городском) суде судья рассматривает дело единолично, в окружном суде дела рассматриваются коллегиально, в составе трех судей в случаях, определенных процессуальным законодательством.  Для этой цели в окружном суде образованы коллегии по уголовным делам и по гражданским делам.  В апелляционном суде функционируют коллегия по гражданским делам, коллегия по административным делам, делам о налогах и делам других категорий.  В пересмотре дел в порядке апелляции также принимает участие трое судей.  Такие же коллегии и то же количество судей при пересмотре дел задействованы в верховных судах Абхазии и Аджарии.  Что касается Верховного суда Грузии, то здесь сформированы судебная коллегия по уголовным делам, палаты – по гражданским делам, делам о предпринимательстве и банкротстве, по административным делам и делам других категорий, по уголовным делам, а также надзорная палата.  Судебная коллегия по уголовным делам в качестве суда первой инстанции рассматривает круг дел, подсудных Верховному суду согласно Уголовно-процессуальному кодексу.  Палаты, за исключением надзорной, являются судами кассационной инстанции, рассматривающими жалобы на решения судов апелляционной  инстанции.  Палата надзора рассматривает жалобы сторон в связи с вновь открывшимися и вновь выявленными обстоятельствами.  В Верховном суде дела рассматриваются в составе трех судей, а в судебной коллегии по уголовным делам - при участии судьи и двух-шести заместителей.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302.</w:t>
      </w:r>
      <w:r>
        <w:tab/>
        <w:t>В целях разработки предложений по проведению осуществляемой в стране судебной реформы, подбора, представления кандидатур на должность судьи, освобождения судей от должности, организации квалификационных экзаменов для кандидатов в судьи при президенте Грузии создан совещательный орган – Совет юстиции, состоящий из 12 членов.  В состав Совета входят председатель Верховного суда, председатели верховных судов Абхазии и Аджарии.  Кроме того, четыре члена Совета юстиции назначаются президентом страны, один – Верховным Судом, и четверо избираются парламентом.  В Абхазии и Аджарии высшими представительными органами этих автономий также создаются советы юстиции.  В числе полномочий Совета юстиции Грузии – возбуждение, при наличии соответствующей жалобы, дисциплинарного преследования судьи за нарушение трудовой дисциплины, сроков рассмотрения дела, составления и выдачи судебных актов.  Во всех остальных случаях дисциплинарное преследование осуществляется вышестоящим судебным органом.  Возбуждение дисциплинарного преследования в связи с нарушением закона, допущенным при рассмотрении дел, возможно только при рассмотрении соответствующего дела либо наличии жалобы.  Дисциплинарные дела по существу рассматривает и решает дисциплинарная коллегия судей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303.</w:t>
      </w:r>
      <w:r>
        <w:tab/>
        <w:t xml:space="preserve">Как в уголовном, так и в гражданском процессуальном законодательстве соблюдается принцип </w:t>
      </w:r>
      <w:proofErr w:type="spellStart"/>
      <w:r>
        <w:t>диспозиционности</w:t>
      </w:r>
      <w:proofErr w:type="spellEnd"/>
      <w:r>
        <w:t>, направленный на обеспечение права сторон свободно распоряжаться своими материально-правовыми и процессуальными правами.  Кроме того, Уголовно-процессуальным кодексом особо оговаривается, что его действие распространяется также и на находящихся на территории Грузии граждан иностранных государств и лиц без гражданства (статья 5), за исключением лиц, пользующихся дипломатическими привилегиями и иммунитетом, в отношении которых предусмотренные Кодексом процессуальные действия производятся только по их просьбе или с их согласия.</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судьях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304.</w:t>
      </w:r>
      <w:r>
        <w:tab/>
        <w:t>Согласно статье 84 Конституции, судьи в Грузии независимы в своей деятельности и подчиняются только Конституции и закону.  Запрещается и карается по закону любое воздействие на судью или вмешательство в его деятельность с целью оказания влияния на принятие решения.  Отстранение судьи от рассмотрения дела, досрочное освобождение или перевод на другую должность допускаются только в определенных законом случаях.  Никто не вправе требовать от судьи отчета по конкретному делу.  Недействительны любые акты, ограничивающие независимость судьи.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305.</w:t>
      </w:r>
      <w:r>
        <w:tab/>
        <w:t>Конституция устанавливает четкие критерии, которым должен соответствовать кандидат на должность судьи.  Согласно статье 86, судьей может быть гражданин Грузии, достигший 30 лет, имеющий высшее юридическое образование и не менее чем пятилетний опыт работы по специальности.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306.</w:t>
      </w:r>
      <w:r>
        <w:tab/>
        <w:t>В соответствии с Законом "Об общих судах" (статья 46), одним из требований к кандидату на должность судьи является сдача квалификационного экзамена.  В число экзаменационных тем, в частности, входят и международные договоры и соглашения Грузии по правам человека (статья 68).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307.</w:t>
      </w:r>
      <w:r>
        <w:tab/>
        <w:t>Конституция устанавливает также, что судья назначается или избирается на должность сроком не менее 10 лет (статья 86, пункт 2), гарантирует неприкосновенность судьи, обеспечивает безопасность самого судьи и его семьи (статья 87,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308.</w:t>
      </w:r>
      <w:r>
        <w:tab/>
        <w:t>Согласно Закону "Об общих судах", судей Верховного суда по представлению президента Грузии избирает парламент страны.  Судей районных (городских), окружных и апелляционных судов назначает президент Грузии по представлению Совета юстиции.  Судей верховных судов Абхазской и Аджарской автономных республик на основании представления Совета юстиции соответствующей автономии и предварительного письменного согласия президента Грузии избирают высшие представительные органы Абхазии и Аджарии (статья 48, пункты 1, 2 и 4).  Срок полномочий всех судей Грузии установлен в 10 лет (статья 49).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309.</w:t>
      </w:r>
      <w:r>
        <w:tab/>
        <w:t>Закон "Об общих судах" дает исчерпывающий перечень оснований, согласно которым судья может быть освобожден от должности.  Это: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личное желание;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невыполнение им своих полномочий  свыше  шести месяцев подряд;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умышленное или систематическое нарушение закона при осуществлении правосудия;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совершение деяния, подрывающего авторитет суда и порочащего достоинство судьи;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систематическое нарушение трудовой дисциплины;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занятие должности или деятельность, согласно закону несовместимые со статусом судьи;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признание его судом недееспособным или ограниченно дееспособным;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утрата гражданства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вступление в законную силу обвинительного приговора в отношении него;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достижение установленного законом предельного возраста (статья 54).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310.</w:t>
      </w:r>
      <w:r>
        <w:tab/>
        <w:t>Вышеупомянутый Закон устанавливает также основания, порядок и виды дисциплинарной ответственности судей (статья 56, 58, 59).</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 w:val="0"/>
          <w:bCs/>
          <w:i/>
          <w:iCs/>
          <w:u w:val="none"/>
        </w:rPr>
      </w:pPr>
      <w:r>
        <w:rPr>
          <w:b w:val="0"/>
          <w:bCs/>
          <w:i/>
          <w:iCs/>
          <w:u w:val="none"/>
        </w:rPr>
        <w:t>О публичном характере судебного разбирательства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311.</w:t>
      </w:r>
      <w:r>
        <w:tab/>
        <w:t>По Конституции, разбирательство дела в суде открытое.  Слушание дела на закрытом заседании допускается только в предусмотренных законом случаях.  Решение суда объявляется публично (статья 85,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312.</w:t>
      </w:r>
      <w:r>
        <w:tab/>
        <w:t>В соответствии с Законом "Об общих судах", разбирательство всех дел в суде открытое.  Слушание дела на закрытом заседании допускается только в предусмотренных законом случаях.  Решение суда во всех случаях объявляется публично.  Запрет на кино- и фотосъемку, аудио- и видеозапись в судебном заседании допускается только по мотивированному решению суда (статья 12).  Таким образом, первые три предложения упомянутой статьи закона буквально повторяют положения Конституции.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313.</w:t>
      </w:r>
      <w:r>
        <w:tab/>
        <w:t>Уголовно-процессуальный кодекс также провозглашает открытость разбирательства уголовных дел во всех судах.  В дополнение к формулировке Закона "Об общих судах" относительно порядка запрещения фиксирования хода судебного процесса посредством технических средств Кодекс закрепляет право участников судопроизводства и иных лиц стенографировать ход процесса, использовать средства звукозаписи и другие бесшумные записывающие средства, если они не мешают судебному разбирательству (статья 16, пункты 1 и 2).  Кроме того, согласно Кодексу, ход и результаты судебного процесса могут свободно освещаться средствами массовой информации, но при этом они должны руководствоваться  принципом презумпции невиновности (статья 16,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314.</w:t>
      </w:r>
      <w:r>
        <w:tab/>
        <w:t>Уголовно-процессуальный кодекс предусматривает случаи, когда суды вправе не допускать публику на все судебное разбирательство либо его часть.  Согласно статье 16, по определению (постановлению) суда (судьи) уголовное дело рассматривается на полностью или частично закрытом судебном заседании с целью соблюдения государственной тайны;  в том же порядке рассматриваются дела о преступлениях несовершеннолетних в возрасте до 16 лет, а также дела о половых преступлениях, с целью неразглашения сведений об интимной жизни лиц, если этого требуют стороны.  В зал на закрытое судебное заседание могут быть допущены по два представителя каждого из подсудимых и пострадавших (пункт 4).  На закрытых заседаниях рассматриваются также представления (ходатайства) следственных органов об истребовании судебных приказов и постановлений (пункт 5).  Во всех случаях в зал судебных заседаний не допускаются лица, не достигшие 16-летнего возраста (пункт 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315.</w:t>
      </w:r>
      <w:r>
        <w:tab/>
        <w:t>В то же время, Уголовно-процессуальный кодекс особо оговаривает, что приговор, определение, постановление суда подлежат оглашению во всех случаях (статья 16, пункт 7).</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соблюдении принципа презумпции невиновности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316.</w:t>
      </w:r>
      <w:r>
        <w:tab/>
        <w:t xml:space="preserve">Принцип презумпции невиновности в полном объеме, как это предусмотрено пунктом 2 статьи 14, закреплен в статье 40 Конституции, согласно которой лицо считается невиновным, пока его виновность не будет доказана в установленном законом порядке и вступившим в законную силу обвинительным приговором  (пункт 1).  Никто не обязан доказывать свою невиновность.  Обязанность </w:t>
      </w:r>
      <w:proofErr w:type="spellStart"/>
      <w:r>
        <w:t>доказывания</w:t>
      </w:r>
      <w:proofErr w:type="spellEnd"/>
      <w:r>
        <w:t xml:space="preserve"> обвинения возлагается на обвинителя (пункт 2).  Постановление о привлечении лица к ответственности в качестве обвиняемого, обвинительное заключение и обвинительный приговор должны основываться только на достоверных доказательствах.  Любое сомнение, не подтвержденное в установленном законом порядке, должно трактоваться в пользу обвиняемого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317.</w:t>
      </w:r>
      <w:r>
        <w:tab/>
        <w:t>В Уголовно-процессуальном кодексе содержится статья 16, озаглавленная "Презумпция невиновности", первый пункт которой воспроизводит положение пункта 1 статьи 40 Конституции.  Второй пункт статьи 16 Кодекса, повторяя формулировку пункта 2 вышеуказанной статьи Конституции, дополняет ее положением о праве обвинителя отказаться от обвинения.  Третий и четвертый пункты статьи 16 Кодекса текстуально полностью соответствуют формулировке пункта 3 статьи 40 Конституции.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318.</w:t>
      </w:r>
      <w:r>
        <w:tab/>
        <w:t>Вышеизложенное позволяет констатировать, что принципу презумпции невиновности в грузинском уголовном праве придается особое значение.</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языке судопроизводства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319.</w:t>
      </w:r>
      <w:r>
        <w:tab/>
        <w:t>Согласно Конституции, судопроизводство в Грузии ведется на государственном языке.  Лицу, не владеющему языком судопроизводства, предоставляется переводчик.  При этом в районах, где население не владеет государственном языком, обеспечивается решение вопросов, связанных с изучением государственного языка и судопроизводством (статья 85,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320.</w:t>
      </w:r>
      <w:r>
        <w:tab/>
        <w:t xml:space="preserve">В соответствии с Уголовно-процессуальным кодексом уголовное производство в Грузии ведется на грузинском, а в Абхазии – на грузинском и абхазском языках.  Участники процесса, не владеющие или недостаточно владеющие языком </w:t>
      </w:r>
      <w:proofErr w:type="spellStart"/>
      <w:r>
        <w:t>правопроизводства</w:t>
      </w:r>
      <w:proofErr w:type="spellEnd"/>
      <w:r>
        <w:t>, вправе делать заявления, давать показания и объяснения,  заявлять ходатайства и отводы, подавать жалобы, выступать в суде на родном языке или другом языке, которым они владеют.  В этих случаях, а также при ознакомлении с материалами дела участники процесса вправе пользоваться услугами переводчика.  Следственные и судебные документы, подлежащие в соответствии с требованиями закона вручению обвиняемому или иным участникам процесса, должны быть переведены на их родной язык или язык, которым они владеют.  Орган, ведущий процесс, обязан разъяснить его участникам их вышеизложенные права.  Оплата труда переводчика, участвующего в уголовном деле, производится за государственный счет (статья 17, пункты 1-5).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321.</w:t>
      </w:r>
      <w:r>
        <w:tab/>
        <w:t>Следует отметить, что в Гражданском процессуальном кодексе содержится статья 9 ("Язык судопроизводства"), в тексте которой воспроизведены приведенные выше конституционные положения.</w:t>
      </w:r>
    </w:p>
    <w:p w:rsidR="00000000" w:rsidRDefault="00000000">
      <w:pPr>
        <w:tabs>
          <w:tab w:val="clear" w:pos="6237"/>
          <w:tab w:val="left" w:pos="567"/>
          <w:tab w:val="left" w:pos="1134"/>
          <w:tab w:val="left" w:pos="1701"/>
          <w:tab w:val="left" w:pos="2268"/>
        </w:tabs>
      </w:pPr>
    </w:p>
    <w:p w:rsidR="00000000" w:rsidRDefault="00000000">
      <w:pPr>
        <w:pStyle w:val="BodyText"/>
        <w:tabs>
          <w:tab w:val="left" w:pos="567"/>
          <w:tab w:val="left" w:pos="1134"/>
          <w:tab w:val="left" w:pos="1701"/>
          <w:tab w:val="left" w:pos="2268"/>
        </w:tabs>
        <w:spacing w:line="288" w:lineRule="auto"/>
        <w:jc w:val="left"/>
        <w:rPr>
          <w:i/>
          <w:iCs/>
          <w:sz w:val="24"/>
          <w:u w:val="none"/>
        </w:rPr>
      </w:pPr>
      <w:r>
        <w:rPr>
          <w:i/>
          <w:iCs/>
          <w:sz w:val="24"/>
          <w:u w:val="none"/>
        </w:rPr>
        <w:br w:type="page"/>
        <w:t>О праве обвиняемого быть уведомленным о характере и основании предъявляемого ему обвинения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322.</w:t>
      </w:r>
      <w:r>
        <w:tab/>
        <w:t xml:space="preserve">Уголовно-процессуальный кодекс гласит, что основанием для  предъявления обвинения является совокупность доказательств, достаточных для обоснованного предположения, что преступление совершено конкретным лицом (статья 281).  После вынесения постановления о привлечении лица к ответственности в качестве обвиняемого следователь или прокурор обязаны предъявить ему обвинение в течение 48 часов, а в случае неявки обвиняемого в назначенное время – не позднее дня его привода (статья 283).  Следователь или прокурор </w:t>
      </w:r>
      <w:proofErr w:type="spellStart"/>
      <w:r>
        <w:t>ознакамливает</w:t>
      </w:r>
      <w:proofErr w:type="spellEnd"/>
      <w:r>
        <w:t xml:space="preserve"> вызванное для предъявления обвинения лицо и его защитника с постановлением о привлечении лица к ответственности в качестве обвиняемого (статья 284, пункт 1).  Согласно статье 282 Кодекса, постановление должно содержать, в частности, доказательства, достаточные для обоснованного предположения, что указанное преступление совершено данным лицом, формулировку обвинения (описание инкриминируемого деяния с указанием места и времени его совершения, а также иные обстоятельства, подлежащие </w:t>
      </w:r>
      <w:proofErr w:type="spellStart"/>
      <w:r>
        <w:t>доказыванию</w:t>
      </w:r>
      <w:proofErr w:type="spellEnd"/>
      <w:r>
        <w:t xml:space="preserve"> по уголовному делу), указание статьи Уголовного кодекса, предусматривающей санкцию за данное преступление.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323.</w:t>
      </w:r>
      <w:r>
        <w:tab/>
        <w:t>Лицо, которому предъявлено обвинение, и его защитник письменно подтверждают, что они ознакомлены с постановлением.  Одновременно обвиняемому вручается перечень его прав и обязанностей, причем следователю (прокурору), при участии защитника, надлежит разъяснить лицу их суть и содержание.  В допросе обвиняемого, проводимом по предъявлении обвинения, наряду с защитником, предусмотрено и обязательное участие прокурора в тех случаях, когда допрашиваются не владеющие языком судопроизводства лица и несовершеннолетние, а также при некоторых других регламентированных законом обстоятельствах (статья 284, пункты 1 и 3 Уголовно-процессуального кодекса).</w:t>
      </w:r>
    </w:p>
    <w:p w:rsidR="00000000" w:rsidRDefault="00000000">
      <w:pPr>
        <w:pStyle w:val="Heading7"/>
        <w:tabs>
          <w:tab w:val="clear" w:pos="6237"/>
          <w:tab w:val="left" w:pos="567"/>
          <w:tab w:val="left" w:pos="1134"/>
          <w:tab w:val="left" w:pos="1701"/>
          <w:tab w:val="left" w:pos="2268"/>
        </w:tabs>
        <w:spacing w:before="0" w:after="0"/>
      </w:pPr>
    </w:p>
    <w:p w:rsidR="00000000" w:rsidRDefault="00000000">
      <w:pPr>
        <w:pStyle w:val="Heading7"/>
        <w:tabs>
          <w:tab w:val="clear" w:pos="6237"/>
          <w:tab w:val="left" w:pos="567"/>
          <w:tab w:val="left" w:pos="1134"/>
          <w:tab w:val="left" w:pos="1701"/>
          <w:tab w:val="left" w:pos="2268"/>
        </w:tabs>
        <w:spacing w:before="0" w:after="0"/>
        <w:rPr>
          <w:i/>
          <w:iCs/>
        </w:rPr>
      </w:pPr>
      <w:r>
        <w:rPr>
          <w:i/>
          <w:iCs/>
        </w:rPr>
        <w:t>Об осуществлении защиты в уголовном процессе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324.</w:t>
      </w:r>
      <w:r>
        <w:tab/>
        <w:t xml:space="preserve">Конституция провозглашает, что право защиты гарантируется (статья 42, пункт 3).  Конституционное положение получило свое развитие в Уголовно-процессуальном кодексе, согласно которому суд и должностные лица, осуществляющие уголовное </w:t>
      </w:r>
      <w:proofErr w:type="spellStart"/>
      <w:r>
        <w:t>правопроизводство</w:t>
      </w:r>
      <w:proofErr w:type="spellEnd"/>
      <w:r>
        <w:t>, обязаны обеспечить подозреваемому, обвиняемому и подсудимому право на защиту, разъяснить им их права, предоставить возможность защищаться всеми дозволенными законом средствами, соблюдать их права и свободы.  Право на защиту должно обеспечиваться лицу, в отношении которого ведется дело о применении медицинских мер принудительного характера, а также осужденному и оправданному в случае обжалования приговора или иного итогового судебного решения.  Участие в уголовном деле защитника или законного представителя не лишает защищаемое лицо принадлежащих ему прав (статья 11, пункты 1 - 3).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325.</w:t>
      </w:r>
      <w:r>
        <w:tab/>
        <w:t xml:space="preserve">Статья 76 Уголовно-процессуального кодекса гласит, что обвиняемый вправе защищаться от предъявленного обвинения всеми законными средствами и методами, иметь достаточное время и возможности для  подготовки к защите (пункт 1).  В пункте 2 данной статьи Кодекса оговаривается, что обвиняемый обладает всеми процессуальными правами подозреваемого.  Кроме того, обвиняемый располагает еще целым рядом прав, о которых подробно будет сказано ниже.  Что касается прав подозреваемого, их исчерпывающий перечень содержится в статье 73 Уголовно-процессуального кодекса.  В контексте данного раздела отметим следующие права подозреваемого (а следовательно, и обвиняемого):  давать или не давать показания;  пользоваться услугами защитника по соглашению с ним, с назначением оплаты либо полным освобождением от оплаты в предусмотренных законом случаях;  иметь свидания с защитником без свидетелей продолжительностью не более одного часа в день;  при производстве допросов и других следственных действий со своим участием бесплатно пользоваться услугами переводчика (в случае незнания или слабого знания языка судопроизводства);  заявлять ходатайства и отводы;  представлять доказательства;  участвовать в следственных действиях, производимых по его или защитника ходатайству;  подавать прокурору или судье жалобы на действия или решения органы дознания, дознавателя и следователя;  получать от дознавателя или следователя исчерпывающее разъяснение своих прав.  При этом, </w:t>
      </w:r>
      <w:proofErr w:type="spellStart"/>
      <w:r>
        <w:t>неиспользование</w:t>
      </w:r>
      <w:proofErr w:type="spellEnd"/>
      <w:r>
        <w:t xml:space="preserve"> подозреваемым (обвиняемым) своих прав не может быть истолковано как доказательство его виновности.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326.</w:t>
      </w:r>
      <w:r>
        <w:tab/>
        <w:t>В дополнение к вышеперечисленным процессуальным правам обвиняемый вправе также знакомиться со всеми имеющимися в деле доказательствами обвинения и истребовать доказательства, необходимые для опровержения обвинения или смягчения ответственности;  требовать очной ставки с лицами, изобличающими его в совершении преступления;  по окончании предварительного следствия знакомиться самостоятельно или вместе с защитником со всеми материалами дела, выписывать из него все необходимые сведения, снимать копии, заявлять обязательные для рассмотрения ходатайства о дополнении расследования;  отказываться от защитника и защищать себя самостоятельно, за исключением случаев, предусмотренных Уголовно-процессуальным кодексом;  участвовать в стадии предания суду и в судебном разбирательстве и при этом пользоваться всеми правами стороны;  выступать в судебных прениях, если в деле не участвует защитник;  обжаловать приговор и другие судебные решения;  участвовать в заседаниях судов всех инстанций и защищать там свои интересы самостоятельно или посредством защитника и др.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327.</w:t>
      </w:r>
      <w:r>
        <w:tab/>
        <w:t>В соответствии со статьей 406 Уголовно-процессуального кодекса не допускается ограничивать время ознакомления с уголовным делом или понуждать участников процесса к ускорению ознакомления с делом.  Однако, если участник процесса намеренно затягивает время ознакомления с делом, следователь вправе вынести санкционированное прокурором постановление с указанием разумных и достаточных сроков ознакомления с делом.  Постановление может быть обжаловано в  судебном порядке.  На ознакомление с делом сторонам может быть отведено не менее шести и не более восьми часов в сутки.  Время ознакомления обвиняемого и его защитника с делом не засчитывается в установленный законом срок содержания обвиняемого под стражей.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328.</w:t>
      </w:r>
      <w:r>
        <w:tab/>
        <w:t>Вопросы, связанные с участием в уголовном деле защитника и оказания им предусмотренной законом юридической помощи подозреваемому и обвиняемому, регулируются статьями 78 - 84 Уголовно-процессуального кодекса.  Согласно Кодексу, в качестве защитников допускаются не только лица, являющиеся адвокатами в установленном законом порядке, но и иные приглашенные подозреваемым или  обвиняемым лица.  При этом орган, ведущий процесс, не вправе ограничивать подозреваемого (обвиняемого) в выборе защитника (статья 78, пункты 2 и 3).  С согласия министерства юстиции в качестве защитников могут быть допущены иностранные адвокаты (статья 78, пункт 8).  Защита подозреваемого или обвиняемого может осуществляться по соглашению с адвокатом, либо при помощи назначенного адвоката (статьи 79 и 80).  Кодекс содержит полный перечень случаев, когда орган, ведущий процесс, обязан назначить подозреваемому и обвиняемому с их согласия защитника-адвоката (статья 80, пункт 1).  При этом законом предусмотрено, что вышеуказанный орган при наличии определенных обстоятельств вправе не принять отказ подозреваемого или обвиняемого от защитника (статья 81).  Применительно к обвиняемому такими обстоятельствами являются предъявление лицу обвинения в совершении такого преступления, за которое в качестве наказания может быть назначено бессрочное лишение свободы, либо когда между интересами обвиняемых имеются противоречия и хотя бы один из них имеет защитника.  Защита по назначению оплачивается из государственного бюджета.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329.</w:t>
      </w:r>
      <w:r>
        <w:tab/>
        <w:t>Защита по назначению применяется только в тех случаях, когда подозреваемый или обвиняемый не приглашает защитника по соглашению.  На протяжении всего процесса подлежит удовлетворению требование лица о замене его защитника и приглашении другого защитника (статья 80, пункт 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330.</w:t>
      </w:r>
      <w:r>
        <w:tab/>
        <w:t>Относительно возможности контактов защитника с подзащитным см. выше (пункт 325).</w:t>
      </w:r>
    </w:p>
    <w:p w:rsidR="00000000" w:rsidRDefault="00000000">
      <w:pPr>
        <w:tabs>
          <w:tab w:val="clear" w:pos="6237"/>
          <w:tab w:val="left" w:pos="567"/>
          <w:tab w:val="left" w:pos="1134"/>
          <w:tab w:val="left" w:pos="1701"/>
          <w:tab w:val="left" w:pos="2268"/>
        </w:tabs>
      </w:pPr>
      <w:r>
        <w:br w:type="page"/>
      </w: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быть судимым без неоправданной задержки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331.</w:t>
      </w:r>
      <w:r>
        <w:tab/>
        <w:t>Вопросы, затрагиваемые в контексте настоящего раздела статьи 14, регламентируются соответствующими статьями Уголовно-процессуального кодекса.  В связи с этим, приведенные ниже положения будут сопровождаться только номером соответствующей статьи Кодекса без дополнительных оговорок.</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332.</w:t>
      </w:r>
      <w:r>
        <w:tab/>
        <w:t>По окончании следствия следователь письменно уведомляет об этом участников процесса, в том числе обвиняемого, и разъясняет им их право на ознакомление со всеми материалами дела (статья 401).  Об ознакомлении с делом каждым из участников процесса составляется отдельный протокол, подлежащий подписанию следователем и участником процесса (статья 408).  После этого следователь составляет обвинительное заключение и вместе с уголовным делом немедленно направляет его прокурору (статьи 409 и 411).  Прокурор обязан рассмотреть поступившее дело в срок, не превышающий пяти суток, и, при наличии оснований для направления дела в суд, утвердить обвинительное заключение (статья 413).  Уголовное дело и приобщенное к нему обвинительное заключение в течение 48 часов после утверждения заключения передается в суд (статья 416).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333.</w:t>
      </w:r>
      <w:r>
        <w:tab/>
        <w:t>Судья, рассматривающий поступившее дело, выносит постановление о принятии его к производству, но не ранее 24 часов и не позднее 72 часов после вынесения итогового решения по имеющемуся в его производстве последнему делу (статья 419).  В суде любого уровня судья обязан изучить поступившее от прокурора уголовное дело не позже семи дней после его поступления.  Если изучаемое дело сложно или велико по объему, председатель Верховного Суда или председатель апелляционного суда, в состав которого входит следственный судья, вправе продлить срок изучения дела до 14 дней (по делам, входящим в их юрисдикцию).  Продление 7-дневного срока по делам, подсудным районным (городским) судам, не допускается.  Судья не позднее трех дней по истечении указанных выше сроков, принимает решение о том, какой дальнейший ход должен быть дан делу в соответствии с предусмотренными Кодексом основаниями (статьи 420, 421, 423, 424).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334.</w:t>
      </w:r>
      <w:r>
        <w:tab/>
        <w:t>Судья, придя к выводу, что имеются достаточные основания для судебного разбирательства, выносит постановление о предании обвиняемого суду и назначает разбирательство, которое должно начаться в 20-дневный срок со дня предания обвиняемого суду (статья 426).  Постановление судьи о предании обвиняемого суду вместе с уголовным делом направляется в суд первой инстанции по подсудности не позднее трех дней после вынесения постановления (статья 432).  Судебное разбирательство идет непрерывно, кроме времени, необходимого для отдыха (статья 441).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335.</w:t>
      </w:r>
      <w:r>
        <w:tab/>
        <w:t>Основанием для откладывания судебного разбирательства являются: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 xml:space="preserve">- </w:t>
      </w:r>
      <w:r>
        <w:tab/>
        <w:t>неявка подсудимого, кроме случаев, предусмотренных Уголовно-процессуальным кодексом (статья 443, пункт 2), что определяется статьей 444,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 </w:t>
      </w:r>
      <w:r>
        <w:tab/>
        <w:t>неявка защитника, что предусмотрено пунктом 2 статьи 445.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Кроме того, разбирательство дела может быть отложено в связи с необходимостью истребования новых доказательств либо неявки на судебное заседание кого-либо из вызванных лиц.  Суд устанавливает срок, на который откладывается разбирательство дела (статья 451,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336.</w:t>
      </w:r>
      <w:r>
        <w:tab/>
        <w:t>Уголовно-процессуальный кодекс не определяет сроков рассмотрения уголовного дела в суде первой инстанции.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337.</w:t>
      </w:r>
      <w:r>
        <w:tab/>
        <w:t>Уголовно-процессуальный кодекс предусматривает, что подсудимый, потерпевший, гражданские истец и ответчик имеют право требовать рассмотрения дела не менее чем в двух судебных инстанциях – первой и апелляционной, либо кассационной инстанцией, если это предусмотрено законом (статья 517).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338.</w:t>
      </w:r>
      <w:r>
        <w:tab/>
        <w:t>Стороны могут подать апелляционную жалобу в 14-дневный срок после  провозглашения приговора суда первой инстанции в тот же суд.  Если подсудимый находится под стражей, срок обжалования приговора исчисляется со дня вручения ему копии приговора (статья 523).  Дело, жалоба и возражения против нее (при наличии таковых) должны быть направлены из суда первой инстанции в суд апелляционной инстанции не позже одного месяца после вынесения приговора.  Дело должно быть рассмотрено апелляционной инстанцией не позже 14 дней после его поступления.  По сложным делам и делам большого объема этот срок может быть продлен председателем суда апелляционной инстанции еще на семь дней  (статья  528).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339.</w:t>
      </w:r>
      <w:r>
        <w:tab/>
        <w:t>Субъекты и сроки кассационного обжалования, сроки рассмотрения дела в кассационной инстанции те же, что и при апелляции (статьи 546, 550 и 556).  Что касается обжалования в порядке ревизии, оно допускается применительно к вступившим в силу приговорам, вынесенным Судебной коллегией по уголовным делам Верховного Суда в качестве суда первой инстанции, если они не были обжалованы в кассационном порядке (статья 575).  Обжалование в порядке ревизии приговоров в целях улучшения положения осужденного сроками не ограничивается.  Обжалование приговора по мотивам, предусматривающим ухудшение положения осужденного (оправданного) лица, допускается в течение одного года по вступлении его в законную силу (статья  577).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340.</w:t>
      </w:r>
      <w:r>
        <w:tab/>
        <w:t>Рассмотрение поступившей в порядке ревизии жалобы осуществляет Палата надзора Верховного суда (статья 576).  В течение месяца со дня поступления жалобы названная Палата должна принять по делу одно из следующих решений: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об отклонении жалобы, которое является окончательным;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об обращении к Пленуму Верховного суда о пересмотре ревизуемого судебного решения.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Во втором случае председатель Палаты надзора направляет соответствующее ходатайство вместе с материалами дела Пленуму Верховного суда в 10-дневный срок (статья 581).  Дело подлежит рассмотрению на ближайшем заседании Пленума, но не ранее одного месяца после подачи ходатайства (статья 582, пункт 2).</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Об участии подсудимого и защитника в судебном разбирательстве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341.</w:t>
      </w:r>
      <w:r>
        <w:tab/>
        <w:t>Согласно статье 443 Уголовно-процессуального кодекса, судебное разбирательство по уголовному делу происходит с участием подсудимого, явка которого на судебное заседание обязательна.  Разбирательство дела в отсутствие подсудимого может быть допущено только тогда, когда: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подсудимый находится вне пределов Грузии и уклоняется от явки в суд;</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подсудимый, которому может быть назначена мера наказания в виде лишения свободы на срок до трех лет, ходатайствует о рассмотрении дела в его отсутствие и при этом суд считает, что разбирательство в отсутствие подсудимого не воспрепятствует всестороннему, полному и объективному исследованию обстоятельств дела.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При разбирательстве дела в отсутствии подсудимого участие его защитника является обязательным.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342.</w:t>
      </w:r>
      <w:r>
        <w:tab/>
        <w:t>Вопросы участия в судебном разбирательстве защитника регулируются статьей 445 упомянутого Кодекса, согласно которой адвокат принимает участие в судебном разбирательстве и имеет равные права с обвинителем на основе принципа состязательности уголовного процесса.  Замена защитника, не явившегося на судебное заседание, возможна с согласия подсудимого.  Если участие приглашенного подсудимым защитника невозможно в течение длительного времени (более семи дней), суд откладывает разбирательство и предлагает подсудимому избрать другого защитника или назначает нового.  Новому защитнику суд обеспечивает время, достаточное для изучения материалов дела, и возможность повторения судебных действий, произведенных до его вступления в дело.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343.</w:t>
      </w:r>
      <w:r>
        <w:tab/>
        <w:t>Изложенные выше в настоящем докладе положения об осуществлении защиты подозреваемых/обвиняемых адвокатами по соглашению или по назначению распространяются и на подсудимых.  Что касается процедуры участия защитника в апелляционном, кассационном и ревизионном рассмотрении дела, он идентичен порядку, предусмотренному при разбирательстве в суде первой инстанции (статьи 531, 558, 584 и 585 Уголовно-процессуального кодекса).</w:t>
      </w:r>
    </w:p>
    <w:p w:rsidR="00000000" w:rsidRDefault="00000000">
      <w:pPr>
        <w:pStyle w:val="Heading7"/>
        <w:tabs>
          <w:tab w:val="clear" w:pos="6237"/>
          <w:tab w:val="left" w:pos="567"/>
          <w:tab w:val="left" w:pos="1134"/>
          <w:tab w:val="left" w:pos="1701"/>
          <w:tab w:val="left" w:pos="2268"/>
        </w:tabs>
        <w:spacing w:before="0" w:after="0"/>
      </w:pPr>
    </w:p>
    <w:p w:rsidR="00000000" w:rsidRDefault="00000000">
      <w:pPr>
        <w:pStyle w:val="Heading7"/>
        <w:tabs>
          <w:tab w:val="clear" w:pos="6237"/>
          <w:tab w:val="left" w:pos="567"/>
          <w:tab w:val="left" w:pos="1134"/>
          <w:tab w:val="left" w:pos="1701"/>
          <w:tab w:val="left" w:pos="2268"/>
        </w:tabs>
        <w:spacing w:before="0" w:after="0"/>
        <w:rPr>
          <w:i/>
          <w:iCs/>
        </w:rPr>
      </w:pPr>
      <w:r>
        <w:rPr>
          <w:i/>
          <w:iCs/>
        </w:rPr>
        <w:t>О допросе свидетелей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344.</w:t>
      </w:r>
      <w:r>
        <w:tab/>
        <w:t>В соответствии с нормами Уголовно-процессуального кодекса любой участник уголовного процесса вправе подавать ходатайства о производстве процессуальных действий или принятии процессуальных решений в интересах лица, подавшего ходатайство или представляемого (защищаемого) им лица.  Ходатайство подается должностному лицу или органу, ответственному за расследование или разрешение данного уголовного дела.  Ходатайство может быть подано на любой стадии уголовного процесса.  Ходатайство должно быть удовлетворено, если оно способствует всестороннему, полному и объективному установлению обстоятельств дела.  Ходатайства сторон обвинения и защиты должны рассматриваться с одинаковым вниманием.  Обоснованные ходатайства подозреваемого, обвиняемого, подсудимого, защитника о производстве судебных и следственных действий подлежат обязательному удовлетворению (статьи 230 - 232).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345.</w:t>
      </w:r>
      <w:r>
        <w:tab/>
        <w:t>Одним из видов ходатайств является просьба о вызове и допросе свидетеля.  На стадии дознания и предварительного следствия допрос свидетеля осуществляется без участия подозреваемого или обвиняемого.  При этом свидетель может быть допрошен только о тех обстоятельствах, которые имеют значение для дела, а также для установления личностей подозреваемого, обвиняемого и потерпевшего (статья 305).  В то же время Уголовно-процессуальный кодекс предусматривает право обвиняемого требовать очной ставки с лицами, изобличающими его в совершении преступления, в том числе со свидетелями (статьи 76 и  314,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346.</w:t>
      </w:r>
      <w:r>
        <w:tab/>
        <w:t>Вопросы вызова и допроса свидетелей непосредственно в ходе судебного процесса регулируются Уголовно-процессуальным кодексом следующим образом: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в ходе подготовительного заседания ведущий судебный процесс судья (председательствующий) опрашивает участников процесса со стороны обвинения и со стороны защиты о наличии у них ходатайств о вызове свидетелей.  Каждое поданное ходатайство суд должен рассмотреть и выяснить мнение участников процесса.  В случае отказа в удовлетворении ходатайства суд выносит мотивированное определение.  Лицо, которому отказано в удовлетворении ходатайства, вправе подать его в ходе судебного следствия  (статья 468);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свидетеля, вызванного по ходатайству одной из сторон, вначале допрашивает лицо, возбудившее это ходатайство, затем – другие представляющие эту сторону лица и наконец – лица, представляющие противную сторону и суд.  После этого вопросы свидетелю задает вызвавшее его лицо.  Свидетель, вызванный по инициативе суда, вначале допрашивается судом, затем – стороной защиты, и наконец – обвинения (статья 479).</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пользоваться услугами переводчика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347.</w:t>
      </w:r>
      <w:r>
        <w:tab/>
        <w:t>См.  раздел "О языке судопроизводства" комментария по статье 14 настоящего доклада.</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не давать показания против самого себя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348.</w:t>
      </w:r>
      <w:r>
        <w:tab/>
        <w:t>Конституция провозглашает, что никто не обязан свидетельствовать против самого себя или своих близких, круг которых определяется законом (статья 42, пункт 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349.</w:t>
      </w:r>
      <w:r>
        <w:tab/>
        <w:t>В соответствии с Уголовно-процессуальным кодексом показания как вид доказательства по уголовному делу могут быть получены только добровольно.  Применение физического или психического принуждения, обмана, обещаний, увещеваний для получения показаний запрещено.  Доказательства, полученные такими способами, являются недопустимыми (статья 119).  Любые доказательства по делу, полученные с нарушением установленного законом порядка, с использованием насилия, угроз, шантажа, издевательств, признаются недопустимыми и подлежат изъятию из уголовного дела (статья 111).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350.</w:t>
      </w:r>
      <w:r>
        <w:tab/>
        <w:t>Уголовно-процессуальный кодекс особо оговаривает, что как подозреваемый, так и обвиняемый вправе, но не обязаны давать показания (статьи 114, 115).  При этом отказ обвиняемого от дачи показаний не может быть истолкован как доказательство его вины (статья 115, пункт 3).  Необходимо отметить также, что признания обвиняемого, не подкрепленного другими доказательствами, недостаточно для заключения о совершении им преступления.  Обвинение и приговор суда могут быть основаны только на совокупности согласующихся между собой доказательств (статьи 19, пункт 3  и  115, пункт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351.</w:t>
      </w:r>
      <w:r>
        <w:tab/>
        <w:t>Применительно к допросу подсудимого в ходе судебного  процесса действует норма, согласно которой  подсудимый вправе не давать показаний и отказ от дачи показаний не может быть истолкован во вред ему (статья 476).</w:t>
      </w:r>
    </w:p>
    <w:p w:rsidR="00000000" w:rsidRDefault="00000000">
      <w:pPr>
        <w:tabs>
          <w:tab w:val="clear" w:pos="6237"/>
          <w:tab w:val="left" w:pos="567"/>
          <w:tab w:val="left" w:pos="1134"/>
          <w:tab w:val="left" w:pos="1701"/>
          <w:tab w:val="left" w:pos="2268"/>
        </w:tabs>
        <w:rPr>
          <w:u w:val="single"/>
        </w:rPr>
      </w:pPr>
    </w:p>
    <w:p w:rsidR="00000000" w:rsidRDefault="00000000">
      <w:pPr>
        <w:pStyle w:val="Heading3"/>
        <w:tabs>
          <w:tab w:val="clear" w:pos="6237"/>
          <w:tab w:val="left" w:pos="567"/>
          <w:tab w:val="left" w:pos="1134"/>
          <w:tab w:val="left" w:pos="1701"/>
          <w:tab w:val="left" w:pos="2268"/>
        </w:tabs>
        <w:rPr>
          <w:iCs/>
        </w:rPr>
      </w:pPr>
      <w:r>
        <w:rPr>
          <w:iCs/>
        </w:rPr>
        <w:t>Об уголовном производстве по делам о преступлениях несовершеннолетних</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352.</w:t>
      </w:r>
      <w:r>
        <w:tab/>
        <w:t>Согласно Уголовному кодексу (статья 80), при рассмотрении вопроса об уголовной ответственности несовершеннолетними признаются лица, не достигшие к моменту инкриминируемого преступления 18-летнего возраста.  Вместе с тем, предусмотренное настоящим Кодексом противоправное деяние не может быть вменено в вину лицу, которому до совершения данного деяния не исполнилось 14 лет  (статья 33).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353.</w:t>
      </w:r>
      <w:r>
        <w:tab/>
        <w:t>При производстве дела о преступлении, совершенном лицом в возрасте до 18 лет, допускается участие законных представителей подозреваемого или обвиняемого с момента первого допроса.  Дознаватель, следователь, прокурор обеспечивают участие в деле защитника с момента первого допроса несовершеннолетнего.  Если сам несовершеннолетний, его законный представитель либо иное лицо не пригласили защитника, это по своей инициативе обязаны сделать дознаватель или прокурор.  Допрос несовершеннолетнего подозреваемого или обвиняемого проводится в обязательном присутствии адвоката.  С разрешения следователя на допросе может присутствовать законный представитель несовершеннолетнего.  При допросе несовершеннолетнего обвиняемого, по усмотрению следователя или прокурора, либо по ходатайству защитника, может участвовать педагог  или психолог (Уголовно-процессуальный кодекс, статьи 644, 645, 647 и 648).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354.</w:t>
      </w:r>
      <w:r>
        <w:tab/>
        <w:t>Основанием для применения в качестве меры пресечения ареста может быть обоснованное предположение, что обвиняемый попытается скрыться от следствия или суда, либо ввиду тяжести совершенного преступления будет мешать установлению истины по уголовному преступлению.  Применение меры пресечения осуществляется по приказу судьи, либо решением суда.  При выборе меры пресечения в обязательном порядке учитываются особенности личности обвиняемого, в том числе возраст.  Несовершеннолетний может быть передан под наблюдение родителям, опекунам (попечителям), администрации закрытого детского учреждения (если несовершеннолетний воспитывается там), либо по приказу судьи  помещен в специальное закрытое детское учреждение.  Согласно общему правилу, арест в качестве меры пресечения применяется только к несовершеннолетним, обвиняемым в совершении преступления, за которое по закону установлена санкция в виде лишения свободы сроком свыше 5 лет (Уголовно-процессуальный кодекс, статьи 151, 152, 159, 649).  Кроме того, арестованный обвиняемый помещается отдельно от взрослых и несовершеннолетних осужденных (Уголовно-процессуальный кодекс, статья 652).  В качестве меры наказания несовершеннолетнему может быть назначено не более 10 лет лишения свободы, которое он отбывает в воспитательном учреждении.  За совершение особо тяжкого преступления несовершеннолетний 16-18 лет может быть приговорен к лишению свободы сроком до 15 лет (Уголовный кодекс, статья 88).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355.</w:t>
      </w:r>
      <w:r>
        <w:tab/>
        <w:t>Уголовно-процессуальный кодекс, регламентируя состав суда при рассмотрении дел о преступлениях несовершеннолетних, особо оговаривает, что судебное разбирательство в этих случаях ведется судьями, прошедшими, как правило, специальную подготовку в области педагогики и психологии (статья 654).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356.</w:t>
      </w:r>
      <w:r>
        <w:tab/>
        <w:t>При вынесении приговора несовершеннолетнему судья обязан, наряду с другими обстоятельствами, рассмотреть возможности вынесения условного наказания либо наказания, не связанного с лишением свободы (Уголовно-процессуальный кодекс, статья 658).  В случае освобождения несовершеннолетнего от уголовной ответственности или наказания в связи с истечением срока давности, упомянутый срок составляет половину от предусмотренного для взрослых (Уголовно-процессуальный кодекс, статья 99).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357.</w:t>
      </w:r>
      <w:r>
        <w:tab/>
        <w:t>Несовершеннолетнего, впервые совершившего менее тяжкое преступление, суд может освободить от уголовной ответственности, если сочтет, что его исправление возможно с использованием принудительных мер воспитательного характера.  К ним относятся: предупреждение; передача под надзор; обязательство возместить ущерб; помещение в специальное воспитательное или лечебно-воспитательное учреждение.  К несовершеннолетнему может быть применено несколько принудительных мер одновременно.  В случае систематических нарушений условий осуществления принудительных мер, по представлению специализированного государственного органа они отменяются и возбуждается уголовная ответственность (Уголовно-процессуальный кодекс, статьи 90 и 91).</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на пересмотр приговора в вышестоящей судебной инстанции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358.</w:t>
      </w:r>
      <w:r>
        <w:tab/>
        <w:t>Уголовно-процессуальный кодекс предусматривает, что потерпевший, гражданский истец и гражданский ответчик имеют право требовать рассмотрения дела не менее чем в двух судебных инстанциях – первой и апелляционной, либо кассационной инстанцией, если это предусмотрено законом (статья 517).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359.</w:t>
      </w:r>
      <w:r>
        <w:tab/>
        <w:t>Защитник и представитель вправе подать апелляционную жалобу только с согласия подсудимого и представляемого, за исключением случаев, когда подсудимый и представляемый не является совершеннолетним или имеет физические либо психические недостатки, либо подсудимому присуждено бессрочное лишение свободы (статья 518, пункт 4).  Апелляционное производство ведется на основе состязательности и равноправия сторон (там же,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360.</w:t>
      </w:r>
      <w:r>
        <w:tab/>
        <w:t>В апелляционном порядке могут быть обжалованы не вступившие в законную силу приговоры и другие решения суда первой инстанции и являющиеся, по мнению апеллянта, необоснованными.  Под необоснованностью понимается незаконность фактических обстоятельств дела (статья 519).  Подача апелляционной жалобы влечет в обязательном порядке рассмотрение дела судом апелляционной инстанции и проведение нового судебного следствия.  Отказ от рассмотрения дела судом не допускается.  Подача апелляционной жалобы приостанавливает исполнение приговора  (статья  520).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361.</w:t>
      </w:r>
      <w:r>
        <w:tab/>
        <w:t>В соответствии с Уголовно-процессуальным кодексом, апелляционные жалобы на решения районных (городских) и окружных судов рассматриваются коллегией по уголовным делам апелляционного суда, соответствующими коллегиями верховных судов Абхазии и Аджарии, а на решения Судебной коллегии по уголовным делам Верховного суда  Грузии – Палатой по уголовным делам Верховного суда (статья 521,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362.</w:t>
      </w:r>
      <w:r>
        <w:tab/>
        <w:t>Стороны могут подать апелляционную жалобу в 14-дневный срок после объявления приговора суда первой инстанции в тот же суд.  Дело, жалоба и возражения против нее (если таковые выдвинуты другой стороной) должны быть направлены из суда первой инстанции в суд апелляционной инстанции не позже одного месяца после вынесения приговора.  Дело должно быть рассмотрено апелляционной инстанцией не позднее 14 дней (по сложным делам и делам большого объема – 21 дня) после его поступления (статьи 528 и 623,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363.</w:t>
      </w:r>
      <w:r>
        <w:tab/>
        <w:t>Уголовно-процессуальный кодекс устанавливает порядок судебного следствия в суде апелляционной инстанции, судебных премий и постановления приговора (статьи 533 - 535), который в целом идентичен правилам, предусмотренным статьями настоящего Кодекса для суда первой инстанции.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364.</w:t>
      </w:r>
      <w:r>
        <w:tab/>
        <w:t>В приговоре суд апелляционной инстанции может принять одно из следующих решений: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rPr>
          <w:lang w:val="en-US"/>
        </w:rPr>
      </w:pPr>
      <w:r>
        <w:tab/>
        <w:t>-</w:t>
      </w:r>
      <w:r>
        <w:tab/>
        <w:t>отменяет обвинительный приговор суда первой инстанции и выносит вместо него оправдательный приговор;</w:t>
      </w:r>
    </w:p>
    <w:p w:rsidR="00000000" w:rsidRDefault="00000000">
      <w:pPr>
        <w:tabs>
          <w:tab w:val="clear" w:pos="6237"/>
          <w:tab w:val="left" w:pos="567"/>
          <w:tab w:val="left" w:pos="1134"/>
          <w:tab w:val="left" w:pos="1701"/>
          <w:tab w:val="left" w:pos="2268"/>
        </w:tabs>
        <w:ind w:left="1134" w:hanging="1134"/>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отменяет оправдательный приговор суда первой инстанции и постановляет взамен него обвинительный приговор;</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w:t>
      </w:r>
      <w:r>
        <w:tab/>
        <w:t>изменяет приговор суда первой инстанции;</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отказывает в удовлетворении апелляционной жалобы и оставляет приговор суда первой инстанции без изменений (статья 536).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365.</w:t>
      </w:r>
      <w:r>
        <w:tab/>
        <w:t>Апелляционная инстанция не вправе вместо оправдательного приговора вынести обвинительный приговор или принять другое неблагоприятное для  подсудимого решение, если дело пересматривается по жалобе подсудимого, его защитника либо законного представителя и отсутствуют жалобы участника процесса со стороны обвинения.  Апелляционная инстанция вправе вместо оправдательного вынести обвинительный приговор или иным образом ухудшить положение подсудимого, если участник процесса со стороны обвинения подал апелляционную жалобу именно с этим требованием и если он занимал такую позицию в суде первой инстанции.  Ухудшение положения подсудимого возможно, если жалобы подали участники процесса как со стороны обвинения, так и со стороны защиты.  Вынесение обвинительного приговора вместо оправдательного возможно, если суд апелляционной инстанции провел судебное следствие в полном объеме (статья 540, пункты 1 - 3 и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366.</w:t>
      </w:r>
      <w:r>
        <w:tab/>
        <w:t>Решение суда апелляционной инстанции является окончательным и вступает в законную силу с момента его провозглашения (статья 542,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367.</w:t>
      </w:r>
      <w:r>
        <w:tab/>
        <w:t>Согласно Уголовно-процессуальному кодексу, приговоры и другие решения суда первой и апелляционной инстанции, не вступившие в законную силу и являющиеся, по мнению кассатора, незаконными, могут быть обжалованы в кассационном порядке.  Под незаконностью приговора, иного судебного решения имеется в виду следующее: существенные нарушения надлежащей правовой процедуры, не выявленные судами первой и апелляционной инстанций или допущенные ими в ходе рассмотрения и разрешения дела;  неправильная квалификация деяния подсудимого;   применение вида или меры наказания, не соответствующих характеру деяния и личности подсудимого.  Если в кассационной жалобе оспаривается не только законность, но и обоснованность приговора, она рассматривается в апелляционном порядке  (статья 547).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368.</w:t>
      </w:r>
      <w:r>
        <w:tab/>
        <w:t>Рассмотрение кассационной жалобы является обязательным.  При этом действуют правила, установленные законодательством применительно к апелляционной жалобе (см. процитированную выше статью 520), однако новое судебное следствие в полном объеме не проводится (статья 548).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369.</w:t>
      </w:r>
      <w:r>
        <w:tab/>
        <w:t>Кассационные жалобы на приговоры (решения) районных (городских), окружных, апелляционных судов и судебной коллегии по уголовным делам Верховного суда Грузии рассматриваются Палатой по уголовным делам Верховного суда (статья 549,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370.</w:t>
      </w:r>
      <w:r>
        <w:tab/>
        <w:t>Сроки кассационного обжалования, порядок подачи жалобы, сроки рассмотрения дела в кассационной инстанции (статьи 550, 551 и 556) те же, что и в случае апелляции.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371.</w:t>
      </w:r>
      <w:r>
        <w:tab/>
        <w:t>Порядок рассмотрения жалоб и дела в суде кассационной инстанции регламентируется статьей 560 Уголовно-процессуального кодекса и основывается на принципах равенства и состязательности сторон.  При этом в прениях всегда сторона защиты выступает после стороны обвинения.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372.</w:t>
      </w:r>
      <w:r>
        <w:tab/>
        <w:t>По итогам рассмотрения дела суд кассационной инстанции может принять одно из следующих решений:</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w:t>
      </w:r>
      <w:r>
        <w:tab/>
        <w:t>оставить приговор без изменения, а жалобу без удовлетворения;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отменить приговор и направить дело на дополнительное расследование или новое судебное рассмотрение;</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w:t>
      </w:r>
      <w:r>
        <w:tab/>
        <w:t>отменить приговор и прекратить дело;</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изменить приговор в благоприятную для подсудимого сторону (статья 561,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373.</w:t>
      </w:r>
      <w:r>
        <w:tab/>
        <w:t>Кассационная инстанция не вправе принять неблагоприятное для подсудимого решение, если дело рассматривалось по жалобе подсудимого, его защитника либо законного представителя при отсутствии жалобы со стороны участника процесса, представлявшего обвинение.  Кассационная инстанция вправе решить правовые вопросы в неблагоприятную для  подсудимого сторону при наличии совокупности следующих условий:</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прокурор, потерпевший со стороны обвинения, другой участник процесса подал жалобу с требованием изменить приговор в неблагоприятную для подсудимого сторону;</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rPr>
          <w:lang w:val="en-US"/>
        </w:rPr>
      </w:pPr>
      <w:r>
        <w:rPr>
          <w:lang w:val="en-US"/>
        </w:rPr>
        <w:tab/>
      </w:r>
      <w:r>
        <w:t>-</w:t>
      </w:r>
      <w:r>
        <w:tab/>
        <w:t>обвинение, восстановления которого требует представитель стороны обвинения, было предъявлено в ходе предварительного следствия и поддерживалось жалобщиком в суде первой инстанции;</w:t>
      </w:r>
    </w:p>
    <w:p w:rsidR="00000000" w:rsidRDefault="00000000">
      <w:pPr>
        <w:tabs>
          <w:tab w:val="clear" w:pos="6237"/>
          <w:tab w:val="left" w:pos="567"/>
          <w:tab w:val="left" w:pos="1134"/>
          <w:tab w:val="left" w:pos="1701"/>
          <w:tab w:val="left" w:pos="2268"/>
        </w:tabs>
        <w:ind w:left="1134" w:hanging="1134"/>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суд кассационной инстанции основывается только на тех фактах, которые были установлены судом первой инстанции.</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При этом, изменяя наказание в неблагоприятную для подсудимого сторону, суд кассационной инстанции не вправе назначить ему бессрочное лишение свободы (статья</w:t>
      </w:r>
      <w:r>
        <w:rPr>
          <w:lang w:val="en-US"/>
        </w:rPr>
        <w:t> </w:t>
      </w:r>
      <w:r>
        <w:t>566, пункты 1, 3 и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374.</w:t>
      </w:r>
      <w:r>
        <w:tab/>
        <w:t>Суд кассационной инстанции не связан с доводами, изложенными в жалобах, и обязан проверить дело в полном объеме, в том числе в отношении подсудимых, которые кассационных жалоб не подавали.  При этом суд может принять решение в пользу подсудимого, но не вправе ухудшить его положение, если об этом не просили в своих жалобах участники процесса на стороне обвинения (статья 567,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375.</w:t>
      </w:r>
      <w:r>
        <w:tab/>
        <w:t>Приговор (определение) суда кассационной инстанции вступает в силу с момента его провозглашения, является окончательным и может быть пересмотрен в ревизионном порядке только в случаях, предусмотренных Уголовно-процессуальным кодексом (статья</w:t>
      </w:r>
      <w:r>
        <w:rPr>
          <w:lang w:val="en-US"/>
        </w:rPr>
        <w:t> </w:t>
      </w:r>
      <w:r>
        <w:t>571,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376.</w:t>
      </w:r>
      <w:r>
        <w:tab/>
        <w:t>Вышеупомянутым Кодексом установлена и такая процедура пересмотра судебных решений, как ревизия.  В соответствии со статьей 575 в порядке ревизии однократно могут быть обжалованы только постановленные в первой инстанции и вступившие в законную силу приговоры (определения) Судебной коллегии по уголовным делам Верховного суда Грузии и все предшествовавшие им решения этого суда, если они не обжаловались в кассационном порядке.  Жалобы в порядке ревизии рассматриваются Палатой надзора Верховного суда (статья 576).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377.</w:t>
      </w:r>
      <w:r>
        <w:tab/>
        <w:t>Приговор может быть отменен или изменен в ревизионном порядке при наличии кассационных оснований отмены или изменения, а именно:</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в случае существенных нарушений уголовно-процессуального законодательства;</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w:t>
      </w:r>
      <w:r>
        <w:tab/>
        <w:t>неправильного применения уголовного или иного материального закона;</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несоответствия назначенного судом наказания тяжести деяния и личности подсудимого (статьи 562 и 578 Уголовно-процессуального кодекса).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378.</w:t>
      </w:r>
      <w:r>
        <w:tab/>
        <w:t>Палата надзора Верховного суда на основании поступившей жалобы истребует дело, которое по поручению председателя Палаты предварительно рассматривается одним из ее судей.  Судья, изучавший дело и иные материалы, не позднее одного месяца со дня поступления жалобы докладывает составу палаты о существе дела и мотивах жалобы.  Слушание дела проводится на закрытом заседании Палаты надзора.  По его итогам Палата принимает одно из следующих заключений:</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 обращении с ходатайством к Пленуму Верховного суда в целях пересмотра вступившего в законную силу приговора, иного судебного решения;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об отсутствии оснований для пересмотра обжалованного приговора,  иного судебного решения (статья 581, пункты 1 - 3).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379.</w:t>
      </w:r>
      <w:r>
        <w:tab/>
        <w:t>Заключение Палаты надзора об отсутствии оснований для пересмотра приговора, иного судебного решения является окончательным.  При передаче дела на рассмотрение Пленуму Верховного суда Уголовно-процессуальным кодексом четко оговаривается право участия в разбирательстве всех сторон процесса.  При этом в ходе рассмотрения дела в последнюю очередь выступают участники процесса со стороны защиты (статьи</w:t>
      </w:r>
      <w:r>
        <w:rPr>
          <w:lang w:val="en-US"/>
        </w:rPr>
        <w:t> </w:t>
      </w:r>
      <w:r>
        <w:t>581, пункт 4;  584, пункт 1 и 585, пункт 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380.</w:t>
      </w:r>
      <w:r>
        <w:tab/>
        <w:t>Пленум Верховного суда при принятии решения руководствуется принципом разрешения всех сомнений в пользу обвиняемого.  В случае распределения голосов судей поровну жалоба, поданная стороной обвинения, считается отклоненной, а поданная стороной защиты – удовлетворенной (статья 585, пункты 10 и 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381.</w:t>
      </w:r>
      <w:r>
        <w:tab/>
        <w:t>Суд ревизионной инстанции принимает одно из следующих решений:</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 оставлении приговора, иного судебного решения без изменений, а жалобы – без удовлетворения;</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 отмене приговора и всех последующих судебных решений и направлении дела на дополнительное расследование или новое судебное разбирательство;</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 отмене приговора, всех последующих судебных решений и прекращении дела;</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 отмене определения или приговора, вынесенных в апелляционном порядке, и оставлении в силе приговора суда первой инстанции;</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 внесении изменений в приговор или последующие судебные решения  (статья</w:t>
      </w:r>
      <w:r>
        <w:rPr>
          <w:lang w:val="en-US"/>
        </w:rPr>
        <w:t> </w:t>
      </w:r>
      <w:r>
        <w:t>586,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382.</w:t>
      </w:r>
      <w:r>
        <w:tab/>
        <w:t>При рассмотрении дела в ревизионной инстанции, вопрос о характере решения применительно к лицу, подавшему жалобу, обвиняемому, осужденному регулируется в порядке, предусмотренном для процедуры кассации (см. выше положения статьи 566 Уголовно-процессуального кодекса).  Кроме того, ревизионная инстанция не вправе ухудшить положение осужденного или оправданного лица, если приговор, иное судебное решение обжалованы по мотиву необоснованности (статья 587, пункт 2).</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праве на компенсацию при отмене обвинительного приговора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383.</w:t>
      </w:r>
      <w:r>
        <w:tab/>
        <w:t>В соответствии со статьей 593 Уголовно-процессуального кодекса приговор и последующие судебные решения могут быть отменены полностью или частично при наличии вновь открывшихся или вновь выявленных обстоятельств.  Фактическими обстоятельствами, обуславливающими пересмотр незаконных или необоснованных судебных решений, являются:</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ложные показания потерпевшего или свидетеля, неправильные заключения эксперта, неверный перевод, подделка протокола судебного заседания, установленные вступившим в законную силу приговором;</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ошибочность показаний потерпевшего или свидетеля, заключения эксперта, перевода, выявившаяся после вступления приговора в законную силу;</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подложность вещественных доказательств и документов, легших в основу вступившего в законную силу приговора;</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преступные деяния судьи, прокурора, следователя, дознавателя, установленные вступившим в законную силу приговором;</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обстоятельства, которые не могли быть известны суду при вынесении приговора, иного судебного решения;</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обстоятельства, указывающие на допущенную судебную ошибку, обнаруженную после вступления приговора в законную силу.</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pPr>
      <w:r>
        <w:rPr>
          <w:lang w:val="en-US"/>
        </w:rPr>
        <w:tab/>
      </w:r>
      <w:r>
        <w:t>Правовыми обстоятельствами, обусловливающими пересмотр вступивших в силу незаконных и необоснованных судебных решений, являются:</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решение Конституционного суда, признавшего неконституционным закон, примененный при вынесении приговора или иного судебного решения;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принятие после вынесения вступившего в силу  приговора (судебного решения) нового закона, отменившего или смягчившего уголовную ответственность;</w:t>
      </w:r>
    </w:p>
    <w:p w:rsidR="00000000" w:rsidRDefault="00000000">
      <w:pPr>
        <w:tabs>
          <w:tab w:val="clear" w:pos="6237"/>
          <w:tab w:val="left" w:pos="567"/>
          <w:tab w:val="left" w:pos="1134"/>
          <w:tab w:val="left" w:pos="1701"/>
          <w:tab w:val="left" w:pos="2268"/>
        </w:tabs>
        <w:rPr>
          <w:lang w:val="en-US"/>
        </w:rPr>
      </w:pPr>
    </w:p>
    <w:p w:rsidR="00000000" w:rsidRDefault="00000000">
      <w:pPr>
        <w:tabs>
          <w:tab w:val="clear" w:pos="6237"/>
          <w:tab w:val="left" w:pos="567"/>
          <w:tab w:val="left" w:pos="1134"/>
          <w:tab w:val="left" w:pos="1701"/>
          <w:tab w:val="left" w:pos="2268"/>
        </w:tabs>
        <w:ind w:left="1134" w:hanging="1134"/>
      </w:pPr>
      <w:r>
        <w:rPr>
          <w:lang w:val="en-US"/>
        </w:rPr>
        <w:tab/>
      </w:r>
      <w:r>
        <w:t>-</w:t>
      </w:r>
      <w:r>
        <w:tab/>
        <w:t>обстоятельства, свидетельствующие о незаконности состава суда, вынесшего вступивший в силу приговор, недопустимость доказательств,  положенных в основу приговора, другие существенные нарушения закона, обусловившие вынесение незаконного или необоснованного приговора, если эти обстоятельства могут быть установлены только путем расследования.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384.</w:t>
      </w:r>
      <w:r>
        <w:tab/>
        <w:t>Согласно Уголовно-процессуальному кодексу, незаконно или необоснованно осужденный подлежит восстановлению в правах (реабилитации), если будет установлена его невиновность.  Применительно к осужденному основанием для реабилитации является оправдательный приговор (статья 219, пункты 1 и 2).  Лица подлежат частичной реабилитации, если вышестоящая судебная инстанция изменила квалификацию деяния или меру наказания таким образом, что фактически отбытое наказание оказалось большим или более строгим, чем в конечном счете назначенное, либо из приговора исключена часть обвинений, вследствие чего отпадают основания для лишения свободы (статья 220).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385.</w:t>
      </w:r>
      <w:r>
        <w:tab/>
        <w:t>Все выплаты при реабилитации и возмещении ущерба, причиненного незаконными или необоснованными действиями органов уголовного судопроизводства, производятся независимо от вины должностных лиц этих органов.  Выплаты не назначаются, если осуждение невиновного лица было вызвано преднамеренным ложным признанием (самооговором), полученным без какого-либо принуждения (статья 222).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386.</w:t>
      </w:r>
      <w:r>
        <w:tab/>
        <w:t>Если основания для реабилитации были выявлены в суде, суд в оправдательном приговоре или определении (постановлении) о прекращении дела, влекущем реабилитацию, должен признать за реабилитированным право на возмещение всех видов ущерба.  Возмещение ущерба и восстановление в правах должно быть произведено в течение 6 месяцев со дня вынесения оправдательного приговора или иного акта о реабилитации.  Реабилитированное лицо вправе обратиться в суд, принявший решение о реабилитации, который по заявлению реабилитируемого лица определяет размер причиненного ему ущерба, а в случае необходимости требует соответствующий расчет от финансовых органов и органов социального обеспечения.  Если дело прекращено судом при рассмотрении его в кассационном или ревизионном порядке, размер ущерба определяет суд, вынесший приговор, однако в другом составе (статья 227, пункт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387.</w:t>
      </w:r>
      <w:r>
        <w:tab/>
        <w:t>Уголовно-процессуальным кодексом устанавливается порядок и условия возмещения реабилитированным лицам понесенного ими имущественного, физического и морального вреда (статьи 223 - 225), а также восстановления в иных правах (статья 226).  В дополнение к вышеизложенной процедуре Кодексом предусматривается и возможность восстановления в правах в исковом порядке (статья 228).</w:t>
      </w:r>
    </w:p>
    <w:p w:rsidR="00000000" w:rsidRDefault="00000000">
      <w:pPr>
        <w:tabs>
          <w:tab w:val="clear" w:pos="6237"/>
          <w:tab w:val="left" w:pos="567"/>
          <w:tab w:val="left" w:pos="1134"/>
          <w:tab w:val="left" w:pos="1701"/>
          <w:tab w:val="left" w:pos="2268"/>
        </w:tabs>
      </w:pPr>
    </w:p>
    <w:p w:rsidR="00000000" w:rsidRDefault="00000000">
      <w:pPr>
        <w:pStyle w:val="BodyText3"/>
      </w:pPr>
      <w:r>
        <w:t>О запрете повторного разбирательства (</w:t>
      </w:r>
      <w:proofErr w:type="spellStart"/>
      <w:r>
        <w:t>ne</w:t>
      </w:r>
      <w:proofErr w:type="spellEnd"/>
      <w:r>
        <w:t xml:space="preserve"> </w:t>
      </w:r>
      <w:proofErr w:type="spellStart"/>
      <w:r>
        <w:t>bis</w:t>
      </w:r>
      <w:proofErr w:type="spellEnd"/>
      <w:r>
        <w:t xml:space="preserve"> </w:t>
      </w:r>
      <w:proofErr w:type="spellStart"/>
      <w:r>
        <w:t>in</w:t>
      </w:r>
      <w:proofErr w:type="spellEnd"/>
      <w:r>
        <w:t xml:space="preserve"> </w:t>
      </w:r>
      <w:proofErr w:type="spellStart"/>
      <w:r>
        <w:t>idem</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338.</w:t>
      </w:r>
      <w:r>
        <w:tab/>
        <w:t>Конституция Грузии провозглашает, что никто не может быть осужден повторно за одно и то же преступление (статья 42, пункт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389.</w:t>
      </w:r>
      <w:r>
        <w:tab/>
        <w:t>В соответствии с положениями Уголовно-процессуального кодекса уголовное дело не может быть возбуждено, а возбужденное – подлежит прекращению, если имеется вступивший в законную силу приговор по тому же обвинению либо определение (постановление) суда (судьи) о прекращении уголовного дела, возбужденного по тому же обвинению.  Если данные обстоятельства обнаруживаются в стадии судебного разбирательства, суд прекращает дело сразу же по их обнаружении (статья 28, пункты 1-о)  и 6).</w:t>
      </w:r>
    </w:p>
    <w:p w:rsidR="00000000" w:rsidRDefault="00000000">
      <w:pPr>
        <w:tabs>
          <w:tab w:val="clear" w:pos="6237"/>
          <w:tab w:val="left" w:pos="567"/>
          <w:tab w:val="left" w:pos="1134"/>
          <w:tab w:val="left" w:pos="1701"/>
          <w:tab w:val="left" w:pos="2268"/>
        </w:tabs>
      </w:pPr>
    </w:p>
    <w:p w:rsidR="00000000" w:rsidRDefault="00000000">
      <w:pPr>
        <w:pStyle w:val="Heading8"/>
        <w:tabs>
          <w:tab w:val="left" w:pos="567"/>
          <w:tab w:val="left" w:pos="1134"/>
          <w:tab w:val="left" w:pos="1701"/>
          <w:tab w:val="left" w:pos="2268"/>
        </w:tabs>
        <w:spacing w:line="288" w:lineRule="auto"/>
        <w:ind w:left="0" w:firstLine="0"/>
        <w:jc w:val="left"/>
        <w:rPr>
          <w:b/>
          <w:sz w:val="24"/>
          <w:u w:val="none"/>
        </w:rPr>
      </w:pPr>
      <w:r>
        <w:rPr>
          <w:b/>
          <w:sz w:val="24"/>
          <w:u w:val="none"/>
        </w:rPr>
        <w:t>Статья 15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390.</w:t>
      </w:r>
      <w:r>
        <w:tab/>
        <w:t>В соответствии с Конституцией никто не несет ответственности за деяние, которое в момент его совершения не считалось правонарушением.  Закон, не смягчающий или не отменяющий ответственность, обратной силы не имеет (статья 42, пункт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391.</w:t>
      </w:r>
      <w:r>
        <w:tab/>
        <w:t>Получивший конституционный статус принцип запрещения ретроактивного действия закона получил свое развитие как в грузинском уголовном, так и гражданском праве.  Так, согласно статье 3 Уголовного кодекса, уголовный закон, устанавливающий преступность деяния, усиливающий наказание или иным образом ухудшающий положение лица, обратной силы не имеет.  Если новый уголовный закон смягчает наказание, то это наказание по отношению к лицу, его отбывающему, подлежит сокращению в пределах санкции данного закона.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Если со времени совершения преступления до вынесения приговора уголовный закон изменялся несколько раз, применяется наиболее мягкий закон (пункты 1 - 3).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392.</w:t>
      </w:r>
      <w:r>
        <w:tab/>
        <w:t>В соответствии со статьей 3 Уголовно-процессуального кодекса при производстве по уголовному делу применяется уголовно-процессуальный закон, действующий во время дознания, предварительного следствия и судебного разбирательства.  Изменения, вносимые в уголовно-процессуальный закон, могут повлечь отмену или изменение ранее вынесенных процессуальных актов, если тем самым улучшается положение подозреваемого, обвиняемого, подсудимого, осужденного.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lang w:val="en-US"/>
        </w:rPr>
      </w:pPr>
      <w:r>
        <w:t>393.</w:t>
      </w:r>
      <w:r>
        <w:tab/>
        <w:t xml:space="preserve">С учетом возможности возбуждения гражданского иска в уголовном деле, что предусмотрено главой </w:t>
      </w:r>
      <w:proofErr w:type="spellStart"/>
      <w:r>
        <w:t>IV</w:t>
      </w:r>
      <w:proofErr w:type="spellEnd"/>
      <w:r>
        <w:t xml:space="preserve"> (статьи 30 - 43) Уголовно-процессуального кодека, представляется целесообразным привести в контексте статьи 14 положения Гражданского кодекса.  В соответствии со статьей 6 Кодекса законы и подзаконные нормативные акты не имеют обратной силы, за исключением тех случаев, когда это прямо предусмотрено законом.  Закону не может быть придана обратная сила, если он наносит ущерб или ухудшает положение лица.</w:t>
      </w:r>
    </w:p>
    <w:p w:rsidR="00000000" w:rsidRDefault="00000000">
      <w:pPr>
        <w:tabs>
          <w:tab w:val="clear" w:pos="6237"/>
          <w:tab w:val="left" w:pos="567"/>
          <w:tab w:val="left" w:pos="1134"/>
          <w:tab w:val="left" w:pos="1701"/>
          <w:tab w:val="left" w:pos="2268"/>
        </w:tabs>
        <w:rPr>
          <w:lang w:val="en-US"/>
        </w:rPr>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394.</w:t>
      </w:r>
      <w:r>
        <w:tab/>
        <w:t>В грузинской правовой системе вместо принятого в статье 16 Пакта термина "</w:t>
      </w:r>
      <w:proofErr w:type="spellStart"/>
      <w:r>
        <w:t>правосубъектность</w:t>
      </w:r>
      <w:proofErr w:type="spellEnd"/>
      <w:r>
        <w:t>" используются понятия "правоспособность" и "дееспособность".  В соответствии со статьей 11 Гражданского кодекса правоспособность физического лица, то есть способность обладать гражданскими правами и обязанностями, возникает с момента рождения.  Право быть наследником возникает с момента зачатия; осуществление этого права зависит от рождения.  Правоспособность физического лица прекращается с его кончиной.  Моментом смерти считается прекращение функционирования головного мозга.  Лишение физического лица его правоспособности не допускается.</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395.</w:t>
      </w:r>
      <w:r>
        <w:rPr>
          <w:sz w:val="24"/>
        </w:rPr>
        <w:tab/>
        <w:t>Что касается понятия "дееспособность", то Гражданский кодекс определяет его как "способность физического лица по собственной воле и действиями в полном объеме приобрести и осуществлять гражданские права и обязанности" (статья 12, пункт 1).  Полная гражданская дееспособность возникает по достижении лицом 18-летнего возраста, а также в случае вступления в брак до достижения этого возраста (статья 12, пункты 2 и 3).  Несовершеннолетний в возрасте от 7 до 18 лет является ограниченно дееспособным (статья 14, пункт 1).  Ограниченно дееспособным считается также лицо, над которым в судебном порядке установлено попечительство (статья 14, пункт 2).  Несовершеннолетний в возрасте до 7 лет является недееспособным (статья 12, пункт 4).  Недееспособным считается также лицо, признанное таковым в судебном порядке ввиду слабоумия или душевной болезни.  Права этого лица осуществляет его законный представитель (опекун)  (статья 12, пункт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396.</w:t>
      </w:r>
      <w:r>
        <w:tab/>
        <w:t>Гражданский процессуальный кодекс также разграничивает понятия "гражданская процессуальная правоспособность" и "гражданская процессуальная дееспособность".  В соответствии со статьей 80 данного Кодекса все физические лица наделены способностью обладать гражданскими процессуальными правами и обязанностями (процессуальной правоспособностью), которая возникает с момента рождения и прекращается со смертью.  Что касается процессуальной дееспособности, то, согласно статье 81 Кодекса, она состоит в способности лица своими действиями осуществлять в суде процессуальные права и выполнять процессуальные обязанности, а также поручать ведение дела представителю.  Гражданский процессуальный кодекс устанавливает, что полная процессуальная дееспособность физических лиц возникает с 18-летнего возраста (совершеннолетия).  Дееспособным считается также лицо, вступившее в брак до достижения 18-летнего возраста (статья 81, пункт 2).  Права и охраняемые законом интересы несовершеннолетних лиц в возрасте от 7 до 18 лет, а также граждан, признанных ограниченно дееспособными, в суде защищают их родители (усыновители) или попечители (там же, пункт 3).  Права и охраняемые законом интересы малолетних, а также граждан, признанных недееспособными, защищают в суде их законные представители – родители (усыновители) или опекуны (там же, пункт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397.</w:t>
      </w:r>
      <w:r>
        <w:tab/>
        <w:t>Гражданским законодательством не предусматриваются условия ограничения правоспособности лица даже в случае чрезвычайного положения.  Право на признание правоспособности никак не связано с местопребыванием данного лица.</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398.</w:t>
      </w:r>
      <w:r>
        <w:tab/>
        <w:t>Как уже отмечалось в первоначальном докладе по Пакту, предусмотренные статьей 17 права в полной мере обеспечиваются Конституцией.  В связи с неполнотой приведенных в вышеуказанном  докладе конституционных положений, представляется целесообразным привести полный текст соответствующей статьи Конституции.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"1.</w:t>
      </w:r>
      <w:r>
        <w:tab/>
        <w:t>Личная жизнь каждого человека, его рабочее место, личные записи, переписка, переговоры по телефону или с использованием других технических средств, а также полученные с помощью технических средств уведомления неприкосновенны.  Ограничение указанных прав допускается по  решению суда или без него при возникновении установленной законом неотложной необходимости.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2.</w:t>
      </w:r>
      <w:r>
        <w:tab/>
        <w:t>Никто не вправе войти в жилище и в другие владения вопреки воле их владельца, а также провести обыск без решения суда или при отсутствии предусмотренной законом неотложной необходимости".</w:t>
      </w:r>
    </w:p>
    <w:p w:rsidR="00000000" w:rsidRDefault="00000000">
      <w:pPr>
        <w:tabs>
          <w:tab w:val="clear" w:pos="6237"/>
          <w:tab w:val="left" w:pos="567"/>
          <w:tab w:val="left" w:pos="1134"/>
          <w:tab w:val="left" w:pos="1701"/>
          <w:tab w:val="left" w:pos="2268"/>
        </w:tabs>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399.</w:t>
      </w:r>
      <w:r>
        <w:rPr>
          <w:sz w:val="24"/>
        </w:rPr>
        <w:tab/>
        <w:t>Кроме того, в контексте пункта 1 статьи 17 следует упомянуть статью 17 Конституции, провозглашающую неприкосновенность чести и достоинства человека  (пункт 1).</w:t>
      </w:r>
    </w:p>
    <w:p w:rsidR="00000000" w:rsidRDefault="00000000">
      <w:pPr>
        <w:tabs>
          <w:tab w:val="clear" w:pos="6237"/>
          <w:tab w:val="left" w:pos="567"/>
          <w:tab w:val="left" w:pos="1134"/>
          <w:tab w:val="left" w:pos="1701"/>
          <w:tab w:val="left" w:pos="2268"/>
        </w:tabs>
        <w:rPr>
          <w:u w:val="single"/>
        </w:rPr>
      </w:pPr>
      <w:r>
        <w:rPr>
          <w:u w:val="single"/>
        </w:rPr>
        <w:br w:type="page"/>
      </w:r>
    </w:p>
    <w:p w:rsidR="00000000" w:rsidRDefault="00000000">
      <w:pPr>
        <w:pStyle w:val="BodyText3"/>
      </w:pPr>
      <w:r>
        <w:t>Об уважении права на неприкосновенность личной жизни в уголовно-процессуальном и уголовном законодательстве</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400.</w:t>
      </w:r>
      <w:r>
        <w:tab/>
        <w:t xml:space="preserve">Законодательство Грузии предусматривает защиту любого лица от произвольного или незаконного вторжения в его личную или семейную жизнь, вне зависимости от того, от кого оно исходит – государственных органов, физических и юридических лиц.  По существу, провозглашенное статьей 17 Пакта право в наибольшей степени требует защиты от произвола государственных структур, в частности, при осуществлении уголовного </w:t>
      </w:r>
      <w:proofErr w:type="spellStart"/>
      <w:r>
        <w:t>правопроизводства</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401.</w:t>
      </w:r>
      <w:r>
        <w:tab/>
        <w:t>Общая часть Уголовно-процессуального кодекса содержит специальные положения, обеспечивающие неприкосновенность личной жизни.  Согласно статье 13 данного Кодекса, никто не вправе самовольно и незаконно вмешиваться в чужую личную жизнь.  Законом гарантируется неприкосновенность жилища или иного владения, переписки, почтовых отправлений, личных записей, телеграфных сообщений, телефонных переговоров, информации личного характера, переданной или полученной иными средствами  (пункт 1).  Статья 12 закрепляет право каждого человека на защиту его чести и достоинства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402.</w:t>
      </w:r>
      <w:r>
        <w:tab/>
        <w:t>Приведенная выше формулировка пункта 1 статьи 13 Уголовно-процессуального кодекса носит общий характер.  Конкретные аспекты реализации права на неприкосновенность личной жизни в рамках уголовного процесса раскрываются в последующих положениях упомянутой статьи.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403.</w:t>
      </w:r>
      <w:r>
        <w:tab/>
        <w:t>Кодекс однозначно устанавливает, что обыск, выемка, осмотр жилища или иного владения, наложение ареста на корреспонденцию, почтовые отправления, их осмотр и выемка, прослушивание телефонных переговоров и снятие информации с технических каналов связи могут производиться только по приказу судьи либо определению (постановлению) суда.  При наличии установленной законом неотложной необходимости процессуальные действия могут быть произведены без судебного приказа, но судья обязан проверить их законность и обоснованность не позднее 24 часов после их производства.  При этом судья решает вопрос о допустимости полученных доказательств.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404.</w:t>
      </w:r>
      <w:r>
        <w:tab/>
        <w:t>При производстве любых процессуальных действий не подлежат разглашению сведения о личной жизни граждан, а равно сведения личного характера, которые лицо считает необходимым сохранять в тайне.  Лица, которым причинен ущерб незаконным разглашением сведений об их личной жизни, имеют право на его полное возмещение.  Личная переписка и личные телеграфные сообщения могут быть оглашены в открытом судебном заседании только с согласия  лица, которого они касаются.  При отсутствии такого согласия они оглашаются на закрытом заседании.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405.</w:t>
      </w:r>
      <w:r>
        <w:tab/>
        <w:t>Статья 290 Уголовно-процессуального кодекса ("Следственное действие, произведенное по приказу судьи") вслед за статьей 13 данного Кодекса разрешает следственное действие, связанное с ограничением неприкосновенности личной жизни, только по приказу судьи.  При этом оговариваются те случаи неотложной необходимости, когда следственное действие может быть произведено без судебного решения.  К таковым относятся: реальная опасность утраты следов и вещественных доказательств; поимка лица на месте преступления.  О проведении следственного действия судья должен быть уведомлен во всех случаях, и в его власти принять решение о законности или незаконности того или иного действия.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406.</w:t>
      </w:r>
      <w:r>
        <w:tab/>
        <w:t>Специальные главы Уголовно-процессуального кодекса – "Выемка и обыск" (статьи 315 - 332) и "Осмотр" (статьи 333 - 339) детально регулируют осуществление процессуальных действий, подпадающих под сферу статьи 17 Пакта.  В данном контексте представляется целесообразным привести основные положения вышеуказанных статей Кодекса.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407.</w:t>
      </w:r>
      <w:r>
        <w:tab/>
        <w:t>Дознаватель, следователь, прокурор на основании приказа судьи или определения суда о производстве выемки или обыска вправе входить в жилище (иное владение) для обнаружения и изъятия предметов или документов, имеющих значение для уголовного дела.  В случае оказания сопротивления вхождение в жилище (иное владение) производится в принудительном порядке.  Приступая к выемке или обыску, дознаватель, следователь или прокурор обязан ознакомить с приказом судьи (определением суда) лицо, у которого производится соответствующее следственное действие, а при его отсутствии – совершеннолетнего члена его семьи, домовладельца или представителя местного органа власти.  Производящие выемку или обыск должностные лица  обязаны принимать меры к тому, чтобы не были разглашены обстоятельства данного следственного действия, а также выявленные при этом детали личной жизни.  При производстве выемки или обыска присутствуют не менее двух понятых (статья 321, пункт 1 и 323, пункты 1 - 3).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408.</w:t>
      </w:r>
      <w:r>
        <w:tab/>
        <w:t>При производстве выемки осуществляющие ее должностные лица предлагают выдать предметы или документы, подлежащие изъятию, добровольно.  В случае отказа выемка производится принудительно.  Такое же предложение дознаватель, следователь или прокурор делают до начала производства обыска.  В случае отказа в выдаче или неполной выдачи предметов (документов), подлежащих изъятию, должен производиться обыск.  При обыске изымаются те предметы (документы), которые указаны в судебном приказе (определении), а также предметы (документы), имеющие доказательственное значение по данному делу, явно указывающие на совершение другого преступления либо вещи, запрещенные законом к хранению.  Все изъятые предметы (документы) предъявляются понятым, другим присутствовавшим при выемке или обыске лицам и фиксируются в протоколе (статья 323, пункты 5 - 8).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409.</w:t>
      </w:r>
      <w:r>
        <w:tab/>
        <w:t>Если при производстве выемки или обыска не были обнаружены имеющие значение для дела предметы (документы), лицам, у которых производились эти следственные действия, должны быть принесены извинения.  Должностное лицо, осуществляющее выемку или обыск, обязано обеспечить восстановление порядка в помещении и возмещение ущерба, причиненного гражданам вследствие выемки или обыска.  Если при производстве вышеуказанных следственных действий был нарушен установленный законом порядок, изъятые предметы (документы) не приобретают или утрачивают значение улик и не могут быть использованы для обоснования обвинения (статья 324).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410.</w:t>
      </w:r>
      <w:r>
        <w:tab/>
        <w:t>Личные обыск или выемка производятся в соответствии с вышеизложенным порядком, с некоторыми особенностями, о которых будет сказано ниже.  Так, в следующих случаях личные обыск или выемка могут быть произведены и без приказа судьи (определения суда):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если при задержании подозреваемого имеются достаточные основания полагать, что он имеет при себе оружие или пытается освободиться от улики, изобличающей его в совершении преступления;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при составлении протокола задержания после доставления подозреваемого в полицию, иной орган дознания;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при заключении обвиняемого под стражу, наличии достаточных оснований полагать, что он имеет при себе оружие, предметы, хранение которых запрещено законом либо предметы (документы), имеющие доказательственное значение по делу;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при наличии достаточных оснований полагать, что лицо, находящееся в месте производства выемки или обыска, скрывает подлежащие изъятию предметы (документы).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Личный обыск и выемка у лица предметов (документов), сопряженные с обнажением обыскиваемого, должны производиться должностным лицом одного с ним пола с участием понятых того же пола (статья 326).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411.</w:t>
      </w:r>
      <w:r>
        <w:tab/>
        <w:t>Последнее положение статьи 326 представляется весьма сомнительным с точки зрения статьи 17 Пакта.  Личный обыск в любом случае должен производиться с участием лиц одного с обыскиваемым пола, и это требование не должно быть обусловлено критерием "обнаженности" данного лица.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412.</w:t>
      </w:r>
      <w:r>
        <w:tab/>
        <w:t>Уголовно-процессуальным кодексом регламентируются также: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выемка и обыск в помещениях дипломатических представительств и у дипломатических представителей (статья 328);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арест, осмотр и выемка почтово-телеграфных отправлений, имеющих значение для уголовного дела (статьи 329 - 331);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порядок возмещения ущерба, причиненного незаконным или необоснованным арестом почтово-телеграфных отправлений (статья 332).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413.</w:t>
      </w:r>
      <w:r>
        <w:tab/>
        <w:t>Что касается осуществления такого следственного действия, как осмотр, то отметим, что и в этом случае действуют те же процессуальные нормы, о которых говорилось выше в настоящем разделе.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414.</w:t>
      </w:r>
      <w:r>
        <w:tab/>
        <w:t>В контексте статьи 17 следует указать, что Уголовный кодекс квалифицирует в качестве наказуемых деяний посягательство на личную или семейную тайну, в том числе совершенное лицом, обязанным хранить эта тайну в силу своего служебного положения либо профессиональной деятельности (статья 157);  незаконную запись или подслушивание частной беседы с помощью технических средств и незаконное использование или распространение полученной в результате этого информации, в том числе с использованием служебного положения  (статья 158);  нарушение тайны личной переписки, телефонных переговоров или иных видов сообщений, в том числе с использованием служебного положения (статья 159);  незаконное проникновение в жилище или иное владение, совершенное вопреки воле владельца, незаконный обыск, либо иное деяние, нарушающее неприкосновенность жилища или владения, в том числе с применением насилия или угрозы насилием, либо с использованием служебного положения или оружия (статья 160).</w:t>
      </w:r>
    </w:p>
    <w:p w:rsidR="00000000" w:rsidRDefault="00000000">
      <w:pPr>
        <w:tabs>
          <w:tab w:val="clear" w:pos="6237"/>
          <w:tab w:val="left" w:pos="567"/>
          <w:tab w:val="left" w:pos="1134"/>
          <w:tab w:val="left" w:pos="1701"/>
          <w:tab w:val="left" w:pos="2268"/>
        </w:tabs>
      </w:pPr>
    </w:p>
    <w:p w:rsidR="00000000" w:rsidRDefault="00000000">
      <w:pPr>
        <w:pStyle w:val="BodyText"/>
        <w:tabs>
          <w:tab w:val="left" w:pos="567"/>
          <w:tab w:val="left" w:pos="1134"/>
          <w:tab w:val="left" w:pos="1701"/>
          <w:tab w:val="left" w:pos="2268"/>
        </w:tabs>
        <w:spacing w:line="288" w:lineRule="auto"/>
        <w:jc w:val="left"/>
        <w:rPr>
          <w:i/>
          <w:iCs/>
          <w:sz w:val="24"/>
          <w:u w:val="none"/>
        </w:rPr>
      </w:pPr>
      <w:r>
        <w:rPr>
          <w:i/>
          <w:iCs/>
          <w:sz w:val="24"/>
          <w:u w:val="none"/>
        </w:rPr>
        <w:t>Об обжаловании следственных действий, связанных с неприкосновенностью личной жизни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415.</w:t>
      </w:r>
      <w:r>
        <w:tab/>
        <w:t>Как отмечалось выше в настоящем докладе, следственные действия, связанные с ограничением неприкосновенности личной жизни, могут быть произведены только по судебному решению.  Если указанные действия произведены (в неотложных случаях) без приказа судьи, этот последний в любом случае правомочен вынести постановление о законности либо незаконности следственного действия.  Согласно пункту 6 статьи 290 Уголовно-процессуального кодекса, данное постановление судьи обжалованию не подлежит.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416.</w:t>
      </w:r>
      <w:r>
        <w:tab/>
        <w:t>Настоящий Кодекс устанавливает далее, что лицо, которому стало известно об аресте, выемке адресованных ему или исходящих от него почтово-телеграфных отправлений, вправе подать жалобу на незаконность либо необоснованность этих действий в кассационную инстанцию, где она рассматривается судьей единолично с участием жалобщика либо его представителя.  Если жалоба признается обоснованной, судья, издавший приказ, должен принести жалобщику письменное извинение.  Жалобщик также вправе требовать материального возмещения причиненного морального ущерба и наказания виновных лиц (статья 332, пункт 1).</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понятиях "семья" и "жилище" в грузинском законодательстве</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417.</w:t>
      </w:r>
      <w:r>
        <w:tab/>
        <w:t>Статья 17 Пакта запрещает как произвольное вмешательство в "семейную жизнь", так и посягательство на неприкосновенность "жилища" лица.  В связи с этим необходимо разъяснить содержание понятий "семья" и "жилище" в национальном законодательстве.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418.</w:t>
      </w:r>
      <w:r>
        <w:tab/>
        <w:t xml:space="preserve">Ни в Кодексе о браке и семье, ни в книге "Семейное право" Гражданского кодекса не содержится дефиниции понятия "семья".  Оба кодекса регламентируют вопросы брака, прав и обязанностей супругов, взаимоотношений родителей и детей и т.д.  Вместе  с тем, анализ соответствующих статей Гражданского кодекса показывает, что предпосылкой создания семьи является брак, официально зарегистрированный в органах регистрации гражданского состояния.  Закон признает существование как </w:t>
      </w:r>
      <w:proofErr w:type="spellStart"/>
      <w:r>
        <w:t>нуклеарной</w:t>
      </w:r>
      <w:proofErr w:type="spellEnd"/>
      <w:r>
        <w:t xml:space="preserve"> семьи (родители и дети), так и расширенной.  В соответствии с главой Гражданского кодекса, регулирующей алиментные обязанности других членов семьи (кроме родителей и детей), в состав расширенной семьи могут входить братья и сестры, дедушки и бабушки, отчим и мачеха, пасынок и падчерица (статьи 1223 - 1227).  Семейные отношения по закону возникают между усыновителем и усыновленным (статья 1239) и, фактически, между опекуном (попечителем) и опекаемым (</w:t>
      </w:r>
      <w:proofErr w:type="spellStart"/>
      <w:r>
        <w:t>попечительствуемым</w:t>
      </w:r>
      <w:proofErr w:type="spellEnd"/>
      <w:r>
        <w:t>) лицом (статьи 1289 - 1291).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419.</w:t>
      </w:r>
      <w:r>
        <w:tab/>
        <w:t>По Гражданскому кодексу, местом жительства ("жилищем") физического лица считается то место, которое оно обыкновенно выбирает для своего проживания.  Лицо может иметь несколько мест жительства.  Местом жительства несовершеннолетнего считается место жительства его имеющих родительские права родителей, а опекаемого лица – место жительства опекуна (статья 20, пункты 1 и 2).</w:t>
      </w:r>
    </w:p>
    <w:p w:rsidR="00000000" w:rsidRDefault="00000000">
      <w:pPr>
        <w:tabs>
          <w:tab w:val="clear" w:pos="6237"/>
          <w:tab w:val="left" w:pos="567"/>
          <w:tab w:val="left" w:pos="1134"/>
          <w:tab w:val="left" w:pos="1701"/>
          <w:tab w:val="left" w:pos="2268"/>
        </w:tabs>
      </w:pPr>
      <w:r>
        <w:br w:type="page"/>
      </w:r>
    </w:p>
    <w:p w:rsidR="00000000" w:rsidRDefault="00000000">
      <w:pPr>
        <w:pStyle w:val="Heading7"/>
        <w:tabs>
          <w:tab w:val="clear" w:pos="6237"/>
          <w:tab w:val="left" w:pos="567"/>
          <w:tab w:val="left" w:pos="1134"/>
          <w:tab w:val="left" w:pos="1701"/>
          <w:tab w:val="left" w:pos="2268"/>
        </w:tabs>
        <w:spacing w:before="0" w:after="0"/>
        <w:rPr>
          <w:i/>
          <w:iCs/>
        </w:rPr>
      </w:pPr>
      <w:r>
        <w:rPr>
          <w:i/>
          <w:iCs/>
        </w:rPr>
        <w:t>О защите от незаконных посягательств на честь и репутацию лица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420.</w:t>
      </w:r>
      <w:r>
        <w:tab/>
        <w:t>Гражданский кодекс содержит статью 18 – "Личные неимущественные права", которая имеет прямое отношение не только к статье 17, но и к пунктам 2 и 3 статьи 19 Пакта.  Статья 18 указанного Кодекса предусматривает, что лицо имеет право в судебном порядке потребовать опровержения тех сведений, которые посягают на его честь, репутацию, тайну личной жизни, личную неприкосновенность или деловую репутацию, если распространитель этих сведений не докажет, что они соответствуют действительности.  Тот же порядок применяется в случае неполного обнародования фактических данных, если только при этом страдают честь, достоинство или деловая репутация лица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421.</w:t>
      </w:r>
      <w:r>
        <w:tab/>
        <w:t>Если сведения, посягающие на честь, достоинство, деловую репутацию или тайну личной жизни, распространены средствами массовой информации, то их опровержение должно быть осуществлено теми же средствами.  Если подобные сведения содержатся в выданном организацией документе, этот документ должен быть заменен и об этом должно быть сообщено заинтересованному лицу (там же,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422.</w:t>
      </w:r>
      <w:r>
        <w:tab/>
        <w:t>Защита предусмотренного этой статьей блага осуществляется вне зависимости от вины посягающего лица.  Если же нарушение вызвано действием, несущим признаки вины, пострадавшее лицо может потребовать и возмещения ущерба, в том числе морального (там же, пункт 6).</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защите персональных данных</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423.</w:t>
      </w:r>
      <w:r>
        <w:tab/>
        <w:t>Вопросы получения и хранения личной информации в публичных учреждениях Грузии регламентируются Общим административным кодексом, в котором этой проблеме посвящена специальная глава "Свобода информации" (статьи 28 - 50).  Ниже приводятся положения Кодекса, имеющие прямое отношение к статье 17 Пакта.  О том, как регулируются данным законодательным актом проблемы доступа к публичной информации, будет сказано ниже – в разделе настоящего доклада по статье 19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424.</w:t>
      </w:r>
      <w:r>
        <w:tab/>
        <w:t>Общий административный кодекс устанавливает, что все вправе знать: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 xml:space="preserve">цели сбора, обработки, хранения и распространения данных публичным учреждением, а также сферы и правовые основания их использования;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о наличии или отсутствии их персональных данных в базе публичных данных, а также порядок ознакомления с ними, в том числе с процедурой, по которой производится идентификация лица, если это лицо (либо его представитель) внесло требование об ознакомлении с данными о себе или о внесении в них изменений;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категории лиц, которые по закону вправе знакомиться с персональными данными, имеющимися в базе публичных данных;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состав, источники данных, имеющихся в базе публичных данных, и категории лиц, информация о которых собирается, обрабатывается и хранится  (статья 42,  пункты  и)  и  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425.</w:t>
      </w:r>
      <w:r>
        <w:tab/>
        <w:t>Публичное учреждение обязано: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собирать, обрабатывать и хранить только те данные, право собирать которые ему предоставляется законом и которые необходимы для осуществления этим учреждением своих полномочий;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по требованию лица или на основании решения суда уничтожать не предусмотренные целями, определенными законом, а также неточные, недостоверные, неполные и не связанные с делом данные и заменить их точными, достоверными, своевременными и полными данными;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немедленно сообщать соответствующему лицу об истребовании его персональных данных третьим лицом или публичным учреждением, за исключением случаев, когда это явно и неизбежно нанесет существенный вред интересам национальной безопасности или расследованию уголовных преступлений;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сообщать при сборе, обработке и хранении персональных данных соответствующим лицам о целях и правовых основах обработки персональных данных:  является ли для них обязательной или добровольной выдача персональных данных, источники и состав этих данных, а также сведения о третьих лицах, которым могут быть переданы эти данные (статья 43, пункты а),  в), ж), 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426.</w:t>
      </w:r>
      <w:r>
        <w:tab/>
        <w:t>Персональные данные, за исключением персональных данных должностных лиц, не должны быть доступны никому без согласия самого лица или без обоснованного решения суда – в случаях, когда речь идет об интересах национальной безопасности либо расследовании уголовного дела.  При этом суд правомочен вынести решение о рассекречивании персональных данных только в случае, если невозможно установить истину по делу при помощи других доказательств и исчерпаны все иные возможности получения этой информации из других источников (статья 44).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427.</w:t>
      </w:r>
      <w:r>
        <w:tab/>
        <w:t xml:space="preserve">Лицо вправе требовать как внесения поправок в персональные данные, так и уничтожения незаконно добытых данных.  При этом бремя </w:t>
      </w:r>
      <w:proofErr w:type="spellStart"/>
      <w:r>
        <w:t>доказывания</w:t>
      </w:r>
      <w:proofErr w:type="spellEnd"/>
      <w:r>
        <w:t xml:space="preserve"> законности сбора персональной информации возлагается на публичное учреждение (статья 46).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428.</w:t>
      </w:r>
      <w:r>
        <w:tab/>
        <w:t xml:space="preserve">Лицо вправе в судебном порядке потребовать возмещения имущественного и неимущественного ущерба от публичного учреждения в случае незаконного сбора, обработки, хранения и распространения персональных данных, а также их незаконной передачи иным лицам либо публичным учреждениям.  При этом бремя </w:t>
      </w:r>
      <w:proofErr w:type="spellStart"/>
      <w:r>
        <w:t>доказывания</w:t>
      </w:r>
      <w:proofErr w:type="spellEnd"/>
      <w:r>
        <w:t xml:space="preserve"> возлагается на публичное учреждение или публичного чиновника – ответчика (статья 47).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429.</w:t>
      </w:r>
      <w:r>
        <w:tab/>
        <w:t>Согласно Общему административному кодексу, под "публичным учреждением" понимаются:  государственный орган либо орган самоуправления, а также лицо, от имени публичного учреждения выполняющее определенные законом полномочия;  юридическое лицо публичного права, а также юридическое лицо частного права, финансируемые из средств государственного бюджета.  Под "персональными данными" подразумевается публичная информация, позволяющая идентифицировать данное лицо (статья 27).</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18</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Свобода совести в Конституции и законодательстве Грузии</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430.</w:t>
      </w:r>
      <w:r>
        <w:tab/>
        <w:t>Конституция Грузии признает особую роль грузинской православной церкви в истории страны и вместе с тем провозглашает полную свободу религиозных убеждений и вероисповедания, независимость церкви от государства (статья 9).  Статья 19 Конституции гласит, что "каждому человеку гарантируется свобода  /…/ мнения, совести, вероисповедания…  Запрещается преследование лица в связи с использованием им свободы мнений, совести, вероисповедания, … а также принуждение человека высказать свое мнение по поводу этих свобод".  Ограничение вышеупомянутых свобод запрещается, если их проявление не ущемляет прав и свобод других лиц.</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431.</w:t>
      </w:r>
      <w:r>
        <w:tab/>
        <w:t>Конституция не предусматривает никаких ограничений свободы исповедовать религию или убеждения в условиях чрезвычайного или военного положения.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432.</w:t>
      </w:r>
      <w:r>
        <w:tab/>
        <w:t>В Уголовном кодексе содержатся положения, обеспечивающие защиту вышеупомянутых прав.  Статья 155 предусматривает санкции в виде штрафа, исправительных  работ или лишения свободы сроком до 5 лет за незаконное воспрепятствование богослужению или иному отправлению религиозных обрядов или ритуалов путем насилия или угрозы насилием, либо сопровождавшееся оскорблением религиозных чувств верующих или священнослужителя.  Статья 156 содержит санкции в виде штрафа, исправительных работ или лишения свободы сроком до 3 лет за преследование личности по мотивам совести, вероисповедания либо убеждений, а также за религиозную деятельность.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433.</w:t>
      </w:r>
      <w:r>
        <w:tab/>
        <w:t>В целом законодательство Грузии совершенно нейтрально применительно к вопросам религии, убеждений или вероисповедания и исключает какую-либо дискриминацию по любому, в том числе религиозному признаку.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434.</w:t>
      </w:r>
      <w:r>
        <w:tab/>
        <w:t>Согласно Гражданскому кодексу, родители вправе и обязаны воспитывать своих детей, заботиться об их физическом, нравственном, духовном и социальном развитии, растить их достойными членами общества, с преимущественным учетом интересов детей (статья 1198).  Полагаем, вышеизложенное положение закона имеет прямое отношение к реализации обязательств государства в контексте пункта 4 статьи 18.  Кроме того, отметим, что в соответствии с Законом "Об образовании", родители (законные представители) имеют право выбирать для своего несовершеннолетнего ребенка форму обучения, а также образовательное учреждение (статья 44, пункт 1).  При этом  следует учитывать, что данный закон охватывает только сферу светского образования и никак не затрагивает вопросы религиозного обучения.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435.</w:t>
      </w:r>
      <w:r>
        <w:tab/>
        <w:t>В контексте пунктов 1 и 3 статьи 18 представляется  необходимым упомянуть некоторые положения Закона "О заключении", регламентирующего деятельность пенитенциарной системы.  Согласно статье 26 данного закона, лицо, отбывающее наказание в виде лишения свободы, имеет право принимать участие в /…/ религиозном мероприятии, пользоваться соответствующим инвентарем и литературой.  Администрация пенитенциарного учреждения обязана создать условия для удовлетворения религиозных потребностей заключенных.  С учетом технических возможностей учреждения, в нем может находиться уполномоченный церковью священнослужитель (статья 94).  По данным Департамента по исполнению наказаний министерства юстиции, в настоящее время в большинстве пенитенциарных заведений функционируют небольшие церкви либо выделены специальные места для отправления религиозных обрядов и молитв.</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Практические аспекты реализации права на свободу совести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436.  Информация относительно существования в Грузии различных религий содержится в разделе "Конфессиональная структура" Базового документа.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437.</w:t>
      </w:r>
      <w:r>
        <w:tab/>
        <w:t>На протяжении своей многовековой истории Грузия славилась своей веротерпимостью.  Здесь никогда не было и нет такого явления, как антисемитизм, религиозная рознь или ненависть.  Примером того, как выглядит религиозная терпимость в нашей стране на практике, может служить исторический район столицы, где в непосредственной близости расположились грузинский храм, армянская церковь, синагога и мечеть, а также русская церковь и католический храм.  Всего же в Грузии функционируют 15 синагог, 14 мечетей, 11 армяно-грузинских церквей, 8 русских церквей, 3 армянские церкви и кафедральный собор,  католический храм.  Особо следует сказать о положении в Грузии евреев.  Так называемые грузинские евреи стали неотъемлемой частью грузинского общества.  Двери синагог всегда были распахнуты для верующих, даже в наихудшие для евреев в СССР времена.  Иудаизм относится к числу конфессий, безусловно признаваемых государством.</w:t>
      </w:r>
    </w:p>
    <w:p w:rsidR="00000000" w:rsidRDefault="00000000">
      <w:pPr>
        <w:tabs>
          <w:tab w:val="clear" w:pos="6237"/>
          <w:tab w:val="left" w:pos="567"/>
          <w:tab w:val="left" w:pos="1134"/>
          <w:tab w:val="left" w:pos="1701"/>
          <w:tab w:val="left" w:pos="2268"/>
        </w:tabs>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438.</w:t>
      </w:r>
      <w:r>
        <w:rPr>
          <w:sz w:val="24"/>
        </w:rPr>
        <w:tab/>
        <w:t xml:space="preserve">Общепризнанно, что христианство внесло огромный вклад в сохранение и развитие грузинской государственности и всегда занимало в жизни страны особое место.  Историческим и социальным наследием для Грузии являются такие традиционные религии, как ислам, иудаизм, католицизм, </w:t>
      </w:r>
      <w:proofErr w:type="spellStart"/>
      <w:r>
        <w:rPr>
          <w:sz w:val="24"/>
        </w:rPr>
        <w:t>григорианство</w:t>
      </w:r>
      <w:proofErr w:type="spellEnd"/>
      <w:r>
        <w:rPr>
          <w:sz w:val="24"/>
        </w:rPr>
        <w:t xml:space="preserve">.  Вместе с тем, в последние годы, после достижения независимости, в стране стали действовать нетрадиционные религиозные организации.  Их появление вызывает в обществе и среди духовенства весьма неоднозначную оценку.  Так, лидер одной из политических партий обратился в суд с требованием аннулировать регистрацию печатного издания организации "Свидетели </w:t>
      </w:r>
      <w:proofErr w:type="spellStart"/>
      <w:r>
        <w:rPr>
          <w:sz w:val="24"/>
        </w:rPr>
        <w:t>Иеговы</w:t>
      </w:r>
      <w:proofErr w:type="spellEnd"/>
      <w:r>
        <w:rPr>
          <w:sz w:val="24"/>
        </w:rPr>
        <w:t xml:space="preserve">".  Ранее он же пытался воспрепятствовать ввозу в Грузию партии </w:t>
      </w:r>
      <w:proofErr w:type="spellStart"/>
      <w:r>
        <w:rPr>
          <w:sz w:val="24"/>
        </w:rPr>
        <w:t>иеговистской</w:t>
      </w:r>
      <w:proofErr w:type="spellEnd"/>
      <w:r>
        <w:rPr>
          <w:sz w:val="24"/>
        </w:rPr>
        <w:t xml:space="preserve"> литературы.  Дело было рассмотрено в двух инстанциях – первой и апелляционной – и в настоящее время разбирательство в порядке кассации осуществляется  Верховным судом страны.  В октябре 1999 года группой радикальных христиан, возглавляемых отлученным от церкви священнослужителем, было разгромлено собрание "Свидетелей </w:t>
      </w:r>
      <w:proofErr w:type="spellStart"/>
      <w:r>
        <w:rPr>
          <w:sz w:val="24"/>
        </w:rPr>
        <w:t>Иеговы</w:t>
      </w:r>
      <w:proofErr w:type="spellEnd"/>
      <w:r>
        <w:rPr>
          <w:sz w:val="24"/>
        </w:rPr>
        <w:t>", нанесены телесные повреждения его участникам.  Возбуждено уголовное дело, проводится расследование.  На этот факт счел необходимым отреагировать президент Грузии, однозначно его осудивший.  Многие неправительственные организации приняли резолюции протеста против подобных неприемлемых, варварских актов.</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статусе религиозных организаций</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439.</w:t>
      </w:r>
      <w:r>
        <w:tab/>
        <w:t>Гражданский кодекс устанавливает, что религиозное объединение является одним из типов юридического лица публичного права, то есть негосударственной организацией, созданной на основе законодательства для достижения публичных целей.  Таким образом, религиозное объединение не относится к числу неправительственных организаций ("третьего сектора"), входящих в категорию юридических лиц частного права.  По статусу Гражданский кодекс приравнивает религиозные объединения к политической партии (статья 1509).  Вместе с тем, в отличие от политических объединений граждан, порядок создания и деятельности религиозных объединений законодательно не регулируется.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440.</w:t>
      </w:r>
      <w:r>
        <w:tab/>
        <w:t>В условиях многообразия конфессионального спектра, исторически сложившегося в Грузии, очевидно, назрела необходимость формирования правового поля для деятельности религиозных организаций.  Речь идет о возможности принятия закона о свободе совести либо о религиозных объединениях.  Эта идея достаточно интенсивно муссируется в обществе, однако отношение к ней весьма неоднозначное.</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19</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Конституционные гарантии права на свободу мнений и информации</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441.</w:t>
      </w:r>
      <w:r>
        <w:tab/>
        <w:t>В соответствии со статьей 24 Конституции каждый человек вправе свободно получать и распространять информацию, высказывать и распространять свои мнения в устной, письменной или иной форме.  Государство или отдельные лица не вправе монополизировать средства массовой информации или средства распространения информации.  Цензура запрещается.  Осуществление положений, касающихся свободы мнений и информации, может ограничиваться законом условиями, необходимыми в демократическом обществе для обеспечения государственной или общественной безопасности, территориальной целостности, предотвращения преступности, защиты прав и достоинства других лиц, предотвращения распространения информации, признанной конфиденциальной, или для обеспечения независимости и беспристрастности правосудия.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442.</w:t>
      </w:r>
      <w:r>
        <w:tab/>
        <w:t>Статья 19 Конституции провозглашает, в частности, свободу убеждений, запрещает ограничение этой свободы, если только ее проявление не ущемляет прав и свобод других лиц, а также запрещает преследование лица в связи с использованием данной свободы.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443.</w:t>
      </w:r>
      <w:r>
        <w:tab/>
        <w:t>Конституцией гарантируется свобода интеллектуального творчества;  право на интеллектуальную собственность объявлено неприкосновенным.  Не допускается цензура в сфере творческой деятельности.  Наложение ареста или запрета на распространение произведений творчества не допускается, если таковые не ущемляют прав других лиц  (статья 23, пункты 1 - 3).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444.</w:t>
      </w:r>
      <w:r>
        <w:tab/>
        <w:t>Статья 41 Конституции предоставляет каждому гражданину Грузии право в установленном законом порядке знакомиться с имеющейся о нем в государственных учреждениях информацией, а также официальными документами, не содержащими государственной, профессиональной либо коммерческой тайны.  Вместе с тем, никому не должна быть доступна имеющаяся в официальных учреждениях информация, касающаяся здоровья человека, его финансов и иных частных вопросов без согласия самого лица, за исключением случаев, установленных законом, для обеспечения государственной или общественной безопасности, охраны здоровья, соблюдения иных прав и свобод других лиц.</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445.</w:t>
      </w:r>
      <w:r>
        <w:tab/>
        <w:t>Конституция (статья 37, пункт 5) признает право человека на получение полной, объективной и своевременной информации о состоянии среды его обитания и условий труда.</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свободе прессы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446.</w:t>
      </w:r>
      <w:r>
        <w:tab/>
        <w:t xml:space="preserve">Основным средством выражения своего мнения, получения и распространения информации является </w:t>
      </w:r>
      <w:proofErr w:type="spellStart"/>
      <w:r>
        <w:t>масс-медиа</w:t>
      </w:r>
      <w:proofErr w:type="spellEnd"/>
      <w:r>
        <w:t>.  Как отмечалось в первоначальном докладе, ее деятельность регламентируется Законом "О прессе и средствах массовой информации".  С момента представления упомянутого доклада в этот закон были внесены значительные изменения и дополнения, в связи с чем представляется необходимым остановиться на нем подробнее.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447.</w:t>
      </w:r>
      <w:r>
        <w:tab/>
        <w:t>Устанавливая конституционный принцип свободы прессы, указанный закон предоставляет гражданам Грузии право высказывать, распространять и отстаивать свое мнение при помощи любого средства информации, а также добывать информацию по вопросам государственной и общественной жизни (статья 1, пункты 1 и 2).  В Грузии разрешается распространение массовой информации на любом языке (статья 3).  Граждане Грузии имеют право на получение информации из зарубежных источников (статья 30,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448.</w:t>
      </w:r>
      <w:r>
        <w:tab/>
        <w:t>Закон "О прессе и средствах массовой информации" гласит, что право создавать средства массовой информации предоставляется органам государственной власти, политическим партиям, общественным организациям, зарегистрированным в установленном законом порядке, а также гражданам Грузии старше 18 лет (статья 6, пункт 1).  Свою деятельность средства массовой информации осуществляют только после регистрации (статья 7, пункт 1), которая производится в судебном порядке.  Деятельность средства массовой информации может быть приостановлена или прекращена в судебном порядке, если повторно нарушен закон, что способствует преступлению, создает угрозу обеспечению государственной безопасности, территориальной целостности или общественной безопасности (статья 12,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449.</w:t>
      </w:r>
      <w:r>
        <w:tab/>
        <w:t>Аналогичный порядок создания и деятельности распространяется, согласно данному Закону, на книжные издательства, теле- и радиовещательные компании (статья 2,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450.</w:t>
      </w:r>
      <w:r>
        <w:tab/>
        <w:t>Закон о прессе предусматривает право граждан: оперативно получать через средства массовой информации сведения о деятельности государственных органов, общественно-политических объединений и должностных лиц (статья 19, пункт 1), требовать от редакции через средство массовой информации опровержения порочащего личность материала (статья 20,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451.</w:t>
      </w:r>
      <w:r>
        <w:tab/>
        <w:t>Закон о прессе обеспечивает право журналиста искать, получать и распространять информацию (статья 21, пункт 2).  Журналист обязан удовлетворить просьбу лиц, предоставивших информацию, о неразглашении их авторства или, наоборот, об указании автора, если такая информация оглашается впервые (статья 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452.</w:t>
      </w:r>
      <w:r>
        <w:tab/>
        <w:t xml:space="preserve">Статья 19 Пакта не препятствует государству в установленном законом порядке вводить лицензирование вещательных предприятий.  Согласно статье 29 Гражданского кодекса, создание этой категории коммерческих юридических лиц регулируется Законом "О предпринимателях".  До последнего времени лицензирование в области связи (коммуникаций) являлось прерогативой соответствующего министерства.  Согласно Закону "О связи и почте", принятому в июле 1999 года, выдача лицензий и регулирование деятельности владельцев лицензий (т.е. негосударственных радио- и </w:t>
      </w:r>
      <w:proofErr w:type="spellStart"/>
      <w:r>
        <w:t>телевещательных</w:t>
      </w:r>
      <w:proofErr w:type="spellEnd"/>
      <w:r>
        <w:t xml:space="preserve"> компаний) возлагается на Национальную комиссию по регулированию деятельности в сфере связи и почты (статья 20).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453.</w:t>
      </w:r>
      <w:r>
        <w:tab/>
        <w:t>Закон о связи четко определяет условия лицензионной деятельности, приостановки и аннулирования действия лицензии.  В качестве одного из оснований для временного прекращения действия лицензии признана деятельность, которая нарушает права, свободы и законные интересы людей, создает угрозу их жизни и здоровью (статья 39, пункт 2).  Приостановка действия лицензии осуществляется до устранения нарушения, но не более, чем на три месяца.  Если же срок приостановки лицензии прошел, а нарушение не устранено, лицензия может быть аннулирована (статья 40, пункт 1).  Эти и другие решения Национальной комиссии по регулированию деятельности в сфере связи и почты могут быть обжалованы владельцем лицензии в суде (статья 41,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454.</w:t>
      </w:r>
      <w:r>
        <w:tab/>
        <w:t>Ниже приводятся статистические данные об издании в Грузии книг, журналов и газет.  Помимо этого, в стране беспрепятственно распространяются издания зарубежных стран, в основном, российские.</w:t>
      </w:r>
    </w:p>
    <w:p w:rsidR="00000000" w:rsidRDefault="00000000">
      <w:pPr>
        <w:tabs>
          <w:tab w:val="clear" w:pos="6237"/>
          <w:tab w:val="left" w:pos="567"/>
          <w:tab w:val="left" w:pos="1134"/>
          <w:tab w:val="left" w:pos="1701"/>
          <w:tab w:val="left" w:pos="2268"/>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1276"/>
        <w:gridCol w:w="992"/>
        <w:gridCol w:w="851"/>
        <w:gridCol w:w="850"/>
        <w:gridCol w:w="810"/>
      </w:tblGrid>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pPr>
          </w:p>
        </w:tc>
        <w:tc>
          <w:tcPr>
            <w:tcW w:w="1276" w:type="dxa"/>
          </w:tcPr>
          <w:p w:rsidR="00000000" w:rsidRDefault="00000000">
            <w:pPr>
              <w:tabs>
                <w:tab w:val="clear" w:pos="6237"/>
                <w:tab w:val="left" w:pos="567"/>
                <w:tab w:val="left" w:pos="1134"/>
                <w:tab w:val="left" w:pos="1701"/>
                <w:tab w:val="left" w:pos="2268"/>
              </w:tabs>
              <w:jc w:val="center"/>
            </w:pPr>
            <w:r>
              <w:t>1990</w:t>
            </w:r>
          </w:p>
        </w:tc>
        <w:tc>
          <w:tcPr>
            <w:tcW w:w="992" w:type="dxa"/>
          </w:tcPr>
          <w:p w:rsidR="00000000" w:rsidRDefault="00000000">
            <w:pPr>
              <w:tabs>
                <w:tab w:val="clear" w:pos="6237"/>
                <w:tab w:val="left" w:pos="567"/>
                <w:tab w:val="left" w:pos="1134"/>
                <w:tab w:val="left" w:pos="1701"/>
                <w:tab w:val="left" w:pos="2268"/>
              </w:tabs>
              <w:jc w:val="center"/>
            </w:pPr>
            <w:r>
              <w:t>1995</w:t>
            </w:r>
          </w:p>
        </w:tc>
        <w:tc>
          <w:tcPr>
            <w:tcW w:w="851" w:type="dxa"/>
          </w:tcPr>
          <w:p w:rsidR="00000000" w:rsidRDefault="00000000">
            <w:pPr>
              <w:tabs>
                <w:tab w:val="clear" w:pos="6237"/>
                <w:tab w:val="left" w:pos="567"/>
                <w:tab w:val="left" w:pos="1134"/>
                <w:tab w:val="left" w:pos="1701"/>
                <w:tab w:val="left" w:pos="2268"/>
              </w:tabs>
              <w:jc w:val="center"/>
            </w:pPr>
            <w:r>
              <w:t>1996</w:t>
            </w:r>
          </w:p>
        </w:tc>
        <w:tc>
          <w:tcPr>
            <w:tcW w:w="850" w:type="dxa"/>
          </w:tcPr>
          <w:p w:rsidR="00000000" w:rsidRDefault="00000000">
            <w:pPr>
              <w:tabs>
                <w:tab w:val="clear" w:pos="6237"/>
                <w:tab w:val="left" w:pos="567"/>
                <w:tab w:val="left" w:pos="1134"/>
                <w:tab w:val="left" w:pos="1701"/>
                <w:tab w:val="left" w:pos="2268"/>
              </w:tabs>
              <w:jc w:val="center"/>
            </w:pPr>
            <w:r>
              <w:t>1997</w:t>
            </w:r>
          </w:p>
        </w:tc>
        <w:tc>
          <w:tcPr>
            <w:tcW w:w="810" w:type="dxa"/>
          </w:tcPr>
          <w:p w:rsidR="00000000" w:rsidRDefault="00000000">
            <w:pPr>
              <w:tabs>
                <w:tab w:val="clear" w:pos="6237"/>
                <w:tab w:val="left" w:pos="567"/>
                <w:tab w:val="left" w:pos="1134"/>
                <w:tab w:val="left" w:pos="1701"/>
                <w:tab w:val="left" w:pos="2268"/>
              </w:tabs>
              <w:jc w:val="center"/>
            </w:pPr>
            <w:r>
              <w:t>1998</w:t>
            </w:r>
          </w:p>
        </w:tc>
      </w:tr>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pPr>
            <w:r>
              <w:t>Тираж книг и брошюр, млн. экз.</w:t>
            </w:r>
          </w:p>
        </w:tc>
        <w:tc>
          <w:tcPr>
            <w:tcW w:w="1276" w:type="dxa"/>
          </w:tcPr>
          <w:p w:rsidR="00000000" w:rsidRDefault="00000000">
            <w:pPr>
              <w:tabs>
                <w:tab w:val="clear" w:pos="6237"/>
                <w:tab w:val="left" w:pos="567"/>
                <w:tab w:val="left" w:pos="1134"/>
                <w:tab w:val="left" w:pos="1701"/>
                <w:tab w:val="left" w:pos="2268"/>
              </w:tabs>
              <w:jc w:val="center"/>
            </w:pPr>
            <w:r>
              <w:t>20,1</w:t>
            </w:r>
          </w:p>
        </w:tc>
        <w:tc>
          <w:tcPr>
            <w:tcW w:w="992" w:type="dxa"/>
          </w:tcPr>
          <w:p w:rsidR="00000000" w:rsidRDefault="00000000">
            <w:pPr>
              <w:tabs>
                <w:tab w:val="clear" w:pos="6237"/>
                <w:tab w:val="left" w:pos="567"/>
                <w:tab w:val="left" w:pos="1134"/>
                <w:tab w:val="left" w:pos="1701"/>
                <w:tab w:val="left" w:pos="2268"/>
              </w:tabs>
              <w:jc w:val="center"/>
            </w:pPr>
            <w:r>
              <w:t>0,8</w:t>
            </w:r>
          </w:p>
        </w:tc>
        <w:tc>
          <w:tcPr>
            <w:tcW w:w="851" w:type="dxa"/>
          </w:tcPr>
          <w:p w:rsidR="00000000" w:rsidRDefault="00000000">
            <w:pPr>
              <w:tabs>
                <w:tab w:val="clear" w:pos="6237"/>
                <w:tab w:val="left" w:pos="567"/>
                <w:tab w:val="left" w:pos="1134"/>
                <w:tab w:val="left" w:pos="1701"/>
                <w:tab w:val="left" w:pos="2268"/>
              </w:tabs>
              <w:jc w:val="center"/>
            </w:pPr>
            <w:r>
              <w:t>0,8</w:t>
            </w:r>
          </w:p>
        </w:tc>
        <w:tc>
          <w:tcPr>
            <w:tcW w:w="850" w:type="dxa"/>
          </w:tcPr>
          <w:p w:rsidR="00000000" w:rsidRDefault="00000000">
            <w:pPr>
              <w:tabs>
                <w:tab w:val="clear" w:pos="6237"/>
                <w:tab w:val="left" w:pos="567"/>
                <w:tab w:val="left" w:pos="1134"/>
                <w:tab w:val="left" w:pos="1701"/>
                <w:tab w:val="left" w:pos="2268"/>
              </w:tabs>
              <w:jc w:val="center"/>
            </w:pPr>
            <w:r>
              <w:t>0,8</w:t>
            </w:r>
          </w:p>
        </w:tc>
        <w:tc>
          <w:tcPr>
            <w:tcW w:w="810" w:type="dxa"/>
          </w:tcPr>
          <w:p w:rsidR="00000000" w:rsidRDefault="00000000">
            <w:pPr>
              <w:tabs>
                <w:tab w:val="clear" w:pos="6237"/>
                <w:tab w:val="left" w:pos="567"/>
                <w:tab w:val="left" w:pos="1134"/>
                <w:tab w:val="left" w:pos="1701"/>
                <w:tab w:val="left" w:pos="2268"/>
              </w:tabs>
              <w:jc w:val="center"/>
            </w:pPr>
            <w:r>
              <w:t>0,6</w:t>
            </w:r>
          </w:p>
        </w:tc>
      </w:tr>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spacing w:line="240" w:lineRule="auto"/>
            </w:pPr>
            <w:r>
              <w:t>Годовой тираж журналов и иных периодических изданий, млн. экз.</w:t>
            </w:r>
          </w:p>
        </w:tc>
        <w:tc>
          <w:tcPr>
            <w:tcW w:w="1276" w:type="dxa"/>
          </w:tcPr>
          <w:p w:rsidR="00000000" w:rsidRDefault="00000000">
            <w:pPr>
              <w:tabs>
                <w:tab w:val="clear" w:pos="6237"/>
                <w:tab w:val="left" w:pos="567"/>
                <w:tab w:val="left" w:pos="1134"/>
                <w:tab w:val="left" w:pos="1701"/>
                <w:tab w:val="left" w:pos="2268"/>
              </w:tabs>
              <w:jc w:val="center"/>
            </w:pPr>
            <w:r>
              <w:t>27,3</w:t>
            </w:r>
          </w:p>
        </w:tc>
        <w:tc>
          <w:tcPr>
            <w:tcW w:w="992" w:type="dxa"/>
          </w:tcPr>
          <w:p w:rsidR="00000000" w:rsidRDefault="00000000">
            <w:pPr>
              <w:tabs>
                <w:tab w:val="clear" w:pos="6237"/>
                <w:tab w:val="left" w:pos="567"/>
                <w:tab w:val="left" w:pos="1134"/>
                <w:tab w:val="left" w:pos="1701"/>
                <w:tab w:val="left" w:pos="2268"/>
              </w:tabs>
              <w:jc w:val="center"/>
            </w:pPr>
            <w:r>
              <w:t>0,4</w:t>
            </w:r>
          </w:p>
        </w:tc>
        <w:tc>
          <w:tcPr>
            <w:tcW w:w="851" w:type="dxa"/>
          </w:tcPr>
          <w:p w:rsidR="00000000" w:rsidRDefault="00000000">
            <w:pPr>
              <w:tabs>
                <w:tab w:val="clear" w:pos="6237"/>
                <w:tab w:val="left" w:pos="567"/>
                <w:tab w:val="left" w:pos="1134"/>
                <w:tab w:val="left" w:pos="1701"/>
                <w:tab w:val="left" w:pos="2268"/>
              </w:tabs>
              <w:jc w:val="center"/>
            </w:pPr>
            <w:r>
              <w:t>0,2</w:t>
            </w:r>
          </w:p>
        </w:tc>
        <w:tc>
          <w:tcPr>
            <w:tcW w:w="850" w:type="dxa"/>
          </w:tcPr>
          <w:p w:rsidR="00000000" w:rsidRDefault="00000000">
            <w:pPr>
              <w:tabs>
                <w:tab w:val="clear" w:pos="6237"/>
                <w:tab w:val="left" w:pos="567"/>
                <w:tab w:val="left" w:pos="1134"/>
                <w:tab w:val="left" w:pos="1701"/>
                <w:tab w:val="left" w:pos="2268"/>
              </w:tabs>
              <w:jc w:val="center"/>
            </w:pPr>
            <w:r>
              <w:t>0,2</w:t>
            </w:r>
          </w:p>
        </w:tc>
        <w:tc>
          <w:tcPr>
            <w:tcW w:w="810" w:type="dxa"/>
          </w:tcPr>
          <w:p w:rsidR="00000000" w:rsidRDefault="00000000">
            <w:pPr>
              <w:tabs>
                <w:tab w:val="clear" w:pos="6237"/>
                <w:tab w:val="left" w:pos="567"/>
                <w:tab w:val="left" w:pos="1134"/>
                <w:tab w:val="left" w:pos="1701"/>
                <w:tab w:val="left" w:pos="2268"/>
              </w:tabs>
              <w:jc w:val="center"/>
            </w:pPr>
            <w:r>
              <w:t>0,2</w:t>
            </w:r>
          </w:p>
        </w:tc>
      </w:tr>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pPr>
            <w:r>
              <w:t>Количество газет</w:t>
            </w:r>
          </w:p>
        </w:tc>
        <w:tc>
          <w:tcPr>
            <w:tcW w:w="1276" w:type="dxa"/>
          </w:tcPr>
          <w:p w:rsidR="00000000" w:rsidRDefault="00000000">
            <w:pPr>
              <w:tabs>
                <w:tab w:val="clear" w:pos="6237"/>
                <w:tab w:val="left" w:pos="567"/>
                <w:tab w:val="left" w:pos="1134"/>
                <w:tab w:val="left" w:pos="1701"/>
                <w:tab w:val="left" w:pos="2268"/>
              </w:tabs>
              <w:jc w:val="center"/>
            </w:pPr>
            <w:r>
              <w:t>171</w:t>
            </w:r>
          </w:p>
        </w:tc>
        <w:tc>
          <w:tcPr>
            <w:tcW w:w="992" w:type="dxa"/>
          </w:tcPr>
          <w:p w:rsidR="00000000" w:rsidRDefault="00000000">
            <w:pPr>
              <w:tabs>
                <w:tab w:val="clear" w:pos="6237"/>
                <w:tab w:val="left" w:pos="567"/>
                <w:tab w:val="left" w:pos="1134"/>
                <w:tab w:val="left" w:pos="1701"/>
                <w:tab w:val="left" w:pos="2268"/>
              </w:tabs>
              <w:jc w:val="center"/>
            </w:pPr>
            <w:r>
              <w:t>127</w:t>
            </w:r>
          </w:p>
        </w:tc>
        <w:tc>
          <w:tcPr>
            <w:tcW w:w="851" w:type="dxa"/>
          </w:tcPr>
          <w:p w:rsidR="00000000" w:rsidRDefault="00000000">
            <w:pPr>
              <w:tabs>
                <w:tab w:val="clear" w:pos="6237"/>
                <w:tab w:val="left" w:pos="567"/>
                <w:tab w:val="left" w:pos="1134"/>
                <w:tab w:val="left" w:pos="1701"/>
                <w:tab w:val="left" w:pos="2268"/>
              </w:tabs>
              <w:jc w:val="center"/>
            </w:pPr>
            <w:r>
              <w:t>123</w:t>
            </w:r>
          </w:p>
        </w:tc>
        <w:tc>
          <w:tcPr>
            <w:tcW w:w="850" w:type="dxa"/>
          </w:tcPr>
          <w:p w:rsidR="00000000" w:rsidRDefault="00000000">
            <w:pPr>
              <w:tabs>
                <w:tab w:val="clear" w:pos="6237"/>
                <w:tab w:val="left" w:pos="567"/>
                <w:tab w:val="left" w:pos="1134"/>
                <w:tab w:val="left" w:pos="1701"/>
                <w:tab w:val="left" w:pos="2268"/>
              </w:tabs>
              <w:jc w:val="center"/>
            </w:pPr>
            <w:r>
              <w:t>161</w:t>
            </w:r>
          </w:p>
        </w:tc>
        <w:tc>
          <w:tcPr>
            <w:tcW w:w="810" w:type="dxa"/>
          </w:tcPr>
          <w:p w:rsidR="00000000" w:rsidRDefault="00000000">
            <w:pPr>
              <w:tabs>
                <w:tab w:val="clear" w:pos="6237"/>
                <w:tab w:val="left" w:pos="567"/>
                <w:tab w:val="left" w:pos="1134"/>
                <w:tab w:val="left" w:pos="1701"/>
                <w:tab w:val="left" w:pos="2268"/>
              </w:tabs>
              <w:jc w:val="center"/>
            </w:pPr>
            <w:r>
              <w:t>243</w:t>
            </w:r>
          </w:p>
        </w:tc>
      </w:tr>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pPr>
            <w:r>
              <w:t>Одноразовый тираж газет, млн. экз.</w:t>
            </w:r>
          </w:p>
        </w:tc>
        <w:tc>
          <w:tcPr>
            <w:tcW w:w="1276" w:type="dxa"/>
          </w:tcPr>
          <w:p w:rsidR="00000000" w:rsidRDefault="00000000">
            <w:pPr>
              <w:tabs>
                <w:tab w:val="clear" w:pos="6237"/>
                <w:tab w:val="left" w:pos="567"/>
                <w:tab w:val="left" w:pos="1134"/>
                <w:tab w:val="left" w:pos="1701"/>
                <w:tab w:val="left" w:pos="2268"/>
              </w:tabs>
              <w:jc w:val="center"/>
            </w:pPr>
            <w:r>
              <w:t>4,9</w:t>
            </w:r>
          </w:p>
        </w:tc>
        <w:tc>
          <w:tcPr>
            <w:tcW w:w="992" w:type="dxa"/>
          </w:tcPr>
          <w:p w:rsidR="00000000" w:rsidRDefault="00000000">
            <w:pPr>
              <w:tabs>
                <w:tab w:val="clear" w:pos="6237"/>
                <w:tab w:val="left" w:pos="567"/>
                <w:tab w:val="left" w:pos="1134"/>
                <w:tab w:val="left" w:pos="1701"/>
                <w:tab w:val="left" w:pos="2268"/>
              </w:tabs>
              <w:jc w:val="center"/>
            </w:pPr>
            <w:r>
              <w:t>0,3</w:t>
            </w:r>
          </w:p>
        </w:tc>
        <w:tc>
          <w:tcPr>
            <w:tcW w:w="851" w:type="dxa"/>
          </w:tcPr>
          <w:p w:rsidR="00000000" w:rsidRDefault="00000000">
            <w:pPr>
              <w:tabs>
                <w:tab w:val="clear" w:pos="6237"/>
                <w:tab w:val="left" w:pos="567"/>
                <w:tab w:val="left" w:pos="1134"/>
                <w:tab w:val="left" w:pos="1701"/>
                <w:tab w:val="left" w:pos="2268"/>
              </w:tabs>
              <w:jc w:val="center"/>
            </w:pPr>
            <w:r>
              <w:t>0,2</w:t>
            </w:r>
          </w:p>
        </w:tc>
        <w:tc>
          <w:tcPr>
            <w:tcW w:w="850" w:type="dxa"/>
          </w:tcPr>
          <w:p w:rsidR="00000000" w:rsidRDefault="00000000">
            <w:pPr>
              <w:tabs>
                <w:tab w:val="clear" w:pos="6237"/>
                <w:tab w:val="left" w:pos="567"/>
                <w:tab w:val="left" w:pos="1134"/>
                <w:tab w:val="left" w:pos="1701"/>
                <w:tab w:val="left" w:pos="2268"/>
              </w:tabs>
              <w:jc w:val="center"/>
            </w:pPr>
            <w:r>
              <w:t>0,3</w:t>
            </w:r>
          </w:p>
        </w:tc>
        <w:tc>
          <w:tcPr>
            <w:tcW w:w="810" w:type="dxa"/>
          </w:tcPr>
          <w:p w:rsidR="00000000" w:rsidRDefault="00000000">
            <w:pPr>
              <w:tabs>
                <w:tab w:val="clear" w:pos="6237"/>
                <w:tab w:val="left" w:pos="567"/>
                <w:tab w:val="left" w:pos="1134"/>
                <w:tab w:val="left" w:pos="1701"/>
                <w:tab w:val="left" w:pos="2268"/>
              </w:tabs>
              <w:jc w:val="center"/>
            </w:pPr>
            <w:r>
              <w:t>0,4</w:t>
            </w:r>
          </w:p>
        </w:tc>
      </w:tr>
      <w:tr w:rsidR="00000000">
        <w:tblPrEx>
          <w:tblCellMar>
            <w:top w:w="0" w:type="dxa"/>
            <w:bottom w:w="0" w:type="dxa"/>
          </w:tblCellMar>
        </w:tblPrEx>
        <w:tc>
          <w:tcPr>
            <w:tcW w:w="4077" w:type="dxa"/>
          </w:tcPr>
          <w:p w:rsidR="00000000" w:rsidRDefault="00000000">
            <w:pPr>
              <w:tabs>
                <w:tab w:val="clear" w:pos="6237"/>
                <w:tab w:val="left" w:pos="567"/>
                <w:tab w:val="left" w:pos="1134"/>
                <w:tab w:val="left" w:pos="1701"/>
                <w:tab w:val="left" w:pos="2268"/>
              </w:tabs>
            </w:pPr>
            <w:r>
              <w:t>Годовой тираж газет, млн. экз.</w:t>
            </w:r>
          </w:p>
        </w:tc>
        <w:tc>
          <w:tcPr>
            <w:tcW w:w="1276" w:type="dxa"/>
          </w:tcPr>
          <w:p w:rsidR="00000000" w:rsidRDefault="00000000">
            <w:pPr>
              <w:tabs>
                <w:tab w:val="clear" w:pos="6237"/>
                <w:tab w:val="left" w:pos="567"/>
                <w:tab w:val="left" w:pos="1134"/>
                <w:tab w:val="left" w:pos="1701"/>
                <w:tab w:val="left" w:pos="2268"/>
              </w:tabs>
              <w:jc w:val="center"/>
            </w:pPr>
            <w:r>
              <w:t>716,3</w:t>
            </w:r>
          </w:p>
        </w:tc>
        <w:tc>
          <w:tcPr>
            <w:tcW w:w="992" w:type="dxa"/>
          </w:tcPr>
          <w:p w:rsidR="00000000" w:rsidRDefault="00000000">
            <w:pPr>
              <w:tabs>
                <w:tab w:val="clear" w:pos="6237"/>
                <w:tab w:val="left" w:pos="567"/>
                <w:tab w:val="left" w:pos="1134"/>
                <w:tab w:val="left" w:pos="1701"/>
                <w:tab w:val="left" w:pos="2268"/>
              </w:tabs>
              <w:jc w:val="center"/>
            </w:pPr>
            <w:r>
              <w:t>6,6</w:t>
            </w:r>
          </w:p>
        </w:tc>
        <w:tc>
          <w:tcPr>
            <w:tcW w:w="851" w:type="dxa"/>
          </w:tcPr>
          <w:p w:rsidR="00000000" w:rsidRDefault="00000000">
            <w:pPr>
              <w:tabs>
                <w:tab w:val="clear" w:pos="6237"/>
                <w:tab w:val="left" w:pos="567"/>
                <w:tab w:val="left" w:pos="1134"/>
                <w:tab w:val="left" w:pos="1701"/>
                <w:tab w:val="left" w:pos="2268"/>
              </w:tabs>
              <w:jc w:val="center"/>
            </w:pPr>
            <w:r>
              <w:t>13,3</w:t>
            </w:r>
          </w:p>
        </w:tc>
        <w:tc>
          <w:tcPr>
            <w:tcW w:w="850" w:type="dxa"/>
          </w:tcPr>
          <w:p w:rsidR="00000000" w:rsidRDefault="00000000">
            <w:pPr>
              <w:tabs>
                <w:tab w:val="clear" w:pos="6237"/>
                <w:tab w:val="left" w:pos="567"/>
                <w:tab w:val="left" w:pos="1134"/>
                <w:tab w:val="left" w:pos="1701"/>
                <w:tab w:val="left" w:pos="2268"/>
              </w:tabs>
              <w:jc w:val="center"/>
            </w:pPr>
            <w:r>
              <w:t>12,3</w:t>
            </w:r>
          </w:p>
        </w:tc>
        <w:tc>
          <w:tcPr>
            <w:tcW w:w="810" w:type="dxa"/>
          </w:tcPr>
          <w:p w:rsidR="00000000" w:rsidRDefault="00000000">
            <w:pPr>
              <w:tabs>
                <w:tab w:val="clear" w:pos="6237"/>
                <w:tab w:val="left" w:pos="567"/>
                <w:tab w:val="left" w:pos="1134"/>
                <w:tab w:val="left" w:pos="1701"/>
                <w:tab w:val="left" w:pos="2268"/>
              </w:tabs>
              <w:jc w:val="center"/>
            </w:pPr>
            <w:r>
              <w:t>15,9</w:t>
            </w:r>
          </w:p>
        </w:tc>
      </w:tr>
    </w:tbl>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455.</w:t>
      </w:r>
      <w:r>
        <w:tab/>
        <w:t xml:space="preserve">Кроме того, в Грузии наряду с государственной </w:t>
      </w:r>
      <w:proofErr w:type="spellStart"/>
      <w:r>
        <w:t>телерадиокорпорацией</w:t>
      </w:r>
      <w:proofErr w:type="spellEnd"/>
      <w:r>
        <w:t xml:space="preserve"> функционируют десятки негосударственных теле- и радиокомпаний, вещающих на всю страну или ее отдельные регионы.  Следует отметить, что многие из них пользуются  большей популярностью и имеют более высокий рейтинг по сравнению с государственными телеканалами и радиовещанием.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456.</w:t>
      </w:r>
      <w:r>
        <w:tab/>
        <w:t xml:space="preserve">В структуре государственной </w:t>
      </w:r>
      <w:proofErr w:type="spellStart"/>
      <w:r>
        <w:t>телерадиокорпорации</w:t>
      </w:r>
      <w:proofErr w:type="spellEnd"/>
      <w:r>
        <w:t xml:space="preserve"> функционируют редакции: телевидения – на русском языке, радиовещания – на русском, армянском и азербайджанском языках.  Государство оказывает финансовую поддержку газетам, издаваемым на русском, армянском, азербайджанском языках.  Кроме того, издаются основанные национальными общественными организациями греческие, еврейские, курдские газеты.  В целом в Грузии издается:  на русском языке – семь газет и три журнала, на армянском языке – четыре газеты, из которых три – региональные, в том числе одна грузино-армянская, на азербайджанском языке – три газеты, из которых две – региональные грузино-азербайджанские, на греческом языке – три газеты, на курдском – одна газета.  Из трех издаваемых еврейских газет одна выходит на грузинском, а две – на русском языке.  Две независимые газеты издаются на английском языке.</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доступе к публичной информации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457.</w:t>
      </w:r>
      <w:r>
        <w:tab/>
        <w:t>В Общем административном кодексе Грузии содержится глава "Свобода информации", регламентирующая порядок предоставления  административным органом публичной информации заинтересованной в ее получении стороне.  Согласно Кодексу, каждый человек имеет право ознакомиться с имеющейся у административного органа публичной информацией, получить ее копии, если только она не содержит государственной, профессиональной, коммерческой или личной тайны.  Публичная информация носит открытый характер, если  только ее открытость не наносит явного и очевидного вреда национальной безопасности либо интересам расследования уголовного дела.  Решение о засекречивании публичной информации может быть принято лишь в случае, если этого прямо требует закон, и на срок не более пяти лет.  Лицу не может быть отказано в предоставлении публичной информации, которая  позволяет идентифицировать его личность и, согласно Кодексу, не может быть доступной для других лиц.  Лицо имеет право ознакомиться с содержащимися о нем в публичном учреждении персональными данными.  Персональные данные, кроме персональных данных должностных лиц, не должны быть доступны никому без  согласия  самого лица.  Лицо может обратиться в суд с требованием о возмещении имущественного или неимущественного ущерба, в частности, в случае незаконного сбора, обработки, хранения или распространения персональных данных, а также их  передачи  иному лицу или публичному учреждению (статьи 10, 28, 30, 31, 39, 46 и 47).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458.</w:t>
      </w:r>
      <w:r>
        <w:tab/>
        <w:t>Действие Кодекса не распространяется на деятельность органов  исполнительной власти, связанную с уголовным  преследованием и оперативно-розыскными мероприятиями, исполнением судебных решений, военными вопросами, внешней политикой и реализацией международных договоров Грузии (статья 3, пункт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459.</w:t>
      </w:r>
      <w:r>
        <w:tab/>
        <w:t>Общий административный кодекс не разъясняет, что представляет собой упомянутая в статье 10 "профессиональная", "коммерческая" или "личная" тайна.  В настоящее время разрабатывается проект поправок в Кодекс, призванный устранить эти и иные шероховатости.</w:t>
      </w:r>
    </w:p>
    <w:p w:rsidR="00000000" w:rsidRDefault="00000000">
      <w:pPr>
        <w:tabs>
          <w:tab w:val="clear" w:pos="6237"/>
          <w:tab w:val="left" w:pos="567"/>
          <w:tab w:val="left" w:pos="1134"/>
          <w:tab w:val="left" w:pos="1701"/>
          <w:tab w:val="left" w:pos="2268"/>
        </w:tabs>
      </w:pPr>
    </w:p>
    <w:p w:rsidR="00000000" w:rsidRDefault="00000000">
      <w:pPr>
        <w:pStyle w:val="BodyText"/>
        <w:tabs>
          <w:tab w:val="left" w:pos="567"/>
          <w:tab w:val="left" w:pos="1134"/>
          <w:tab w:val="left" w:pos="1701"/>
          <w:tab w:val="left" w:pos="2268"/>
        </w:tabs>
        <w:spacing w:line="288" w:lineRule="auto"/>
        <w:jc w:val="left"/>
        <w:rPr>
          <w:i/>
          <w:iCs/>
          <w:sz w:val="24"/>
          <w:u w:val="none"/>
        </w:rPr>
      </w:pPr>
      <w:r>
        <w:rPr>
          <w:i/>
          <w:iCs/>
          <w:sz w:val="24"/>
          <w:u w:val="none"/>
        </w:rPr>
        <w:t>Отражение права на свободу мнения и информации в других законодательных актах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460.</w:t>
      </w:r>
      <w:r>
        <w:tab/>
        <w:t>Согласно Закону "О государственной тайне", запрещается относить к государственной тайне сведения, могущие послужить причиной нарушения или ограничения основных прав и свобод человека либо нанести ущерб здоровью и безопасности населения.  Не могут быть причислены к государственной тайне нормативные акты, а также международные договоры и соглашения (статья 8).  Не может считаться государственной тайной информация, касающаяся стихийных бедствий, состояния окружающей среды, социально-экономического положения населения, криминогенной ситуации, коррупции среди должностных лиц и др.  Закон устанавливает четкие критерии с точки зрения допуска или отказа в допуске к государственной тайне.  Примечательно, что Законом запрещен предварительный контроль разглашения государственной тайны в прессе и других средствах массовой информации (статья 35).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461.</w:t>
      </w:r>
      <w:r>
        <w:tab/>
        <w:t>В статье 8 Закона "О культуре" сказано, что все имеют право на творческую деятельность любого рода в соответствии со своими интересами и способностями.  Закон запрещает вмешательство в творческий процесс, цензуру творческого процесса, недопущение распространения творческих произведений, кроме тех случаев, когда этим  нарушаются права других людей, разжигается национальная, этническая, религиозная, расовая рознь, проповедуется война и насилие, пропагандируется порнография (статья 9).  Закон признает право каждого на доступ к культурным ценностям (статья 11), а также обязанность государства содействовать участию частных лиц и культурных организаций в международном диалоге культур (статья 34).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В то же время, уголовным преступлением считается изготовление или сбыт порнографического произведения или предмета, а также  изготовление или распространение произведения, пропагандирующего культ насилия или жестокости (Уголовный кодекс, статьи 255 и 356).  Примененный в этих случаях принцип охраны нравственности и общественного порядка соответствует требованиям пункта 3 статьи 19.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462.</w:t>
      </w:r>
      <w:r>
        <w:tab/>
        <w:t>В соответствии со статьей 4 Законов "О чрезвычайном положении" и "О военном положении" в период чрезвычайного (военного) положения высшие органы исполнительной власти могут с соблюдением требований законодательства учредить контроль за средствами массовой информации.  Формы такого контроля упомянутые законы не конкретизируют.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463.</w:t>
      </w:r>
      <w:r>
        <w:tab/>
        <w:t>Закон "О рекламе" запрещает размещение и распространение ненадлежащей рекламы.  Ненадлежащей считается недобросовестная, недостоверная, неэтичная или явно фальшивая реклама.  Реклама не должна подталкивать граждан к насилию, агрессии и хаосу, не должна призывать к опасным действиям, могущим нанести ущерб здоровью или угрожать безопасности человека (статьи 3 и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Закон устанавливает целый ряд ограничений применительно к рекламе алкогольных напитков и табачных изделий, медицинской продукции и услуг, ценных бумаг (статьи 8, 9 и 11).  Запрещена реклама боевого оружия (статья 10).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464.</w:t>
      </w:r>
      <w:r>
        <w:tab/>
        <w:t>Согласно статье 7 Закона "Об охране здоровья", все граждане Грузии имеют право получать информацию о состоянии своего здоровья.  Статья 41 Закона обязывает врача давать пациенту полную информацию о состоянии его здоровья, за исключением случаев, когда врач убежден, что это нанесет значительный вред пациенту.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Медицинский работник и любой сотрудник медицинского учреждения обязан хранить врачебную тайну, за исключением случаев, когда оглашения конфиденциальной информации требуют родственник (законный представитель) скончавшегося пациента, суд, следственные органы, или если это необходимо для обеспечения общественной безопасности, защиты прав и свобод других людей (статья 42).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465.</w:t>
      </w:r>
      <w:r>
        <w:tab/>
        <w:t>В соответствии с Законом "О деятельности коммерческих банков", никто не вправе допускать кого-либо к конфиденциальной информации, разглашать или распространять такую информацию либо использовать ее в личных целях.  Сведения об операциях и счетах физических лиц могут быть предоставлены только владельцу счета или его представителю.  Налоговым службам, судебным и следственным органам такие сведения предоставляются только по решению суда (статья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466.</w:t>
      </w:r>
      <w:r>
        <w:tab/>
        <w:t>Информация относительно гласности суда содержится в комментариях настоящего доклада к статье 14 (раздел "О публичном характере судебного разбирательства").</w:t>
      </w:r>
    </w:p>
    <w:p w:rsidR="00000000" w:rsidRDefault="00000000">
      <w:pPr>
        <w:tabs>
          <w:tab w:val="clear" w:pos="6237"/>
          <w:tab w:val="left" w:pos="567"/>
          <w:tab w:val="left" w:pos="1134"/>
          <w:tab w:val="left" w:pos="1701"/>
          <w:tab w:val="left" w:pos="2268"/>
        </w:tabs>
      </w:pPr>
      <w:r>
        <w:br w:type="page"/>
      </w:r>
    </w:p>
    <w:p w:rsidR="00000000" w:rsidRDefault="00000000">
      <w:pPr>
        <w:pStyle w:val="BodyText"/>
        <w:tabs>
          <w:tab w:val="left" w:pos="567"/>
          <w:tab w:val="left" w:pos="1134"/>
          <w:tab w:val="left" w:pos="1701"/>
          <w:tab w:val="left" w:pos="2268"/>
        </w:tabs>
        <w:spacing w:line="288" w:lineRule="auto"/>
        <w:jc w:val="left"/>
        <w:rPr>
          <w:i/>
          <w:iCs/>
          <w:sz w:val="24"/>
          <w:u w:val="none"/>
        </w:rPr>
      </w:pPr>
      <w:r>
        <w:rPr>
          <w:i/>
          <w:iCs/>
          <w:sz w:val="24"/>
          <w:u w:val="none"/>
        </w:rPr>
        <w:t>Об уголовных санкциях в связи с нарушениями прав, предусмотренных статьей 19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467.</w:t>
      </w:r>
      <w:r>
        <w:tab/>
        <w:t>Уголовным кодексом Грузии предусматривается наказание за противозаконное умаление прав, охватываемых настоящим разделом статьи 5 Конвенции.  Согласно Закону, к уголовным преступлениям относятся посягательства на свободу слова, незаконное воспрепятствование получению либо распространению информации, повлекшее за собой значительный ущерб (статья 153), незаконное препятствование профессиональной деятельности журналиста (статья 154), незаконный отказ в предоставлении лицу официальной информации о нем, его правах и свободах, а также предоставлении неполной либо искаженной информации, повлекшие за собой значительный ущерб (статья 167).  Степень наказания за них колеблется от штрафа до двух лет лишения свободы.</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468.</w:t>
      </w:r>
      <w:r>
        <w:tab/>
        <w:t>В Уголовном кодексе Грузии содержится статья 405, согласно которой уголовно наказуемыми деяниями признаны публичные призывы к развязыванию агрессивной войны, в том числе с использованием средств массовой информации либо совершенные лицом, занимающим государственно-политическую должность.  В двух последних случаях Кодекс устанавливает более жесткие санкции.  Для справки заметим, что согласно Закону "О публичной службе" государственно-политическими должностными лицами являются президент, члены парламента, члены Правительства Грузии, члены высших представительных органов Абхазии и Аджарии, руководители правительственных учреждений этих автономных республик (статья 1, пункт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469.</w:t>
      </w:r>
      <w:r>
        <w:tab/>
        <w:t xml:space="preserve">В отличие от ранее действовавшего Уголовного кодекса, в новом Кодексе, вступившем в силу с июня 2000 года, не содержится статья, диспозиция которой прямо предусматривала бы запрет выступлений в пользу национальной, расовой и религиозной ненависти, представляющих собой  подстрекательство к дискриминации.  Новый уголовный закон квалифицирует в качестве преступного деяния нарушение равноправия  людей по расовым мотивам, в том числе с использованием служебного положения (статья 142, пункты 1 и 2).  Очевидно, что наличие в Уголовном кодексе статьи, запрещающей и карающей расовую дискриминацию, необходимо.  В то же время, с целью обеспечения реализации требований пункта 2 статьи 20 следует </w:t>
      </w:r>
      <w:proofErr w:type="spellStart"/>
      <w:r>
        <w:t>криминализировать</w:t>
      </w:r>
      <w:proofErr w:type="spellEnd"/>
      <w:r>
        <w:t xml:space="preserve"> также пропаганду и подстрекательство к розни, основанной на расовых признаках.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470.</w:t>
      </w:r>
      <w:r>
        <w:tab/>
        <w:t>Прямое отношение к требованиям настоящей статьи Пакта имеет пункт 3 статьи 26 Конституции, которая почти полностью приведена ниже, в комментариях настоящего доклада к статье 22.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471.</w:t>
      </w:r>
      <w:r>
        <w:tab/>
        <w:t>Согласно Закону "О политических объединениях граждан", не допускается создание и деятельность таких политических партий, целью которых, в частности, является "разжигание национальной, местнической, религиозной или социальной розни" (статья 5, пункт 2).  В контексте статьи  20 следует упомянуть также, что Гражданский кодекс, формулируя принципы регистрации юридического лица частного права (то есть представляющих "третий сектор" неправительственных организаций), указывает, что цели такого рода объединений не должны "противоречить действующему праву, признанным нравственным нормам или конституционно-правовым принципам Грузии" (статья 31, пункт 2).  Таким образом, практически исключается создание и деятельность политических или общественных объединений, преследующих цели, несовместимые с положениями статьи 20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472.</w:t>
      </w:r>
      <w:r>
        <w:tab/>
        <w:t>Согласно Закону "О собраниях и манифестациях", при организации и проведении собрания или манифестации не допускается использование призывов, разжигающих национальную, местническую, религиозную либо социальную рознь, либо представляющих собой пропаганду войны и насилия (статья 4).</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473.</w:t>
      </w:r>
      <w:r>
        <w:tab/>
        <w:t>Право на собрания предусматривается статьей 25 Конституции, которая гласит: "Все, кроме лиц, находящихся на службе в вооруженных силах, полиции и службе безопасности, имеют право без предварительного разрешения собираться публично и без оружия как в помещениях, так и под открытым небом.  Законом может быть установлено требование предварительного уведомления властей, если  собрание или манифестация проводятся в местах движения транспорта или людей.  Власти могут прервать собрание или манифестацию только в случае, если они принимают противозаконный характер".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474.</w:t>
      </w:r>
      <w:r>
        <w:tab/>
        <w:t>Практические аспекты реализации предусмотренного статьей 21 права, в полном соответствии с предоставленными Конституцией гарантиями, регламентируются Законом "О собраниях и манифестациях".  Согласно статье 3 данного Закона, под "собранием" подразумевается "собрание группы граждан в помещении или под открытым небом, митинг в общественных местах, с целью выражения солидарности или протеста", а под "манифестацией" – "демонстрация граждан, массовое публичное выступление, уличное шествие, с целью выражения  солидарности или протеста, либо шествие с использованием плакатов, лозунгов, транспарантов и других изобразительных средств".  С этой точки зрения Закон "О собраниях и манифестациях" охватывает также требования статьи 19 Пакта в части, касающейся публичного выражения мнения.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475.</w:t>
      </w:r>
      <w:r>
        <w:tab/>
        <w:t>В законе оговорено, что право на мирные собрания не распространяется на лиц, находящихся на службе в вооруженных силах, полиции и органах безопасности (статья 1).  При проведении собрания (манифестации) не допускается использование призывов к свержению или насильственному изменению конституционного строя, к посягательству на  независимость и территориальную целостность страны, либо призывов, представляющих собой пропаганду войны, насилия, разжигающих национальную, местническую, религиозную или социальную рознь (статья 4) В случае массового нарушения требований данной статьи закона, собрание или манифестация должны быть прекращены немедленно по требованию уполномоченного лица органа местного самоуправления.  Решение о прекращении собрания или манифестации может быть обжаловано в суде, который в течение трех рабочих дней рассматривает вопрос законности упомянутого решения (статья 13).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476.</w:t>
      </w:r>
      <w:r>
        <w:tab/>
        <w:t>Закон "О собраниях и манифестациях" предусматривает необходимость предварительного уведомления властей, если собрание или манифестация проводятся в местах движения людей или транспорта.  Уведомление органу власти по месту проведения мероприятия вносят лица, ответственные за организацию и проведение собрания или манифестации.  Такими лицами могут быть только граждане Грузии старше 18 лет (статья 5).  В соответствии со статьей 6 данного Закона, уведомление относительно собрания (манифестации) должно быть  сделано не позднее пяти дней до его проведения.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477.</w:t>
      </w:r>
      <w:r>
        <w:tab/>
        <w:t>Орган местного управления вправе не допустить проведение собрания  (манифестации), если имеются проверенные полицией явные  сведения, согласно которым в результате  этого мероприятия неизбежно возникнет прямая  угроза конституционному строю, жизни и здоровью граждан.  Решение местного органа власти о запрещении проведения собрания (манифестации) может быть обжаловано в суде, который в течение двух дней принимает окончательное решение (статья 14).  Вместе с тем статья 12 закона обязывает местные органы власти обеспечивать соответствующие условия для проведения собрания (манифестации).  Закон "О полиции" (статья 9, пункт 13) предоставляет полиции право пресекать незаконные  митинги и иные акции, а также проводимые мирные акции, представляющие собой угрозу общественной безопасности, жизни, здоровью, собственности и иным охраняемым законом  правам.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478.</w:t>
      </w:r>
      <w:r>
        <w:tab/>
        <w:t>Уголовный кодекс относит к числу наказуемых деяний посягательство на право собраний и манифестаций, выразившееся в насильственных действиях либо угрозе насилием (статья 161).  Вместе с тем Кодексом предусмотрены санкции в виде штрафа, исправительных работ сроком до одного года, ограничения свободы сроком до двух лет за нарушение организаторами акций порядка проведения   собрания или манифестации, по неосторожности повлекшее за собой тяжкие последствия (статья 347).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479.</w:t>
      </w:r>
      <w:r>
        <w:tab/>
        <w:t>Следует отметить, что в целом закрепленное статьей 28 право в Грузии соблюдается.  Свободой проведения мирных собраний и манифестаций  широко пользуются как неправительственные организации, так и оппозиционные политические объединения,  в основном представленные сторонниками экс-президента страны З.  Гамсахурдиа.  Несмотря на практически неизбежные в местах массового скопления людей отдельные инциденты, о которых сообщают  средства массовой информации, в целом собрания и манифестации проводятся с соблюдением установленных законом требований.  Однако не обходится и без эксцессов.  Так, согласно данным ежегодных докладов Народного защитника (</w:t>
      </w:r>
      <w:proofErr w:type="spellStart"/>
      <w:r>
        <w:t>омбудсмена</w:t>
      </w:r>
      <w:proofErr w:type="spellEnd"/>
      <w:r>
        <w:t>) Грузии о положении с правами человека в стране за 1998 и 1999 годы, в этот период имело место три факта, когда в ходе пресечения незаконного митинга, осуществленного силами охраны правопорядка, серьезно пострадали находившиеся в месте проведения мероприятия граждане.  Во всех случаях было возбуждено уголовное дело, однако виновных не удалось привлечь к ответственности ввиду недостаточности имевшихся улик.</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480.</w:t>
      </w:r>
      <w:r>
        <w:tab/>
        <w:t>Статья 26 Конституции гласит:</w:t>
      </w:r>
    </w:p>
    <w:p w:rsidR="00000000" w:rsidRDefault="00000000">
      <w:pPr>
        <w:tabs>
          <w:tab w:val="clear" w:pos="6237"/>
          <w:tab w:val="left" w:pos="567"/>
          <w:tab w:val="left" w:pos="1134"/>
          <w:tab w:val="left" w:pos="1701"/>
          <w:tab w:val="left" w:pos="2268"/>
        </w:tabs>
        <w:ind w:left="567" w:hanging="567"/>
      </w:pPr>
    </w:p>
    <w:p w:rsidR="00000000" w:rsidRDefault="00000000">
      <w:pPr>
        <w:tabs>
          <w:tab w:val="clear" w:pos="6237"/>
          <w:tab w:val="left" w:pos="567"/>
          <w:tab w:val="left" w:pos="1134"/>
          <w:tab w:val="left" w:pos="1701"/>
          <w:tab w:val="left" w:pos="2268"/>
        </w:tabs>
        <w:ind w:left="567" w:hanging="567"/>
      </w:pPr>
      <w:r>
        <w:tab/>
        <w:t>"1.</w:t>
      </w:r>
      <w:r>
        <w:tab/>
        <w:t>Все имеют право создавать общественные организации, в том числе профессиональные союзы, и объединяться в 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2.</w:t>
      </w:r>
      <w:r>
        <w:tab/>
        <w:t>В соответствии с органическим законом граждане Грузии имеют право создавать политические партии, иные политические объединения и принимать участие в их деятельности.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3.</w:t>
      </w:r>
      <w:r>
        <w:tab/>
        <w:t>Не допускается создание и деятельность общественных и политических объединений, ставящих целью свержение или насильственное изменение конституционного строя, … посягательство на независимость страны, нарушение ее территориальной целостности, либо ведущих пропаганду войны или насилия, разжигающих национальную, местническую,  религиозную или социальную рознь.  /…/</w:t>
      </w:r>
    </w:p>
    <w:p w:rsidR="00000000" w:rsidRDefault="00000000">
      <w:pPr>
        <w:tabs>
          <w:tab w:val="clear" w:pos="6237"/>
          <w:tab w:val="left" w:pos="567"/>
          <w:tab w:val="left" w:pos="1134"/>
          <w:tab w:val="left" w:pos="1701"/>
          <w:tab w:val="left" w:pos="2268"/>
        </w:tabs>
        <w:ind w:left="567" w:hanging="567"/>
      </w:pPr>
    </w:p>
    <w:p w:rsidR="00000000" w:rsidRDefault="00000000">
      <w:pPr>
        <w:tabs>
          <w:tab w:val="clear" w:pos="6237"/>
          <w:tab w:val="left" w:pos="567"/>
          <w:tab w:val="left" w:pos="1134"/>
          <w:tab w:val="left" w:pos="1701"/>
          <w:tab w:val="left" w:pos="2268"/>
        </w:tabs>
        <w:ind w:left="567" w:hanging="567"/>
      </w:pPr>
      <w:r>
        <w:tab/>
        <w:t>5.</w:t>
      </w:r>
      <w:r>
        <w:tab/>
        <w:t>Лица, зачисленные в состав вооруженных сил, службы государственной безопасности или органов внутренних дел, назначенные или избранные судьями либо прокурорами, прекращают членство в политических объединениях.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6.</w:t>
      </w:r>
      <w:r>
        <w:tab/>
        <w:t>Приостановление или запрещение деятельности общественных и политических объединений возможно только по решению суда в случаях и порядке, установленных органическим законом".</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некоммерческих и коммерческих юридических лицах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481.</w:t>
      </w:r>
      <w:r>
        <w:tab/>
        <w:t>Согласно Гражданскому кодексу, в Грузии могут  создаваться юридические лица публичного права и юридические лица частного права.  Для целей настоящего раздела отметим, что к юридическим лицам публичного права относятся, в частности, созданные  для достижения публичных целей на основе законодательства негосударственные организации, в том числе политические партии, религиозные объединения.  К юридическим  лицам частного права относятся все иные некоммерческие и коммерческие объединения (статья 1509,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482.</w:t>
      </w:r>
      <w:r>
        <w:tab/>
        <w:t>Юридическое лицо, целью которого не является предпринимательская деятельность, может существовать в организационно-правовой форме союза (ассоциации) или фонда.  Союз является юридическим лицом, объединяющим  несколько имеющих общую цель лиц, существование которого не зависит от изменения состава его членов.  Фонд является юридическим лицом, один или несколько основателей которого, с целью достижения общественно полезной цели, передают специальное имущество независимому субъекту, в составе которого нет членов (статья 30).  Регистрация союза осуществляется судом, а фонда - Министерством юстиции.  Регистрация допускается в том случае, если цели юридического лица не противоречат действующему законодательству, признанным нравственным нормам или конституционно-правовым принципам Грузии.  Отказ в регистрации может быть обжалован в судебном порядке (статья 31).  Регистрирующий орган обязан аннулировать регистрацию союза либо фонда, если выполнение предусмотренных их уставом целей становится невозможным (статья 35).  Аннулирование регистрации влечет за собой ликвидацию юридического лица (статья 39).</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483.</w:t>
      </w:r>
      <w:r>
        <w:tab/>
        <w:t xml:space="preserve">Гражданский кодекс (статья 45) допускает и существование незарегистрированных </w:t>
      </w:r>
      <w:proofErr w:type="spellStart"/>
      <w:r>
        <w:t>cоюзов</w:t>
      </w:r>
      <w:proofErr w:type="spellEnd"/>
      <w:r>
        <w:t xml:space="preserve">, которые в этом случае не являются юридическими лицами.  В суде или в несудебных отношениях незарегистрированный союз может быть представлен своими членами либо уполномоченным на это лицом.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484.</w:t>
      </w:r>
      <w:r>
        <w:tab/>
        <w:t>Что касается коммерческих юридических лиц частного права, то Гражданский кодекс предусматривает их несколько организационно-правовых форм (общество с солидарной ответственностью, общество с ограниченной ответственностью, акционерное общество и др.).  Согласно Кодексу, деятельность юридических лиц этой категории регулируется Законом "О предпринимателях", а регистрация осуществляется судом по их юридическому адресу.  Аннулирование регистрации также производится в судебном порядке (Закон "О предпринимателях", статьи 1 и 5, пункты 2 и 7).  Применительно к коммерческим юридическим лицам частного права закон не предусматривает ограничений, допускаемых пунктом 2 статьи 22.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485.</w:t>
      </w:r>
      <w:r>
        <w:tab/>
        <w:t>Уголовный кодекс квалифицирует в качестве наказуемого деяния создание такого религиозного, политического или общественного объединения, деятельность которого сопряжена с насилием над гражданами.  Наряду с этим, наказуемым является как руководство таким объединением, так и участие в нем (статья 252, пункты 1 и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486.</w:t>
      </w:r>
      <w:r>
        <w:tab/>
        <w:t>В настоящее время в стране зарегистрировано несколько сотен неправительственных организаций, в том числе занимающихся различными аспектами прав человека.  Многие неправительственные организации создали крупные объединения, с целью более эффективной реализации общих целей.  Проживающие в Грузии меньшинства имеют свои культурные и культурно-благотворительные общества, как по всей стране, так и в отдельных регионах.</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 xml:space="preserve">О политических партиях </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487.</w:t>
      </w:r>
      <w:r>
        <w:tab/>
        <w:t>Вопросы создания и деятельности политических партий регулируются органическим Законом "О политических объединениях граждан".  В соответствии с этим Законом в основе создания и деятельности партии лежат следующие принципы: добровольный характер вступления в партию и выхода из нее; равенство партий перед законом; публичность создания и деятельности  (статья 3).  Допускается деятельность только зарегистрированных в установленном законом порядке партий (статья 1).  Не допускается создание партии по региональному или территориальному признаку (статья 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488.</w:t>
      </w:r>
      <w:r>
        <w:tab/>
        <w:t xml:space="preserve">Закон "О политических объединениях граждан" предоставляет право членства в действующей в Грузии партии только гражданину страны (статьи 5 и 8);  при этом исключаются любые ограничения по признакам расового характера (статья 11).  Членство в партии прекращается у военнослужащих, сотрудников органов государственной безопасности и внутренних дел, прокуроров и судей (статья 10).  Там же оговорено, что прекращение членства в партии возможно и в других предусмотренных законом случаях.  Примером этого может служить грузинский </w:t>
      </w:r>
      <w:proofErr w:type="spellStart"/>
      <w:r>
        <w:t>омбудсмен</w:t>
      </w:r>
      <w:proofErr w:type="spellEnd"/>
      <w:r>
        <w:t>, который не может быть членом политической партии или участвовать в политической деятельности (Закон "О Народном защитнике", статья 8).  Закон "О публичной службе" устанавливает в этом смысле более мягкое ограничение, указывая, что государственный служащий не имеет права использовать свое служебное положение для партийной деятельности (статья 61).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489.</w:t>
      </w:r>
      <w:r>
        <w:tab/>
        <w:t>Следует отметить, что установленное Конституцией (статья 26, пункт 5) запрещение членства в политических объединениях для судей выходит за рамки ограничений свободы ассоциации в свете пункта 1 статьи 22 Пакта.  Более того, согласно Закону "Об общих судах", судье вообще запрещено участвовать в политической деятельности (статья 51), а нарушение этого требования представляет собой основание для освобождения судьи от должности (статья 54).  Положения, содержащие запрет на участие в политической деятельности, распространяются также на судью Верховного суда  (закон "О Верховном суде",  статья 20,  пункт 4) и члена Конституционного суда (Закон "О Конституционном суде", 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490.</w:t>
      </w:r>
      <w:r>
        <w:tab/>
        <w:t>Статья 5 Закона "О политических объединениях граждан" текстуально воспроизводит запретительные положения пункта 3 статьи 26 Конституции.  В случае нарушения указанных положений Конституции и закона, решением Конституционного суда партия может быть  запрещена (статья 35).  В соответствии с Законом "О Конституционном суде", правом внесения иска о запрещении политической партии обладают президент Грузии, не менее одной пятой членов парламента, высшие представительные органы Абхазии и Аджарии  (статья  35).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491.</w:t>
      </w:r>
      <w:r>
        <w:tab/>
        <w:t>В политической жизни Грузии пронимают участие десятки политических партий самого разного толка – от крайне левых до крайне правых.  Достаточно отметить, что на последних парламентских выборах для участия зарегистрировалось около 40 политических партий и блоков.  Далеко не все они пользуются ощутимой поддержкой населения, о чем свидетельствует то, что по итогам парламентских выборов лишь двенадцать партий сумели набрать более четырех тысяч голосов каждая.  При этом, две партии и блок, получившие места в парламенте по пропорциональной системе, набрали 890 тысяч, 537 тысяч и 151 тысячу голосов избирателей.</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профессиональных союзах</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492.</w:t>
      </w:r>
      <w:r>
        <w:tab/>
        <w:t>Как было отмечено выше, Конституция гарантирует право каждого создавать профессиональные союзы и объединяться в них (статья 26, пункт 1).  С правовой точки зрения основы создания и деятельности профсоюзов в Грузии регламентируются Законом "О профессиональных союзах".  Настоящий закон устанавливает, что в полномочия профсоюза входит защита и представительство трудовых и социально-экономических прав его членов, контроль за заключением и исполнением коллективных договоров (соглашений), проведение коллективных переговоров, участие в разрешении коллективных трудовых споров, содействие трудоустройству, общественный контроль за соблюдением трудового законодательства и др.  (статьи 10 - 13 и 16).  Правом создания и вступления в профсоюз  пользуется любое, достигшее 15-летнего возраста лицо, занимающееся трудовой деятельностью либо обучающееся в высшем или среднем специальном учебном заведении.  Любой член профсоюза может свободно выйти из него.  Безработные и пенсионеры сохраняют право на членство в профсоюзе (статья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493.</w:t>
      </w:r>
      <w:r>
        <w:tab/>
        <w:t>Закон провозглашает независимость профессиональных союзов от органов государственной власти и местного самоуправления, политических партий и организаций, за исключением предусмотренных законом случаев (статья 5).  Любой профсоюз представляет собой юридическое лицо частного права и в этом качестве подлежит регистрации в судебном порядке.  В том же порядке, в установленных законом случаях, осуществляется ликвидация профсоюза (статья 9).  В той же статье Закона "О профессиональных союзах" указано, что приостановка или запрещение деятельности профсоюза возможны только по решению суда, в установленных органическим законом случаях.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494.</w:t>
      </w:r>
      <w:r>
        <w:tab/>
        <w:t>В январе 1999 года вступил в силу указ президента Грузии "О содействии осуществлению прав профессиональных союзов", в котором конкретизируются предоставленные профсоюзам законом полномочия: участие их представителей в работе коллегиальных органов центральных и местных учреждений исполнительной власти, других государственных структур, привлечение к подготовке законодательных актов в области трудовых и социальных вопросов, общественный контроль за осуществлением трудового законодательства, и др.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495.</w:t>
      </w:r>
      <w:r>
        <w:tab/>
        <w:t>Законодательство Грузии не предусматривает ограничений в связи с  членством в профсоюзе.  Например, Закон "О публичной службе" предоставляет государственному служащему право объединяться в профсоюзы и в свободное от работы время участвовать в его деятельности (статья 51).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496.</w:t>
      </w:r>
      <w:r>
        <w:tab/>
        <w:t>Согласно Закону "О коллективных договорах и соглашениях", предусмотрено создание трехсторонней комиссии по регулированию трудовых и социально-экономических отношений с участием представителей профсоюзов.  Состав комиссии был утвержден указом президента Грузии в июне 1998 года.  Комиссии, в состав которой вошли также представители государственной власти и предприниматели, была поручена подготовка генерального соглашения.  Данное соглашение между государством, предпринимателями и профсоюзом не заключено, к сожалению, по сей день.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497.</w:t>
      </w:r>
      <w:r>
        <w:tab/>
        <w:t xml:space="preserve">Профсоюзы функционировали в Грузии и в советский период ее истории, однако их деятельность носила чисто формальный характер.  В </w:t>
      </w:r>
      <w:proofErr w:type="spellStart"/>
      <w:r>
        <w:t>постсоветский</w:t>
      </w:r>
      <w:proofErr w:type="spellEnd"/>
      <w:r>
        <w:t xml:space="preserve"> период возникло Объединение профсоюзов  Грузии - добровольное объединение отраслевых и территориальных  профессиональных союзов, созданное на основе единства интересов и принципов деятельности организаций-участников.  Объединенный профсоюз включает в себя профсоюзные организации Абхазии и Аджарии, а также 32 отраслевых профессиональных союза.  Свои взаимоотношения с органами власти в центре и на местах, работодателями и их объединениями  профсоюзы строят на основе существующего законодательства, руководствуясь принципами социального партнерства.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498.</w:t>
      </w:r>
      <w:r>
        <w:tab/>
        <w:t>Ниже приводится таблица, отражающая отраслевую структуру и численность профессиональных союзов (по данным Объединения профсоюзов Грузии за 1999 год).</w:t>
      </w:r>
    </w:p>
    <w:p w:rsidR="00000000" w:rsidRDefault="00000000">
      <w:pPr>
        <w:tabs>
          <w:tab w:val="clear" w:pos="6237"/>
          <w:tab w:val="left" w:pos="567"/>
          <w:tab w:val="left" w:pos="1134"/>
          <w:tab w:val="left" w:pos="1701"/>
          <w:tab w:val="left" w:pos="2268"/>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559"/>
        <w:gridCol w:w="2231"/>
      </w:tblGrid>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Наименование профсоюза работников</w:t>
            </w:r>
          </w:p>
        </w:tc>
        <w:tc>
          <w:tcPr>
            <w:tcW w:w="1559" w:type="dxa"/>
          </w:tcPr>
          <w:p w:rsidR="00000000" w:rsidRDefault="00000000">
            <w:pPr>
              <w:tabs>
                <w:tab w:val="clear" w:pos="6237"/>
                <w:tab w:val="left" w:pos="567"/>
                <w:tab w:val="left" w:pos="1134"/>
                <w:tab w:val="left" w:pos="1701"/>
                <w:tab w:val="left" w:pos="2268"/>
              </w:tabs>
              <w:jc w:val="center"/>
            </w:pPr>
            <w:r>
              <w:t>Число членов профсоюза</w:t>
            </w:r>
          </w:p>
        </w:tc>
        <w:tc>
          <w:tcPr>
            <w:tcW w:w="2231" w:type="dxa"/>
          </w:tcPr>
          <w:p w:rsidR="00000000" w:rsidRDefault="00000000">
            <w:pPr>
              <w:tabs>
                <w:tab w:val="clear" w:pos="6237"/>
                <w:tab w:val="left" w:pos="567"/>
                <w:tab w:val="left" w:pos="1134"/>
                <w:tab w:val="left" w:pos="1701"/>
                <w:tab w:val="left" w:pos="2268"/>
              </w:tabs>
              <w:jc w:val="center"/>
            </w:pPr>
            <w:r>
              <w:t>Процент членов профсоюза к числу занятых</w:t>
            </w:r>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Республиканский совет профсоюзов Аджарии</w:t>
            </w:r>
          </w:p>
        </w:tc>
        <w:tc>
          <w:tcPr>
            <w:tcW w:w="1559" w:type="dxa"/>
          </w:tcPr>
          <w:p w:rsidR="00000000" w:rsidRDefault="00000000">
            <w:pPr>
              <w:tabs>
                <w:tab w:val="clear" w:pos="6237"/>
                <w:tab w:val="left" w:pos="567"/>
                <w:tab w:val="left" w:pos="1134"/>
                <w:tab w:val="left" w:pos="1701"/>
                <w:tab w:val="left" w:pos="2268"/>
              </w:tabs>
              <w:jc w:val="center"/>
            </w:pPr>
            <w:r>
              <w:t>9 897</w:t>
            </w:r>
          </w:p>
        </w:tc>
        <w:tc>
          <w:tcPr>
            <w:tcW w:w="2231" w:type="dxa"/>
          </w:tcPr>
          <w:p w:rsidR="00000000" w:rsidRDefault="00000000">
            <w:pPr>
              <w:tabs>
                <w:tab w:val="clear" w:pos="6237"/>
                <w:tab w:val="left" w:pos="567"/>
                <w:tab w:val="left" w:pos="1134"/>
                <w:tab w:val="left" w:pos="1701"/>
                <w:tab w:val="left" w:pos="2268"/>
              </w:tabs>
              <w:jc w:val="center"/>
            </w:pPr>
            <w:proofErr w:type="spellStart"/>
            <w:r>
              <w:t>95,74%</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Координационный совет Абхазии</w:t>
            </w:r>
          </w:p>
        </w:tc>
        <w:tc>
          <w:tcPr>
            <w:tcW w:w="1559" w:type="dxa"/>
          </w:tcPr>
          <w:p w:rsidR="00000000" w:rsidRDefault="00000000">
            <w:pPr>
              <w:tabs>
                <w:tab w:val="clear" w:pos="6237"/>
                <w:tab w:val="left" w:pos="567"/>
                <w:tab w:val="left" w:pos="1134"/>
                <w:tab w:val="left" w:pos="1701"/>
                <w:tab w:val="left" w:pos="2268"/>
              </w:tabs>
              <w:jc w:val="center"/>
            </w:pPr>
            <w:r>
              <w:t>1 893</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Местного хозяйства, жилищно-коммунального и бытового обслуживания</w:t>
            </w:r>
          </w:p>
        </w:tc>
        <w:tc>
          <w:tcPr>
            <w:tcW w:w="1559" w:type="dxa"/>
          </w:tcPr>
          <w:p w:rsidR="00000000" w:rsidRDefault="00000000">
            <w:pPr>
              <w:tabs>
                <w:tab w:val="clear" w:pos="6237"/>
                <w:tab w:val="left" w:pos="567"/>
                <w:tab w:val="left" w:pos="1134"/>
                <w:tab w:val="left" w:pos="1701"/>
                <w:tab w:val="left" w:pos="2268"/>
              </w:tabs>
              <w:jc w:val="center"/>
            </w:pPr>
            <w:r>
              <w:t>30 990</w:t>
            </w:r>
          </w:p>
        </w:tc>
        <w:tc>
          <w:tcPr>
            <w:tcW w:w="2231" w:type="dxa"/>
          </w:tcPr>
          <w:p w:rsidR="00000000" w:rsidRDefault="00000000">
            <w:pPr>
              <w:tabs>
                <w:tab w:val="clear" w:pos="6237"/>
                <w:tab w:val="left" w:pos="567"/>
                <w:tab w:val="left" w:pos="1134"/>
                <w:tab w:val="left" w:pos="1701"/>
                <w:tab w:val="left" w:pos="2268"/>
              </w:tabs>
              <w:jc w:val="center"/>
            </w:pPr>
            <w:proofErr w:type="spellStart"/>
            <w:r>
              <w:t>84,1%</w:t>
            </w:r>
            <w:proofErr w:type="spellEnd"/>
          </w:p>
          <w:p w:rsidR="00000000" w:rsidRDefault="00000000">
            <w:pPr>
              <w:tabs>
                <w:tab w:val="clear" w:pos="6237"/>
                <w:tab w:val="left" w:pos="567"/>
                <w:tab w:val="left" w:pos="1134"/>
                <w:tab w:val="left" w:pos="1701"/>
                <w:tab w:val="left" w:pos="2268"/>
              </w:tabs>
              <w:jc w:val="center"/>
            </w:pPr>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Архитектуры, строительства и производства  стройматериалов</w:t>
            </w:r>
          </w:p>
        </w:tc>
        <w:tc>
          <w:tcPr>
            <w:tcW w:w="1559" w:type="dxa"/>
          </w:tcPr>
          <w:p w:rsidR="00000000" w:rsidRDefault="00000000">
            <w:pPr>
              <w:tabs>
                <w:tab w:val="clear" w:pos="6237"/>
                <w:tab w:val="left" w:pos="567"/>
                <w:tab w:val="left" w:pos="1134"/>
                <w:tab w:val="left" w:pos="1701"/>
                <w:tab w:val="left" w:pos="2268"/>
              </w:tabs>
              <w:jc w:val="center"/>
            </w:pPr>
            <w:r>
              <w:t>9 750</w:t>
            </w:r>
          </w:p>
        </w:tc>
        <w:tc>
          <w:tcPr>
            <w:tcW w:w="2231" w:type="dxa"/>
          </w:tcPr>
          <w:p w:rsidR="00000000" w:rsidRDefault="00000000">
            <w:pPr>
              <w:tabs>
                <w:tab w:val="clear" w:pos="6237"/>
                <w:tab w:val="left" w:pos="567"/>
                <w:tab w:val="left" w:pos="1134"/>
                <w:tab w:val="left" w:pos="1701"/>
                <w:tab w:val="left" w:pos="2268"/>
              </w:tabs>
              <w:jc w:val="center"/>
            </w:pPr>
            <w:proofErr w:type="spellStart"/>
            <w:r>
              <w:t>95%</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Авиации</w:t>
            </w:r>
          </w:p>
        </w:tc>
        <w:tc>
          <w:tcPr>
            <w:tcW w:w="1559" w:type="dxa"/>
          </w:tcPr>
          <w:p w:rsidR="00000000" w:rsidRDefault="00000000">
            <w:pPr>
              <w:tabs>
                <w:tab w:val="clear" w:pos="6237"/>
                <w:tab w:val="left" w:pos="567"/>
                <w:tab w:val="left" w:pos="1134"/>
                <w:tab w:val="left" w:pos="1701"/>
                <w:tab w:val="left" w:pos="2268"/>
              </w:tabs>
              <w:jc w:val="center"/>
            </w:pPr>
            <w:r>
              <w:t>2 000</w:t>
            </w:r>
          </w:p>
        </w:tc>
        <w:tc>
          <w:tcPr>
            <w:tcW w:w="2231" w:type="dxa"/>
          </w:tcPr>
          <w:p w:rsidR="00000000" w:rsidRDefault="00000000">
            <w:pPr>
              <w:tabs>
                <w:tab w:val="clear" w:pos="6237"/>
                <w:tab w:val="left" w:pos="567"/>
                <w:tab w:val="left" w:pos="1134"/>
                <w:tab w:val="left" w:pos="1701"/>
                <w:tab w:val="left" w:pos="2268"/>
              </w:tabs>
              <w:jc w:val="center"/>
            </w:pPr>
            <w:proofErr w:type="spellStart"/>
            <w:r>
              <w:t>80%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Банков, финансово-инвестиционных и страховых компаний</w:t>
            </w:r>
          </w:p>
        </w:tc>
        <w:tc>
          <w:tcPr>
            <w:tcW w:w="1559" w:type="dxa"/>
          </w:tcPr>
          <w:p w:rsidR="00000000" w:rsidRDefault="00000000">
            <w:pPr>
              <w:tabs>
                <w:tab w:val="clear" w:pos="6237"/>
                <w:tab w:val="left" w:pos="567"/>
                <w:tab w:val="left" w:pos="1134"/>
                <w:tab w:val="left" w:pos="1701"/>
                <w:tab w:val="left" w:pos="2268"/>
              </w:tabs>
              <w:jc w:val="center"/>
            </w:pPr>
            <w:r>
              <w:t>1 500</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p w:rsidR="00000000" w:rsidRDefault="00000000">
            <w:pPr>
              <w:tabs>
                <w:tab w:val="clear" w:pos="6237"/>
                <w:tab w:val="left" w:pos="567"/>
                <w:tab w:val="left" w:pos="1134"/>
                <w:tab w:val="left" w:pos="1701"/>
                <w:tab w:val="left" w:pos="2268"/>
              </w:tabs>
              <w:jc w:val="center"/>
            </w:pPr>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Образования</w:t>
            </w:r>
          </w:p>
        </w:tc>
        <w:tc>
          <w:tcPr>
            <w:tcW w:w="1559" w:type="dxa"/>
          </w:tcPr>
          <w:p w:rsidR="00000000" w:rsidRDefault="00000000">
            <w:pPr>
              <w:tabs>
                <w:tab w:val="clear" w:pos="6237"/>
                <w:tab w:val="left" w:pos="567"/>
                <w:tab w:val="left" w:pos="1134"/>
                <w:tab w:val="left" w:pos="1701"/>
                <w:tab w:val="left" w:pos="2268"/>
              </w:tabs>
              <w:jc w:val="center"/>
            </w:pPr>
            <w:r>
              <w:t>155 217</w:t>
            </w:r>
          </w:p>
        </w:tc>
        <w:tc>
          <w:tcPr>
            <w:tcW w:w="2231" w:type="dxa"/>
          </w:tcPr>
          <w:p w:rsidR="00000000" w:rsidRDefault="00000000">
            <w:pPr>
              <w:tabs>
                <w:tab w:val="clear" w:pos="6237"/>
                <w:tab w:val="left" w:pos="567"/>
                <w:tab w:val="left" w:pos="1134"/>
                <w:tab w:val="left" w:pos="1701"/>
                <w:tab w:val="left" w:pos="2268"/>
              </w:tabs>
              <w:jc w:val="center"/>
            </w:pPr>
            <w:proofErr w:type="spellStart"/>
            <w:r>
              <w:t>119,92%</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Геологии, геодезии и картографии</w:t>
            </w:r>
          </w:p>
        </w:tc>
        <w:tc>
          <w:tcPr>
            <w:tcW w:w="1559" w:type="dxa"/>
          </w:tcPr>
          <w:p w:rsidR="00000000" w:rsidRDefault="00000000">
            <w:pPr>
              <w:tabs>
                <w:tab w:val="clear" w:pos="6237"/>
                <w:tab w:val="left" w:pos="567"/>
                <w:tab w:val="left" w:pos="1134"/>
                <w:tab w:val="left" w:pos="1701"/>
                <w:tab w:val="left" w:pos="2268"/>
              </w:tabs>
              <w:jc w:val="center"/>
            </w:pPr>
            <w:r>
              <w:t>1 886</w:t>
            </w:r>
          </w:p>
        </w:tc>
        <w:tc>
          <w:tcPr>
            <w:tcW w:w="2231" w:type="dxa"/>
          </w:tcPr>
          <w:p w:rsidR="00000000" w:rsidRDefault="00000000">
            <w:pPr>
              <w:tabs>
                <w:tab w:val="clear" w:pos="6237"/>
                <w:tab w:val="left" w:pos="567"/>
                <w:tab w:val="left" w:pos="1134"/>
                <w:tab w:val="left" w:pos="1701"/>
                <w:tab w:val="left" w:pos="2268"/>
              </w:tabs>
              <w:jc w:val="center"/>
            </w:pPr>
            <w:proofErr w:type="spellStart"/>
            <w:r>
              <w:t>98%</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Энергетики и электротехнической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13 955</w:t>
            </w:r>
          </w:p>
        </w:tc>
        <w:tc>
          <w:tcPr>
            <w:tcW w:w="2231" w:type="dxa"/>
          </w:tcPr>
          <w:p w:rsidR="00000000" w:rsidRDefault="00000000">
            <w:pPr>
              <w:tabs>
                <w:tab w:val="clear" w:pos="6237"/>
                <w:tab w:val="left" w:pos="567"/>
                <w:tab w:val="left" w:pos="1134"/>
                <w:tab w:val="left" w:pos="1701"/>
                <w:tab w:val="left" w:pos="2268"/>
              </w:tabs>
              <w:jc w:val="center"/>
            </w:pPr>
            <w:proofErr w:type="spellStart"/>
            <w:r>
              <w:t>96,5%</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Торговли и потребительской кооперации</w:t>
            </w:r>
          </w:p>
        </w:tc>
        <w:tc>
          <w:tcPr>
            <w:tcW w:w="1559" w:type="dxa"/>
          </w:tcPr>
          <w:p w:rsidR="00000000" w:rsidRDefault="00000000">
            <w:pPr>
              <w:tabs>
                <w:tab w:val="clear" w:pos="6237"/>
                <w:tab w:val="left" w:pos="567"/>
                <w:tab w:val="left" w:pos="1134"/>
                <w:tab w:val="left" w:pos="1701"/>
                <w:tab w:val="left" w:pos="2268"/>
              </w:tabs>
              <w:jc w:val="center"/>
            </w:pPr>
            <w:r>
              <w:t>5 300</w:t>
            </w:r>
          </w:p>
        </w:tc>
        <w:tc>
          <w:tcPr>
            <w:tcW w:w="2231" w:type="dxa"/>
          </w:tcPr>
          <w:p w:rsidR="00000000" w:rsidRDefault="00000000">
            <w:pPr>
              <w:tabs>
                <w:tab w:val="clear" w:pos="6237"/>
                <w:tab w:val="left" w:pos="567"/>
                <w:tab w:val="left" w:pos="1134"/>
                <w:tab w:val="left" w:pos="1701"/>
                <w:tab w:val="left" w:pos="2268"/>
              </w:tabs>
              <w:jc w:val="center"/>
            </w:pPr>
            <w:proofErr w:type="spellStart"/>
            <w:r>
              <w:t>97,7%</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Обороны и электронной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2 300</w:t>
            </w:r>
          </w:p>
        </w:tc>
        <w:tc>
          <w:tcPr>
            <w:tcW w:w="2231" w:type="dxa"/>
          </w:tcPr>
          <w:p w:rsidR="00000000" w:rsidRDefault="00000000">
            <w:pPr>
              <w:tabs>
                <w:tab w:val="clear" w:pos="6237"/>
                <w:tab w:val="left" w:pos="567"/>
                <w:tab w:val="left" w:pos="1134"/>
                <w:tab w:val="left" w:pos="1701"/>
                <w:tab w:val="left" w:pos="2268"/>
              </w:tabs>
              <w:jc w:val="center"/>
            </w:pPr>
            <w:proofErr w:type="spellStart"/>
            <w:r>
              <w:t>88,46%</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Рыбной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956</w:t>
            </w:r>
          </w:p>
        </w:tc>
        <w:tc>
          <w:tcPr>
            <w:tcW w:w="2231" w:type="dxa"/>
          </w:tcPr>
          <w:p w:rsidR="00000000" w:rsidRDefault="00000000">
            <w:pPr>
              <w:tabs>
                <w:tab w:val="clear" w:pos="6237"/>
                <w:tab w:val="left" w:pos="567"/>
                <w:tab w:val="left" w:pos="1134"/>
                <w:tab w:val="left" w:pos="1701"/>
                <w:tab w:val="left" w:pos="2268"/>
              </w:tabs>
              <w:jc w:val="center"/>
            </w:pPr>
            <w:proofErr w:type="spellStart"/>
            <w:r>
              <w:t>77%</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Связи</w:t>
            </w:r>
          </w:p>
        </w:tc>
        <w:tc>
          <w:tcPr>
            <w:tcW w:w="1559" w:type="dxa"/>
          </w:tcPr>
          <w:p w:rsidR="00000000" w:rsidRDefault="00000000">
            <w:pPr>
              <w:tabs>
                <w:tab w:val="clear" w:pos="6237"/>
                <w:tab w:val="left" w:pos="567"/>
                <w:tab w:val="left" w:pos="1134"/>
                <w:tab w:val="left" w:pos="1701"/>
                <w:tab w:val="left" w:pos="2268"/>
              </w:tabs>
              <w:jc w:val="center"/>
            </w:pPr>
            <w:r>
              <w:t>13 030</w:t>
            </w:r>
          </w:p>
        </w:tc>
        <w:tc>
          <w:tcPr>
            <w:tcW w:w="2231" w:type="dxa"/>
          </w:tcPr>
          <w:p w:rsidR="00000000" w:rsidRDefault="00000000">
            <w:pPr>
              <w:tabs>
                <w:tab w:val="clear" w:pos="6237"/>
                <w:tab w:val="left" w:pos="567"/>
                <w:tab w:val="left" w:pos="1134"/>
                <w:tab w:val="left" w:pos="1701"/>
                <w:tab w:val="left" w:pos="2268"/>
              </w:tabs>
              <w:jc w:val="center"/>
            </w:pPr>
            <w:proofErr w:type="spellStart"/>
            <w:r>
              <w:t>81,2%</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Курортов и туризма</w:t>
            </w:r>
          </w:p>
        </w:tc>
        <w:tc>
          <w:tcPr>
            <w:tcW w:w="1559" w:type="dxa"/>
          </w:tcPr>
          <w:p w:rsidR="00000000" w:rsidRDefault="00000000">
            <w:pPr>
              <w:tabs>
                <w:tab w:val="clear" w:pos="6237"/>
                <w:tab w:val="left" w:pos="567"/>
                <w:tab w:val="left" w:pos="1134"/>
                <w:tab w:val="left" w:pos="1701"/>
                <w:tab w:val="left" w:pos="2268"/>
              </w:tabs>
              <w:jc w:val="center"/>
            </w:pPr>
            <w:r>
              <w:t>3 22</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Метрополитена</w:t>
            </w:r>
          </w:p>
        </w:tc>
        <w:tc>
          <w:tcPr>
            <w:tcW w:w="1559" w:type="dxa"/>
          </w:tcPr>
          <w:p w:rsidR="00000000" w:rsidRDefault="00000000">
            <w:pPr>
              <w:tabs>
                <w:tab w:val="clear" w:pos="6237"/>
                <w:tab w:val="left" w:pos="567"/>
                <w:tab w:val="left" w:pos="1134"/>
                <w:tab w:val="left" w:pos="1701"/>
                <w:tab w:val="left" w:pos="2268"/>
              </w:tabs>
              <w:jc w:val="center"/>
            </w:pPr>
            <w:r>
              <w:t>4 006</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Машиностроения и приборостроения</w:t>
            </w:r>
          </w:p>
        </w:tc>
        <w:tc>
          <w:tcPr>
            <w:tcW w:w="1559" w:type="dxa"/>
          </w:tcPr>
          <w:p w:rsidR="00000000" w:rsidRDefault="00000000">
            <w:pPr>
              <w:tabs>
                <w:tab w:val="clear" w:pos="6237"/>
                <w:tab w:val="left" w:pos="567"/>
                <w:tab w:val="left" w:pos="1134"/>
                <w:tab w:val="left" w:pos="1701"/>
                <w:tab w:val="left" w:pos="2268"/>
              </w:tabs>
              <w:jc w:val="center"/>
            </w:pPr>
            <w:r>
              <w:t>4 875</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Медицины</w:t>
            </w:r>
          </w:p>
        </w:tc>
        <w:tc>
          <w:tcPr>
            <w:tcW w:w="1559" w:type="dxa"/>
          </w:tcPr>
          <w:p w:rsidR="00000000" w:rsidRDefault="00000000">
            <w:pPr>
              <w:tabs>
                <w:tab w:val="clear" w:pos="6237"/>
                <w:tab w:val="left" w:pos="567"/>
                <w:tab w:val="left" w:pos="1134"/>
                <w:tab w:val="left" w:pos="1701"/>
                <w:tab w:val="left" w:pos="2268"/>
              </w:tabs>
              <w:jc w:val="center"/>
            </w:pPr>
            <w:r>
              <w:t>70 200</w:t>
            </w:r>
          </w:p>
        </w:tc>
        <w:tc>
          <w:tcPr>
            <w:tcW w:w="2231" w:type="dxa"/>
          </w:tcPr>
          <w:p w:rsidR="00000000" w:rsidRDefault="00000000">
            <w:pPr>
              <w:tabs>
                <w:tab w:val="clear" w:pos="6237"/>
                <w:tab w:val="left" w:pos="567"/>
                <w:tab w:val="left" w:pos="1134"/>
                <w:tab w:val="left" w:pos="1701"/>
                <w:tab w:val="left" w:pos="2268"/>
              </w:tabs>
              <w:jc w:val="center"/>
            </w:pPr>
            <w:proofErr w:type="spellStart"/>
            <w:r>
              <w:t>88,7%</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Легкой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7 345</w:t>
            </w:r>
          </w:p>
        </w:tc>
        <w:tc>
          <w:tcPr>
            <w:tcW w:w="2231" w:type="dxa"/>
          </w:tcPr>
          <w:p w:rsidR="00000000" w:rsidRDefault="00000000">
            <w:pPr>
              <w:tabs>
                <w:tab w:val="clear" w:pos="6237"/>
                <w:tab w:val="left" w:pos="567"/>
                <w:tab w:val="left" w:pos="1134"/>
                <w:tab w:val="left" w:pos="1701"/>
                <w:tab w:val="left" w:pos="2268"/>
              </w:tabs>
              <w:jc w:val="center"/>
            </w:pPr>
            <w:proofErr w:type="spellStart"/>
            <w:r>
              <w:t>99,4%</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Металлургической и горной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15 675</w:t>
            </w:r>
          </w:p>
        </w:tc>
        <w:tc>
          <w:tcPr>
            <w:tcW w:w="2231" w:type="dxa"/>
          </w:tcPr>
          <w:p w:rsidR="00000000" w:rsidRDefault="00000000">
            <w:pPr>
              <w:tabs>
                <w:tab w:val="clear" w:pos="6237"/>
                <w:tab w:val="left" w:pos="567"/>
                <w:tab w:val="left" w:pos="1134"/>
                <w:tab w:val="left" w:pos="1701"/>
                <w:tab w:val="left" w:pos="2268"/>
              </w:tabs>
              <w:jc w:val="center"/>
            </w:pPr>
            <w:proofErr w:type="spellStart"/>
            <w:r>
              <w:t>95%</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Академии наук</w:t>
            </w:r>
          </w:p>
        </w:tc>
        <w:tc>
          <w:tcPr>
            <w:tcW w:w="1559" w:type="dxa"/>
          </w:tcPr>
          <w:p w:rsidR="00000000" w:rsidRDefault="00000000">
            <w:pPr>
              <w:tabs>
                <w:tab w:val="clear" w:pos="6237"/>
                <w:tab w:val="left" w:pos="567"/>
                <w:tab w:val="left" w:pos="1134"/>
                <w:tab w:val="left" w:pos="1701"/>
                <w:tab w:val="left" w:pos="2268"/>
              </w:tabs>
              <w:jc w:val="center"/>
            </w:pPr>
            <w:r>
              <w:t>7 600</w:t>
            </w:r>
          </w:p>
        </w:tc>
        <w:tc>
          <w:tcPr>
            <w:tcW w:w="2231" w:type="dxa"/>
          </w:tcPr>
          <w:p w:rsidR="00000000" w:rsidRDefault="00000000">
            <w:pPr>
              <w:tabs>
                <w:tab w:val="clear" w:pos="6237"/>
                <w:tab w:val="left" w:pos="567"/>
                <w:tab w:val="left" w:pos="1134"/>
                <w:tab w:val="left" w:pos="1701"/>
                <w:tab w:val="left" w:pos="2268"/>
              </w:tabs>
              <w:jc w:val="center"/>
            </w:pPr>
            <w:proofErr w:type="spellStart"/>
            <w:r>
              <w:t>91,5%</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Малого бизнеса</w:t>
            </w:r>
          </w:p>
        </w:tc>
        <w:tc>
          <w:tcPr>
            <w:tcW w:w="1559" w:type="dxa"/>
          </w:tcPr>
          <w:p w:rsidR="00000000" w:rsidRDefault="00000000">
            <w:pPr>
              <w:tabs>
                <w:tab w:val="clear" w:pos="6237"/>
                <w:tab w:val="left" w:pos="567"/>
                <w:tab w:val="left" w:pos="1134"/>
                <w:tab w:val="left" w:pos="1701"/>
                <w:tab w:val="left" w:pos="2268"/>
              </w:tabs>
              <w:jc w:val="center"/>
            </w:pPr>
            <w:r>
              <w:t>2 250</w:t>
            </w:r>
          </w:p>
        </w:tc>
        <w:tc>
          <w:tcPr>
            <w:tcW w:w="2231" w:type="dxa"/>
          </w:tcPr>
          <w:p w:rsidR="00000000" w:rsidRDefault="00000000">
            <w:pPr>
              <w:tabs>
                <w:tab w:val="clear" w:pos="6237"/>
                <w:tab w:val="left" w:pos="567"/>
                <w:tab w:val="left" w:pos="1134"/>
                <w:tab w:val="left" w:pos="1701"/>
                <w:tab w:val="left" w:pos="2268"/>
              </w:tabs>
              <w:jc w:val="center"/>
            </w:pPr>
            <w:r>
              <w:t>50%</w:t>
            </w:r>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Нефтяной и газовой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6  311</w:t>
            </w:r>
          </w:p>
        </w:tc>
        <w:tc>
          <w:tcPr>
            <w:tcW w:w="2231" w:type="dxa"/>
          </w:tcPr>
          <w:p w:rsidR="00000000" w:rsidRDefault="00000000">
            <w:pPr>
              <w:tabs>
                <w:tab w:val="clear" w:pos="6237"/>
                <w:tab w:val="left" w:pos="567"/>
                <w:tab w:val="left" w:pos="1134"/>
                <w:tab w:val="left" w:pos="1701"/>
                <w:tab w:val="left" w:pos="2268"/>
              </w:tabs>
              <w:jc w:val="center"/>
            </w:pPr>
            <w:proofErr w:type="spellStart"/>
            <w:r>
              <w:t>97,1%</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Угольной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3 000</w:t>
            </w:r>
          </w:p>
        </w:tc>
        <w:tc>
          <w:tcPr>
            <w:tcW w:w="2231" w:type="dxa"/>
          </w:tcPr>
          <w:p w:rsidR="00000000" w:rsidRDefault="00000000">
            <w:pPr>
              <w:tabs>
                <w:tab w:val="clear" w:pos="6237"/>
                <w:tab w:val="left" w:pos="567"/>
                <w:tab w:val="left" w:pos="1134"/>
                <w:tab w:val="left" w:pos="1701"/>
                <w:tab w:val="left" w:pos="2268"/>
              </w:tabs>
              <w:jc w:val="center"/>
            </w:pPr>
            <w:proofErr w:type="spellStart"/>
            <w:r>
              <w:t>100%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Футбола</w:t>
            </w:r>
          </w:p>
        </w:tc>
        <w:tc>
          <w:tcPr>
            <w:tcW w:w="1559" w:type="dxa"/>
          </w:tcPr>
          <w:p w:rsidR="00000000" w:rsidRDefault="00000000">
            <w:pPr>
              <w:tabs>
                <w:tab w:val="clear" w:pos="6237"/>
                <w:tab w:val="left" w:pos="567"/>
                <w:tab w:val="left" w:pos="1134"/>
                <w:tab w:val="left" w:pos="1701"/>
                <w:tab w:val="left" w:pos="2268"/>
              </w:tabs>
              <w:jc w:val="center"/>
            </w:pPr>
            <w:r>
              <w:t>1 500</w:t>
            </w:r>
          </w:p>
        </w:tc>
        <w:tc>
          <w:tcPr>
            <w:tcW w:w="2231" w:type="dxa"/>
          </w:tcPr>
          <w:p w:rsidR="00000000" w:rsidRDefault="00000000">
            <w:pPr>
              <w:tabs>
                <w:tab w:val="clear" w:pos="6237"/>
                <w:tab w:val="left" w:pos="567"/>
                <w:tab w:val="left" w:pos="1134"/>
                <w:tab w:val="left" w:pos="1701"/>
                <w:tab w:val="left" w:pos="2268"/>
              </w:tabs>
              <w:jc w:val="center"/>
            </w:pPr>
            <w:proofErr w:type="spellStart"/>
            <w:r>
              <w:t>83,3%</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Журналистики и полиграфии</w:t>
            </w:r>
          </w:p>
        </w:tc>
        <w:tc>
          <w:tcPr>
            <w:tcW w:w="1559" w:type="dxa"/>
          </w:tcPr>
          <w:p w:rsidR="00000000" w:rsidRDefault="00000000">
            <w:pPr>
              <w:tabs>
                <w:tab w:val="clear" w:pos="6237"/>
                <w:tab w:val="left" w:pos="567"/>
                <w:tab w:val="left" w:pos="1134"/>
                <w:tab w:val="left" w:pos="1701"/>
                <w:tab w:val="left" w:pos="2268"/>
              </w:tabs>
              <w:jc w:val="center"/>
            </w:pPr>
            <w:r>
              <w:t>2 500</w:t>
            </w:r>
          </w:p>
        </w:tc>
        <w:tc>
          <w:tcPr>
            <w:tcW w:w="2231" w:type="dxa"/>
          </w:tcPr>
          <w:p w:rsidR="00000000" w:rsidRDefault="00000000">
            <w:pPr>
              <w:tabs>
                <w:tab w:val="clear" w:pos="6237"/>
                <w:tab w:val="left" w:pos="567"/>
                <w:tab w:val="left" w:pos="1134"/>
                <w:tab w:val="left" w:pos="1701"/>
                <w:tab w:val="left" w:pos="2268"/>
              </w:tabs>
              <w:jc w:val="center"/>
            </w:pPr>
            <w:proofErr w:type="spellStart"/>
            <w:r>
              <w:t>75,75%</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Железнодорожников</w:t>
            </w:r>
          </w:p>
        </w:tc>
        <w:tc>
          <w:tcPr>
            <w:tcW w:w="1559" w:type="dxa"/>
          </w:tcPr>
          <w:p w:rsidR="00000000" w:rsidRDefault="00000000">
            <w:pPr>
              <w:tabs>
                <w:tab w:val="clear" w:pos="6237"/>
                <w:tab w:val="left" w:pos="567"/>
                <w:tab w:val="left" w:pos="1134"/>
                <w:tab w:val="left" w:pos="1701"/>
                <w:tab w:val="left" w:pos="2268"/>
              </w:tabs>
              <w:jc w:val="center"/>
            </w:pPr>
            <w:r>
              <w:t>23 913</w:t>
            </w:r>
          </w:p>
        </w:tc>
        <w:tc>
          <w:tcPr>
            <w:tcW w:w="2231" w:type="dxa"/>
          </w:tcPr>
          <w:p w:rsidR="00000000" w:rsidRDefault="00000000">
            <w:pPr>
              <w:tabs>
                <w:tab w:val="clear" w:pos="6237"/>
                <w:tab w:val="left" w:pos="567"/>
                <w:tab w:val="left" w:pos="1134"/>
                <w:tab w:val="left" w:pos="1701"/>
                <w:tab w:val="left" w:pos="2268"/>
              </w:tabs>
              <w:jc w:val="center"/>
            </w:pPr>
            <w:proofErr w:type="spellStart"/>
            <w:r>
              <w:t>109,34%</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Спорта</w:t>
            </w:r>
          </w:p>
        </w:tc>
        <w:tc>
          <w:tcPr>
            <w:tcW w:w="1559" w:type="dxa"/>
          </w:tcPr>
          <w:p w:rsidR="00000000" w:rsidRDefault="00000000">
            <w:pPr>
              <w:tabs>
                <w:tab w:val="clear" w:pos="6237"/>
                <w:tab w:val="left" w:pos="567"/>
                <w:tab w:val="left" w:pos="1134"/>
                <w:tab w:val="left" w:pos="1701"/>
                <w:tab w:val="left" w:pos="2268"/>
              </w:tabs>
              <w:jc w:val="center"/>
            </w:pPr>
            <w:r>
              <w:t>7 050</w:t>
            </w:r>
          </w:p>
        </w:tc>
        <w:tc>
          <w:tcPr>
            <w:tcW w:w="2231" w:type="dxa"/>
          </w:tcPr>
          <w:p w:rsidR="00000000" w:rsidRDefault="00000000">
            <w:pPr>
              <w:tabs>
                <w:tab w:val="clear" w:pos="6237"/>
                <w:tab w:val="left" w:pos="567"/>
                <w:tab w:val="left" w:pos="1134"/>
                <w:tab w:val="left" w:pos="1701"/>
                <w:tab w:val="left" w:pos="2268"/>
              </w:tabs>
              <w:jc w:val="center"/>
            </w:pPr>
            <w:proofErr w:type="spellStart"/>
            <w:r>
              <w:t>99%</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Автомобильного транспорта и дорог</w:t>
            </w:r>
          </w:p>
        </w:tc>
        <w:tc>
          <w:tcPr>
            <w:tcW w:w="1559" w:type="dxa"/>
          </w:tcPr>
          <w:p w:rsidR="00000000" w:rsidRDefault="00000000">
            <w:pPr>
              <w:tabs>
                <w:tab w:val="clear" w:pos="6237"/>
                <w:tab w:val="left" w:pos="567"/>
                <w:tab w:val="left" w:pos="1134"/>
                <w:tab w:val="left" w:pos="1701"/>
                <w:tab w:val="left" w:pos="2268"/>
              </w:tabs>
              <w:jc w:val="center"/>
            </w:pPr>
            <w:r>
              <w:t>18 000</w:t>
            </w:r>
          </w:p>
        </w:tc>
        <w:tc>
          <w:tcPr>
            <w:tcW w:w="2231" w:type="dxa"/>
          </w:tcPr>
          <w:p w:rsidR="00000000" w:rsidRDefault="00000000">
            <w:pPr>
              <w:tabs>
                <w:tab w:val="clear" w:pos="6237"/>
                <w:tab w:val="left" w:pos="567"/>
                <w:tab w:val="left" w:pos="1134"/>
                <w:tab w:val="left" w:pos="1701"/>
                <w:tab w:val="left" w:pos="2268"/>
              </w:tabs>
              <w:jc w:val="center"/>
            </w:pPr>
            <w:proofErr w:type="spellStart"/>
            <w:r>
              <w:t>78,26%</w:t>
            </w:r>
            <w:proofErr w:type="spellEnd"/>
          </w:p>
        </w:tc>
      </w:tr>
    </w:tbl>
    <w:p w:rsidR="00000000" w:rsidRDefault="00000000">
      <w:pPr>
        <w:pStyle w:val="FootnoteText"/>
        <w:spacing w:line="288"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559"/>
        <w:gridCol w:w="2231"/>
      </w:tblGrid>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Автомобильного и сельскохозяйственного машиностроения</w:t>
            </w:r>
          </w:p>
        </w:tc>
        <w:tc>
          <w:tcPr>
            <w:tcW w:w="1559" w:type="dxa"/>
          </w:tcPr>
          <w:p w:rsidR="00000000" w:rsidRDefault="00000000">
            <w:pPr>
              <w:tabs>
                <w:tab w:val="clear" w:pos="6237"/>
                <w:tab w:val="left" w:pos="567"/>
                <w:tab w:val="left" w:pos="1134"/>
                <w:tab w:val="left" w:pos="1701"/>
                <w:tab w:val="left" w:pos="2268"/>
              </w:tabs>
              <w:jc w:val="center"/>
            </w:pPr>
            <w:r>
              <w:t>10 200</w:t>
            </w:r>
          </w:p>
        </w:tc>
        <w:tc>
          <w:tcPr>
            <w:tcW w:w="2231" w:type="dxa"/>
          </w:tcPr>
          <w:p w:rsidR="00000000" w:rsidRDefault="00000000">
            <w:pPr>
              <w:tabs>
                <w:tab w:val="clear" w:pos="6237"/>
                <w:tab w:val="left" w:pos="567"/>
                <w:tab w:val="left" w:pos="1134"/>
                <w:tab w:val="left" w:pos="1701"/>
                <w:tab w:val="left" w:pos="2268"/>
              </w:tabs>
              <w:jc w:val="center"/>
            </w:pPr>
            <w:proofErr w:type="spellStart"/>
            <w:r>
              <w:t>82,9%</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Морского транспорта</w:t>
            </w:r>
          </w:p>
        </w:tc>
        <w:tc>
          <w:tcPr>
            <w:tcW w:w="1559" w:type="dxa"/>
          </w:tcPr>
          <w:p w:rsidR="00000000" w:rsidRDefault="00000000">
            <w:pPr>
              <w:tabs>
                <w:tab w:val="clear" w:pos="6237"/>
                <w:tab w:val="left" w:pos="567"/>
                <w:tab w:val="left" w:pos="1134"/>
                <w:tab w:val="left" w:pos="1701"/>
                <w:tab w:val="left" w:pos="2268"/>
              </w:tabs>
              <w:jc w:val="center"/>
            </w:pPr>
            <w:r>
              <w:t>7 738</w:t>
            </w:r>
          </w:p>
        </w:tc>
        <w:tc>
          <w:tcPr>
            <w:tcW w:w="2231" w:type="dxa"/>
          </w:tcPr>
          <w:p w:rsidR="00000000" w:rsidRDefault="00000000">
            <w:pPr>
              <w:tabs>
                <w:tab w:val="clear" w:pos="6237"/>
                <w:tab w:val="left" w:pos="567"/>
                <w:tab w:val="left" w:pos="1134"/>
                <w:tab w:val="left" w:pos="1701"/>
                <w:tab w:val="left" w:pos="2268"/>
              </w:tabs>
              <w:jc w:val="center"/>
            </w:pPr>
            <w:proofErr w:type="spellStart"/>
            <w:r>
              <w:t>99,08%</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Лесной, бумажной и деревообрабатывающей промышленности</w:t>
            </w:r>
          </w:p>
        </w:tc>
        <w:tc>
          <w:tcPr>
            <w:tcW w:w="1559" w:type="dxa"/>
          </w:tcPr>
          <w:p w:rsidR="00000000" w:rsidRDefault="00000000">
            <w:pPr>
              <w:tabs>
                <w:tab w:val="clear" w:pos="6237"/>
                <w:tab w:val="left" w:pos="567"/>
                <w:tab w:val="left" w:pos="1134"/>
                <w:tab w:val="left" w:pos="1701"/>
                <w:tab w:val="left" w:pos="2268"/>
              </w:tabs>
              <w:jc w:val="center"/>
            </w:pPr>
            <w:r>
              <w:t>9 600</w:t>
            </w:r>
          </w:p>
        </w:tc>
        <w:tc>
          <w:tcPr>
            <w:tcW w:w="2231" w:type="dxa"/>
          </w:tcPr>
          <w:p w:rsidR="00000000" w:rsidRDefault="00000000">
            <w:pPr>
              <w:tabs>
                <w:tab w:val="clear" w:pos="6237"/>
                <w:tab w:val="left" w:pos="567"/>
                <w:tab w:val="left" w:pos="1134"/>
                <w:tab w:val="left" w:pos="1701"/>
                <w:tab w:val="left" w:pos="2268"/>
              </w:tabs>
              <w:jc w:val="center"/>
            </w:pPr>
            <w:proofErr w:type="spellStart"/>
            <w:r>
              <w:t>80%</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Публичной службы и общественных организаций</w:t>
            </w:r>
          </w:p>
        </w:tc>
        <w:tc>
          <w:tcPr>
            <w:tcW w:w="1559" w:type="dxa"/>
          </w:tcPr>
          <w:p w:rsidR="00000000" w:rsidRDefault="00000000">
            <w:pPr>
              <w:tabs>
                <w:tab w:val="clear" w:pos="6237"/>
                <w:tab w:val="left" w:pos="567"/>
                <w:tab w:val="left" w:pos="1134"/>
                <w:tab w:val="left" w:pos="1701"/>
                <w:tab w:val="left" w:pos="2268"/>
              </w:tabs>
              <w:jc w:val="center"/>
            </w:pPr>
            <w:r>
              <w:t>41 828</w:t>
            </w:r>
          </w:p>
        </w:tc>
        <w:tc>
          <w:tcPr>
            <w:tcW w:w="2231" w:type="dxa"/>
          </w:tcPr>
          <w:p w:rsidR="00000000" w:rsidRDefault="00000000">
            <w:pPr>
              <w:tabs>
                <w:tab w:val="clear" w:pos="6237"/>
                <w:tab w:val="left" w:pos="567"/>
                <w:tab w:val="left" w:pos="1134"/>
                <w:tab w:val="left" w:pos="1701"/>
                <w:tab w:val="left" w:pos="2268"/>
              </w:tabs>
              <w:jc w:val="center"/>
            </w:pPr>
            <w:proofErr w:type="spellStart"/>
            <w:r>
              <w:t>85,8%</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Государственного авиационного производственного объединения</w:t>
            </w:r>
          </w:p>
        </w:tc>
        <w:tc>
          <w:tcPr>
            <w:tcW w:w="1559" w:type="dxa"/>
          </w:tcPr>
          <w:p w:rsidR="00000000" w:rsidRDefault="00000000">
            <w:pPr>
              <w:tabs>
                <w:tab w:val="clear" w:pos="6237"/>
                <w:tab w:val="left" w:pos="567"/>
                <w:tab w:val="left" w:pos="1134"/>
                <w:tab w:val="left" w:pos="1701"/>
                <w:tab w:val="left" w:pos="2268"/>
              </w:tabs>
              <w:jc w:val="center"/>
            </w:pPr>
            <w:r>
              <w:t>1.735</w:t>
            </w:r>
          </w:p>
        </w:tc>
        <w:tc>
          <w:tcPr>
            <w:tcW w:w="2231" w:type="dxa"/>
          </w:tcPr>
          <w:p w:rsidR="00000000" w:rsidRDefault="00000000">
            <w:pPr>
              <w:tabs>
                <w:tab w:val="clear" w:pos="6237"/>
                <w:tab w:val="left" w:pos="567"/>
                <w:tab w:val="left" w:pos="1134"/>
                <w:tab w:val="left" w:pos="1701"/>
                <w:tab w:val="left" w:pos="2268"/>
              </w:tabs>
              <w:jc w:val="center"/>
            </w:pPr>
            <w:proofErr w:type="spellStart"/>
            <w:r>
              <w:t>86,6%</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Сельского хозяйства и перерабатывающей промышленности</w:t>
            </w:r>
          </w:p>
        </w:tc>
        <w:tc>
          <w:tcPr>
            <w:tcW w:w="1559" w:type="dxa"/>
          </w:tcPr>
          <w:p w:rsidR="00000000" w:rsidRDefault="00000000">
            <w:pPr>
              <w:tabs>
                <w:tab w:val="clear" w:pos="6237"/>
                <w:tab w:val="left" w:pos="567"/>
                <w:tab w:val="left" w:pos="1134"/>
                <w:tab w:val="left" w:pos="1701"/>
                <w:tab w:val="left" w:pos="2268"/>
              </w:tabs>
              <w:jc w:val="center"/>
            </w:pPr>
            <w:r>
              <w:t>226 000</w:t>
            </w:r>
          </w:p>
        </w:tc>
        <w:tc>
          <w:tcPr>
            <w:tcW w:w="2231" w:type="dxa"/>
          </w:tcPr>
          <w:p w:rsidR="00000000" w:rsidRDefault="00000000">
            <w:pPr>
              <w:tabs>
                <w:tab w:val="clear" w:pos="6237"/>
                <w:tab w:val="left" w:pos="567"/>
                <w:tab w:val="left" w:pos="1134"/>
                <w:tab w:val="left" w:pos="1701"/>
                <w:tab w:val="left" w:pos="2268"/>
              </w:tabs>
              <w:jc w:val="center"/>
            </w:pPr>
            <w:proofErr w:type="spellStart"/>
            <w:r>
              <w:t>98,26%</w:t>
            </w:r>
            <w:proofErr w:type="spellEnd"/>
          </w:p>
        </w:tc>
      </w:tr>
      <w:tr w:rsidR="00000000">
        <w:tblPrEx>
          <w:tblCellMar>
            <w:top w:w="0" w:type="dxa"/>
            <w:bottom w:w="0" w:type="dxa"/>
          </w:tblCellMar>
        </w:tblPrEx>
        <w:tc>
          <w:tcPr>
            <w:tcW w:w="5495" w:type="dxa"/>
          </w:tcPr>
          <w:p w:rsidR="00000000" w:rsidRDefault="00000000">
            <w:pPr>
              <w:tabs>
                <w:tab w:val="clear" w:pos="6237"/>
                <w:tab w:val="left" w:pos="567"/>
                <w:tab w:val="left" w:pos="1134"/>
                <w:tab w:val="left" w:pos="1701"/>
                <w:tab w:val="left" w:pos="2268"/>
              </w:tabs>
            </w:pPr>
            <w:r>
              <w:t>Химической, медицинской и топливной промышленности</w:t>
            </w:r>
          </w:p>
        </w:tc>
        <w:tc>
          <w:tcPr>
            <w:tcW w:w="1559" w:type="dxa"/>
          </w:tcPr>
          <w:p w:rsidR="00000000" w:rsidRDefault="00000000">
            <w:pPr>
              <w:tabs>
                <w:tab w:val="clear" w:pos="6237"/>
                <w:tab w:val="left" w:pos="567"/>
                <w:tab w:val="left" w:pos="1134"/>
                <w:tab w:val="left" w:pos="1701"/>
                <w:tab w:val="left" w:pos="2268"/>
              </w:tabs>
              <w:jc w:val="center"/>
            </w:pPr>
            <w:r>
              <w:t>8 400</w:t>
            </w:r>
          </w:p>
        </w:tc>
        <w:tc>
          <w:tcPr>
            <w:tcW w:w="2231" w:type="dxa"/>
          </w:tcPr>
          <w:p w:rsidR="00000000" w:rsidRDefault="00000000">
            <w:pPr>
              <w:tabs>
                <w:tab w:val="clear" w:pos="6237"/>
                <w:tab w:val="left" w:pos="567"/>
                <w:tab w:val="left" w:pos="1134"/>
                <w:tab w:val="left" w:pos="1701"/>
                <w:tab w:val="left" w:pos="2268"/>
              </w:tabs>
              <w:jc w:val="center"/>
            </w:pPr>
            <w:proofErr w:type="spellStart"/>
            <w:r>
              <w:t>92,24%</w:t>
            </w:r>
            <w:proofErr w:type="spellEnd"/>
          </w:p>
        </w:tc>
      </w:tr>
    </w:tbl>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ab/>
      </w:r>
      <w:r>
        <w:rPr>
          <w:i/>
          <w:iCs/>
        </w:rPr>
        <w:t>Примечание</w:t>
      </w:r>
      <w:r>
        <w:t>:  В двух случаях число членов профсоюзов превышает количество занятых в отрасли работников ввиду большого числа пенсионеров, не вышедших из профсоюза.</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 праве на забастовку</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499.</w:t>
      </w:r>
      <w:r>
        <w:tab/>
        <w:t>Конституция (статья 33) признает право на забастовку, оговаривая вместе с тем, что порядок осуществления этого права определяется законом.  Согласно Конституции, Закон устанавливает также гарантии деятельности жизненно важных служб.</w:t>
      </w:r>
    </w:p>
    <w:p w:rsidR="00000000" w:rsidRDefault="00000000">
      <w:pPr>
        <w:tabs>
          <w:tab w:val="clear" w:pos="6237"/>
          <w:tab w:val="left" w:pos="567"/>
          <w:tab w:val="left" w:pos="1134"/>
          <w:tab w:val="left" w:pos="1701"/>
          <w:tab w:val="left" w:pos="2268"/>
        </w:tabs>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500.</w:t>
      </w:r>
      <w:r>
        <w:rPr>
          <w:sz w:val="24"/>
        </w:rPr>
        <w:tab/>
        <w:t>Порядок организации и проведения забастовок регламентируется Законом "О порядке разрешения коллективных трудовых споров".  Не имеют права устраивать забастовку или участвовать в ней работники полиции (Закон "О полиции", статья 21), прокуратуры (Закон "О прокуратуре", статья 31), государственной безопасности (Закон "О службе государственной безопасности", статья 2).</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23</w:t>
      </w:r>
    </w:p>
    <w:p w:rsidR="00000000" w:rsidRDefault="00000000">
      <w:pPr>
        <w:tabs>
          <w:tab w:val="clear" w:pos="6237"/>
          <w:tab w:val="left" w:pos="567"/>
          <w:tab w:val="left" w:pos="1134"/>
          <w:tab w:val="left" w:pos="1701"/>
          <w:tab w:val="left" w:pos="2268"/>
        </w:tabs>
        <w:rPr>
          <w:b/>
          <w:u w:val="single"/>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501.</w:t>
      </w:r>
      <w:r>
        <w:rPr>
          <w:sz w:val="24"/>
        </w:rPr>
        <w:tab/>
        <w:t>По Конституции (статья 36), брак как добровольный союз основывается на равноправии супругов; государство содействует благосостоянию семьи.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502.</w:t>
      </w:r>
      <w:r>
        <w:tab/>
        <w:t>В соответствии с Гражданским кодексом брак является добровольным союзом мужчины и женщины с целью создания семьи, который зарегистрирован в государственном органе регистрации гражданского состояния (статья 1106).  Условиями, необходимыми для вступления в брак, являются достижение брачного возраста и согласие вступающих в брак лиц (статья 1107).  Вступать в брак могут лица, достигшие 18-летнего возраста.  В исключительных случаях допускается вступление в брак с 16-летнего возраста, при наличии письменного согласия родителей или других законных представителей.  Если родители (законные представители) отказываются дать такое согласие, то при наличии уважительных причин и на основании заявления лиц, намеревающихся вступить в брак, разрешение на брак может быть дано судом (статья 1108).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503.</w:t>
      </w:r>
      <w:r>
        <w:tab/>
        <w:t>В Грузии для вступления в брак иностранцев необходимо наличие выданной соответствующими органами их страны справки о том, что не существует обстоятельств, препятствующих этому браку.  Этот порядок, однако, не применяется к лицам без гражданства либо гражданам тех государств, где подобные справки не выдаются (статья 1118).</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504.</w:t>
      </w:r>
      <w:r>
        <w:rPr>
          <w:sz w:val="24"/>
        </w:rPr>
        <w:tab/>
        <w:t>Брак не может заключаться: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между  лицами, из которых по крайней мере одно состоит в браке;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между прямыми родственниками по восходящей и нисходящей линии;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между родными и неродными братьями и сестрами;</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left="1134" w:hanging="1134"/>
        <w:jc w:val="left"/>
        <w:rPr>
          <w:sz w:val="24"/>
        </w:rPr>
      </w:pPr>
      <w:r>
        <w:rPr>
          <w:sz w:val="24"/>
        </w:rPr>
        <w:tab/>
        <w:t>-</w:t>
      </w:r>
      <w:r>
        <w:rPr>
          <w:sz w:val="24"/>
        </w:rPr>
        <w:tab/>
        <w:t>между лицами, по крайней мере одно из которых объявлено  судом недееспособным (статья 1120).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505.</w:t>
      </w:r>
      <w:r>
        <w:tab/>
        <w:t>Статья 1151 Гражданского кодекса гласит, что права  и обязанности супругов возникают лишь в результате брака, зарегистрированного в органах регистрации гражданского состояния.  Регламентируя  упомянутые аспекты брачных отношений, настоящий Кодекс особо подчеркивает как равноправие супругов (статья 1152), так и недопустимость какой-либо дискриминации (статья 1153).  Кодекс предусматривает  за каждым из супругов право на свободный выбор  вида деятельности и профессии, места проживания (если только в последнем случае не возникает противоречия с интересами семьи).  При этом вопросы воспитания детей  и другие связанные с семьей проблемы супруги решают совместно (статья 1155 - 1157).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506.</w:t>
      </w:r>
      <w:r>
        <w:tab/>
        <w:t>Гражданский кодекс устанавливает право супругов по своему желанию избирать фамилию одного из них своей общей фамилией, либо сохранить за собой свою добрачную фамилию, либо присоединить свою фамилию к фамилии супруга (статья 1154).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507.</w:t>
      </w:r>
      <w:r>
        <w:tab/>
        <w:t>Гражданский кодекс регламентирует установленные законом имущественные права и обязанности супругов, в частности, такие вопросы, как: совместная собственность, равенство прав на нее и управление по взаимному соглашению (статья 1158 - 1160); индивидуальная собственность (статья 1161);  раздел общего имущества (статьи 1161, 1166, 1167)  и др.  Кодекс налагает  на супругов обязанность материально помогать другу и регулирует связанные с этим проблемы (статья 1182 - 1186).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508.</w:t>
      </w:r>
      <w:r>
        <w:tab/>
        <w:t>Гражданский кодекс законодательно упорядочивает и сферу взаимоотношений между родителями и детьми.  В качестве основания возникновения взаимных прав и обязанностей родителей и детей  Кодекс устанавливает подтвержденное в законном порядке происхождение детей (статья 1188).  В Кодексе отмечается, что по отношению к своим детям родители имеют равные права и обязанности, вне зависимости от того, состоят ли они в браке или развелись (статья 1197 и 1199).  Все связанные с воспитанием детей вопросы родители решают по взаимному согласию, а при отсутствии такового спорный вопрос разрешается судом при участии родителей (статья 1200).  Родитель, не живущий вместе с ребенком, вправе иметь отношения с ребенком и обязан принимать участие в его воспитании.  Родитель, с которым живет ребенок, не имеет права мешать второму родителю иметь отношения с ребенком и участвовать в его воспитании (статья 1202).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509.</w:t>
      </w:r>
      <w:r>
        <w:tab/>
        <w:t>Кодекс в качестве крайней меры и исключительно в интересах ребенка предусматривает возможность лишения в судебном порядке одного или обоих супругов родительских прав.  При этом родители не освобождаются от обязанности содержать ребенка (статья 1205).  Сам ребенок сохраняет право на жилище, а также основанные на родстве имущественные права, в том числе право на получение наследства от лишенных  родительских прав отца и/или матери (статьи 1205, 1207).  Суд, вынося решение о лишении одного из родителей его родительских прав, одновременно решает вопрос о взимании с этого лица алиментов (статья 1206).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510.</w:t>
      </w:r>
      <w:r>
        <w:tab/>
        <w:t>Специальная глава Гражданского кодекса регламентирует алиментные обязанности родителей и детей.  Согласно статье 1212, родители обязаны содержать своих несовершеннолетних детей, а также нетрудоспособных детей, нуждающихся в помощи.  В свою очередь, и дети обязаны заботиться о своих родителях и помогать им  (статья  1218).  Кодекс устанавливает как формы, так и объем, в  котором должны осуществляться алиментные обязанности.</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511.</w:t>
      </w:r>
      <w:r>
        <w:rPr>
          <w:sz w:val="24"/>
        </w:rPr>
        <w:tab/>
        <w:t>Основаниями для прекращения брака являются:  а)  смерть одного из супругов; б)  объявление в установленном законом порядке одного из супругов умершим;  в)  развод.  При наличии обоюдного согласия супругов, не имеющих несовершеннолетних детей, либо по заявлению одного из супругов, в случаях, когда второй супруг признан без вести пропавшим, недееспособным по душевной болезни либо отбывает наказание сроком не менее трех лет, развод осуществляется органом регистрации гражданского состояния (статьи 1124, 1125).  Во всех иных случаях брак прекращается в судебном порядке.</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512.</w:t>
      </w:r>
      <w:r>
        <w:rPr>
          <w:sz w:val="24"/>
        </w:rPr>
        <w:tab/>
        <w:t>В период беременности жены и в течение одного года после рождения ребенка муж не имеет права возбуждать дело о разводе без согласия жены (статья 1123).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513.</w:t>
      </w:r>
      <w:r>
        <w:tab/>
        <w:t>При вынесении решения о разводе суд, в случае необходимости, принимает меры для защиты интересов малолетних детей и нетрудоспособного супруга.  Если супруги не договорились относительно места жительства детей после развода и суммы на содержание детей, суд обязан наряду с разводом определить также, какой ребенок с каким родителем остается и какой родитель в каком объеме должен выплачивать содержание (алименты) (статья 1127, 1128).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514.</w:t>
      </w:r>
      <w:r>
        <w:tab/>
        <w:t xml:space="preserve">Как показывают приведенные выше положения Гражданского кодекса, в брачных и семейных отношениях в Грузии законодательно обеспечиваются принципы равноправия и </w:t>
      </w:r>
      <w:proofErr w:type="spellStart"/>
      <w:r>
        <w:t>недискриминации</w:t>
      </w:r>
      <w:proofErr w:type="spellEnd"/>
      <w:r>
        <w:t>.  В этом смысле имеется полное соответствие с требованиями статьи 23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515.</w:t>
      </w:r>
      <w:r>
        <w:tab/>
        <w:t>В контексте данной статьи Пакта представляется целесообразным сослаться на первоначальный доклад Грузии об осуществлении Конвенции о ликвидации всех форм дискриминации женщин (пункты 124 - 143).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516.</w:t>
      </w:r>
      <w:r>
        <w:tab/>
        <w:t>Ниже приводятся статистические данные о браках и разводах в Грузии в период, прошедший с момента представления первоначального доклада по 1998 год.</w:t>
      </w:r>
    </w:p>
    <w:p w:rsidR="00000000" w:rsidRDefault="00000000">
      <w:pPr>
        <w:tabs>
          <w:tab w:val="clear" w:pos="6237"/>
          <w:tab w:val="left" w:pos="567"/>
          <w:tab w:val="left" w:pos="1134"/>
          <w:tab w:val="left" w:pos="1701"/>
          <w:tab w:val="left" w:pos="2268"/>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59"/>
        <w:gridCol w:w="1701"/>
        <w:gridCol w:w="2409"/>
        <w:gridCol w:w="2552"/>
      </w:tblGrid>
      <w:tr w:rsidR="00000000">
        <w:tblPrEx>
          <w:tblCellMar>
            <w:top w:w="0" w:type="dxa"/>
            <w:bottom w:w="0" w:type="dxa"/>
          </w:tblCellMar>
        </w:tblPrEx>
        <w:tc>
          <w:tcPr>
            <w:tcW w:w="851" w:type="dxa"/>
          </w:tcPr>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Годы</w:t>
            </w:r>
          </w:p>
        </w:tc>
        <w:tc>
          <w:tcPr>
            <w:tcW w:w="155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Браки</w:t>
            </w:r>
          </w:p>
        </w:tc>
        <w:tc>
          <w:tcPr>
            <w:tcW w:w="1701"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Разводы</w:t>
            </w:r>
          </w:p>
        </w:tc>
        <w:tc>
          <w:tcPr>
            <w:tcW w:w="240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Браки (на 1000 чел.)</w:t>
            </w:r>
          </w:p>
        </w:tc>
        <w:tc>
          <w:tcPr>
            <w:tcW w:w="2552"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Разводы (на 1000 чел.)</w:t>
            </w:r>
          </w:p>
        </w:tc>
      </w:tr>
      <w:tr w:rsidR="00000000">
        <w:tblPrEx>
          <w:tblCellMar>
            <w:top w:w="0" w:type="dxa"/>
            <w:bottom w:w="0" w:type="dxa"/>
          </w:tblCellMar>
        </w:tblPrEx>
        <w:tc>
          <w:tcPr>
            <w:tcW w:w="851" w:type="dxa"/>
          </w:tcPr>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1995</w:t>
            </w:r>
          </w:p>
        </w:tc>
        <w:tc>
          <w:tcPr>
            <w:tcW w:w="155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21 500</w:t>
            </w:r>
          </w:p>
        </w:tc>
        <w:tc>
          <w:tcPr>
            <w:tcW w:w="1701"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2 700</w:t>
            </w:r>
          </w:p>
        </w:tc>
        <w:tc>
          <w:tcPr>
            <w:tcW w:w="240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4,4</w:t>
            </w:r>
          </w:p>
        </w:tc>
        <w:tc>
          <w:tcPr>
            <w:tcW w:w="2552"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0,6</w:t>
            </w:r>
          </w:p>
        </w:tc>
      </w:tr>
      <w:tr w:rsidR="00000000">
        <w:tblPrEx>
          <w:tblCellMar>
            <w:top w:w="0" w:type="dxa"/>
            <w:bottom w:w="0" w:type="dxa"/>
          </w:tblCellMar>
        </w:tblPrEx>
        <w:tc>
          <w:tcPr>
            <w:tcW w:w="851" w:type="dxa"/>
          </w:tcPr>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1996</w:t>
            </w:r>
          </w:p>
        </w:tc>
        <w:tc>
          <w:tcPr>
            <w:tcW w:w="155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19 300</w:t>
            </w:r>
          </w:p>
        </w:tc>
        <w:tc>
          <w:tcPr>
            <w:tcW w:w="1701"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2 300</w:t>
            </w:r>
          </w:p>
        </w:tc>
        <w:tc>
          <w:tcPr>
            <w:tcW w:w="240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4,0</w:t>
            </w:r>
          </w:p>
        </w:tc>
        <w:tc>
          <w:tcPr>
            <w:tcW w:w="2552"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0,5</w:t>
            </w:r>
          </w:p>
        </w:tc>
      </w:tr>
      <w:tr w:rsidR="00000000">
        <w:tblPrEx>
          <w:tblCellMar>
            <w:top w:w="0" w:type="dxa"/>
            <w:bottom w:w="0" w:type="dxa"/>
          </w:tblCellMar>
        </w:tblPrEx>
        <w:tc>
          <w:tcPr>
            <w:tcW w:w="851" w:type="dxa"/>
          </w:tcPr>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1997</w:t>
            </w:r>
          </w:p>
        </w:tc>
        <w:tc>
          <w:tcPr>
            <w:tcW w:w="155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17 100</w:t>
            </w:r>
          </w:p>
        </w:tc>
        <w:tc>
          <w:tcPr>
            <w:tcW w:w="1701"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2 300</w:t>
            </w:r>
          </w:p>
        </w:tc>
        <w:tc>
          <w:tcPr>
            <w:tcW w:w="240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3,5</w:t>
            </w:r>
          </w:p>
        </w:tc>
        <w:tc>
          <w:tcPr>
            <w:tcW w:w="2552"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0,5</w:t>
            </w:r>
          </w:p>
        </w:tc>
      </w:tr>
      <w:tr w:rsidR="00000000">
        <w:tblPrEx>
          <w:tblCellMar>
            <w:top w:w="0" w:type="dxa"/>
            <w:bottom w:w="0" w:type="dxa"/>
          </w:tblCellMar>
        </w:tblPrEx>
        <w:tc>
          <w:tcPr>
            <w:tcW w:w="851" w:type="dxa"/>
          </w:tcPr>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1998</w:t>
            </w:r>
          </w:p>
        </w:tc>
        <w:tc>
          <w:tcPr>
            <w:tcW w:w="155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15 300</w:t>
            </w:r>
          </w:p>
        </w:tc>
        <w:tc>
          <w:tcPr>
            <w:tcW w:w="1701"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1 800</w:t>
            </w:r>
          </w:p>
        </w:tc>
        <w:tc>
          <w:tcPr>
            <w:tcW w:w="2409"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3,0</w:t>
            </w:r>
          </w:p>
        </w:tc>
        <w:tc>
          <w:tcPr>
            <w:tcW w:w="2552" w:type="dxa"/>
          </w:tcPr>
          <w:p w:rsidR="00000000" w:rsidRDefault="00000000">
            <w:pPr>
              <w:pStyle w:val="BodyTextIndent"/>
              <w:tabs>
                <w:tab w:val="left" w:pos="567"/>
                <w:tab w:val="left" w:pos="1134"/>
                <w:tab w:val="left" w:pos="1701"/>
                <w:tab w:val="left" w:pos="2268"/>
              </w:tabs>
              <w:spacing w:line="288" w:lineRule="auto"/>
              <w:ind w:firstLine="0"/>
              <w:jc w:val="center"/>
              <w:rPr>
                <w:sz w:val="24"/>
              </w:rPr>
            </w:pPr>
            <w:r>
              <w:rPr>
                <w:sz w:val="24"/>
              </w:rPr>
              <w:t>0,3</w:t>
            </w:r>
          </w:p>
        </w:tc>
      </w:tr>
    </w:tbl>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24</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517.</w:t>
      </w:r>
      <w:r>
        <w:tab/>
        <w:t>В соответствии с Конституцией, государство содействует благосостоянию семьи, а права материнства и детства охраняются законом (статья 36, пункты 2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518.</w:t>
      </w:r>
      <w:r>
        <w:tab/>
        <w:t>В июне 1994 года Грузия присоединилась к Конвенции о правах ребенка и в январе 1998 года представила Комитету по правам ребенка первоначальный документ о выполнении положений данной Конвенции (</w:t>
      </w:r>
      <w:proofErr w:type="spellStart"/>
      <w:r>
        <w:t>CRC</w:t>
      </w:r>
      <w:proofErr w:type="spellEnd"/>
      <w:r>
        <w:t>/</w:t>
      </w:r>
      <w:proofErr w:type="spellStart"/>
      <w:r>
        <w:t>C</w:t>
      </w:r>
      <w:proofErr w:type="spellEnd"/>
      <w:r>
        <w:t>/41/</w:t>
      </w:r>
      <w:proofErr w:type="spellStart"/>
      <w:r>
        <w:t>Add.4</w:t>
      </w:r>
      <w:proofErr w:type="spellEnd"/>
      <w:r>
        <w:t>/</w:t>
      </w:r>
      <w:proofErr w:type="spellStart"/>
      <w:r>
        <w:t>Rev.1</w:t>
      </w:r>
      <w:proofErr w:type="spellEnd"/>
      <w:r>
        <w:t>).  В процессе подготовки к обсуждению доклада Грузия представила письменные ответы на перечень вопросов Комитета по правам ребенка (апрель 2000 года).  Обсуждение первоначального доклада состоялось в мае 2000 года; по его итогам Комитет по правам ребенка принял заключительные замечания (</w:t>
      </w:r>
      <w:proofErr w:type="spellStart"/>
      <w:r>
        <w:t>CRC</w:t>
      </w:r>
      <w:proofErr w:type="spellEnd"/>
      <w:r>
        <w:t>/</w:t>
      </w:r>
      <w:proofErr w:type="spellStart"/>
      <w:r>
        <w:t>C</w:t>
      </w:r>
      <w:proofErr w:type="spellEnd"/>
      <w:r>
        <w:t>/15/</w:t>
      </w:r>
      <w:proofErr w:type="spellStart"/>
      <w:r>
        <w:t>Add.124</w:t>
      </w:r>
      <w:proofErr w:type="spellEnd"/>
      <w:r>
        <w:t>), текст которых был передан правительству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519.</w:t>
      </w:r>
      <w:r>
        <w:tab/>
        <w:t>В вышеупомянутом первоначальном докладе, как и в письменных ответах на перечень вопросов Комитета по правам ребенка, содержится достаточно полная информация по тематике, охватываемой статьей 24 Пакта.  Отдельные аспекты прав ребенка в контексте данной статьи упомянуты в настоящем докладе по другим статьям Пакта.  Ввиду сказанного, приведенные ниже сведения там, где это возможно, будут сопровождаться соответствующими ссылками.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520.</w:t>
      </w:r>
      <w:r>
        <w:tab/>
        <w:t>Согласно Гражданскому кодексу (статья 12) и Гражданскому процессуальному кодексу (статья 81), полная гражданская и гражданско-процессуальная дееспособность наступает, как правило, по достижении лицом возраста 18 лет.  До этого лицо считается несовершеннолетним, то есть, в контексте статьи  24 Пакта, ребенком.  В рамках Гражданского кодекса, лицо в возрасте до 7 лет является недееспособным, а в возрасте 7</w:t>
      </w:r>
      <w:r>
        <w:noBreakHyphen/>
        <w:t>18 лет – ограниченно дееспособным (подробнее см.  комментарий к статье 16 настоящего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521.</w:t>
      </w:r>
      <w:r>
        <w:tab/>
        <w:t>В соответствии с Уголовным кодексом уголовная ответственность за совершение противоправного деяния наступает с 14 лет, а при рассмотрении вопроса о такого рода ответственности несовершеннолетними считаются лица в возрасте до 18 лет  (см. раздел "Об уголовном производстве по делам о преступлениях несовершеннолетних" в комментариях к статье 14).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522.</w:t>
      </w:r>
      <w:r>
        <w:tab/>
        <w:t>О брачном возрасте см. комментарии к статье 23 настоящего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523.</w:t>
      </w:r>
      <w:r>
        <w:tab/>
        <w:t>Возраст, с которого ребенок может вступать в трудовые отношения – 16 лет (в случаях, предусмотренных законом – 15 лет).  Взрослым по трудовому праву является лицо старше 18 лет.  Подробно об этом см.  первоначальный доклад по Конвенции о правах ребенка, пункт 30.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524.</w:t>
      </w:r>
      <w:r>
        <w:tab/>
        <w:t>Порядок заключения под стражу и отбывания наказания несовершеннолетними регулируется Уголовно-процессуальным кодексом и Законом "О заключении", о чем подробно изложено в соответствующем разделе комментария к статье 10 Пакта.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525.</w:t>
      </w:r>
      <w:r>
        <w:tab/>
        <w:t xml:space="preserve">Как отмечалось в комментариях к пунктам 1 и 2 статьи 2 Пакта, положения о равенстве всех перед законом и равноправии как граждан, так и </w:t>
      </w:r>
      <w:proofErr w:type="spellStart"/>
      <w:r>
        <w:t>неграждан</w:t>
      </w:r>
      <w:proofErr w:type="spellEnd"/>
      <w:r>
        <w:t xml:space="preserve"> являются конституционными принципами и в этом качестве подлежат неукоснительному соблюдению.  Ниже, в комментариях к статье 26, будет дан обзор </w:t>
      </w:r>
      <w:proofErr w:type="spellStart"/>
      <w:r>
        <w:t>антидискриминационных</w:t>
      </w:r>
      <w:proofErr w:type="spellEnd"/>
      <w:r>
        <w:t xml:space="preserve"> требований, предусмотренных в грузинском законодательстве.  Общая картина в этой связи позволяет утверждать, что с правовой точки зрения дети абсолютно защищены от негативно-дискриминационного обращения.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526.</w:t>
      </w:r>
      <w:r>
        <w:tab/>
        <w:t>Следует отметить, что в последние годы принят целый ряд нормативных актов, призванных в максимальной степени обеспечить защиту жизненных интересов детей, в том числе их наиболее уязвимых групп.</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527.</w:t>
      </w:r>
      <w:r>
        <w:tab/>
        <w:t>Согласно Конституции, государство заботится о равномерном социально-экономическом развитии всей территории страны.  Законом установлены льготы, обеспечивающие социально-экономический прогресс высокогорных регионов (статья 31).  Во исполнение конституционного требования был принят Закон "О социально-экономическом и культурном развитии горных и высокогорных районов Грузии", устанавливающий приоритетность этой проблемы для нашей страны.  В рамках данного Закона, в частности, удалось обеспечить для детей из высокогорных сел получение полного среднего образования за счет государства (в целом по стране государством в полном объеме финансируется пока только базовое образование).  С целью обеспечения общедоступности образования в высокогорных районах разрешено открытие учебных классов даже для 3-4 детей, при существующем нормативе в 25 учащихся.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528.</w:t>
      </w:r>
      <w:r>
        <w:tab/>
        <w:t>В 1999 году парламентом в числе других были приняты такие важные для защиты прав и интересов детей Законы, как:  "О порядке усыновления безнадзорных детей и детей-сирот", регламентирующий вопросы передачи детей на воспитание в приемную семью;  "О защите и поощрении естественного питания детей, потреблении искусственного питания", направленный на обеспечение здоровья детей путем  предоставления им безопасного и адекватного питания, будь то естественное или искусственное; "Об оказании государственной поддержки детским и молодежным союзам".  Последний Закон заслуживает особого внимания, поскольку обеспечивает детским и молодежным союзам такие права, как предоставлять информацию о положении в сфере защиты прав детей и молодежи президенту Грузии; обращаться с предложениями к имеющим право законодательной инициативы субъектам для внесения изменений в законы и иные нормативные акты, исходя из интересов детей и молодежи; принимать участие в разработке, рассмотрении и осуществлении государственных программ в сфере молодежной политики.  Кроме того, данным Законом предусмотрено создание фонда развития детей и молодежи при Государственном департаменте по делам молодежи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529.</w:t>
      </w:r>
      <w:r>
        <w:tab/>
        <w:t>В 1996-2000 годах осуществлялась утвержденная президентом страны "Государственная программа по социальной защите, профессиональной подготовке и профилактике правонарушений среди несовершеннолетних", основными направлениями которой являлись: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 xml:space="preserve">осуществление мероприятий по выявлению склонных к совершению правонарушений, а также безнадзорных несовершеннолетних и проведение среди них </w:t>
      </w:r>
      <w:proofErr w:type="spellStart"/>
      <w:r>
        <w:t>предупредительно-профилактической</w:t>
      </w:r>
      <w:proofErr w:type="spellEnd"/>
      <w:r>
        <w:t xml:space="preserve"> работы;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решение проблем профессиональной подготовки (обучения) и социальной адаптации несовершеннолетних, а также детей-сирот, детей перемещенных лиц и беспризорников;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привлечение подростков к занятиям творчеством и спортом.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Над реализацией программы работала возглавляемая министром образования межведомственная государственная комиссия.  По всем вышеуказанным направлениям соответствующими государственными структурами был проведен комплекс мероприятий, в том числе при содействии Детского фонда Организации Объединенных Наций, позволивших констатировать как определенные успехи,  так и необходимость продолжения усилий.  Исходя из этого, в марте 2000 года президентом Грузии была утверждена "Государственная программа по защите, развитию и адаптации в обществе несовершеннолетних", в качестве цели которой провозглашено совершенствование организации социальной защиты, развития и общественной адаптации несовершеннолетних, лишенных родительской опеки, характеризующихся асоциальным поведением, а также не имеющих дома ("детей улицы").  Основными целями программы являются: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создание правовой базы, обеспечивающей реализацию прав вышеупомянутой категории несовершеннолетних;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изучение различных аспектов проблем бездомных детей, содействие их профессиональной ориентации и социальной адаптации;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создание реабилитационных центров и специализированных учебных заведений, разработка и внедрение индивидуальных учебно-воспитательных программ для несовершеннолетних;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урегулирование проблемы дальнейшего обустройства бездомных детей.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Бюджет программы, рассчитанной на период 2000-2003 годы, составляет 3 млн. лари.  Ее реализация возлагается на правительственную комиссию по делам несовершеннолетних и их социальной защите, возглавляемую министром образования.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530.</w:t>
      </w:r>
      <w:r>
        <w:tab/>
        <w:t>Ответственность за обеспечение детям адекватной защиты возлагается – хотя и в неравной степени – на семью, общество и государство.  Связанные с этим вопросы подробно освещаются в первоначальном докладе Грузии по Конвенции о правах ребенка, соответственно по разделам "Родительское воспитание"  (пункты 135-137), "Родительская ответственность" (пункты 142, 144 - 146), "Разлучение с родителями" (пункты 148 - 152), "Восстановление содержания ребенка" (пункты 158 - 164),  "Дети, лишенные семейного окружения" (пункты 165 - 172).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531.</w:t>
      </w:r>
      <w:r>
        <w:tab/>
        <w:t>Согласно Гражданскому кодексу, каждое физическое лицо имеет право на имя, что включает в себя имя  и фамилию  (статья 17,  пункт 1).  Происхождение детей от родителей, состоящих в браке, удостоверяется записью о браке родителей (статья 1189).  Происхождение ребенка от родителей, не состоящих в браке, устанавливается посредством подачи ими совместного заявления в орган регистрации гражданского состояния.  В случае отсутствия совместного заявления отцовство может быть установлено в судебном порядке (статья 1190, пункты 1 и 2).  Мать и отец, состоящие в браке, записываются родителями ребенка в книгу записей рождений по заявлению одного из них (статья 1191, пункт 1).  Если родители не состоят в браке, запись о матери ребенка производится по ее заявлению, а запись об отце – по совместному заявлению родителей либо по решению суда (статья 1192,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532.</w:t>
      </w:r>
      <w:r>
        <w:tab/>
        <w:t>В соответствии с Законом "О регистрации гражданских актов", основанием для регистрации рождения является выданная учреждением здравоохранения справка о рождении ребенка и соответствующее заявление (статья 22).  Регистрация рождения производится по месту жительства ребенка или одного из родителей  (статья 23, пункт 1).  Законом устанавливается обязательность заявления о рождении ребенка, а также исчерпывающий перечень лиц и учреждений, которым надлежит сделать такое заявление (в зависимости от обстоятельств и места рождения)  (статья 24).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533.</w:t>
      </w:r>
      <w:r>
        <w:tab/>
        <w:t>Как в Гражданском кодексе, так и в Законе "О регистрации гражданских актов" содержатся идентичные формулировки о том, что  имя ребенка записывается по взаимному соглашению родителей, а фамилия – в соответствии с фамилией родителей.  Если родители не имеют общей фамилии, ребенку дается фамилия матери, отца, либо, по соглашению родителей, объединенная фамилия.  Закон "О регистрации гражданских актов" оговаривает, что в случае разногласий между родителями, имеющими разные фамилии, имя и фамилия ребенка записывается по решению суда (статья 26, пункт 3).  Законом регулируются также те случаи, когда родители ребенка неизвестны, либо ребенок рожден вне брака (статьи 27и 31).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534.</w:t>
      </w:r>
      <w:r>
        <w:tab/>
        <w:t>Право ребенка на приобретение гражданства регулируется Законом "О гражданстве", о чем было сказано в первоначальном докладе по Пакту.  Более подробные сведения по этой проблеме содержатся в первоначальном докладе Грузии по Конвенции о правах ребенка (пункты 83 - 85).</w:t>
      </w:r>
    </w:p>
    <w:p w:rsidR="00000000" w:rsidRDefault="00000000">
      <w:pPr>
        <w:tabs>
          <w:tab w:val="clear" w:pos="6237"/>
          <w:tab w:val="left" w:pos="567"/>
          <w:tab w:val="left" w:pos="1134"/>
          <w:tab w:val="left" w:pos="1701"/>
          <w:tab w:val="left" w:pos="2268"/>
        </w:tabs>
      </w:pPr>
    </w:p>
    <w:p w:rsidR="00000000" w:rsidRDefault="00000000">
      <w:pPr>
        <w:pStyle w:val="Heading9"/>
        <w:tabs>
          <w:tab w:val="left" w:pos="567"/>
          <w:tab w:val="left" w:pos="1134"/>
          <w:tab w:val="left" w:pos="1701"/>
          <w:tab w:val="left" w:pos="2268"/>
        </w:tabs>
        <w:spacing w:line="288" w:lineRule="auto"/>
        <w:ind w:firstLine="0"/>
        <w:jc w:val="left"/>
        <w:rPr>
          <w:sz w:val="24"/>
          <w:u w:val="none"/>
        </w:rPr>
      </w:pPr>
      <w:r>
        <w:rPr>
          <w:sz w:val="24"/>
          <w:u w:val="none"/>
        </w:rPr>
        <w:t>Статья 25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535.</w:t>
      </w:r>
      <w:r>
        <w:tab/>
        <w:t>В соответствии со статьей 28 Конституции Грузии, каждый гражданин страны, достигший 18 лет, имеет право участвовать в референдуме, выборах государственных органов и органов местного самоуправления.  Обеспечивается свобода волеизъявления избирателей (пункт 1).  В выборах и референдумах не участвуют лица, признанные судом недееспособными или по приговору суда отбывающие наказание в местах лишения свободы (там же, пункт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536.</w:t>
      </w:r>
      <w:r>
        <w:tab/>
        <w:t>Статья 74 (пункты 1 и 2) Конституции гласит, что по требованию парламента, не менее чем 200 тысяч избирателей или по собственной инициативе президент Грузии назначает референдум по вопросам, определенным Конституцией и органическим законом, в течение 30 дней со дня получения этого требования.  Не допускается проведение референдума для принятия или отмены закона, по вопросам амнистии или помилования,  ратификации и денонсации международных договоров и соглашений, а также по вопросам, ущемляющим основные права и свободы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537.</w:t>
      </w:r>
      <w:r>
        <w:tab/>
        <w:t>Органом, уполномоченным рассматривать споры, связанные с конституционностью референдумов и выборов, является Конституционный суд.  Данная процедура может быть возбуждена на основании иска или представления президента Грузии, не менее одной пятой членов парламента, суда, высших представительных органов Аджарии и Абхазии, Народного защитника и граждан (Конституция, статья 89, пункт 1).</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 w:val="0"/>
          <w:bCs/>
          <w:i/>
          <w:iCs/>
          <w:u w:val="none"/>
        </w:rPr>
      </w:pPr>
      <w:r>
        <w:rPr>
          <w:b w:val="0"/>
          <w:bCs/>
          <w:i/>
          <w:iCs/>
          <w:u w:val="none"/>
        </w:rPr>
        <w:t>Выборы в парламент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538.</w:t>
      </w:r>
      <w:r>
        <w:tab/>
        <w:t>Согласно Конституции, парламент избирается на основе всеобщего, равного и прямого избирательного права при тайном голосовании (статья 49, пункт 1).  Право участия в выборах имеет зарегистрированное в установленном законом порядке политическое объединение граждан, инициатива которого подтверждена подписями не менее 50 тысяч избирателей, или имеющее к моменту выборов своего представителя в парламенте, а в выборах по мажоритарной системе – лицо, инициатива которого подтверждена не менее, чем тысячей подписей, или  которое по итогам последних выборов является членом парламента (статья 50,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539.</w:t>
      </w:r>
      <w:r>
        <w:tab/>
        <w:t>Более подробная информация о парламенте Грузии содержится в Базовом документе, пункты 70 - 73.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540.</w:t>
      </w:r>
      <w:r>
        <w:tab/>
        <w:t>Членом парламента может быть избран гражданин Грузии, достигший 25-летнего возраста, имеющий избирательное право (Конституция, статья 49, пункт 2).  Приведенное конституционное положение конкретизируется Законом "О выборах парламента Грузии", в котором указывается, что парламентарием может стать любой гражданин страны, отвечающий упомянутому возрастному критерию, постоянно проживающий в Грузии не менее 10 лет, независимо от языка, расы, пола, вероисповедания, образования, политических взглядов, национальной, этнической и социальной принадлежности, происхождения, имущественного или сословного положения   (статья  2).</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541.</w:t>
      </w:r>
      <w:r>
        <w:tab/>
        <w:t>Выборы парламента проводятся путем тайного голосования.  Контроль за волеизъявлением граждан и открытое голосование не допускаются.  Проведение выборов обеспечивают созданные в соответствии с законом избирательные комиссии.  Расходы, связанные с проведением парламентских выборов, в основном, несет государство (статьи 5, 7 и 10 Органического закона "О выборах парламента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542.</w:t>
      </w:r>
      <w:r>
        <w:tab/>
        <w:t>Согласно Закону "О выборах парламента Грузии", с целью проведения парламентских выборов формируются избирательные комиссии трех уровней: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pPr>
      <w:r>
        <w:t>-</w:t>
      </w:r>
      <w:r>
        <w:tab/>
        <w:t>центральная избирательная комиссия;</w:t>
      </w:r>
    </w:p>
    <w:p w:rsidR="00000000" w:rsidRDefault="00000000">
      <w:pPr>
        <w:tabs>
          <w:tab w:val="clear" w:pos="6237"/>
          <w:tab w:val="left" w:pos="567"/>
          <w:tab w:val="left" w:pos="1134"/>
          <w:tab w:val="left" w:pos="1701"/>
          <w:tab w:val="left" w:pos="2268"/>
        </w:tabs>
        <w:ind w:left="567"/>
      </w:pPr>
      <w:r>
        <w:t>-</w:t>
      </w:r>
      <w:r>
        <w:tab/>
        <w:t>окружные избирательные комиссии;</w:t>
      </w:r>
    </w:p>
    <w:p w:rsidR="00000000" w:rsidRDefault="00000000">
      <w:pPr>
        <w:tabs>
          <w:tab w:val="clear" w:pos="6237"/>
          <w:tab w:val="left" w:pos="567"/>
          <w:tab w:val="left" w:pos="1134"/>
          <w:tab w:val="left" w:pos="1701"/>
          <w:tab w:val="left" w:pos="2268"/>
        </w:tabs>
        <w:ind w:left="567"/>
      </w:pPr>
      <w:r>
        <w:t>-</w:t>
      </w:r>
      <w:r>
        <w:tab/>
        <w:t>участковые избирательные комиссии (статья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Партии (избирательные блоки), имеющие по итогам парламентских выборов пять лучших результатов, назначают в избирательные комиссии по одному своему представителю (статья 18, пункт 2).  Что касается Центральной избирательной комиссии, она состоит из председателя, его заместителя, секретаря комиссии и 14 членов (статья 21,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543.</w:t>
      </w:r>
      <w:r>
        <w:tab/>
        <w:t>Состав Центральной избирательной комиссии  комплектуется следующим образом: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парламент на весенней сессии года проведения парламентских выборов избирает пятерых членов комиссии сроком на четыре года;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президент Грузии назначает четырех членов комиссии и, с согласия парламента, председателя комиссии сроком на пять лет;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Высшие представительные органы автономий назначают по одному члену комиссии;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Пять партий (блоков), занявших лидирующие места по итогам парламентских выборов, назначают по одному члену комиссии (статья 21, пункты 1 - 4).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544.</w:t>
      </w:r>
      <w:r>
        <w:tab/>
        <w:t>Органы исполнительной власти и местные органы управления и самоуправления  обязаны не позднее 55 дней до выборов обеспечить учет избирателей, зарегистрированных на подведомственной им территории, а затем передать избирательным комиссиям данные, необходимые для составления списков.  Применительно к перемещенным лицам обязанность составления списков избирателей и их передачи избирательным комиссиям ложится на министерство по делам беженцев и расселению (статья 32).  Закон не предусматривает ограничений, обуславливающих включение избирателя в соответствующий список (статья 33).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545.</w:t>
      </w:r>
      <w:r>
        <w:tab/>
        <w:t>Закон "О выборах парламента Грузии" содержит исчерпывающий перечень должностей, несовместимых со статусом кандидата в члены парламента.  Должностные лица, до своей регистрации в качестве кандидатов в депутаты, должны быть освобождены от занимаемой должности (статья 36).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546.</w:t>
      </w:r>
      <w:r>
        <w:tab/>
        <w:t>Избирательные комиссии готовят и проводят парламентские выборы открыто и публично (статья 48, пункт 1).  Выборы  проводятся в специально выделенных зданиях, нейтральных по отношению к участвующим партиям (блокам).  Обеспечиваются условия для тайного волеизъявления каждого избирателя, а также безопасность процесса голосования.  Не допускается пребывание вооруженных людей в здании, где проводится голосование (статья 50).</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547.</w:t>
      </w:r>
      <w:r>
        <w:tab/>
        <w:t>Законом четко оговариваются процедуры подсчета голосов на избирательном участке, подведения итогов выборов в окружной избирательной комиссии и Центральной избирательной комиссии (статьи 52-54).</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548.</w:t>
      </w:r>
      <w:r>
        <w:tab/>
        <w:t>За время, истекшее с момента представления первоначального доклада, парламентские выборы в Грузии прошли дважды - в 1995 и 1999 годах, в обоих случаях в присутствии как местных, так и международных наблюдателей.  Несмотря на отдельные нарушения, отмеченные в ходе проведения выборов,  в целом они были признаны справедливыми и демократическими и их результаты, по оценкам наблюдателей, объективно отразили расстановку политических сил в стране.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549.</w:t>
      </w:r>
      <w:r>
        <w:tab/>
        <w:t xml:space="preserve">В парламент прошлого и нынешнего созывов были избраны как женщины, так и представители национальных меньшинств.  В числе депутатов высшего законодательного органа, функционировавшего в 1995-1999 годах, было 16 женщин и 17 представителей меньшинств – русских, армян, азербайджанцев.  Ситуация не изменилась к лучшему и в нынешнем составе парламента.  Всего в нем представлено 17 женщин и 10 представителей  национальных меньшинств.  При этом следует упомянуть, что большинство как женщин, так и представителей национальных меньшинств прошли в парламент по партийным спискам.  В числе 85 депутатов, избранных по мажоритарной системе,  лишь одна женщина, а также двое представителей меньшинств, которые были избраны в районах их компактного расселения.  </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Выборы  в местные органы власти</w:t>
      </w:r>
    </w:p>
    <w:p w:rsidR="00000000" w:rsidRDefault="00000000">
      <w:pPr>
        <w:tabs>
          <w:tab w:val="clear" w:pos="6237"/>
          <w:tab w:val="left" w:pos="567"/>
          <w:tab w:val="left" w:pos="1134"/>
          <w:tab w:val="left" w:pos="1701"/>
          <w:tab w:val="left" w:pos="2268"/>
        </w:tabs>
        <w:rPr>
          <w:u w:val="single"/>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550.</w:t>
      </w:r>
      <w:r>
        <w:rPr>
          <w:sz w:val="24"/>
        </w:rPr>
        <w:tab/>
        <w:t>Порядок создания и деятельности органов власти на местах регламентируется Законом "О местном самоуправлении и управлении".  Согласно пункту 2 статьи 2 настоящего Закона, граждане Грузии могут избирать и быть избранными в органы местного самоуправления независимо от расы, цвета кожи, языка, пола, вероисповедания, политических и иных взглядов, национальной, этнической и социальной принадлежности, происхождения, имущественного и составного положения.  Выборы проводятся на основе конституционных и законодательных принципов, о которых упоминалось в разделе "Выборы в парламент".</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551.</w:t>
      </w:r>
      <w:r>
        <w:tab/>
        <w:t xml:space="preserve">Представительным органом власти на местах – от села до города включительно – является </w:t>
      </w:r>
      <w:proofErr w:type="spellStart"/>
      <w:r>
        <w:t>сакребуло</w:t>
      </w:r>
      <w:proofErr w:type="spellEnd"/>
      <w:r>
        <w:t xml:space="preserve">.  В зависимости от числа избирателей – менее или  более 2000 человек – выборы в </w:t>
      </w:r>
      <w:proofErr w:type="spellStart"/>
      <w:r>
        <w:t>сакребуло</w:t>
      </w:r>
      <w:proofErr w:type="spellEnd"/>
      <w:r>
        <w:t xml:space="preserve"> проводятся соответственно по мажоритарной или пропорциональной системе в </w:t>
      </w:r>
      <w:proofErr w:type="spellStart"/>
      <w:r>
        <w:t>многомандатных</w:t>
      </w:r>
      <w:proofErr w:type="spellEnd"/>
      <w:r>
        <w:t xml:space="preserve"> избирательных округах.  Депутатом </w:t>
      </w:r>
      <w:proofErr w:type="spellStart"/>
      <w:r>
        <w:t>сакребуло</w:t>
      </w:r>
      <w:proofErr w:type="spellEnd"/>
      <w:r>
        <w:t xml:space="preserve"> может быть избран гражданин  Грузии, которому ко дню выборов исполнился 21 год и проживший в стране не менее 5 лет.  Никакие ограничения, основанные на расе, цвете кожи, языке, поле, национальной, этнической и социальной принадлежности, происхождении, взглядах, имущественном и сословном положении не допускаются.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552.</w:t>
      </w:r>
      <w:r>
        <w:tab/>
        <w:t>К числу установленных Конституцией лиц, не участвующих в выборах (см. выше), применительно к избранию местных органов власти и управления относятся также граждане Грузии, ко дню выборов временно или постоянно проживающие за рубежом.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553.</w:t>
      </w:r>
      <w:r>
        <w:tab/>
        <w:t>В октябре 1998 года состоялись первые в истории независимой Грузии выборы в местные органы власти, в ходе которых было избрано около 11 тысяч депутатов.  В их числе 1 342 депутата  (</w:t>
      </w:r>
      <w:proofErr w:type="spellStart"/>
      <w:r>
        <w:t>12,5%</w:t>
      </w:r>
      <w:proofErr w:type="spellEnd"/>
      <w:r>
        <w:t>) – женщины.  70 женщин возглавляют районные выборные органы.  В числе депутатов 1 664 человека – представители национальных меньшинств.  Из них 125 избраны главами выборных органов в различных районах Грузии.</w:t>
      </w:r>
    </w:p>
    <w:p w:rsidR="00000000" w:rsidRDefault="00000000">
      <w:pPr>
        <w:tabs>
          <w:tab w:val="clear" w:pos="6237"/>
          <w:tab w:val="left" w:pos="567"/>
          <w:tab w:val="left" w:pos="1134"/>
          <w:tab w:val="left" w:pos="1701"/>
          <w:tab w:val="left" w:pos="2268"/>
        </w:tabs>
      </w:pPr>
    </w:p>
    <w:p w:rsidR="00000000" w:rsidRDefault="00000000">
      <w:pPr>
        <w:pStyle w:val="Heading6"/>
        <w:tabs>
          <w:tab w:val="clear" w:pos="6237"/>
          <w:tab w:val="left" w:pos="567"/>
          <w:tab w:val="left" w:pos="1134"/>
          <w:tab w:val="left" w:pos="1701"/>
          <w:tab w:val="left" w:pos="2268"/>
        </w:tabs>
        <w:rPr>
          <w:b w:val="0"/>
          <w:bCs/>
          <w:i/>
          <w:iCs/>
          <w:u w:val="none"/>
        </w:rPr>
      </w:pPr>
      <w:r>
        <w:rPr>
          <w:b w:val="0"/>
          <w:bCs/>
          <w:i/>
          <w:iCs/>
          <w:u w:val="none"/>
        </w:rPr>
        <w:t>Выборы президента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554.</w:t>
      </w:r>
      <w:r>
        <w:tab/>
        <w:t>Согласно Конституции, президентом может быть избран обладающий избирательным правом гражданин Грузии по рождению, достигший 35 лет, проживший в Грузии не менее 15 лет и ко дню назначения выборов проживающий в Грузии.  Право выдвижения кандидатуры президента имеют политическое объединение или инициативная группа.  Выдвижение кандидатуры должно быть подтверждено подписями не менее 50 тысяч избирателей (статья 70, пункты 2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555.</w:t>
      </w:r>
      <w:r>
        <w:tab/>
        <w:t xml:space="preserve">Согласно Закону "О президентских выборах" (статья 3, пункт 1), избирать президента вправе каждый гражданин Грузии, имеющий избирательное право, независимо от расы, цвета кожи, языка, пола, вероисповедания, политических и иных взглядов, национальной, этнической или социальной  принадлежности, происхождения, имущественного или сословного положения.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За истекший период президентские выборы в Грузии состоялись дважды – 1995 и 2000 годах.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556.</w:t>
      </w:r>
      <w:r>
        <w:tab/>
        <w:t xml:space="preserve">Выборы в местные органы власти и последние выборы парламента и президента страны выявили заслуживающую упоминания тенденцию – число принимающих участие в выборах граждан страны негрузинской национальности довольно значительно превышает количество активных избирателей в грузинском </w:t>
      </w:r>
      <w:proofErr w:type="spellStart"/>
      <w:r>
        <w:t>электорате</w:t>
      </w:r>
      <w:proofErr w:type="spellEnd"/>
      <w:r>
        <w:t xml:space="preserve">.  Так, на  парламентских выборах 31 октября 1999 года количество избирателей из числа меньшинств достигало по регионам их компактного расселения </w:t>
      </w:r>
      <w:proofErr w:type="spellStart"/>
      <w:r>
        <w:t>80-90%</w:t>
      </w:r>
      <w:proofErr w:type="spellEnd"/>
      <w:r>
        <w:t xml:space="preserve">, в то время как в других районах этот показатель не превышал </w:t>
      </w:r>
      <w:proofErr w:type="spellStart"/>
      <w:r>
        <w:t>50-60%</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557.</w:t>
      </w:r>
      <w:r>
        <w:tab/>
        <w:t>Уголовным кодексом Грузии признаны уголовно наказуемыми преступлениями такие действия, как препятствование волеизъявлению на выборах, референдуме или плебисците (статья 162), препятствование работе комиссии по проведению выборов или референдума (статья 163), нарушение тайны голосования, неверный подсчет голосов или неверное подведение итогов выборов (статья 164).  Совершение упомянутых преступлений карается санкциями от штрафа до лишения свободы сроком до 4 лет.</w:t>
      </w:r>
    </w:p>
    <w:p w:rsidR="00000000" w:rsidRDefault="00000000">
      <w:pPr>
        <w:pStyle w:val="Heading6"/>
        <w:tabs>
          <w:tab w:val="clear" w:pos="6237"/>
          <w:tab w:val="left" w:pos="567"/>
          <w:tab w:val="left" w:pos="1134"/>
          <w:tab w:val="left" w:pos="1701"/>
          <w:tab w:val="left" w:pos="2268"/>
        </w:tabs>
      </w:pPr>
      <w:r>
        <w:br w:type="page"/>
      </w:r>
    </w:p>
    <w:p w:rsidR="00000000" w:rsidRDefault="00000000">
      <w:pPr>
        <w:pStyle w:val="Heading6"/>
        <w:tabs>
          <w:tab w:val="clear" w:pos="6237"/>
          <w:tab w:val="left" w:pos="567"/>
          <w:tab w:val="left" w:pos="1134"/>
          <w:tab w:val="left" w:pos="1701"/>
          <w:tab w:val="left" w:pos="2268"/>
        </w:tabs>
        <w:rPr>
          <w:b w:val="0"/>
          <w:bCs/>
          <w:i/>
          <w:iCs/>
          <w:u w:val="none"/>
        </w:rPr>
      </w:pPr>
      <w:r>
        <w:rPr>
          <w:b w:val="0"/>
          <w:bCs/>
          <w:i/>
          <w:iCs/>
          <w:u w:val="none"/>
        </w:rPr>
        <w:t>Право на равный доступ к государственной службе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558.</w:t>
      </w:r>
      <w:r>
        <w:tab/>
        <w:t>Статья 29 Конституции гласит, что: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567" w:hanging="567"/>
      </w:pPr>
      <w:r>
        <w:tab/>
        <w:t>"1.</w:t>
      </w:r>
      <w:r>
        <w:tab/>
        <w:t>Каждый гражданин Грузии имеет право занимать любую государственную должность, если он соответствует требованиям, установленным законодательством.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2.</w:t>
      </w:r>
      <w:r>
        <w:tab/>
        <w:t>Условия государственной службы определяются законом".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559.</w:t>
      </w:r>
      <w:r>
        <w:tab/>
        <w:t>Правовые основы организации государственной службы и связанные с ее осуществлением отношения, а также правовое положение государственного служащего регулируются Законом "О публичной службе".  В соответствии с данным законом, публичной службой считается деятельность в казенных (бюджетных) учреждениях государства и местного самоуправления – органах публичной власти (статья 1, пункт 1).  К основным принципам публичной службы, в частности, относятся: уважение к правам, свободам и достоинству человека и гражданина; равная доступность публичной службы для всех граждан Грузии в соответствии с их способностями и профессиональной подготовкой (статья 13, пункты "в" и "г").</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560.</w:t>
      </w:r>
      <w:r>
        <w:tab/>
        <w:t>Согласно статье 15 Закона "О публичной службе", государственным служащим может быть принят дееспособный гражданин Грузии, имеющий надлежащие знания и опыт, достигший возраста 21 года и владеющий государственным языком Грузии.  В соответствии со статьей 16 данного закона, служащим местного самоуправления может быть принят дееспособный гражданин Грузии, достигший возраста 18 лет, имеющий по крайней мере среднее образование и владеющий государственным языком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561.</w:t>
      </w:r>
      <w:r>
        <w:tab/>
        <w:t xml:space="preserve">На публичную службу не принимается лицо, которое:  а)  имеет неснятую судимость за совершение умышленного преступления;  б)  находится под следствием или арестом;  в)  решением суда признано недееспособным либо ограниченно дееспособным;  г)  лишено судом права занимать соответствующую должность;  </w:t>
      </w:r>
      <w:proofErr w:type="spellStart"/>
      <w:r>
        <w:t>д</w:t>
      </w:r>
      <w:proofErr w:type="spellEnd"/>
      <w:r>
        <w:t xml:space="preserve">)  по состоянию здоровья не удовлетворяет, согласно медицинскому заключению, предъявляемым для занятия данной должности требованиям;  </w:t>
      </w:r>
      <w:proofErr w:type="spellStart"/>
      <w:r>
        <w:t>е</w:t>
      </w:r>
      <w:proofErr w:type="spellEnd"/>
      <w:r>
        <w:t>)  в результате занятия должности оказывается связанным непосредственным служебным надзором с родителями, супругой, ребенком или сестрой, братом, родителями жены;  ж)  является претендентом на гражданство иностранного государства, кроме предусмотренных законом или международным договором исключений (Закон "О публичной службе", статья 17).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562.</w:t>
      </w:r>
      <w:r>
        <w:tab/>
        <w:t>Различные требования, регламентирующие принятие на публичную службу, устанавливаются законом или на его основании.  Дополнительные квалификационные требования могут быть учреждены руководителем организации или вышестоящим начальником.  Лицо, имеющее право принять служащего на работу, правомочно использовать при назначении испытательный срок не более чем 6 месяцев.  Назначение на должность может быть осуществлено по результатам конкурса (Закон "О публичной службе", статьи 19;  24, пункт 1;  29,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563.</w:t>
      </w:r>
      <w:r>
        <w:tab/>
        <w:t>Закон "О публичной службе" предусматривает следующие права и гарантии служащего:</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получать вознаграждение за труд (статья 37);</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получать возмещение командировочных расходов (статья 38);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пользоваться ежегодным оплачиваемым отпуском (статья 11);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пользоваться учебным отпуском для повышения квалификации (статья 48);</w:t>
      </w:r>
    </w:p>
    <w:p w:rsidR="00000000" w:rsidRDefault="00000000">
      <w:pPr>
        <w:tabs>
          <w:tab w:val="clear" w:pos="6237"/>
          <w:tab w:val="left" w:pos="567"/>
          <w:tab w:val="left" w:pos="1134"/>
          <w:tab w:val="left" w:pos="1701"/>
          <w:tab w:val="left" w:pos="2268"/>
        </w:tabs>
        <w:ind w:left="1134" w:hanging="1134"/>
      </w:pPr>
    </w:p>
    <w:p w:rsidR="00000000" w:rsidRDefault="00000000">
      <w:pPr>
        <w:tabs>
          <w:tab w:val="clear" w:pos="6237"/>
          <w:tab w:val="left" w:pos="567"/>
          <w:tab w:val="left" w:pos="1134"/>
          <w:tab w:val="left" w:pos="1701"/>
          <w:tab w:val="left" w:pos="2268"/>
        </w:tabs>
        <w:ind w:left="1134" w:hanging="1134"/>
      </w:pPr>
      <w:r>
        <w:tab/>
        <w:t>-</w:t>
      </w:r>
      <w:r>
        <w:tab/>
        <w:t>получить единовременное пособие в связи с потерей трудоспособности либо инвалидностью, обусловленных выполнением служебных обязанностей  (статья  49) , и др.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564.</w:t>
      </w:r>
      <w:r>
        <w:tab/>
        <w:t>Законом предусмотрены порядок и условия поощрения, продвижения по службе и дисциплинарной ответственности служащих (статьи 74 - 80), а также приостановки служебных отношений и освобождения служащих от работы (статьи 81 - 112).  Во всех случаях нормы закона свободны от дискриминационных оснований и базируются на объективных мотивах.</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565.</w:t>
      </w:r>
      <w:r>
        <w:rPr>
          <w:sz w:val="24"/>
        </w:rPr>
        <w:tab/>
        <w:t xml:space="preserve">Меньшинства представлены в органах исполнительной власти на местах в регионах компактного расселения.  Так, в </w:t>
      </w:r>
      <w:proofErr w:type="spellStart"/>
      <w:r>
        <w:rPr>
          <w:sz w:val="24"/>
        </w:rPr>
        <w:t>Марнеульском</w:t>
      </w:r>
      <w:proofErr w:type="spellEnd"/>
      <w:r>
        <w:rPr>
          <w:sz w:val="24"/>
        </w:rPr>
        <w:t xml:space="preserve"> и близлежащих районах в местных </w:t>
      </w:r>
      <w:proofErr w:type="spellStart"/>
      <w:r>
        <w:rPr>
          <w:sz w:val="24"/>
        </w:rPr>
        <w:t>управах</w:t>
      </w:r>
      <w:proofErr w:type="spellEnd"/>
      <w:r>
        <w:rPr>
          <w:sz w:val="24"/>
        </w:rPr>
        <w:t xml:space="preserve">  ведущие посты занимают 38 азербайджанцев, в </w:t>
      </w:r>
      <w:proofErr w:type="spellStart"/>
      <w:r>
        <w:rPr>
          <w:sz w:val="24"/>
        </w:rPr>
        <w:t>Тетрицкаройском</w:t>
      </w:r>
      <w:proofErr w:type="spellEnd"/>
      <w:r>
        <w:rPr>
          <w:sz w:val="24"/>
        </w:rPr>
        <w:t xml:space="preserve"> районе – 12 греков, в регионах </w:t>
      </w:r>
      <w:proofErr w:type="spellStart"/>
      <w:r>
        <w:rPr>
          <w:sz w:val="24"/>
        </w:rPr>
        <w:t>Самцхе-Джавахети</w:t>
      </w:r>
      <w:proofErr w:type="spellEnd"/>
      <w:r>
        <w:rPr>
          <w:sz w:val="24"/>
        </w:rPr>
        <w:t xml:space="preserve"> – 58 армян.  Что касается национального происхождении публичных служащих того или иного уровня в органах государственной власти, такого рода статистика не ведется.  Тем не менее, можно  утверждать, что многие представители меньшинств с успехом выполняют свои обязанности в министерствах и ведомствах,  аппарате парламента и Государственной канцелярии Грузии.  Основной проблемой граждан Грузии негрузинской национальности, в плане доступа к публичной службе, является доставшееся в наследство от советского периода незнание или слабое владение государственным (грузинским) языком.  Правительство принимает меры для исправления сложившегося положения, в частности, посредством разработки закона "О языке".  В местах компактного расселения этнических  меньшинств осуществляется "Государственная программа по изучению грузинского языка".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b/>
        </w:rPr>
      </w:pPr>
      <w:r>
        <w:rPr>
          <w:b/>
        </w:rPr>
        <w:t>Статья 26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566.</w:t>
      </w:r>
      <w:r>
        <w:tab/>
        <w:t xml:space="preserve">В комментариях настоящего доклада к пунктам 1 и 2 статьи 2 Пакта приведены конституционные положения, обеспечивающие соблюдение принципа </w:t>
      </w:r>
      <w:proofErr w:type="spellStart"/>
      <w:r>
        <w:t>недискриминационности</w:t>
      </w:r>
      <w:proofErr w:type="spellEnd"/>
      <w:r>
        <w:t xml:space="preserve">.  Вопросы </w:t>
      </w:r>
      <w:proofErr w:type="spellStart"/>
      <w:r>
        <w:t>гендерного</w:t>
      </w:r>
      <w:proofErr w:type="spellEnd"/>
      <w:r>
        <w:t xml:space="preserve"> равенства затронуты в части настоящего доклада по статье 3.  Ниже представлен обзор грузинского законодательства, рассмотренного с точки зрения положений статьи 26.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567.</w:t>
      </w:r>
      <w:r>
        <w:tab/>
        <w:t>Согласно Закону "О гражданстве", граждане Грузии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вероисповедания и политических убеждений,  рода занятий, места жительства и других обстоятельств (статья 4).  Находящимся на территории Грузии гражданам другого государства и лицам без гражданства гарантированы права и свободы, предусмотренные нормами международного права и законодательства Грузии, в том числе право обращаться в суд и другие государственные органы для защиты их личных, имущественных и других прав  (статья 8).</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568.</w:t>
      </w:r>
      <w:r>
        <w:tab/>
        <w:t>Закон "О правовом положении иностранцев" провозглашает, что иностранцы в Грузии пользуются теми же правами и свободами, что и граждане Грузии, если только законодательством страны не предусмотрено иное.  Иностранцы в Грузии равны перед законом, независимо от происхождения, социального и имущественного положения, расы, национальной принадлежности, пола, образования, языка, религиозных, политических и других взглядов, сферы деятельности и других обстоятельств.  Грузия охраняет жизнь, личную неприкосновенность, права и свободы иностранцев, находящихся на ее территории.  Грузия наравне со своими гражданами охраняет права и законные интересы лиц без гражданства, временно находящихся за ее пределами, но которые постоянно проживают в Грузии (статья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569.</w:t>
      </w:r>
      <w:r>
        <w:tab/>
        <w:t>В Законе "Об общих судах" указывается, что каждый человек вправе для защиты своих прав и свобод лично или через представителей прямо обращаться в суд (статья 3).  Правосудие осуществляется на основе равенства перед законом и судом всех участвующих в деле лиц, а судопроизводство - на основе равноправия и состязательности сторон (статья 6).</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570.</w:t>
      </w:r>
      <w:r>
        <w:tab/>
        <w:t>Общий  административный кодекс, признавая равенство всех перед законом и административными органами, далее гласит:  "Не допускается ограничение законных прав и свобод, законных интересов какой-либо из сторон - участниц административно-правовых отношений или воспрепятствование их осуществлению, а также предоставление им не предусмотренного законодательством какого-либо преимущества либо принятие  против какой-либо из сторон каких-либо дискриминационных мер.  В случае идентичности обстоятельств дела не допускается принятие в отношении различных лиц отличающихся друг от друга решений, за исключением оснований, предусмотренных законом" (статья 4, пункты 2 и 3).</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571.</w:t>
      </w:r>
      <w:r>
        <w:tab/>
        <w:t>Согласно Гражданскому процессуальному кодексу, каждому лицу обеспечена защита права в судебном порядке  (статья 2), а правосудие по гражданским делам осуществляется на началах равенства всех лиц перед законом и судом (статья 5).</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572.</w:t>
      </w:r>
      <w:r>
        <w:tab/>
        <w:t>В соответствии с Уголовно-процессуальным кодексом, все равны перед законом и судом независимо от расы, национальности, языка, пола, социального происхождения, имущественного и должностного положения, места жительства, отношения к религии, убеждений, а также других обстоятельств (статья 9, пункт 1).</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573.</w:t>
      </w:r>
      <w:r>
        <w:tab/>
      </w:r>
      <w:proofErr w:type="spellStart"/>
      <w:r>
        <w:t>Антидискриминационные</w:t>
      </w:r>
      <w:proofErr w:type="spellEnd"/>
      <w:r>
        <w:t xml:space="preserve"> положения аналогичного содержания  присутствуют в большинстве нормативных актов.  Приведенные выдержки из законодательных текстов показывают, что охватываемые процитированными законами сферы правового регулирования включают в себя практически все стороны жизни современного грузинского общества.  Рамки данной статьи Пакта не позволяют детально раскрыть практические аспекты реализации принципа </w:t>
      </w:r>
      <w:proofErr w:type="spellStart"/>
      <w:r>
        <w:t>антидискриминационности</w:t>
      </w:r>
      <w:proofErr w:type="spellEnd"/>
      <w:r>
        <w:t>.  В связи с этим представляется целесообразным сослаться на первоначальный доклад Грузии по Конвенции о ликвидации всех форм расовой дискриминации, в котором содержится довольно обширный фактический материал по обсуждаемой теме.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574.</w:t>
      </w:r>
      <w:r>
        <w:tab/>
        <w:t>Помимо всего изложенного, хотелось бы отметить.  что согласно диспозиции ряда статей Уголовного кодекса, наличие при совершении преступления мотива "расовой, религиозной, национальной и этнической нетерпимости" признается отягчающим вину обстоятельством и влечет за собой более жесткие санкции.</w:t>
      </w:r>
    </w:p>
    <w:p w:rsidR="00000000" w:rsidRDefault="00000000">
      <w:pPr>
        <w:tabs>
          <w:tab w:val="clear" w:pos="6237"/>
          <w:tab w:val="left" w:pos="567"/>
          <w:tab w:val="left" w:pos="1134"/>
          <w:tab w:val="left" w:pos="1701"/>
          <w:tab w:val="left" w:pos="2268"/>
        </w:tabs>
      </w:pPr>
    </w:p>
    <w:p w:rsidR="00000000" w:rsidRDefault="00000000">
      <w:pPr>
        <w:pStyle w:val="Heading1"/>
        <w:tabs>
          <w:tab w:val="clear" w:pos="6237"/>
          <w:tab w:val="left" w:pos="567"/>
          <w:tab w:val="left" w:pos="1134"/>
          <w:tab w:val="left" w:pos="1701"/>
          <w:tab w:val="left" w:pos="2268"/>
        </w:tabs>
        <w:rPr>
          <w:kern w:val="0"/>
        </w:rPr>
      </w:pPr>
      <w:r>
        <w:rPr>
          <w:kern w:val="0"/>
        </w:rPr>
        <w:t>Статья 27</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конституционных гарантиях прав меньшинств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575.</w:t>
      </w:r>
      <w:r>
        <w:tab/>
        <w:t>В комментариях настоящего доклада по статье 3 Пакта  (раздел "Об уважении и осуществлении прав всех лиц под юрисдикцией государства")  приведены положения статей 14,  38 (пункт 1) и 85  (пункт 2) Конституции, обеспечивающих равенство всех людей перед законом, равноправие граждан Грузии во всех сферах жизни общества и решение проблем, связанных с языковым барьером.  Следует отметить, что второе предложение пункта 1 статьи 38 Конституции текстуально почти полностью воспроизводит положения статьи 27 Пакта о праве пользоваться своей культурой и языком.  Что касается исповедания своей религии, представляется целесообразным сослаться на формулировку, представленную в статье 19 Конституции, которая цитируется в комментариях настоящего доклада к статье 18 (раздел "Свобода совести в Конституции…").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576.</w:t>
      </w:r>
      <w:r>
        <w:tab/>
        <w:t>В дополнение к вышеизложенным положениям Конституции приведем выдержку еще из одной содержащейся в ней статьи – 34-й, в соответствии с пунктом 1 которой государство способствует развитию культуры, создает условия для неограниченного участия граждан в культурной жизни, проявлению и обогащению культурной самобытности, признанию национальных и общечеловеческих ценностей.</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Об этническом составе населения Грузии</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577.</w:t>
      </w:r>
      <w:r>
        <w:rPr>
          <w:sz w:val="24"/>
        </w:rPr>
        <w:tab/>
        <w:t>Краткие сведения об этническом составе населения Грузии содержатся в базовом документе (пункты 24 и 25).  Следует отметить, что этнические меньшинства живут в Грузии веками.  Наша страна всегда славилась толерантностью в этническом или религиозном плане, благодаря чему на ее территории находили убежище и второй дом представители многих десятков национальностей.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578.</w:t>
      </w:r>
      <w:r>
        <w:tab/>
        <w:t xml:space="preserve">Ниже приводится таблица, демонстрирующая этнический состав населения Грузии согласно переписям, последняя из которых была проведена в 1989 году.  Сегодня абсолютно точными эти данные назвать нельзя, ввиду интенсивных миграционных процессов последних лет, вследствие которых Грузию покинули десятки тысяч ее граждан, в частности, и из числа </w:t>
      </w:r>
      <w:proofErr w:type="spellStart"/>
      <w:r>
        <w:t>негрузин</w:t>
      </w:r>
      <w:proofErr w:type="spellEnd"/>
      <w:r>
        <w:t xml:space="preserve">.  В переписях учтено также население Абхазии и бывшей Южной Осетии.  В настоящее время, в связи с имевшими место на территории этих регионов конфликтами, де-факто юрисдикция Грузии на них не распространяется.  Вследствие этого мы располагаем лишь приблизительными оценками численности оставшегося в </w:t>
      </w:r>
      <w:proofErr w:type="spellStart"/>
      <w:r>
        <w:t>самопровозглашенных</w:t>
      </w:r>
      <w:proofErr w:type="spellEnd"/>
      <w:r>
        <w:t xml:space="preserve"> республиках населения.  Понятно, что в таких условиях сложно судить и об его этническом составе.</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Согласно правилам проведения переписей, национальность </w:t>
      </w:r>
      <w:proofErr w:type="spellStart"/>
      <w:r>
        <w:t>респондента</w:t>
      </w:r>
      <w:proofErr w:type="spellEnd"/>
      <w:r>
        <w:t xml:space="preserve"> определяется его самоидентификацией, а не паспортными данными.  Национальность несовершеннолетних детей определяется их родителями.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rPr>
          <w:u w:val="single"/>
        </w:rPr>
      </w:pPr>
      <w:r>
        <w:br w:type="page"/>
        <w:t>579.</w:t>
      </w:r>
      <w:r>
        <w:tab/>
      </w:r>
      <w:r>
        <w:rPr>
          <w:i/>
          <w:iCs/>
        </w:rPr>
        <w:t>Этнический состав населения</w:t>
      </w:r>
    </w:p>
    <w:p w:rsidR="00000000" w:rsidRDefault="00000000">
      <w:pPr>
        <w:pStyle w:val="Heading4"/>
        <w:tabs>
          <w:tab w:val="clear" w:pos="6237"/>
          <w:tab w:val="left" w:pos="567"/>
          <w:tab w:val="left" w:pos="1134"/>
          <w:tab w:val="left" w:pos="1701"/>
          <w:tab w:val="left" w:pos="2268"/>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134"/>
        <w:gridCol w:w="1134"/>
        <w:gridCol w:w="1134"/>
        <w:gridCol w:w="1134"/>
        <w:gridCol w:w="993"/>
        <w:gridCol w:w="950"/>
      </w:tblGrid>
      <w:tr w:rsidR="00000000">
        <w:tblPrEx>
          <w:tblCellMar>
            <w:top w:w="0" w:type="dxa"/>
            <w:bottom w:w="0" w:type="dxa"/>
          </w:tblCellMar>
        </w:tblPrEx>
        <w:trPr>
          <w:cantSplit/>
        </w:trPr>
        <w:tc>
          <w:tcPr>
            <w:tcW w:w="2376" w:type="dxa"/>
          </w:tcPr>
          <w:p w:rsidR="00000000" w:rsidRDefault="00000000">
            <w:pPr>
              <w:tabs>
                <w:tab w:val="clear" w:pos="6237"/>
                <w:tab w:val="left" w:pos="567"/>
                <w:tab w:val="left" w:pos="1134"/>
                <w:tab w:val="left" w:pos="1701"/>
                <w:tab w:val="left" w:pos="2268"/>
              </w:tabs>
            </w:pPr>
          </w:p>
        </w:tc>
        <w:tc>
          <w:tcPr>
            <w:tcW w:w="3402" w:type="dxa"/>
            <w:gridSpan w:val="3"/>
          </w:tcPr>
          <w:p w:rsidR="00000000" w:rsidRDefault="00000000">
            <w:pPr>
              <w:tabs>
                <w:tab w:val="clear" w:pos="6237"/>
                <w:tab w:val="left" w:pos="567"/>
                <w:tab w:val="left" w:pos="1134"/>
                <w:tab w:val="left" w:pos="1701"/>
                <w:tab w:val="left" w:pos="2268"/>
              </w:tabs>
              <w:jc w:val="center"/>
            </w:pPr>
            <w:r>
              <w:t>Тысяч человек</w:t>
            </w:r>
          </w:p>
        </w:tc>
        <w:tc>
          <w:tcPr>
            <w:tcW w:w="3077" w:type="dxa"/>
            <w:gridSpan w:val="3"/>
          </w:tcPr>
          <w:p w:rsidR="00000000" w:rsidRDefault="00000000">
            <w:pPr>
              <w:tabs>
                <w:tab w:val="clear" w:pos="6237"/>
                <w:tab w:val="left" w:pos="567"/>
                <w:tab w:val="left" w:pos="1134"/>
                <w:tab w:val="left" w:pos="1701"/>
                <w:tab w:val="left" w:pos="2268"/>
              </w:tabs>
              <w:jc w:val="center"/>
            </w:pPr>
            <w:r>
              <w:t>В процентах к населению в целом</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p>
        </w:tc>
        <w:tc>
          <w:tcPr>
            <w:tcW w:w="1134" w:type="dxa"/>
          </w:tcPr>
          <w:p w:rsidR="00000000" w:rsidRDefault="00000000">
            <w:pPr>
              <w:tabs>
                <w:tab w:val="clear" w:pos="6237"/>
                <w:tab w:val="left" w:pos="567"/>
                <w:tab w:val="left" w:pos="1134"/>
                <w:tab w:val="left" w:pos="1701"/>
                <w:tab w:val="left" w:pos="2268"/>
              </w:tabs>
              <w:jc w:val="center"/>
            </w:pPr>
            <w:r>
              <w:t>1959</w:t>
            </w:r>
          </w:p>
        </w:tc>
        <w:tc>
          <w:tcPr>
            <w:tcW w:w="1134" w:type="dxa"/>
          </w:tcPr>
          <w:p w:rsidR="00000000" w:rsidRDefault="00000000">
            <w:pPr>
              <w:tabs>
                <w:tab w:val="clear" w:pos="6237"/>
                <w:tab w:val="left" w:pos="567"/>
                <w:tab w:val="left" w:pos="1134"/>
                <w:tab w:val="left" w:pos="1701"/>
                <w:tab w:val="left" w:pos="2268"/>
              </w:tabs>
              <w:jc w:val="center"/>
            </w:pPr>
            <w:r>
              <w:t>1979</w:t>
            </w:r>
          </w:p>
        </w:tc>
        <w:tc>
          <w:tcPr>
            <w:tcW w:w="1134" w:type="dxa"/>
          </w:tcPr>
          <w:p w:rsidR="00000000" w:rsidRDefault="00000000">
            <w:pPr>
              <w:tabs>
                <w:tab w:val="clear" w:pos="6237"/>
                <w:tab w:val="left" w:pos="567"/>
                <w:tab w:val="left" w:pos="1134"/>
                <w:tab w:val="left" w:pos="1701"/>
                <w:tab w:val="left" w:pos="2268"/>
              </w:tabs>
              <w:jc w:val="center"/>
            </w:pPr>
            <w:r>
              <w:t>1989</w:t>
            </w:r>
          </w:p>
        </w:tc>
        <w:tc>
          <w:tcPr>
            <w:tcW w:w="1134" w:type="dxa"/>
          </w:tcPr>
          <w:p w:rsidR="00000000" w:rsidRDefault="00000000">
            <w:pPr>
              <w:tabs>
                <w:tab w:val="clear" w:pos="6237"/>
                <w:tab w:val="left" w:pos="567"/>
                <w:tab w:val="left" w:pos="1134"/>
                <w:tab w:val="left" w:pos="1701"/>
                <w:tab w:val="left" w:pos="2268"/>
              </w:tabs>
              <w:jc w:val="center"/>
            </w:pPr>
            <w:r>
              <w:t>1959</w:t>
            </w:r>
          </w:p>
        </w:tc>
        <w:tc>
          <w:tcPr>
            <w:tcW w:w="993" w:type="dxa"/>
          </w:tcPr>
          <w:p w:rsidR="00000000" w:rsidRDefault="00000000">
            <w:pPr>
              <w:tabs>
                <w:tab w:val="clear" w:pos="6237"/>
                <w:tab w:val="left" w:pos="567"/>
                <w:tab w:val="left" w:pos="1134"/>
                <w:tab w:val="left" w:pos="1701"/>
                <w:tab w:val="left" w:pos="2268"/>
              </w:tabs>
              <w:jc w:val="center"/>
            </w:pPr>
            <w:r>
              <w:t>1979</w:t>
            </w:r>
          </w:p>
        </w:tc>
        <w:tc>
          <w:tcPr>
            <w:tcW w:w="950" w:type="dxa"/>
          </w:tcPr>
          <w:p w:rsidR="00000000" w:rsidRDefault="00000000">
            <w:pPr>
              <w:tabs>
                <w:tab w:val="clear" w:pos="6237"/>
                <w:tab w:val="left" w:pos="567"/>
                <w:tab w:val="left" w:pos="1134"/>
                <w:tab w:val="left" w:pos="1701"/>
                <w:tab w:val="left" w:pos="2268"/>
              </w:tabs>
              <w:jc w:val="center"/>
            </w:pPr>
            <w:r>
              <w:t>1989</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Население в целом</w:t>
            </w:r>
          </w:p>
        </w:tc>
        <w:tc>
          <w:tcPr>
            <w:tcW w:w="1134" w:type="dxa"/>
          </w:tcPr>
          <w:p w:rsidR="00000000" w:rsidRDefault="00000000">
            <w:pPr>
              <w:tabs>
                <w:tab w:val="clear" w:pos="6237"/>
                <w:tab w:val="left" w:pos="567"/>
                <w:tab w:val="left" w:pos="1134"/>
                <w:tab w:val="left" w:pos="1701"/>
                <w:tab w:val="left" w:pos="2268"/>
              </w:tabs>
              <w:jc w:val="center"/>
            </w:pPr>
            <w:r>
              <w:t>4 044,0</w:t>
            </w:r>
          </w:p>
        </w:tc>
        <w:tc>
          <w:tcPr>
            <w:tcW w:w="1134" w:type="dxa"/>
          </w:tcPr>
          <w:p w:rsidR="00000000" w:rsidRDefault="00000000">
            <w:pPr>
              <w:tabs>
                <w:tab w:val="clear" w:pos="6237"/>
                <w:tab w:val="left" w:pos="567"/>
                <w:tab w:val="left" w:pos="1134"/>
                <w:tab w:val="left" w:pos="1701"/>
                <w:tab w:val="left" w:pos="2268"/>
              </w:tabs>
              <w:jc w:val="center"/>
            </w:pPr>
            <w:r>
              <w:t>4 993,2</w:t>
            </w:r>
          </w:p>
        </w:tc>
        <w:tc>
          <w:tcPr>
            <w:tcW w:w="1134" w:type="dxa"/>
          </w:tcPr>
          <w:p w:rsidR="00000000" w:rsidRDefault="00000000">
            <w:pPr>
              <w:tabs>
                <w:tab w:val="clear" w:pos="6237"/>
                <w:tab w:val="left" w:pos="567"/>
                <w:tab w:val="left" w:pos="1134"/>
                <w:tab w:val="left" w:pos="1701"/>
                <w:tab w:val="left" w:pos="2268"/>
              </w:tabs>
              <w:jc w:val="center"/>
            </w:pPr>
            <w:r>
              <w:t>5 400,8</w:t>
            </w:r>
          </w:p>
        </w:tc>
        <w:tc>
          <w:tcPr>
            <w:tcW w:w="1134" w:type="dxa"/>
          </w:tcPr>
          <w:p w:rsidR="00000000" w:rsidRDefault="00000000">
            <w:pPr>
              <w:tabs>
                <w:tab w:val="clear" w:pos="6237"/>
                <w:tab w:val="left" w:pos="567"/>
                <w:tab w:val="left" w:pos="1134"/>
                <w:tab w:val="left" w:pos="1701"/>
                <w:tab w:val="left" w:pos="2268"/>
              </w:tabs>
              <w:jc w:val="center"/>
            </w:pPr>
            <w:r>
              <w:t>100</w:t>
            </w:r>
          </w:p>
        </w:tc>
        <w:tc>
          <w:tcPr>
            <w:tcW w:w="993" w:type="dxa"/>
          </w:tcPr>
          <w:p w:rsidR="00000000" w:rsidRDefault="00000000">
            <w:pPr>
              <w:tabs>
                <w:tab w:val="clear" w:pos="6237"/>
                <w:tab w:val="left" w:pos="567"/>
                <w:tab w:val="left" w:pos="1134"/>
                <w:tab w:val="left" w:pos="1701"/>
                <w:tab w:val="left" w:pos="2268"/>
              </w:tabs>
              <w:jc w:val="center"/>
            </w:pPr>
            <w:r>
              <w:t>100</w:t>
            </w:r>
          </w:p>
        </w:tc>
        <w:tc>
          <w:tcPr>
            <w:tcW w:w="950" w:type="dxa"/>
          </w:tcPr>
          <w:p w:rsidR="00000000" w:rsidRDefault="00000000">
            <w:pPr>
              <w:tabs>
                <w:tab w:val="clear" w:pos="6237"/>
                <w:tab w:val="left" w:pos="567"/>
                <w:tab w:val="left" w:pos="1134"/>
                <w:tab w:val="left" w:pos="1701"/>
                <w:tab w:val="left" w:pos="2268"/>
              </w:tabs>
              <w:jc w:val="center"/>
            </w:pPr>
            <w:r>
              <w:t>100</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Грузины</w:t>
            </w:r>
          </w:p>
        </w:tc>
        <w:tc>
          <w:tcPr>
            <w:tcW w:w="1134" w:type="dxa"/>
          </w:tcPr>
          <w:p w:rsidR="00000000" w:rsidRDefault="00000000">
            <w:pPr>
              <w:tabs>
                <w:tab w:val="clear" w:pos="6237"/>
                <w:tab w:val="left" w:pos="567"/>
                <w:tab w:val="left" w:pos="1134"/>
                <w:tab w:val="left" w:pos="1701"/>
                <w:tab w:val="left" w:pos="2268"/>
              </w:tabs>
              <w:jc w:val="center"/>
            </w:pPr>
            <w:r>
              <w:t>2 600,6</w:t>
            </w:r>
          </w:p>
        </w:tc>
        <w:tc>
          <w:tcPr>
            <w:tcW w:w="1134" w:type="dxa"/>
          </w:tcPr>
          <w:p w:rsidR="00000000" w:rsidRDefault="00000000">
            <w:pPr>
              <w:tabs>
                <w:tab w:val="clear" w:pos="6237"/>
                <w:tab w:val="left" w:pos="567"/>
                <w:tab w:val="left" w:pos="1134"/>
                <w:tab w:val="left" w:pos="1701"/>
                <w:tab w:val="left" w:pos="2268"/>
              </w:tabs>
              <w:jc w:val="center"/>
            </w:pPr>
            <w:r>
              <w:t>3 433,0</w:t>
            </w:r>
          </w:p>
        </w:tc>
        <w:tc>
          <w:tcPr>
            <w:tcW w:w="1134" w:type="dxa"/>
          </w:tcPr>
          <w:p w:rsidR="00000000" w:rsidRDefault="00000000">
            <w:pPr>
              <w:tabs>
                <w:tab w:val="clear" w:pos="6237"/>
                <w:tab w:val="left" w:pos="567"/>
                <w:tab w:val="left" w:pos="1134"/>
                <w:tab w:val="left" w:pos="1701"/>
                <w:tab w:val="left" w:pos="2268"/>
              </w:tabs>
              <w:jc w:val="center"/>
            </w:pPr>
            <w:r>
              <w:t>3 787,4</w:t>
            </w:r>
          </w:p>
        </w:tc>
        <w:tc>
          <w:tcPr>
            <w:tcW w:w="1134" w:type="dxa"/>
          </w:tcPr>
          <w:p w:rsidR="00000000" w:rsidRDefault="00000000">
            <w:pPr>
              <w:tabs>
                <w:tab w:val="clear" w:pos="6237"/>
                <w:tab w:val="left" w:pos="567"/>
                <w:tab w:val="left" w:pos="1134"/>
                <w:tab w:val="left" w:pos="1701"/>
                <w:tab w:val="left" w:pos="2268"/>
              </w:tabs>
              <w:jc w:val="center"/>
            </w:pPr>
            <w:r>
              <w:t>64,3</w:t>
            </w:r>
          </w:p>
        </w:tc>
        <w:tc>
          <w:tcPr>
            <w:tcW w:w="993" w:type="dxa"/>
          </w:tcPr>
          <w:p w:rsidR="00000000" w:rsidRDefault="00000000">
            <w:pPr>
              <w:tabs>
                <w:tab w:val="clear" w:pos="6237"/>
                <w:tab w:val="left" w:pos="567"/>
                <w:tab w:val="left" w:pos="1134"/>
                <w:tab w:val="left" w:pos="1701"/>
                <w:tab w:val="left" w:pos="2268"/>
              </w:tabs>
              <w:jc w:val="center"/>
            </w:pPr>
            <w:r>
              <w:t>68,8</w:t>
            </w:r>
          </w:p>
        </w:tc>
        <w:tc>
          <w:tcPr>
            <w:tcW w:w="950" w:type="dxa"/>
          </w:tcPr>
          <w:p w:rsidR="00000000" w:rsidRDefault="00000000">
            <w:pPr>
              <w:tabs>
                <w:tab w:val="clear" w:pos="6237"/>
                <w:tab w:val="left" w:pos="567"/>
                <w:tab w:val="left" w:pos="1134"/>
                <w:tab w:val="left" w:pos="1701"/>
                <w:tab w:val="left" w:pos="2268"/>
              </w:tabs>
              <w:jc w:val="center"/>
            </w:pPr>
            <w:r>
              <w:t>70,1</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Абхазы</w:t>
            </w:r>
          </w:p>
        </w:tc>
        <w:tc>
          <w:tcPr>
            <w:tcW w:w="1134" w:type="dxa"/>
          </w:tcPr>
          <w:p w:rsidR="00000000" w:rsidRDefault="00000000">
            <w:pPr>
              <w:tabs>
                <w:tab w:val="clear" w:pos="6237"/>
                <w:tab w:val="left" w:pos="567"/>
                <w:tab w:val="left" w:pos="1134"/>
                <w:tab w:val="left" w:pos="1701"/>
                <w:tab w:val="left" w:pos="2268"/>
              </w:tabs>
              <w:jc w:val="center"/>
            </w:pPr>
            <w:r>
              <w:t>62,9</w:t>
            </w:r>
          </w:p>
        </w:tc>
        <w:tc>
          <w:tcPr>
            <w:tcW w:w="1134" w:type="dxa"/>
          </w:tcPr>
          <w:p w:rsidR="00000000" w:rsidRDefault="00000000">
            <w:pPr>
              <w:tabs>
                <w:tab w:val="clear" w:pos="6237"/>
                <w:tab w:val="left" w:pos="567"/>
                <w:tab w:val="left" w:pos="1134"/>
                <w:tab w:val="left" w:pos="1701"/>
                <w:tab w:val="left" w:pos="2268"/>
              </w:tabs>
              <w:jc w:val="center"/>
            </w:pPr>
            <w:r>
              <w:t>85,3</w:t>
            </w:r>
          </w:p>
        </w:tc>
        <w:tc>
          <w:tcPr>
            <w:tcW w:w="1134" w:type="dxa"/>
          </w:tcPr>
          <w:p w:rsidR="00000000" w:rsidRDefault="00000000">
            <w:pPr>
              <w:tabs>
                <w:tab w:val="clear" w:pos="6237"/>
                <w:tab w:val="left" w:pos="567"/>
                <w:tab w:val="left" w:pos="1134"/>
                <w:tab w:val="left" w:pos="1701"/>
                <w:tab w:val="left" w:pos="2268"/>
              </w:tabs>
              <w:jc w:val="center"/>
            </w:pPr>
            <w:r>
              <w:t>95,9</w:t>
            </w:r>
          </w:p>
        </w:tc>
        <w:tc>
          <w:tcPr>
            <w:tcW w:w="1134" w:type="dxa"/>
          </w:tcPr>
          <w:p w:rsidR="00000000" w:rsidRDefault="00000000">
            <w:pPr>
              <w:tabs>
                <w:tab w:val="clear" w:pos="6237"/>
                <w:tab w:val="left" w:pos="567"/>
                <w:tab w:val="left" w:pos="1134"/>
                <w:tab w:val="left" w:pos="1701"/>
                <w:tab w:val="left" w:pos="2268"/>
              </w:tabs>
              <w:jc w:val="center"/>
            </w:pPr>
            <w:r>
              <w:t>1,6</w:t>
            </w:r>
          </w:p>
        </w:tc>
        <w:tc>
          <w:tcPr>
            <w:tcW w:w="993" w:type="dxa"/>
          </w:tcPr>
          <w:p w:rsidR="00000000" w:rsidRDefault="00000000">
            <w:pPr>
              <w:tabs>
                <w:tab w:val="clear" w:pos="6237"/>
                <w:tab w:val="left" w:pos="567"/>
                <w:tab w:val="left" w:pos="1134"/>
                <w:tab w:val="left" w:pos="1701"/>
                <w:tab w:val="left" w:pos="2268"/>
              </w:tabs>
              <w:jc w:val="center"/>
            </w:pPr>
            <w:r>
              <w:t>1,7</w:t>
            </w:r>
          </w:p>
        </w:tc>
        <w:tc>
          <w:tcPr>
            <w:tcW w:w="950" w:type="dxa"/>
          </w:tcPr>
          <w:p w:rsidR="00000000" w:rsidRDefault="00000000">
            <w:pPr>
              <w:tabs>
                <w:tab w:val="clear" w:pos="6237"/>
                <w:tab w:val="left" w:pos="567"/>
                <w:tab w:val="left" w:pos="1134"/>
                <w:tab w:val="left" w:pos="1701"/>
                <w:tab w:val="left" w:pos="2268"/>
              </w:tabs>
              <w:jc w:val="center"/>
            </w:pPr>
            <w:r>
              <w:t>1,8</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Осетины</w:t>
            </w:r>
          </w:p>
        </w:tc>
        <w:tc>
          <w:tcPr>
            <w:tcW w:w="1134" w:type="dxa"/>
          </w:tcPr>
          <w:p w:rsidR="00000000" w:rsidRDefault="00000000">
            <w:pPr>
              <w:tabs>
                <w:tab w:val="clear" w:pos="6237"/>
                <w:tab w:val="left" w:pos="567"/>
                <w:tab w:val="left" w:pos="1134"/>
                <w:tab w:val="left" w:pos="1701"/>
                <w:tab w:val="left" w:pos="2268"/>
              </w:tabs>
              <w:jc w:val="center"/>
            </w:pPr>
            <w:r>
              <w:t>141,2</w:t>
            </w:r>
          </w:p>
        </w:tc>
        <w:tc>
          <w:tcPr>
            <w:tcW w:w="1134" w:type="dxa"/>
          </w:tcPr>
          <w:p w:rsidR="00000000" w:rsidRDefault="00000000">
            <w:pPr>
              <w:tabs>
                <w:tab w:val="clear" w:pos="6237"/>
                <w:tab w:val="left" w:pos="567"/>
                <w:tab w:val="left" w:pos="1134"/>
                <w:tab w:val="left" w:pos="1701"/>
                <w:tab w:val="left" w:pos="2268"/>
              </w:tabs>
              <w:jc w:val="center"/>
            </w:pPr>
            <w:r>
              <w:t>160,5</w:t>
            </w:r>
          </w:p>
        </w:tc>
        <w:tc>
          <w:tcPr>
            <w:tcW w:w="1134" w:type="dxa"/>
          </w:tcPr>
          <w:p w:rsidR="00000000" w:rsidRDefault="00000000">
            <w:pPr>
              <w:tabs>
                <w:tab w:val="clear" w:pos="6237"/>
                <w:tab w:val="left" w:pos="567"/>
                <w:tab w:val="left" w:pos="1134"/>
                <w:tab w:val="left" w:pos="1701"/>
                <w:tab w:val="left" w:pos="2268"/>
              </w:tabs>
              <w:jc w:val="center"/>
            </w:pPr>
            <w:r>
              <w:t>164,1</w:t>
            </w:r>
          </w:p>
        </w:tc>
        <w:tc>
          <w:tcPr>
            <w:tcW w:w="1134" w:type="dxa"/>
          </w:tcPr>
          <w:p w:rsidR="00000000" w:rsidRDefault="00000000">
            <w:pPr>
              <w:tabs>
                <w:tab w:val="clear" w:pos="6237"/>
                <w:tab w:val="left" w:pos="567"/>
                <w:tab w:val="left" w:pos="1134"/>
                <w:tab w:val="left" w:pos="1701"/>
                <w:tab w:val="left" w:pos="2268"/>
              </w:tabs>
              <w:jc w:val="center"/>
            </w:pPr>
            <w:r>
              <w:t>3,5</w:t>
            </w:r>
          </w:p>
        </w:tc>
        <w:tc>
          <w:tcPr>
            <w:tcW w:w="993" w:type="dxa"/>
          </w:tcPr>
          <w:p w:rsidR="00000000" w:rsidRDefault="00000000">
            <w:pPr>
              <w:tabs>
                <w:tab w:val="clear" w:pos="6237"/>
                <w:tab w:val="left" w:pos="567"/>
                <w:tab w:val="left" w:pos="1134"/>
                <w:tab w:val="left" w:pos="1701"/>
                <w:tab w:val="left" w:pos="2268"/>
              </w:tabs>
              <w:jc w:val="center"/>
            </w:pPr>
            <w:r>
              <w:t>3,2</w:t>
            </w:r>
          </w:p>
        </w:tc>
        <w:tc>
          <w:tcPr>
            <w:tcW w:w="950" w:type="dxa"/>
          </w:tcPr>
          <w:p w:rsidR="00000000" w:rsidRDefault="00000000">
            <w:pPr>
              <w:tabs>
                <w:tab w:val="clear" w:pos="6237"/>
                <w:tab w:val="left" w:pos="567"/>
                <w:tab w:val="left" w:pos="1134"/>
                <w:tab w:val="left" w:pos="1701"/>
                <w:tab w:val="left" w:pos="2268"/>
              </w:tabs>
              <w:jc w:val="center"/>
            </w:pPr>
            <w:r>
              <w:t>3,0</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Русские</w:t>
            </w:r>
          </w:p>
        </w:tc>
        <w:tc>
          <w:tcPr>
            <w:tcW w:w="1134" w:type="dxa"/>
          </w:tcPr>
          <w:p w:rsidR="00000000" w:rsidRDefault="00000000">
            <w:pPr>
              <w:tabs>
                <w:tab w:val="clear" w:pos="6237"/>
                <w:tab w:val="left" w:pos="567"/>
                <w:tab w:val="left" w:pos="1134"/>
                <w:tab w:val="left" w:pos="1701"/>
                <w:tab w:val="left" w:pos="2268"/>
              </w:tabs>
              <w:jc w:val="center"/>
            </w:pPr>
            <w:r>
              <w:t>407,9</w:t>
            </w:r>
          </w:p>
        </w:tc>
        <w:tc>
          <w:tcPr>
            <w:tcW w:w="1134" w:type="dxa"/>
          </w:tcPr>
          <w:p w:rsidR="00000000" w:rsidRDefault="00000000">
            <w:pPr>
              <w:tabs>
                <w:tab w:val="clear" w:pos="6237"/>
                <w:tab w:val="left" w:pos="567"/>
                <w:tab w:val="left" w:pos="1134"/>
                <w:tab w:val="left" w:pos="1701"/>
                <w:tab w:val="left" w:pos="2268"/>
              </w:tabs>
              <w:jc w:val="center"/>
            </w:pPr>
            <w:r>
              <w:t>371,6</w:t>
            </w:r>
          </w:p>
        </w:tc>
        <w:tc>
          <w:tcPr>
            <w:tcW w:w="1134" w:type="dxa"/>
          </w:tcPr>
          <w:p w:rsidR="00000000" w:rsidRDefault="00000000">
            <w:pPr>
              <w:tabs>
                <w:tab w:val="clear" w:pos="6237"/>
                <w:tab w:val="left" w:pos="567"/>
                <w:tab w:val="left" w:pos="1134"/>
                <w:tab w:val="left" w:pos="1701"/>
                <w:tab w:val="left" w:pos="2268"/>
              </w:tabs>
              <w:jc w:val="center"/>
            </w:pPr>
            <w:r>
              <w:t>341,2</w:t>
            </w:r>
          </w:p>
        </w:tc>
        <w:tc>
          <w:tcPr>
            <w:tcW w:w="1134" w:type="dxa"/>
          </w:tcPr>
          <w:p w:rsidR="00000000" w:rsidRDefault="00000000">
            <w:pPr>
              <w:tabs>
                <w:tab w:val="clear" w:pos="6237"/>
                <w:tab w:val="left" w:pos="567"/>
                <w:tab w:val="left" w:pos="1134"/>
                <w:tab w:val="left" w:pos="1701"/>
                <w:tab w:val="left" w:pos="2268"/>
              </w:tabs>
              <w:jc w:val="center"/>
            </w:pPr>
            <w:r>
              <w:t>10,1</w:t>
            </w:r>
          </w:p>
        </w:tc>
        <w:tc>
          <w:tcPr>
            <w:tcW w:w="993" w:type="dxa"/>
          </w:tcPr>
          <w:p w:rsidR="00000000" w:rsidRDefault="00000000">
            <w:pPr>
              <w:tabs>
                <w:tab w:val="clear" w:pos="6237"/>
                <w:tab w:val="left" w:pos="567"/>
                <w:tab w:val="left" w:pos="1134"/>
                <w:tab w:val="left" w:pos="1701"/>
                <w:tab w:val="left" w:pos="2268"/>
              </w:tabs>
              <w:jc w:val="center"/>
            </w:pPr>
            <w:r>
              <w:t>7,4</w:t>
            </w:r>
          </w:p>
        </w:tc>
        <w:tc>
          <w:tcPr>
            <w:tcW w:w="950" w:type="dxa"/>
          </w:tcPr>
          <w:p w:rsidR="00000000" w:rsidRDefault="00000000">
            <w:pPr>
              <w:tabs>
                <w:tab w:val="clear" w:pos="6237"/>
                <w:tab w:val="left" w:pos="567"/>
                <w:tab w:val="left" w:pos="1134"/>
                <w:tab w:val="left" w:pos="1701"/>
                <w:tab w:val="left" w:pos="2268"/>
              </w:tabs>
              <w:jc w:val="center"/>
            </w:pPr>
            <w:r>
              <w:t>6,3</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Украинцы</w:t>
            </w:r>
          </w:p>
        </w:tc>
        <w:tc>
          <w:tcPr>
            <w:tcW w:w="1134" w:type="dxa"/>
          </w:tcPr>
          <w:p w:rsidR="00000000" w:rsidRDefault="00000000">
            <w:pPr>
              <w:tabs>
                <w:tab w:val="clear" w:pos="6237"/>
                <w:tab w:val="left" w:pos="567"/>
                <w:tab w:val="left" w:pos="1134"/>
                <w:tab w:val="left" w:pos="1701"/>
                <w:tab w:val="left" w:pos="2268"/>
              </w:tabs>
              <w:jc w:val="center"/>
            </w:pPr>
            <w:r>
              <w:t>52,2</w:t>
            </w:r>
          </w:p>
        </w:tc>
        <w:tc>
          <w:tcPr>
            <w:tcW w:w="1134" w:type="dxa"/>
          </w:tcPr>
          <w:p w:rsidR="00000000" w:rsidRDefault="00000000">
            <w:pPr>
              <w:tabs>
                <w:tab w:val="clear" w:pos="6237"/>
                <w:tab w:val="left" w:pos="567"/>
                <w:tab w:val="left" w:pos="1134"/>
                <w:tab w:val="left" w:pos="1701"/>
                <w:tab w:val="left" w:pos="2268"/>
              </w:tabs>
              <w:jc w:val="center"/>
            </w:pPr>
            <w:r>
              <w:t>45,0</w:t>
            </w:r>
          </w:p>
        </w:tc>
        <w:tc>
          <w:tcPr>
            <w:tcW w:w="1134" w:type="dxa"/>
          </w:tcPr>
          <w:p w:rsidR="00000000" w:rsidRDefault="00000000">
            <w:pPr>
              <w:tabs>
                <w:tab w:val="clear" w:pos="6237"/>
                <w:tab w:val="left" w:pos="567"/>
                <w:tab w:val="left" w:pos="1134"/>
                <w:tab w:val="left" w:pos="1701"/>
                <w:tab w:val="left" w:pos="2268"/>
              </w:tabs>
              <w:jc w:val="center"/>
            </w:pPr>
            <w:r>
              <w:t>52,4</w:t>
            </w:r>
          </w:p>
        </w:tc>
        <w:tc>
          <w:tcPr>
            <w:tcW w:w="1134" w:type="dxa"/>
          </w:tcPr>
          <w:p w:rsidR="00000000" w:rsidRDefault="00000000">
            <w:pPr>
              <w:tabs>
                <w:tab w:val="clear" w:pos="6237"/>
                <w:tab w:val="left" w:pos="567"/>
                <w:tab w:val="left" w:pos="1134"/>
                <w:tab w:val="left" w:pos="1701"/>
                <w:tab w:val="left" w:pos="2268"/>
              </w:tabs>
              <w:jc w:val="center"/>
            </w:pPr>
            <w:r>
              <w:t>1,8</w:t>
            </w:r>
          </w:p>
        </w:tc>
        <w:tc>
          <w:tcPr>
            <w:tcW w:w="993" w:type="dxa"/>
          </w:tcPr>
          <w:p w:rsidR="00000000" w:rsidRDefault="00000000">
            <w:pPr>
              <w:tabs>
                <w:tab w:val="clear" w:pos="6237"/>
                <w:tab w:val="left" w:pos="567"/>
                <w:tab w:val="left" w:pos="1134"/>
                <w:tab w:val="left" w:pos="1701"/>
                <w:tab w:val="left" w:pos="2268"/>
              </w:tabs>
              <w:jc w:val="center"/>
            </w:pPr>
            <w:r>
              <w:t>0,9</w:t>
            </w:r>
          </w:p>
        </w:tc>
        <w:tc>
          <w:tcPr>
            <w:tcW w:w="950" w:type="dxa"/>
          </w:tcPr>
          <w:p w:rsidR="00000000" w:rsidRDefault="00000000">
            <w:pPr>
              <w:tabs>
                <w:tab w:val="clear" w:pos="6237"/>
                <w:tab w:val="left" w:pos="567"/>
                <w:tab w:val="left" w:pos="1134"/>
                <w:tab w:val="left" w:pos="1701"/>
                <w:tab w:val="left" w:pos="2268"/>
              </w:tabs>
              <w:jc w:val="center"/>
            </w:pPr>
            <w:r>
              <w:t>1,0</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Азербайджанцы</w:t>
            </w:r>
          </w:p>
        </w:tc>
        <w:tc>
          <w:tcPr>
            <w:tcW w:w="1134" w:type="dxa"/>
          </w:tcPr>
          <w:p w:rsidR="00000000" w:rsidRDefault="00000000">
            <w:pPr>
              <w:tabs>
                <w:tab w:val="clear" w:pos="6237"/>
                <w:tab w:val="left" w:pos="567"/>
                <w:tab w:val="left" w:pos="1134"/>
                <w:tab w:val="left" w:pos="1701"/>
                <w:tab w:val="left" w:pos="2268"/>
              </w:tabs>
              <w:jc w:val="center"/>
            </w:pPr>
            <w:r>
              <w:t>153,6</w:t>
            </w:r>
          </w:p>
        </w:tc>
        <w:tc>
          <w:tcPr>
            <w:tcW w:w="1134" w:type="dxa"/>
          </w:tcPr>
          <w:p w:rsidR="00000000" w:rsidRDefault="00000000">
            <w:pPr>
              <w:tabs>
                <w:tab w:val="clear" w:pos="6237"/>
                <w:tab w:val="left" w:pos="567"/>
                <w:tab w:val="left" w:pos="1134"/>
                <w:tab w:val="left" w:pos="1701"/>
                <w:tab w:val="left" w:pos="2268"/>
              </w:tabs>
              <w:jc w:val="center"/>
            </w:pPr>
            <w:r>
              <w:t>255,7</w:t>
            </w:r>
          </w:p>
        </w:tc>
        <w:tc>
          <w:tcPr>
            <w:tcW w:w="1134" w:type="dxa"/>
          </w:tcPr>
          <w:p w:rsidR="00000000" w:rsidRDefault="00000000">
            <w:pPr>
              <w:tabs>
                <w:tab w:val="clear" w:pos="6237"/>
                <w:tab w:val="left" w:pos="567"/>
                <w:tab w:val="left" w:pos="1134"/>
                <w:tab w:val="left" w:pos="1701"/>
                <w:tab w:val="left" w:pos="2268"/>
              </w:tabs>
              <w:jc w:val="center"/>
            </w:pPr>
            <w:r>
              <w:t>307,6</w:t>
            </w:r>
          </w:p>
        </w:tc>
        <w:tc>
          <w:tcPr>
            <w:tcW w:w="1134" w:type="dxa"/>
          </w:tcPr>
          <w:p w:rsidR="00000000" w:rsidRDefault="00000000">
            <w:pPr>
              <w:tabs>
                <w:tab w:val="clear" w:pos="6237"/>
                <w:tab w:val="left" w:pos="567"/>
                <w:tab w:val="left" w:pos="1134"/>
                <w:tab w:val="left" w:pos="1701"/>
                <w:tab w:val="left" w:pos="2268"/>
              </w:tabs>
              <w:jc w:val="center"/>
            </w:pPr>
            <w:r>
              <w:t>3,8</w:t>
            </w:r>
          </w:p>
        </w:tc>
        <w:tc>
          <w:tcPr>
            <w:tcW w:w="993" w:type="dxa"/>
          </w:tcPr>
          <w:p w:rsidR="00000000" w:rsidRDefault="00000000">
            <w:pPr>
              <w:tabs>
                <w:tab w:val="clear" w:pos="6237"/>
                <w:tab w:val="left" w:pos="567"/>
                <w:tab w:val="left" w:pos="1134"/>
                <w:tab w:val="left" w:pos="1701"/>
                <w:tab w:val="left" w:pos="2268"/>
              </w:tabs>
              <w:jc w:val="center"/>
            </w:pPr>
            <w:r>
              <w:t>5,1</w:t>
            </w:r>
          </w:p>
        </w:tc>
        <w:tc>
          <w:tcPr>
            <w:tcW w:w="950" w:type="dxa"/>
          </w:tcPr>
          <w:p w:rsidR="00000000" w:rsidRDefault="00000000">
            <w:pPr>
              <w:tabs>
                <w:tab w:val="clear" w:pos="6237"/>
                <w:tab w:val="left" w:pos="567"/>
                <w:tab w:val="left" w:pos="1134"/>
                <w:tab w:val="left" w:pos="1701"/>
                <w:tab w:val="left" w:pos="2268"/>
              </w:tabs>
              <w:jc w:val="center"/>
            </w:pPr>
            <w:r>
              <w:t>5,7</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Армяне</w:t>
            </w:r>
          </w:p>
        </w:tc>
        <w:tc>
          <w:tcPr>
            <w:tcW w:w="1134" w:type="dxa"/>
          </w:tcPr>
          <w:p w:rsidR="00000000" w:rsidRDefault="00000000">
            <w:pPr>
              <w:tabs>
                <w:tab w:val="clear" w:pos="6237"/>
                <w:tab w:val="left" w:pos="567"/>
                <w:tab w:val="left" w:pos="1134"/>
                <w:tab w:val="left" w:pos="1701"/>
                <w:tab w:val="left" w:pos="2268"/>
              </w:tabs>
              <w:jc w:val="center"/>
            </w:pPr>
            <w:r>
              <w:t>442,9</w:t>
            </w:r>
          </w:p>
        </w:tc>
        <w:tc>
          <w:tcPr>
            <w:tcW w:w="1134" w:type="dxa"/>
          </w:tcPr>
          <w:p w:rsidR="00000000" w:rsidRDefault="00000000">
            <w:pPr>
              <w:tabs>
                <w:tab w:val="clear" w:pos="6237"/>
                <w:tab w:val="left" w:pos="567"/>
                <w:tab w:val="left" w:pos="1134"/>
                <w:tab w:val="left" w:pos="1701"/>
                <w:tab w:val="left" w:pos="2268"/>
              </w:tabs>
              <w:jc w:val="center"/>
            </w:pPr>
            <w:r>
              <w:t>448,0</w:t>
            </w:r>
          </w:p>
        </w:tc>
        <w:tc>
          <w:tcPr>
            <w:tcW w:w="1134" w:type="dxa"/>
          </w:tcPr>
          <w:p w:rsidR="00000000" w:rsidRDefault="00000000">
            <w:pPr>
              <w:tabs>
                <w:tab w:val="clear" w:pos="6237"/>
                <w:tab w:val="left" w:pos="567"/>
                <w:tab w:val="left" w:pos="1134"/>
                <w:tab w:val="left" w:pos="1701"/>
                <w:tab w:val="left" w:pos="2268"/>
              </w:tabs>
              <w:jc w:val="center"/>
            </w:pPr>
            <w:r>
              <w:t>437,2</w:t>
            </w:r>
          </w:p>
        </w:tc>
        <w:tc>
          <w:tcPr>
            <w:tcW w:w="1134" w:type="dxa"/>
          </w:tcPr>
          <w:p w:rsidR="00000000" w:rsidRDefault="00000000">
            <w:pPr>
              <w:tabs>
                <w:tab w:val="clear" w:pos="6237"/>
                <w:tab w:val="left" w:pos="567"/>
                <w:tab w:val="left" w:pos="1134"/>
                <w:tab w:val="left" w:pos="1701"/>
                <w:tab w:val="left" w:pos="2268"/>
              </w:tabs>
              <w:jc w:val="center"/>
            </w:pPr>
            <w:r>
              <w:t>11,0</w:t>
            </w:r>
          </w:p>
        </w:tc>
        <w:tc>
          <w:tcPr>
            <w:tcW w:w="993" w:type="dxa"/>
          </w:tcPr>
          <w:p w:rsidR="00000000" w:rsidRDefault="00000000">
            <w:pPr>
              <w:tabs>
                <w:tab w:val="clear" w:pos="6237"/>
                <w:tab w:val="left" w:pos="567"/>
                <w:tab w:val="left" w:pos="1134"/>
                <w:tab w:val="left" w:pos="1701"/>
                <w:tab w:val="left" w:pos="2268"/>
              </w:tabs>
              <w:jc w:val="center"/>
            </w:pPr>
            <w:r>
              <w:t>9,0</w:t>
            </w:r>
          </w:p>
        </w:tc>
        <w:tc>
          <w:tcPr>
            <w:tcW w:w="950" w:type="dxa"/>
          </w:tcPr>
          <w:p w:rsidR="00000000" w:rsidRDefault="00000000">
            <w:pPr>
              <w:tabs>
                <w:tab w:val="clear" w:pos="6237"/>
                <w:tab w:val="left" w:pos="567"/>
                <w:tab w:val="left" w:pos="1134"/>
                <w:tab w:val="left" w:pos="1701"/>
                <w:tab w:val="left" w:pos="2268"/>
              </w:tabs>
              <w:jc w:val="center"/>
            </w:pPr>
            <w:r>
              <w:t>8,1</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Евреи</w:t>
            </w:r>
          </w:p>
        </w:tc>
        <w:tc>
          <w:tcPr>
            <w:tcW w:w="1134" w:type="dxa"/>
          </w:tcPr>
          <w:p w:rsidR="00000000" w:rsidRDefault="00000000">
            <w:pPr>
              <w:tabs>
                <w:tab w:val="clear" w:pos="6237"/>
                <w:tab w:val="left" w:pos="567"/>
                <w:tab w:val="left" w:pos="1134"/>
                <w:tab w:val="left" w:pos="1701"/>
                <w:tab w:val="left" w:pos="2268"/>
              </w:tabs>
              <w:jc w:val="center"/>
            </w:pPr>
            <w:r>
              <w:t>51,6</w:t>
            </w:r>
          </w:p>
        </w:tc>
        <w:tc>
          <w:tcPr>
            <w:tcW w:w="1134" w:type="dxa"/>
          </w:tcPr>
          <w:p w:rsidR="00000000" w:rsidRDefault="00000000">
            <w:pPr>
              <w:tabs>
                <w:tab w:val="clear" w:pos="6237"/>
                <w:tab w:val="left" w:pos="567"/>
                <w:tab w:val="left" w:pos="1134"/>
                <w:tab w:val="left" w:pos="1701"/>
                <w:tab w:val="left" w:pos="2268"/>
              </w:tabs>
              <w:jc w:val="center"/>
            </w:pPr>
            <w:r>
              <w:t>28,3</w:t>
            </w:r>
          </w:p>
        </w:tc>
        <w:tc>
          <w:tcPr>
            <w:tcW w:w="1134" w:type="dxa"/>
          </w:tcPr>
          <w:p w:rsidR="00000000" w:rsidRDefault="00000000">
            <w:pPr>
              <w:tabs>
                <w:tab w:val="clear" w:pos="6237"/>
                <w:tab w:val="left" w:pos="567"/>
                <w:tab w:val="left" w:pos="1134"/>
                <w:tab w:val="left" w:pos="1701"/>
                <w:tab w:val="left" w:pos="2268"/>
              </w:tabs>
              <w:jc w:val="center"/>
            </w:pPr>
            <w:r>
              <w:t>24,8</w:t>
            </w:r>
          </w:p>
        </w:tc>
        <w:tc>
          <w:tcPr>
            <w:tcW w:w="1134" w:type="dxa"/>
          </w:tcPr>
          <w:p w:rsidR="00000000" w:rsidRDefault="00000000">
            <w:pPr>
              <w:tabs>
                <w:tab w:val="clear" w:pos="6237"/>
                <w:tab w:val="left" w:pos="567"/>
                <w:tab w:val="left" w:pos="1134"/>
                <w:tab w:val="left" w:pos="1701"/>
                <w:tab w:val="left" w:pos="2268"/>
              </w:tabs>
              <w:jc w:val="center"/>
            </w:pPr>
            <w:r>
              <w:t>1,3</w:t>
            </w:r>
          </w:p>
        </w:tc>
        <w:tc>
          <w:tcPr>
            <w:tcW w:w="993" w:type="dxa"/>
          </w:tcPr>
          <w:p w:rsidR="00000000" w:rsidRDefault="00000000">
            <w:pPr>
              <w:tabs>
                <w:tab w:val="clear" w:pos="6237"/>
                <w:tab w:val="left" w:pos="567"/>
                <w:tab w:val="left" w:pos="1134"/>
                <w:tab w:val="left" w:pos="1701"/>
                <w:tab w:val="left" w:pos="2268"/>
              </w:tabs>
              <w:jc w:val="center"/>
            </w:pPr>
            <w:r>
              <w:t>0,6</w:t>
            </w:r>
          </w:p>
        </w:tc>
        <w:tc>
          <w:tcPr>
            <w:tcW w:w="950" w:type="dxa"/>
          </w:tcPr>
          <w:p w:rsidR="00000000" w:rsidRDefault="00000000">
            <w:pPr>
              <w:tabs>
                <w:tab w:val="clear" w:pos="6237"/>
                <w:tab w:val="left" w:pos="567"/>
                <w:tab w:val="left" w:pos="1134"/>
                <w:tab w:val="left" w:pos="1701"/>
                <w:tab w:val="left" w:pos="2268"/>
              </w:tabs>
              <w:jc w:val="center"/>
            </w:pPr>
            <w:r>
              <w:t>0,5</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Ассирийцы</w:t>
            </w:r>
          </w:p>
        </w:tc>
        <w:tc>
          <w:tcPr>
            <w:tcW w:w="1134" w:type="dxa"/>
          </w:tcPr>
          <w:p w:rsidR="00000000" w:rsidRDefault="00000000">
            <w:pPr>
              <w:tabs>
                <w:tab w:val="clear" w:pos="6237"/>
                <w:tab w:val="left" w:pos="567"/>
                <w:tab w:val="left" w:pos="1134"/>
                <w:tab w:val="left" w:pos="1701"/>
                <w:tab w:val="left" w:pos="2268"/>
              </w:tabs>
              <w:jc w:val="center"/>
            </w:pPr>
            <w:r>
              <w:t>-</w:t>
            </w:r>
          </w:p>
        </w:tc>
        <w:tc>
          <w:tcPr>
            <w:tcW w:w="1134" w:type="dxa"/>
          </w:tcPr>
          <w:p w:rsidR="00000000" w:rsidRDefault="00000000">
            <w:pPr>
              <w:tabs>
                <w:tab w:val="clear" w:pos="6237"/>
                <w:tab w:val="left" w:pos="567"/>
                <w:tab w:val="left" w:pos="1134"/>
                <w:tab w:val="left" w:pos="1701"/>
                <w:tab w:val="left" w:pos="2268"/>
              </w:tabs>
              <w:jc w:val="center"/>
            </w:pPr>
            <w:r>
              <w:t>5,3</w:t>
            </w:r>
          </w:p>
        </w:tc>
        <w:tc>
          <w:tcPr>
            <w:tcW w:w="1134" w:type="dxa"/>
          </w:tcPr>
          <w:p w:rsidR="00000000" w:rsidRDefault="00000000">
            <w:pPr>
              <w:tabs>
                <w:tab w:val="clear" w:pos="6237"/>
                <w:tab w:val="left" w:pos="567"/>
                <w:tab w:val="left" w:pos="1134"/>
                <w:tab w:val="left" w:pos="1701"/>
                <w:tab w:val="left" w:pos="2268"/>
              </w:tabs>
              <w:jc w:val="center"/>
            </w:pPr>
            <w:r>
              <w:t>6,2</w:t>
            </w:r>
          </w:p>
        </w:tc>
        <w:tc>
          <w:tcPr>
            <w:tcW w:w="1134" w:type="dxa"/>
          </w:tcPr>
          <w:p w:rsidR="00000000" w:rsidRDefault="00000000">
            <w:pPr>
              <w:tabs>
                <w:tab w:val="clear" w:pos="6237"/>
                <w:tab w:val="left" w:pos="567"/>
                <w:tab w:val="left" w:pos="1134"/>
                <w:tab w:val="left" w:pos="1701"/>
                <w:tab w:val="left" w:pos="2268"/>
              </w:tabs>
              <w:jc w:val="center"/>
            </w:pPr>
            <w:r>
              <w:t>-</w:t>
            </w:r>
          </w:p>
        </w:tc>
        <w:tc>
          <w:tcPr>
            <w:tcW w:w="993" w:type="dxa"/>
          </w:tcPr>
          <w:p w:rsidR="00000000" w:rsidRDefault="00000000">
            <w:pPr>
              <w:tabs>
                <w:tab w:val="clear" w:pos="6237"/>
                <w:tab w:val="left" w:pos="567"/>
                <w:tab w:val="left" w:pos="1134"/>
                <w:tab w:val="left" w:pos="1701"/>
                <w:tab w:val="left" w:pos="2268"/>
              </w:tabs>
              <w:jc w:val="center"/>
            </w:pPr>
            <w:r>
              <w:t>0,1</w:t>
            </w:r>
          </w:p>
        </w:tc>
        <w:tc>
          <w:tcPr>
            <w:tcW w:w="950" w:type="dxa"/>
          </w:tcPr>
          <w:p w:rsidR="00000000" w:rsidRDefault="00000000">
            <w:pPr>
              <w:tabs>
                <w:tab w:val="clear" w:pos="6237"/>
                <w:tab w:val="left" w:pos="567"/>
                <w:tab w:val="left" w:pos="1134"/>
                <w:tab w:val="left" w:pos="1701"/>
                <w:tab w:val="left" w:pos="2268"/>
              </w:tabs>
              <w:jc w:val="center"/>
            </w:pPr>
            <w:r>
              <w:t>0,1</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Греки</w:t>
            </w:r>
          </w:p>
        </w:tc>
        <w:tc>
          <w:tcPr>
            <w:tcW w:w="1134" w:type="dxa"/>
          </w:tcPr>
          <w:p w:rsidR="00000000" w:rsidRDefault="00000000">
            <w:pPr>
              <w:tabs>
                <w:tab w:val="clear" w:pos="6237"/>
                <w:tab w:val="left" w:pos="567"/>
                <w:tab w:val="left" w:pos="1134"/>
                <w:tab w:val="left" w:pos="1701"/>
                <w:tab w:val="left" w:pos="2268"/>
              </w:tabs>
              <w:jc w:val="center"/>
            </w:pPr>
            <w:r>
              <w:t>72,9</w:t>
            </w:r>
          </w:p>
        </w:tc>
        <w:tc>
          <w:tcPr>
            <w:tcW w:w="1134" w:type="dxa"/>
          </w:tcPr>
          <w:p w:rsidR="00000000" w:rsidRDefault="00000000">
            <w:pPr>
              <w:tabs>
                <w:tab w:val="clear" w:pos="6237"/>
                <w:tab w:val="left" w:pos="567"/>
                <w:tab w:val="left" w:pos="1134"/>
                <w:tab w:val="left" w:pos="1701"/>
                <w:tab w:val="left" w:pos="2268"/>
              </w:tabs>
              <w:jc w:val="center"/>
            </w:pPr>
            <w:r>
              <w:t>95,1</w:t>
            </w:r>
          </w:p>
        </w:tc>
        <w:tc>
          <w:tcPr>
            <w:tcW w:w="1134" w:type="dxa"/>
          </w:tcPr>
          <w:p w:rsidR="00000000" w:rsidRDefault="00000000">
            <w:pPr>
              <w:tabs>
                <w:tab w:val="clear" w:pos="6237"/>
                <w:tab w:val="left" w:pos="567"/>
                <w:tab w:val="left" w:pos="1134"/>
                <w:tab w:val="left" w:pos="1701"/>
                <w:tab w:val="left" w:pos="2268"/>
              </w:tabs>
              <w:jc w:val="center"/>
            </w:pPr>
            <w:r>
              <w:t>100,3</w:t>
            </w:r>
          </w:p>
        </w:tc>
        <w:tc>
          <w:tcPr>
            <w:tcW w:w="1134" w:type="dxa"/>
          </w:tcPr>
          <w:p w:rsidR="00000000" w:rsidRDefault="00000000">
            <w:pPr>
              <w:tabs>
                <w:tab w:val="clear" w:pos="6237"/>
                <w:tab w:val="left" w:pos="567"/>
                <w:tab w:val="left" w:pos="1134"/>
                <w:tab w:val="left" w:pos="1701"/>
                <w:tab w:val="left" w:pos="2268"/>
              </w:tabs>
              <w:jc w:val="center"/>
            </w:pPr>
            <w:r>
              <w:t>1,8</w:t>
            </w:r>
          </w:p>
        </w:tc>
        <w:tc>
          <w:tcPr>
            <w:tcW w:w="993" w:type="dxa"/>
          </w:tcPr>
          <w:p w:rsidR="00000000" w:rsidRDefault="00000000">
            <w:pPr>
              <w:tabs>
                <w:tab w:val="clear" w:pos="6237"/>
                <w:tab w:val="left" w:pos="567"/>
                <w:tab w:val="left" w:pos="1134"/>
                <w:tab w:val="left" w:pos="1701"/>
                <w:tab w:val="left" w:pos="2268"/>
              </w:tabs>
              <w:jc w:val="center"/>
            </w:pPr>
            <w:r>
              <w:t>1,9</w:t>
            </w:r>
          </w:p>
        </w:tc>
        <w:tc>
          <w:tcPr>
            <w:tcW w:w="950" w:type="dxa"/>
          </w:tcPr>
          <w:p w:rsidR="00000000" w:rsidRDefault="00000000">
            <w:pPr>
              <w:tabs>
                <w:tab w:val="clear" w:pos="6237"/>
                <w:tab w:val="left" w:pos="567"/>
                <w:tab w:val="left" w:pos="1134"/>
                <w:tab w:val="left" w:pos="1701"/>
                <w:tab w:val="left" w:pos="2268"/>
              </w:tabs>
              <w:jc w:val="center"/>
            </w:pPr>
            <w:r>
              <w:t>1,9</w:t>
            </w:r>
          </w:p>
        </w:tc>
      </w:tr>
      <w:tr w:rsidR="00000000">
        <w:tblPrEx>
          <w:tblCellMar>
            <w:top w:w="0" w:type="dxa"/>
            <w:bottom w:w="0" w:type="dxa"/>
          </w:tblCellMar>
        </w:tblPrEx>
        <w:tc>
          <w:tcPr>
            <w:tcW w:w="2376" w:type="dxa"/>
          </w:tcPr>
          <w:p w:rsidR="00000000" w:rsidRDefault="00000000">
            <w:pPr>
              <w:tabs>
                <w:tab w:val="clear" w:pos="6237"/>
                <w:tab w:val="left" w:pos="567"/>
                <w:tab w:val="left" w:pos="1134"/>
                <w:tab w:val="left" w:pos="1701"/>
                <w:tab w:val="left" w:pos="2268"/>
              </w:tabs>
            </w:pPr>
            <w:r>
              <w:t>Курды</w:t>
            </w:r>
          </w:p>
        </w:tc>
        <w:tc>
          <w:tcPr>
            <w:tcW w:w="1134" w:type="dxa"/>
          </w:tcPr>
          <w:p w:rsidR="00000000" w:rsidRDefault="00000000">
            <w:pPr>
              <w:tabs>
                <w:tab w:val="clear" w:pos="6237"/>
                <w:tab w:val="left" w:pos="567"/>
                <w:tab w:val="left" w:pos="1134"/>
                <w:tab w:val="left" w:pos="1701"/>
                <w:tab w:val="left" w:pos="2268"/>
              </w:tabs>
              <w:jc w:val="center"/>
            </w:pPr>
            <w:r>
              <w:t>16,2</w:t>
            </w:r>
          </w:p>
        </w:tc>
        <w:tc>
          <w:tcPr>
            <w:tcW w:w="1134" w:type="dxa"/>
          </w:tcPr>
          <w:p w:rsidR="00000000" w:rsidRDefault="00000000">
            <w:pPr>
              <w:tabs>
                <w:tab w:val="clear" w:pos="6237"/>
                <w:tab w:val="left" w:pos="567"/>
                <w:tab w:val="left" w:pos="1134"/>
                <w:tab w:val="left" w:pos="1701"/>
                <w:tab w:val="left" w:pos="2268"/>
              </w:tabs>
              <w:jc w:val="center"/>
            </w:pPr>
            <w:r>
              <w:t>25,7</w:t>
            </w:r>
          </w:p>
        </w:tc>
        <w:tc>
          <w:tcPr>
            <w:tcW w:w="1134" w:type="dxa"/>
          </w:tcPr>
          <w:p w:rsidR="00000000" w:rsidRDefault="00000000">
            <w:pPr>
              <w:tabs>
                <w:tab w:val="clear" w:pos="6237"/>
                <w:tab w:val="left" w:pos="567"/>
                <w:tab w:val="left" w:pos="1134"/>
                <w:tab w:val="left" w:pos="1701"/>
                <w:tab w:val="left" w:pos="2268"/>
              </w:tabs>
              <w:jc w:val="center"/>
            </w:pPr>
            <w:r>
              <w:t>33,3</w:t>
            </w:r>
          </w:p>
        </w:tc>
        <w:tc>
          <w:tcPr>
            <w:tcW w:w="1134" w:type="dxa"/>
          </w:tcPr>
          <w:p w:rsidR="00000000" w:rsidRDefault="00000000">
            <w:pPr>
              <w:tabs>
                <w:tab w:val="clear" w:pos="6237"/>
                <w:tab w:val="left" w:pos="567"/>
                <w:tab w:val="left" w:pos="1134"/>
                <w:tab w:val="left" w:pos="1701"/>
                <w:tab w:val="left" w:pos="2268"/>
              </w:tabs>
              <w:jc w:val="center"/>
            </w:pPr>
            <w:r>
              <w:t>0,4</w:t>
            </w:r>
          </w:p>
        </w:tc>
        <w:tc>
          <w:tcPr>
            <w:tcW w:w="993" w:type="dxa"/>
          </w:tcPr>
          <w:p w:rsidR="00000000" w:rsidRDefault="00000000">
            <w:pPr>
              <w:tabs>
                <w:tab w:val="clear" w:pos="6237"/>
                <w:tab w:val="left" w:pos="567"/>
                <w:tab w:val="left" w:pos="1134"/>
                <w:tab w:val="left" w:pos="1701"/>
                <w:tab w:val="left" w:pos="2268"/>
              </w:tabs>
              <w:jc w:val="center"/>
            </w:pPr>
            <w:r>
              <w:t>0,5</w:t>
            </w:r>
          </w:p>
        </w:tc>
        <w:tc>
          <w:tcPr>
            <w:tcW w:w="950" w:type="dxa"/>
          </w:tcPr>
          <w:p w:rsidR="00000000" w:rsidRDefault="00000000">
            <w:pPr>
              <w:tabs>
                <w:tab w:val="clear" w:pos="6237"/>
                <w:tab w:val="left" w:pos="567"/>
                <w:tab w:val="left" w:pos="1134"/>
                <w:tab w:val="left" w:pos="1701"/>
                <w:tab w:val="left" w:pos="2268"/>
              </w:tabs>
              <w:jc w:val="center"/>
            </w:pPr>
            <w:r>
              <w:t>0,6</w:t>
            </w:r>
          </w:p>
        </w:tc>
      </w:tr>
    </w:tbl>
    <w:p w:rsidR="00000000" w:rsidRDefault="00000000">
      <w:pPr>
        <w:pStyle w:val="Heading2"/>
        <w:tabs>
          <w:tab w:val="clear" w:pos="6237"/>
          <w:tab w:val="left" w:pos="567"/>
          <w:tab w:val="left" w:pos="1134"/>
          <w:tab w:val="left" w:pos="1701"/>
          <w:tab w:val="left" w:pos="2268"/>
        </w:tabs>
        <w:spacing w:before="0" w:line="240" w:lineRule="auto"/>
        <w:rPr>
          <w:i/>
          <w:iCs/>
          <w:u w:val="none"/>
        </w:rPr>
      </w:pPr>
    </w:p>
    <w:p w:rsidR="00000000" w:rsidRDefault="00000000">
      <w:pPr>
        <w:pStyle w:val="Heading2"/>
        <w:tabs>
          <w:tab w:val="clear" w:pos="6237"/>
          <w:tab w:val="left" w:pos="567"/>
          <w:tab w:val="left" w:pos="1134"/>
          <w:tab w:val="left" w:pos="1701"/>
          <w:tab w:val="left" w:pos="2268"/>
        </w:tabs>
        <w:spacing w:before="0" w:line="240" w:lineRule="auto"/>
        <w:rPr>
          <w:i/>
          <w:iCs/>
          <w:u w:val="none"/>
        </w:rPr>
      </w:pPr>
    </w:p>
    <w:p w:rsidR="00000000" w:rsidRDefault="00000000">
      <w:pPr>
        <w:pStyle w:val="Heading2"/>
        <w:tabs>
          <w:tab w:val="clear" w:pos="6237"/>
          <w:tab w:val="left" w:pos="567"/>
          <w:tab w:val="left" w:pos="1134"/>
          <w:tab w:val="left" w:pos="1701"/>
          <w:tab w:val="left" w:pos="2268"/>
        </w:tabs>
        <w:spacing w:before="0" w:line="240" w:lineRule="auto"/>
        <w:rPr>
          <w:i/>
          <w:iCs/>
          <w:u w:val="none"/>
        </w:rPr>
      </w:pPr>
      <w:r>
        <w:rPr>
          <w:i/>
          <w:iCs/>
          <w:u w:val="none"/>
        </w:rPr>
        <w:t>О властных структурах, занимающихся правами меньшинств</w:t>
      </w:r>
    </w:p>
    <w:p w:rsidR="00000000" w:rsidRDefault="00000000">
      <w:pPr>
        <w:tabs>
          <w:tab w:val="clear" w:pos="6237"/>
          <w:tab w:val="left" w:pos="567"/>
          <w:tab w:val="left" w:pos="1134"/>
          <w:tab w:val="left" w:pos="1701"/>
          <w:tab w:val="left" w:pos="2268"/>
        </w:tabs>
        <w:spacing w:line="240" w:lineRule="auto"/>
      </w:pPr>
    </w:p>
    <w:p w:rsidR="00000000" w:rsidRDefault="00000000">
      <w:pPr>
        <w:tabs>
          <w:tab w:val="clear" w:pos="6237"/>
          <w:tab w:val="left" w:pos="567"/>
          <w:tab w:val="left" w:pos="1134"/>
          <w:tab w:val="left" w:pos="1701"/>
          <w:tab w:val="left" w:pos="2268"/>
        </w:tabs>
      </w:pPr>
      <w:r>
        <w:t>580.</w:t>
      </w:r>
      <w:r>
        <w:tab/>
        <w:t>В структуре парламента Грузии, работавшего в период 1995-1999 годов, функционировал Комитет по правам человека и вопросам национальных меньшинств.  Осознание важности той роли, которую призваны играть в жизни государства и общества национальные меньшинства, и необходимости более активно вовлекать эти группы в строительство подлинно демократической страны послужило отправной точкой для учреждения в высшем законодательном органе  новой для Грузии структуры – Комитета по гражданской интеграции.  Именно на него возлагается ответственность за обеспечение законодательного фона, на котором более активно будут развиваться интеграционные процессы в грузинском обществе, укрепятся предпосылки формирования гражданского общества.  Немаловажное значение имеет также  содействие более эффективному выполнению государством своих международных обязательств в сфере прав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581.</w:t>
      </w:r>
      <w:r>
        <w:tab/>
        <w:t xml:space="preserve">После состоявшихся в ноябре 1998 года впервые в истории независимой Грузии выборов в местные органы власти во многих </w:t>
      </w:r>
      <w:proofErr w:type="spellStart"/>
      <w:r>
        <w:t>сакребуло</w:t>
      </w:r>
      <w:proofErr w:type="spellEnd"/>
      <w:r>
        <w:t xml:space="preserve"> (выборных органов на местах) были созданы комиссии по правам человека.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582.</w:t>
      </w:r>
      <w:r>
        <w:tab/>
        <w:t>В 1998 году решением президента Грузии был учрежден пост помощника главы государства по вопросам межнациональных отношений.  Его занял известный в нашей стране ученый, профессор, этнический русский.  В рабочий аппарат помощника президента вошли представители национальных меньшинств – армяне, азербайджанцы, русские – в том числе известные деятели культуры, бывшие члены парламента.  В функции помощника президента Грузии по вопросам межнациональных отношений, в основном, входит работа с общественными объединениями меньшинств и диаспорами в целом, поддержание контактов с грузинскими общинами за рубежом.  При отделе по вопросам межнациональных отношений администрации президента создан совет ("</w:t>
      </w:r>
      <w:proofErr w:type="spellStart"/>
      <w:r>
        <w:t>сататбиро</w:t>
      </w:r>
      <w:proofErr w:type="spellEnd"/>
      <w:r>
        <w:t xml:space="preserve">")  представителей национальных общин и общественных формирований, в котором объединились около 60 неправительственных организаций меньшинств.  За истекший период под эгидой помощника президента прошел целый ряд встреч и "круглых столов" с представителями действующих в Грузии общественных объединений меньшинств, посвященных, в частности, теме закона о защите национальных меньшинств.  Периодически организуется мониторинг ситуации, сложившейся в местах компактного расселения </w:t>
      </w:r>
      <w:proofErr w:type="spellStart"/>
      <w:r>
        <w:t>нетитульных</w:t>
      </w:r>
      <w:proofErr w:type="spellEnd"/>
      <w:r>
        <w:t xml:space="preserve"> этнических групп.</w:t>
      </w:r>
    </w:p>
    <w:p w:rsidR="00000000" w:rsidRDefault="00000000">
      <w:pPr>
        <w:tabs>
          <w:tab w:val="clear" w:pos="6237"/>
          <w:tab w:val="left" w:pos="567"/>
          <w:tab w:val="left" w:pos="1134"/>
          <w:tab w:val="left" w:pos="1701"/>
          <w:tab w:val="left" w:pos="2268"/>
        </w:tabs>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583.</w:t>
      </w:r>
      <w:r>
        <w:rPr>
          <w:sz w:val="24"/>
        </w:rPr>
        <w:tab/>
        <w:t>Информация относительно других структур, в той или иной мере занимающихся проблемами меньшинств, содержится в разделе "Система защиты прав человека" Базового документа (пункты 114 – 121, 123).</w:t>
      </w:r>
    </w:p>
    <w:p w:rsidR="00000000" w:rsidRDefault="00000000">
      <w:pPr>
        <w:tabs>
          <w:tab w:val="clear" w:pos="6237"/>
          <w:tab w:val="left" w:pos="567"/>
          <w:tab w:val="left" w:pos="1134"/>
          <w:tab w:val="left" w:pos="1701"/>
          <w:tab w:val="left" w:pos="2268"/>
        </w:tabs>
      </w:pPr>
    </w:p>
    <w:p w:rsidR="00000000" w:rsidRDefault="00000000">
      <w:pPr>
        <w:pStyle w:val="Heading3"/>
        <w:tabs>
          <w:tab w:val="clear" w:pos="6237"/>
          <w:tab w:val="left" w:pos="567"/>
          <w:tab w:val="left" w:pos="1134"/>
          <w:tab w:val="left" w:pos="1701"/>
          <w:tab w:val="left" w:pos="2268"/>
        </w:tabs>
        <w:rPr>
          <w:iCs/>
        </w:rPr>
      </w:pPr>
      <w:r>
        <w:rPr>
          <w:iCs/>
        </w:rPr>
        <w:t>Об общественных объединениях меньшинств</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584.</w:t>
      </w:r>
      <w:r>
        <w:tab/>
        <w:t>В настоящем разделе приводится информация о функционирующих в Грузии общественных объединениях меньшинств, одной из целей которых является сохранение своей самобытности и культуры.</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585.</w:t>
      </w:r>
      <w:r>
        <w:tab/>
        <w:t xml:space="preserve">Среди общественных объединений  меньшинств русские представлены наиболее широко.  Крупнейшим из них является Русское культурно-просветительное общество, имеющее 9 филиалов и объединяющее 16 тысяч членов.  В числе других крупных объединений следует упомянуть благотворительную ассоциацию "Славянский дом", ассоциацию "Надежда", базирующуюся в Батуми  ассоциацию "Дружба", союз казаков Грузии.  Особого внимания заслуживают феномен </w:t>
      </w:r>
      <w:proofErr w:type="spellStart"/>
      <w:r>
        <w:t>духоборской</w:t>
      </w:r>
      <w:proofErr w:type="spellEnd"/>
      <w:r>
        <w:t xml:space="preserve"> общины Грузии, а также молокан и старообрядцев.  В 30-х годах </w:t>
      </w:r>
      <w:proofErr w:type="spellStart"/>
      <w:r>
        <w:t>XIX</w:t>
      </w:r>
      <w:proofErr w:type="spellEnd"/>
      <w:r>
        <w:t xml:space="preserve"> века представители этих христианских сект были депортированы из России в Грузию.  Они расселились по всей стране,  в отдельных регионах образовав целые деревни.  </w:t>
      </w:r>
      <w:proofErr w:type="spellStart"/>
      <w:r>
        <w:t>Духоборская</w:t>
      </w:r>
      <w:proofErr w:type="spellEnd"/>
      <w:r>
        <w:t xml:space="preserve"> община поселилась в семи селах </w:t>
      </w:r>
      <w:proofErr w:type="spellStart"/>
      <w:r>
        <w:t>Джавахетского</w:t>
      </w:r>
      <w:proofErr w:type="spellEnd"/>
      <w:r>
        <w:t xml:space="preserve"> региона, где она сохраняет в течение более полутора веков свою культуру, традиции и веру.  В последние годы некоторые представители этой общины выехали в Россию, однако, как показали проведенные в 1992-1995 годах социологические исследования, причиной этого стала не дискриминация, конфессиональная или культурная, а тяжелые экономические условия.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586.</w:t>
      </w:r>
      <w:r>
        <w:tab/>
        <w:t>Азербайджанское меньшинство представлено Союзом азербайджанцев Грузии,   культурно-благотворительными обществами "</w:t>
      </w:r>
      <w:proofErr w:type="spellStart"/>
      <w:r>
        <w:t>Даяги</w:t>
      </w:r>
      <w:proofErr w:type="spellEnd"/>
      <w:r>
        <w:t>", "</w:t>
      </w:r>
      <w:proofErr w:type="spellStart"/>
      <w:r>
        <w:t>Бирлик</w:t>
      </w:r>
      <w:proofErr w:type="spellEnd"/>
      <w:r>
        <w:t>", "</w:t>
      </w:r>
      <w:proofErr w:type="spellStart"/>
      <w:r>
        <w:t>Умид</w:t>
      </w:r>
      <w:proofErr w:type="spellEnd"/>
      <w:r>
        <w:t>", "</w:t>
      </w:r>
      <w:proofErr w:type="spellStart"/>
      <w:r>
        <w:t>Озан</w:t>
      </w:r>
      <w:proofErr w:type="spellEnd"/>
      <w:r>
        <w:t>", "</w:t>
      </w:r>
      <w:proofErr w:type="spellStart"/>
      <w:r>
        <w:t>Гейрат</w:t>
      </w:r>
      <w:proofErr w:type="spellEnd"/>
      <w:r>
        <w:t xml:space="preserve">".  В столице Грузии функционирует азербайджанский культурный центр.  Следует отметить также интернациональное общество </w:t>
      </w:r>
      <w:proofErr w:type="spellStart"/>
      <w:r>
        <w:t>азербайджанско-грузинской</w:t>
      </w:r>
      <w:proofErr w:type="spellEnd"/>
      <w:r>
        <w:t xml:space="preserve"> дружбы и сотрудничества "</w:t>
      </w:r>
      <w:proofErr w:type="spellStart"/>
      <w:r>
        <w:t>Сази</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587.</w:t>
      </w:r>
      <w:r>
        <w:tab/>
        <w:t>Армянская община несколько лет назад создала свое культурно-благотворительное общество.  Состоявшийся в 1999 году съезд общества принял решение о преобразовании его в Союз армян Грузии, одним из основных целей которого провозглашено укрепление армяно-грузинской дружбы, развитие связей между Грузией и Арменией.  Среди  армянских общественных организаций в регионах Грузии следует отметить благотворительную ассоциацию "</w:t>
      </w:r>
      <w:proofErr w:type="spellStart"/>
      <w:r>
        <w:t>Шарль</w:t>
      </w:r>
      <w:proofErr w:type="spellEnd"/>
      <w:r>
        <w:t xml:space="preserve"> </w:t>
      </w:r>
      <w:proofErr w:type="spellStart"/>
      <w:r>
        <w:t>Азнавур</w:t>
      </w:r>
      <w:proofErr w:type="spellEnd"/>
      <w:r>
        <w:t xml:space="preserve">" (г. </w:t>
      </w:r>
      <w:proofErr w:type="spellStart"/>
      <w:r>
        <w:t>Ахалцихе</w:t>
      </w:r>
      <w:proofErr w:type="spellEnd"/>
      <w:r>
        <w:t>), общество "</w:t>
      </w:r>
      <w:proofErr w:type="spellStart"/>
      <w:r>
        <w:t>Вераценунц</w:t>
      </w:r>
      <w:proofErr w:type="spellEnd"/>
      <w:r>
        <w:t>" (г. Батуми).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588.</w:t>
      </w:r>
      <w:r>
        <w:tab/>
        <w:t>Кроме того, в стране созданы и беспрепятственно работают следующие общественные объединения меньшинств: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1.</w:t>
      </w:r>
      <w:r>
        <w:tab/>
        <w:t>Федерация греческих общин, объединяющая 23 общины из всех регионов Грузии.  По инициативе Федерации были созданы центры греческой культуры и греческого образования, воскресные школы, издаются две газеты - в Тбилиси и Батуми.  Федерация поддерживает регулярные контакты с греческими диаспорами за рубежом.</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2.</w:t>
      </w:r>
      <w:r>
        <w:tab/>
        <w:t>Курдские (</w:t>
      </w:r>
      <w:proofErr w:type="spellStart"/>
      <w:r>
        <w:t>езидские</w:t>
      </w:r>
      <w:proofErr w:type="spellEnd"/>
      <w:r>
        <w:t xml:space="preserve">) организации, в том числе Союз </w:t>
      </w:r>
      <w:proofErr w:type="spellStart"/>
      <w:r>
        <w:t>езидов</w:t>
      </w:r>
      <w:proofErr w:type="spellEnd"/>
      <w:r>
        <w:t xml:space="preserve"> Грузии, общество граждан Грузии курдской национальности, международный курдский информационный центр, четыре женские, молодежные и религиозные организации.  Курдские организации поддерживают связи с национальными культурными центрами и обществами в различных странах мира.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3.</w:t>
      </w:r>
      <w:r>
        <w:tab/>
        <w:t>Немецкое общество "</w:t>
      </w:r>
      <w:proofErr w:type="spellStart"/>
      <w:r>
        <w:t>Айнунг</w:t>
      </w:r>
      <w:proofErr w:type="spellEnd"/>
      <w:r>
        <w:t>".  Примечательно, что немецкая община Грузии составляет лишь около полутора тысяч человек, две трети которых считают своим родным языком русский.  Общество "</w:t>
      </w:r>
      <w:proofErr w:type="spellStart"/>
      <w:r>
        <w:t>Айнунг</w:t>
      </w:r>
      <w:proofErr w:type="spellEnd"/>
      <w:r>
        <w:t>" стремится удовлетворить культурные потребности немецкой диаспоры, в частности, периодически организует выставки художников немецкого происхождения в Тбилиси.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4.</w:t>
      </w:r>
      <w:r>
        <w:tab/>
        <w:t>Польское общество "Полония", созданное в 1995 году,  объединяет около 800 членов, включая молодежь в возрасте до 18 лет.  Возглавляет общество женщина - профессор Тбилисского государственного университета.  Основной целью "Полонии" является культурная и образовательная деятельность.</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589.</w:t>
      </w:r>
      <w:r>
        <w:tab/>
        <w:t>Помимо этого, в "третьем секторе" представлен еще целый ряд объединений меньшинств - ассирийское, латышское, литовское, украинское и др., - целью которых является сохранение самобытности, удовлетворение культурных потребностей и др.</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590.</w:t>
      </w:r>
      <w:r>
        <w:tab/>
        <w:t>Неправительственные организации меньшинств пользуются поддержкой государства.  Одной из важнейших задач помощника президента Грузии по вопросам межнациональных отношений является поддержание тесного контакта с обществами национальных меньшинств, с целью разработки эффективной политики по защите и поощрению их прав и свобод, в соответствии с Конституцией и международными обязательствами государства.</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Об образовательной инфраструктуре меньшинств</w:t>
      </w:r>
    </w:p>
    <w:p w:rsidR="00000000" w:rsidRDefault="00000000">
      <w:pPr>
        <w:tabs>
          <w:tab w:val="clear" w:pos="6237"/>
          <w:tab w:val="left" w:pos="567"/>
          <w:tab w:val="left" w:pos="1134"/>
          <w:tab w:val="left" w:pos="1701"/>
          <w:tab w:val="left" w:pos="2268"/>
        </w:tabs>
        <w:rPr>
          <w:u w:val="single"/>
        </w:rPr>
      </w:pPr>
    </w:p>
    <w:p w:rsidR="00000000" w:rsidRDefault="00000000">
      <w:pPr>
        <w:tabs>
          <w:tab w:val="clear" w:pos="6237"/>
          <w:tab w:val="left" w:pos="567"/>
          <w:tab w:val="left" w:pos="1134"/>
          <w:tab w:val="left" w:pos="1701"/>
          <w:tab w:val="left" w:pos="2268"/>
        </w:tabs>
      </w:pPr>
      <w:r>
        <w:t>591.</w:t>
      </w:r>
      <w:r>
        <w:tab/>
        <w:t>К началу 1998/99 учебного года количество дневных общеобразовательных школ (без учета школ для детей с умственными и физическими недостатками) в Грузии составило 3 179 с контингентом учащихся  715,8 тыс.  человек.  Среди них:</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87 русских школ и 152 независимых сектора с числом учащихся 43,7 </w:t>
      </w:r>
      <w:proofErr w:type="spellStart"/>
      <w:r>
        <w:t>тыс.человек</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141 азербайджанская школа и 8  независимых секторов с числом учащихся 41,0 </w:t>
      </w:r>
      <w:proofErr w:type="spellStart"/>
      <w:r>
        <w:t>тыс.человек</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ind w:left="1134" w:hanging="1134"/>
      </w:pPr>
      <w:r>
        <w:tab/>
        <w:t>-</w:t>
      </w:r>
      <w:r>
        <w:tab/>
        <w:t>133 армянские  школы и 2 независимых сектора с числом учащихся 27,8 </w:t>
      </w:r>
      <w:proofErr w:type="spellStart"/>
      <w:r>
        <w:t>тыс.человек</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w:t>
      </w:r>
      <w:r>
        <w:tab/>
        <w:t xml:space="preserve">10 независимых осетинских секторов с числом учащихся 0,2 </w:t>
      </w:r>
      <w:proofErr w:type="spellStart"/>
      <w:r>
        <w:t>тыс.человек</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ab/>
        <w:t xml:space="preserve">Следует отметить в то же время, что количество учащихся, получающих образование в дневных школах на родном (негрузинском) языке имеет устойчивую тенденцию к сокращению.  Так, по сравнению с 1990/91 учебным годом число школьников, обучающихся на русском языке, сократилось в 4,1 раза, на азербайджанском  и армянском языках - соответственно на 8,4 и 8,3 процента.  За тот же период возросло, хотя и незначительно (на </w:t>
      </w:r>
      <w:proofErr w:type="spellStart"/>
      <w:r>
        <w:t>1,01%</w:t>
      </w:r>
      <w:proofErr w:type="spellEnd"/>
      <w:r>
        <w:t xml:space="preserve">), количество учащихся грузинских школ, достигнув цифры 693,1 </w:t>
      </w:r>
      <w:proofErr w:type="spellStart"/>
      <w:r>
        <w:t>тыс.человек</w:t>
      </w:r>
      <w:proofErr w:type="spellEnd"/>
      <w:r>
        <w:t>.</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592.</w:t>
      </w:r>
      <w:r>
        <w:tab/>
        <w:t>В системе среднего образования функционируют также 37 гимназий и 27 лицеев, в ряде из которых осуществляется интенсивное обучение иностранным языкам, в том числе новогреческому (греческая диаспора в Грузии довольно многочисленна).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593.</w:t>
      </w:r>
      <w:r>
        <w:tab/>
        <w:t>В 1998/99 учебном году в Грузии работало 24 государственных высших учебных заведения с количеством студентов 90,1 тыс. человек, а также 154 негосударственных  вуза с числом слушателей 38,3 тыс. человек.  В ряде из них студенты могут получить образование не только на грузинском языке.  Так, в Тбилисском государственном университете  функционирует 12 отделений  с преподаванием на русском языке, в Тбилисском государственном техническом  университете - 21 такое отделение, в Тбилисском государственном педагогическом университете - 7, Тбилисском государственном медицинском университете - 1, Зооветеринарном институте - 2.  Отделения с обучением на русском языке имеются в вузах городов Батуми и Кутаиси, экономическом институте в городе Гори и педагогическом институте города Телави.  Таким образом, только на русском языке молодежь может  получить в государственных высших учебных заведениях свыше 50 специальностей.  Помимо этого, русские отделения (секторы) имеются во многих негосударственных вузах.  В Тбилисском госуниверситете изучаются армянский, азербайджанский и новогреческий языки, а также языки народов Кавказа.  В Тбилисском государственном педагогическом университете функционируют  факультеты армянского и азербайджанского языка и литературы.  Среди коммерческих вузов следует отметить греческий университет им.  Аристотеля.</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культуре меньшинств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594.</w:t>
      </w:r>
      <w:r>
        <w:tab/>
        <w:t>Национальные меньшинства в Грузии полноценно реализуют свое право на участие в культурной жизни страны.  Сценическое искусство представляют 3 русских государственных театра, в том числе театр  юного зрителя, государственный и 3 народных (самодеятельных) армянских театра, абхазский и осетинский государственные театры, 2 народных (самодеятельных) азербайджанских театра.  В настоящее время в государственном институте театра и кино обучается целевая группа студентов, которая станет ядром будущего азербайджанского государственного театра в столице страны.  Уже много лет с успехом выступают абхазский, азербайджанский, армянский, ассирийский, греческий, еврейский, литовский, немецкий, осетинский вокальные и хореографические ансамбли.  Особого упоминания заслуживает детский еврейский  хореографический ансамбль "</w:t>
      </w:r>
      <w:proofErr w:type="spellStart"/>
      <w:r>
        <w:t>Ионат</w:t>
      </w:r>
      <w:proofErr w:type="spellEnd"/>
      <w:r>
        <w:t xml:space="preserve"> шел шалом" ("Голубь мира"), ставший лауреатом международного конкурса.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595.</w:t>
      </w:r>
      <w:r>
        <w:tab/>
        <w:t>В составе союза писателей Грузии работают русская, армянская и другие секции меньшинств.  В столице страны создано международное литературное общество им. Пушкина.  Плодотворно работают центры русской культуры, российско-грузинских и азербайджано-грузинских культурных связей, культурный центр "Кавказский дом".  Практически во всех библиотеках Грузии представители национальных меньшинств имеют возможность знакомиться с литературой на родном языке.  Недавно в стране с успехом прошел фестиваль "Еврейской книги".</w:t>
      </w:r>
    </w:p>
    <w:p w:rsidR="00000000" w:rsidRDefault="00000000">
      <w:pPr>
        <w:tabs>
          <w:tab w:val="clear" w:pos="6237"/>
          <w:tab w:val="left" w:pos="567"/>
          <w:tab w:val="left" w:pos="1134"/>
          <w:tab w:val="left" w:pos="1701"/>
          <w:tab w:val="left" w:pos="2268"/>
        </w:tabs>
      </w:pPr>
    </w:p>
    <w:p w:rsidR="00000000" w:rsidRDefault="00000000">
      <w:pPr>
        <w:pStyle w:val="BodyText2"/>
        <w:tabs>
          <w:tab w:val="clear" w:pos="6237"/>
          <w:tab w:val="left" w:pos="567"/>
          <w:tab w:val="left" w:pos="1134"/>
          <w:tab w:val="left" w:pos="1701"/>
          <w:tab w:val="left" w:pos="2268"/>
        </w:tabs>
        <w:jc w:val="left"/>
      </w:pPr>
      <w:r>
        <w:t>596.</w:t>
      </w:r>
      <w:r>
        <w:tab/>
        <w:t>В Грузии действуют многочисленные дома-музеи выдающихся деятелей культуры, так или иначе связанных с нашей страной и ее историей.  В их числе дома-музеи М.Ф. </w:t>
      </w:r>
      <w:proofErr w:type="spellStart"/>
      <w:r>
        <w:t>Ахундова</w:t>
      </w:r>
      <w:proofErr w:type="spellEnd"/>
      <w:r>
        <w:t>, Д. </w:t>
      </w:r>
      <w:proofErr w:type="spellStart"/>
      <w:r>
        <w:t>Гулиа</w:t>
      </w:r>
      <w:proofErr w:type="spellEnd"/>
      <w:r>
        <w:t xml:space="preserve"> (Сухуми), </w:t>
      </w:r>
      <w:proofErr w:type="spellStart"/>
      <w:r>
        <w:t>Мамедкулизаде</w:t>
      </w:r>
      <w:proofErr w:type="spellEnd"/>
      <w:r>
        <w:t>, В. Маяковского, Н. </w:t>
      </w:r>
      <w:proofErr w:type="spellStart"/>
      <w:r>
        <w:t>Нариманова</w:t>
      </w:r>
      <w:proofErr w:type="spellEnd"/>
      <w:r>
        <w:t>, В. </w:t>
      </w:r>
      <w:proofErr w:type="spellStart"/>
      <w:r>
        <w:t>Терьяна</w:t>
      </w:r>
      <w:proofErr w:type="spellEnd"/>
      <w:r>
        <w:t xml:space="preserve">, К. Симонова, К. </w:t>
      </w:r>
      <w:proofErr w:type="spellStart"/>
      <w:r>
        <w:t>Хетагурова</w:t>
      </w:r>
      <w:proofErr w:type="spellEnd"/>
      <w:r>
        <w:t xml:space="preserve"> (</w:t>
      </w:r>
      <w:proofErr w:type="spellStart"/>
      <w:r>
        <w:t>Цхинвали</w:t>
      </w:r>
      <w:proofErr w:type="spellEnd"/>
      <w:r>
        <w:t>).  В Тбилиси расположены также мемориальный дом А. Пушкина, библиотека-музей Леси Украинки.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597.</w:t>
      </w:r>
      <w:r>
        <w:tab/>
        <w:t xml:space="preserve">Министерство культуры Грузии активно сотрудничает с ассоциациями национальных меньшинств, их обществами и культурными центрами.  В структуре Министерства сформирована специальная служба, занимающаяся конкретными   проблемами развития культуры меньшинств.  Имеющиеся экономические трудности негативно сказываются на деятельности культурной инфраструктуры, однако государство по мере возможности изыскивает финансовые средства для поддержания этой сферы.  В 1997-1999 годах на обеспечение нужд культуры было выделено </w:t>
      </w:r>
      <w:proofErr w:type="spellStart"/>
      <w:r>
        <w:t>1-1,9%</w:t>
      </w:r>
      <w:proofErr w:type="spellEnd"/>
      <w:r>
        <w:t xml:space="preserve"> государственного бюджета.  </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598.</w:t>
      </w:r>
      <w:r>
        <w:tab/>
        <w:t>В комментариях к статье 19 настоящего доклада (раздел "О свободе прессы") содержатся сведения относительно средств массовой информации, функционирующих на языках меньшинств.</w:t>
      </w:r>
    </w:p>
    <w:p w:rsidR="00000000" w:rsidRDefault="00000000">
      <w:pPr>
        <w:tabs>
          <w:tab w:val="clear" w:pos="6237"/>
          <w:tab w:val="left" w:pos="567"/>
          <w:tab w:val="left" w:pos="1134"/>
          <w:tab w:val="left" w:pos="1701"/>
          <w:tab w:val="left" w:pos="2268"/>
        </w:tabs>
      </w:pPr>
    </w:p>
    <w:p w:rsidR="00000000" w:rsidRDefault="00000000">
      <w:pPr>
        <w:pStyle w:val="Heading7"/>
        <w:tabs>
          <w:tab w:val="clear" w:pos="6237"/>
          <w:tab w:val="left" w:pos="567"/>
          <w:tab w:val="left" w:pos="1134"/>
          <w:tab w:val="left" w:pos="1701"/>
          <w:tab w:val="left" w:pos="2268"/>
        </w:tabs>
        <w:spacing w:before="0" w:after="0"/>
        <w:rPr>
          <w:i/>
          <w:iCs/>
        </w:rPr>
      </w:pPr>
      <w:r>
        <w:rPr>
          <w:i/>
          <w:iCs/>
        </w:rPr>
        <w:t>О законодательном закреплении прав меньшинств</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599.</w:t>
      </w:r>
      <w:r>
        <w:tab/>
        <w:t>В течение нескольких лет в Грузии интенсивно дебатировался вопрос о принятии специального закона о национальных меньшинствах.  Соответствующий законопроект был подготовлен Комитетом по защите прав человека и межнациональным отношениям совместно с Центром по изучению межнациональных отношений Академии наук Грузии при участии представителей обществ меньшинств, и внесен на рассмотрение парламента в 1994 году.  Однако, ввиду разности мнений о необходимости и целесообразности принятия такого закона, проект не получил одобрения законодателей.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600.</w:t>
      </w:r>
      <w:r>
        <w:tab/>
        <w:t>Став полноправным членом Совета Европы, Грузия поставила свою подпись  под Рамочной конвенцией о защите национальных меньшинств.  Исходя из характера этого документа, парламентская ассамблея Совета Европы (ПАСЕ) рекомендовала  нашей стране рассмотреть вопрос принятия в течение двух лет соответствующего внутригосударственного нормативного акта с учетом принципов ПАСЕ 1993 года.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jc w:val="center"/>
        <w:rPr>
          <w:b/>
          <w:u w:val="single"/>
        </w:rPr>
      </w:pPr>
      <w:r>
        <w:rPr>
          <w:b/>
          <w:u w:val="single"/>
        </w:rPr>
        <w:br w:type="page"/>
      </w:r>
    </w:p>
    <w:p w:rsidR="00000000" w:rsidRDefault="00000000">
      <w:pPr>
        <w:tabs>
          <w:tab w:val="clear" w:pos="6237"/>
          <w:tab w:val="left" w:pos="567"/>
          <w:tab w:val="left" w:pos="1134"/>
          <w:tab w:val="left" w:pos="1701"/>
          <w:tab w:val="left" w:pos="2268"/>
        </w:tabs>
        <w:jc w:val="center"/>
        <w:rPr>
          <w:b/>
          <w:u w:val="single"/>
        </w:rPr>
      </w:pPr>
    </w:p>
    <w:p w:rsidR="00000000" w:rsidRDefault="00000000">
      <w:pPr>
        <w:tabs>
          <w:tab w:val="clear" w:pos="6237"/>
          <w:tab w:val="left" w:pos="567"/>
          <w:tab w:val="left" w:pos="1134"/>
          <w:tab w:val="left" w:pos="1701"/>
          <w:tab w:val="left" w:pos="2268"/>
        </w:tabs>
        <w:jc w:val="center"/>
        <w:rPr>
          <w:b/>
          <w:u w:val="single"/>
        </w:rPr>
      </w:pPr>
      <w:r>
        <w:rPr>
          <w:b/>
        </w:rPr>
        <w:t>СПИСОК ПРИЛОЖЕНИЙ*</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1.</w:t>
      </w:r>
      <w:r>
        <w:tab/>
        <w:t>Конституция Грузии.</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w:t>
      </w:r>
      <w:r>
        <w:tab/>
        <w:t>Базовый документ (обновленный).</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3.</w:t>
      </w:r>
      <w:r>
        <w:tab/>
        <w:t>Указ президента Грузии "О мерах по усилению защиты прав женщин в Грузии".</w:t>
      </w:r>
    </w:p>
    <w:p w:rsidR="00000000" w:rsidRDefault="00000000">
      <w:pPr>
        <w:tabs>
          <w:tab w:val="clear" w:pos="6237"/>
          <w:tab w:val="left" w:pos="567"/>
          <w:tab w:val="left" w:pos="1134"/>
          <w:tab w:val="left" w:pos="1701"/>
          <w:tab w:val="left" w:pos="2268"/>
        </w:tabs>
      </w:pPr>
    </w:p>
    <w:p w:rsidR="00000000" w:rsidRDefault="00000000">
      <w:pPr>
        <w:pStyle w:val="BodyText2"/>
        <w:tabs>
          <w:tab w:val="clear" w:pos="6237"/>
          <w:tab w:val="left" w:pos="567"/>
          <w:tab w:val="left" w:pos="1134"/>
          <w:tab w:val="left" w:pos="1701"/>
          <w:tab w:val="left" w:pos="2268"/>
        </w:tabs>
        <w:jc w:val="left"/>
      </w:pPr>
      <w:r>
        <w:t>4.</w:t>
      </w:r>
      <w:r>
        <w:tab/>
        <w:t xml:space="preserve">Указ президента Грузии "Об утверждении плана борьбы  против насилия в отношении женщин на 2000-2002 годы".  </w:t>
      </w:r>
    </w:p>
    <w:p w:rsidR="00000000" w:rsidRDefault="00000000">
      <w:pPr>
        <w:tabs>
          <w:tab w:val="clear" w:pos="6237"/>
          <w:tab w:val="left" w:pos="567"/>
          <w:tab w:val="left" w:pos="1134"/>
          <w:tab w:val="left" w:pos="1701"/>
          <w:tab w:val="left" w:pos="2268"/>
        </w:tabs>
      </w:pPr>
    </w:p>
    <w:p w:rsidR="00000000" w:rsidRDefault="00000000"/>
    <w:p w:rsidR="00000000" w:rsidRDefault="00000000">
      <w:pPr>
        <w:jc w:val="center"/>
      </w:pPr>
      <w:r>
        <w:t>-----</w:t>
      </w: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p>
    <w:p w:rsidR="00000000" w:rsidRDefault="00000000">
      <w:pPr>
        <w:tabs>
          <w:tab w:val="left" w:pos="2835"/>
        </w:tabs>
        <w:rPr>
          <w:u w:val="single"/>
        </w:rPr>
      </w:pPr>
      <w:r>
        <w:rPr>
          <w:u w:val="single"/>
        </w:rPr>
        <w:tab/>
      </w:r>
      <w:r>
        <w:rPr>
          <w:u w:val="single"/>
        </w:rPr>
        <w:tab/>
      </w:r>
      <w:r>
        <w:rPr>
          <w:u w:val="single"/>
        </w:rPr>
        <w:tab/>
      </w:r>
      <w:r>
        <w:rPr>
          <w:u w:val="single"/>
        </w:rPr>
        <w:tab/>
      </w:r>
      <w:r>
        <w:rPr>
          <w:u w:val="single"/>
        </w:rPr>
        <w:tab/>
      </w:r>
    </w:p>
    <w:p w:rsidR="00000000" w:rsidRDefault="00000000">
      <w:pPr>
        <w:tabs>
          <w:tab w:val="left" w:pos="2835"/>
        </w:tabs>
      </w:pPr>
      <w:r>
        <w:t>*</w:t>
      </w:r>
      <w:r>
        <w:tab/>
        <w:t>Приложения к настоящему докладу хранятся в архивах секретариата, и с ними можно ознакомиться по соответствующему запросу.</w:t>
      </w:r>
    </w:p>
    <w:sectPr w:rsidR="00000000">
      <w:headerReference w:type="even" r:id="rId8"/>
      <w:headerReference w:type="default" r:id="rId9"/>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CCPR/C/GEO/2000/2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146</w:t>
    </w:r>
    <w:r>
      <w:rPr>
        <w:rStyle w:val="PageNumber"/>
      </w:rPr>
      <w:fldChar w:fldCharType="end"/>
    </w:r>
  </w:p>
  <w:p w:rsidR="00000000" w:rsidRDefault="00000000">
    <w:pPr>
      <w:pStyle w:val="Header"/>
      <w:spacing w:line="240" w:lineRule="auto"/>
      <w:rPr>
        <w:rStyle w:val="PageNumber"/>
        <w:lang w:val="en-US"/>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CCPR/C/GEO/2000/2</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3CCF51E"/>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Caption"/>
      <w:lvlText w:val=""/>
      <w:lvlJc w:val="left"/>
      <w:pPr>
        <w:tabs>
          <w:tab w:val="num" w:pos="567"/>
        </w:tabs>
        <w:ind w:left="567" w:hanging="567"/>
      </w:pPr>
      <w:rPr>
        <w:rFonts w:ascii="Symbol" w:hAnsi="Symbol" w:hint="default"/>
      </w:rPr>
    </w:lvl>
  </w:abstractNum>
  <w:abstractNum w:abstractNumId="2">
    <w:nsid w:val="1B95497A"/>
    <w:multiLevelType w:val="singleLevel"/>
    <w:tmpl w:val="9086C66C"/>
    <w:lvl w:ilvl="0">
      <w:start w:val="542"/>
      <w:numFmt w:val="bullet"/>
      <w:lvlText w:val="-"/>
      <w:lvlJc w:val="left"/>
      <w:pPr>
        <w:tabs>
          <w:tab w:val="num" w:pos="1080"/>
        </w:tabs>
        <w:ind w:left="1080" w:hanging="360"/>
      </w:pPr>
      <w:rPr>
        <w:rFonts w:hint="default"/>
      </w:rPr>
    </w:lvl>
  </w:abstractNum>
  <w:abstractNum w:abstractNumId="3">
    <w:nsid w:val="28EC2DFE"/>
    <w:multiLevelType w:val="singleLevel"/>
    <w:tmpl w:val="9086C66C"/>
    <w:lvl w:ilvl="0">
      <w:start w:val="309"/>
      <w:numFmt w:val="bullet"/>
      <w:lvlText w:val="-"/>
      <w:lvlJc w:val="left"/>
      <w:pPr>
        <w:tabs>
          <w:tab w:val="num" w:pos="1080"/>
        </w:tabs>
        <w:ind w:left="1080" w:hanging="360"/>
      </w:pPr>
      <w:rPr>
        <w:rFonts w:hint="default"/>
      </w:rPr>
    </w:lvl>
  </w:abstractNum>
  <w:abstractNum w:abstractNumId="4">
    <w:nsid w:val="3FF54EF2"/>
    <w:multiLevelType w:val="hybridMultilevel"/>
    <w:tmpl w:val="DF2E6D6E"/>
    <w:lvl w:ilvl="0" w:tplc="FFFFFFFF">
      <w:start w:val="5"/>
      <w:numFmt w:val="bullet"/>
      <w:lvlText w:val="-"/>
      <w:lvlJc w:val="left"/>
      <w:pPr>
        <w:tabs>
          <w:tab w:val="num" w:pos="2988"/>
        </w:tabs>
        <w:ind w:left="2988" w:hanging="360"/>
      </w:pPr>
      <w:rPr>
        <w:rFonts w:ascii="Times New Roman" w:eastAsia="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5">
    <w:nsid w:val="48A524E6"/>
    <w:multiLevelType w:val="hybridMultilevel"/>
    <w:tmpl w:val="4D1C7CF4"/>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nsid w:val="72AF0134"/>
    <w:multiLevelType w:val="hybridMultilevel"/>
    <w:tmpl w:val="4BF2D590"/>
    <w:lvl w:ilvl="0" w:tplc="FFFFFFFF">
      <w:start w:val="5"/>
      <w:numFmt w:val="bullet"/>
      <w:lvlText w:val="-"/>
      <w:lvlJc w:val="left"/>
      <w:pPr>
        <w:tabs>
          <w:tab w:val="num" w:pos="1605"/>
        </w:tabs>
        <w:ind w:left="1605" w:hanging="885"/>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keepNext/>
      <w:tabs>
        <w:tab w:val="clear" w:pos="567"/>
        <w:tab w:val="clear" w:pos="1134"/>
        <w:tab w:val="clear" w:pos="1701"/>
        <w:tab w:val="clear" w:pos="2268"/>
        <w:tab w:val="clear" w:pos="6237"/>
      </w:tabs>
      <w:spacing w:line="240" w:lineRule="auto"/>
      <w:ind w:left="720" w:firstLine="720"/>
      <w:jc w:val="both"/>
      <w:outlineLvl w:val="7"/>
    </w:pPr>
    <w:rPr>
      <w:sz w:val="28"/>
      <w:u w:val="single"/>
      <w:lang w:eastAsia="ru-RU"/>
    </w:rPr>
  </w:style>
  <w:style w:type="paragraph" w:styleId="Heading9">
    <w:name w:val="heading 9"/>
    <w:basedOn w:val="Normal"/>
    <w:next w:val="Normal"/>
    <w:qFormat/>
    <w:pPr>
      <w:keepNext/>
      <w:tabs>
        <w:tab w:val="clear" w:pos="567"/>
        <w:tab w:val="clear" w:pos="1134"/>
        <w:tab w:val="clear" w:pos="1701"/>
        <w:tab w:val="clear" w:pos="2268"/>
        <w:tab w:val="clear" w:pos="6237"/>
      </w:tabs>
      <w:spacing w:line="240" w:lineRule="auto"/>
      <w:ind w:firstLine="720"/>
      <w:jc w:val="both"/>
      <w:outlineLvl w:val="8"/>
    </w:pPr>
    <w:rPr>
      <w:b/>
      <w:bCs/>
      <w:sz w:val="28"/>
      <w:u w:val="single"/>
      <w:lang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 w:type="paragraph" w:styleId="Caption">
    <w:name w:val="caption"/>
    <w:basedOn w:val="Normal"/>
    <w:next w:val="Normal"/>
    <w:qFormat/>
    <w:pPr>
      <w:tabs>
        <w:tab w:val="clear" w:pos="6237"/>
        <w:tab w:val="left" w:pos="567"/>
        <w:tab w:val="left" w:pos="1134"/>
        <w:tab w:val="left" w:pos="1701"/>
        <w:tab w:val="left" w:pos="2268"/>
      </w:tabs>
    </w:pPr>
    <w:rPr>
      <w:b/>
    </w:rPr>
  </w:style>
  <w:style w:type="paragraph" w:styleId="Title">
    <w:name w:val="Title"/>
    <w:basedOn w:val="Normal"/>
    <w:qFormat/>
    <w:pPr>
      <w:jc w:val="center"/>
    </w:pPr>
    <w:rPr>
      <w:b/>
    </w:rPr>
  </w:style>
  <w:style w:type="paragraph" w:customStyle="1" w:styleId="16">
    <w:name w:val="Заголовок 16"/>
    <w:basedOn w:val="Normal"/>
    <w:pPr>
      <w:jc w:val="center"/>
    </w:pPr>
  </w:style>
  <w:style w:type="paragraph" w:customStyle="1" w:styleId="11">
    <w:name w:val="Заголовок 11"/>
    <w:basedOn w:val="Subtitle"/>
  </w:style>
  <w:style w:type="paragraph" w:styleId="Subtitle">
    <w:name w:val="Subtitle"/>
    <w:basedOn w:val="Normal"/>
    <w:qFormat/>
    <w:pPr>
      <w:jc w:val="center"/>
    </w:pPr>
    <w:rPr>
      <w:u w:val="single"/>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both"/>
    </w:pPr>
    <w:rPr>
      <w:sz w:val="28"/>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firstLine="720"/>
      <w:jc w:val="both"/>
    </w:pPr>
    <w:rPr>
      <w:sz w:val="28"/>
      <w:u w:val="single"/>
      <w:lang w:eastAsia="ru-RU"/>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sz w:val="28"/>
      <w:u w:val="single"/>
      <w:lang w:eastAsia="ru-RU"/>
    </w:rPr>
  </w:style>
  <w:style w:type="paragraph" w:styleId="BodyText2">
    <w:name w:val="Body Text 2"/>
    <w:basedOn w:val="Normal"/>
    <w:semiHidden/>
    <w:pPr>
      <w:jc w:val="both"/>
    </w:pPr>
  </w:style>
  <w:style w:type="paragraph" w:styleId="BodyTextIndent3">
    <w:name w:val="Body Text Indent 3"/>
    <w:basedOn w:val="Normal"/>
    <w:semiHidden/>
    <w:pPr>
      <w:tabs>
        <w:tab w:val="clear" w:pos="6237"/>
        <w:tab w:val="left" w:pos="567"/>
        <w:tab w:val="left" w:pos="1134"/>
        <w:tab w:val="left" w:pos="1701"/>
        <w:tab w:val="left" w:pos="2268"/>
      </w:tabs>
      <w:ind w:left="567"/>
    </w:pPr>
  </w:style>
  <w:style w:type="paragraph" w:styleId="BodyText3">
    <w:name w:val="Body Text 3"/>
    <w:basedOn w:val="Normal"/>
    <w:semiHidden/>
    <w:pPr>
      <w:tabs>
        <w:tab w:val="clear" w:pos="6237"/>
        <w:tab w:val="left" w:pos="567"/>
        <w:tab w:val="left" w:pos="1134"/>
        <w:tab w:val="left" w:pos="1701"/>
        <w:tab w:val="left" w:pos="2268"/>
      </w:tabs>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Distr</Template>
  <TotalTime>4</TotalTime>
  <Pages>1</Pages>
  <Words>48428</Words>
  <Characters>276041</Characters>
  <Application>Microsoft Office Word</Application>
  <DocSecurity>4</DocSecurity>
  <Lines>2300</Lines>
  <Paragraphs>552</Paragraphs>
  <ScaleCrop>false</ScaleCrop>
  <HeadingPairs>
    <vt:vector size="2" baseType="variant">
      <vt:variant>
        <vt:lpstr>Название</vt:lpstr>
      </vt:variant>
      <vt:variant>
        <vt:i4>1</vt:i4>
      </vt:variant>
    </vt:vector>
  </HeadingPairs>
  <TitlesOfParts>
    <vt:vector size="1" baseType="lpstr">
      <vt:lpstr>40868</vt:lpstr>
    </vt:vector>
  </TitlesOfParts>
  <Company> </Company>
  <LinksUpToDate>false</LinksUpToDate>
  <CharactersWithSpaces>338997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40868</dc:title>
  <dc:subject/>
  <dc:creator>Marina BAJENOVA</dc:creator>
  <cp:keywords/>
  <dc:description/>
  <cp:lastModifiedBy>Любовь Катаева</cp:lastModifiedBy>
  <cp:revision>3</cp:revision>
  <cp:lastPrinted>2001-09-04T08:05:00Z</cp:lastPrinted>
  <dcterms:created xsi:type="dcterms:W3CDTF">2001-09-04T08:05:00Z</dcterms:created>
  <dcterms:modified xsi:type="dcterms:W3CDTF">2001-09-04T08:08:00Z</dcterms:modified>
</cp:coreProperties>
</file>