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94FE4" w:rsidP="00994FE4">
            <w:pPr>
              <w:bidi w:val="0"/>
              <w:spacing w:after="20"/>
              <w:jc w:val="left"/>
              <w:rPr>
                <w:szCs w:val="20"/>
              </w:rPr>
            </w:pPr>
            <w:r w:rsidRPr="00994FE4">
              <w:rPr>
                <w:sz w:val="40"/>
                <w:szCs w:val="20"/>
              </w:rPr>
              <w:t>A</w:t>
            </w:r>
            <w:r>
              <w:rPr>
                <w:szCs w:val="20"/>
              </w:rPr>
              <w:t>/HRC/RES/25/18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94FE4" w:rsidRDefault="00994FE4" w:rsidP="00994FE4">
            <w:pPr>
              <w:bidi w:val="0"/>
              <w:spacing w:before="240"/>
              <w:jc w:val="left"/>
            </w:pPr>
            <w:r>
              <w:t>Distr.: General</w:t>
            </w:r>
          </w:p>
          <w:p w:rsidR="00994FE4" w:rsidRDefault="00994FE4" w:rsidP="00994FE4">
            <w:pPr>
              <w:bidi w:val="0"/>
              <w:jc w:val="left"/>
            </w:pPr>
            <w:r>
              <w:t>11 April 2014</w:t>
            </w:r>
          </w:p>
          <w:p w:rsidR="00994FE4" w:rsidRDefault="00994FE4" w:rsidP="00994FE4">
            <w:pPr>
              <w:bidi w:val="0"/>
              <w:jc w:val="left"/>
            </w:pPr>
            <w:r>
              <w:t>Arabic</w:t>
            </w:r>
          </w:p>
          <w:p w:rsidR="00257225" w:rsidRPr="008B4BC6" w:rsidRDefault="00994FE4" w:rsidP="00994FE4">
            <w:pPr>
              <w:bidi w:val="0"/>
              <w:jc w:val="left"/>
            </w:pPr>
            <w:r>
              <w:t>Original: English</w:t>
            </w:r>
          </w:p>
        </w:tc>
      </w:tr>
    </w:tbl>
    <w:p w:rsidR="00994FE4" w:rsidRPr="00DA288D" w:rsidRDefault="00994FE4" w:rsidP="00994FE4">
      <w:pPr>
        <w:spacing w:before="120" w:line="380" w:lineRule="exact"/>
        <w:rPr>
          <w:rFonts w:hint="cs"/>
          <w:b/>
          <w:bCs/>
          <w:sz w:val="26"/>
          <w:szCs w:val="36"/>
          <w:rtl/>
        </w:rPr>
      </w:pPr>
      <w:r w:rsidRPr="00DA288D">
        <w:rPr>
          <w:rFonts w:hint="cs"/>
          <w:b/>
          <w:bCs/>
          <w:sz w:val="26"/>
          <w:szCs w:val="36"/>
          <w:rtl/>
        </w:rPr>
        <w:t>مجلس حقوق الإنسان</w:t>
      </w:r>
    </w:p>
    <w:p w:rsidR="00994FE4" w:rsidRPr="00DA288D" w:rsidRDefault="00994FE4" w:rsidP="00994FE4">
      <w:pPr>
        <w:spacing w:line="380" w:lineRule="exact"/>
        <w:rPr>
          <w:rFonts w:hint="cs"/>
          <w:b/>
          <w:bCs/>
          <w:rtl/>
        </w:rPr>
      </w:pPr>
      <w:r w:rsidRPr="00DA288D">
        <w:rPr>
          <w:rFonts w:hint="cs"/>
          <w:b/>
          <w:bCs/>
          <w:rtl/>
        </w:rPr>
        <w:t>الدورة الخامسة والعشرون</w:t>
      </w:r>
    </w:p>
    <w:p w:rsidR="00994FE4" w:rsidRPr="005F41DD" w:rsidRDefault="00994FE4" w:rsidP="00994FE4">
      <w:pPr>
        <w:spacing w:line="380" w:lineRule="exact"/>
        <w:rPr>
          <w:rFonts w:hint="cs"/>
          <w:sz w:val="32"/>
          <w:szCs w:val="32"/>
          <w:rtl/>
          <w:lang w:val="fr-CH"/>
        </w:rPr>
      </w:pPr>
      <w:r w:rsidRPr="005F41DD">
        <w:rPr>
          <w:rFonts w:hint="cs"/>
          <w:sz w:val="32"/>
          <w:szCs w:val="32"/>
          <w:rtl/>
          <w:lang w:val="fr-CH"/>
        </w:rPr>
        <w:t xml:space="preserve">البند </w:t>
      </w:r>
      <w:r>
        <w:rPr>
          <w:rFonts w:hint="cs"/>
          <w:sz w:val="32"/>
          <w:szCs w:val="32"/>
          <w:rtl/>
          <w:lang w:val="fr-CH"/>
        </w:rPr>
        <w:t>3</w:t>
      </w:r>
      <w:r w:rsidRPr="005F41DD">
        <w:rPr>
          <w:rFonts w:hint="cs"/>
          <w:sz w:val="32"/>
          <w:szCs w:val="32"/>
          <w:rtl/>
          <w:lang w:val="fr-CH"/>
        </w:rPr>
        <w:t xml:space="preserve"> من جدول الأعمال</w:t>
      </w:r>
    </w:p>
    <w:p w:rsidR="00994FE4" w:rsidRPr="00DA288D" w:rsidRDefault="00994FE4" w:rsidP="00994FE4">
      <w:pPr>
        <w:spacing w:line="380" w:lineRule="exact"/>
        <w:ind w:right="4100"/>
        <w:rPr>
          <w:rFonts w:hint="cs"/>
          <w:b/>
          <w:bCs/>
          <w:sz w:val="32"/>
          <w:szCs w:val="32"/>
          <w:rtl/>
          <w:lang w:val="fr-CH"/>
        </w:rPr>
      </w:pPr>
      <w:r w:rsidRPr="00DA288D">
        <w:rPr>
          <w:b/>
          <w:bCs/>
          <w:sz w:val="32"/>
          <w:szCs w:val="32"/>
          <w:rtl/>
          <w:lang w:val="fr-CH"/>
        </w:rPr>
        <w:t xml:space="preserve">تعزيز وحماية </w:t>
      </w:r>
      <w:r w:rsidRPr="00DA288D">
        <w:rPr>
          <w:rFonts w:hint="cs"/>
          <w:b/>
          <w:bCs/>
          <w:sz w:val="32"/>
          <w:szCs w:val="32"/>
          <w:rtl/>
          <w:lang w:val="fr-CH"/>
        </w:rPr>
        <w:t xml:space="preserve">جميع </w:t>
      </w:r>
      <w:r w:rsidRPr="00DA288D">
        <w:rPr>
          <w:b/>
          <w:bCs/>
          <w:sz w:val="32"/>
          <w:szCs w:val="32"/>
          <w:rtl/>
          <w:lang w:val="fr-CH"/>
        </w:rPr>
        <w:t>حقوق الإنسان</w:t>
      </w:r>
      <w:r w:rsidRPr="00DA288D">
        <w:rPr>
          <w:rFonts w:hint="cs"/>
          <w:b/>
          <w:bCs/>
          <w:sz w:val="32"/>
          <w:szCs w:val="32"/>
          <w:rtl/>
          <w:lang w:val="fr-CH"/>
        </w:rPr>
        <w:t>،</w:t>
      </w:r>
      <w:r w:rsidRPr="00DA288D">
        <w:rPr>
          <w:b/>
          <w:bCs/>
          <w:sz w:val="32"/>
          <w:szCs w:val="32"/>
          <w:rtl/>
          <w:lang w:val="fr-CH"/>
        </w:rPr>
        <w:t xml:space="preserve"> المدنية والسياسية والاقتصادية</w:t>
      </w:r>
      <w:r>
        <w:rPr>
          <w:rFonts w:hint="cs"/>
          <w:b/>
          <w:bCs/>
          <w:sz w:val="32"/>
          <w:szCs w:val="32"/>
          <w:rtl/>
          <w:lang w:val="fr-CH"/>
        </w:rPr>
        <w:t xml:space="preserve"> </w:t>
      </w:r>
      <w:r w:rsidRPr="00DA288D">
        <w:rPr>
          <w:rFonts w:hint="cs"/>
          <w:b/>
          <w:bCs/>
          <w:sz w:val="32"/>
          <w:szCs w:val="32"/>
          <w:rtl/>
          <w:lang w:val="fr-CH"/>
        </w:rPr>
        <w:t>والاجتماعية والثقافية،</w:t>
      </w:r>
      <w:r w:rsidRPr="00DA288D">
        <w:rPr>
          <w:b/>
          <w:bCs/>
          <w:sz w:val="32"/>
          <w:szCs w:val="32"/>
          <w:rtl/>
          <w:lang w:val="fr-CH"/>
        </w:rPr>
        <w:t xml:space="preserve"> </w:t>
      </w:r>
      <w:r w:rsidRPr="00DA288D">
        <w:rPr>
          <w:rFonts w:hint="cs"/>
          <w:b/>
          <w:bCs/>
          <w:sz w:val="32"/>
          <w:szCs w:val="32"/>
          <w:rtl/>
          <w:lang w:val="fr-CH"/>
        </w:rPr>
        <w:t>بما في</w:t>
      </w:r>
      <w:r w:rsidRPr="00DA288D">
        <w:rPr>
          <w:b/>
          <w:bCs/>
          <w:sz w:val="32"/>
          <w:szCs w:val="32"/>
          <w:rtl/>
          <w:lang w:val="fr-CH"/>
        </w:rPr>
        <w:t xml:space="preserve"> ذلك الحق في التنمية</w:t>
      </w:r>
    </w:p>
    <w:p w:rsidR="00994FE4" w:rsidRPr="00D44AC4" w:rsidRDefault="00994FE4" w:rsidP="00994FE4">
      <w:pPr>
        <w:pStyle w:val="HChGA"/>
        <w:rPr>
          <w:rFonts w:hint="cs"/>
          <w:rtl/>
        </w:rPr>
      </w:pPr>
      <w:r>
        <w:rPr>
          <w:rtl/>
        </w:rPr>
        <w:tab/>
      </w:r>
      <w:r>
        <w:rPr>
          <w:rFonts w:hint="cs"/>
          <w:rtl/>
        </w:rPr>
        <w:tab/>
        <w:t>قرار اعتمده مجلس حقوق الإنسان</w:t>
      </w:r>
    </w:p>
    <w:p w:rsidR="00994FE4" w:rsidRPr="00D44AC4" w:rsidRDefault="00994FE4" w:rsidP="00994FE4">
      <w:pPr>
        <w:pStyle w:val="HChGA"/>
        <w:rPr>
          <w:rtl/>
        </w:rPr>
      </w:pPr>
      <w:r>
        <w:rPr>
          <w:rFonts w:hint="cs"/>
          <w:rtl/>
        </w:rPr>
        <w:tab/>
      </w:r>
      <w:r>
        <w:rPr>
          <w:rFonts w:hint="cs"/>
          <w:rtl/>
        </w:rPr>
        <w:tab/>
        <w:t>25/18</w:t>
      </w:r>
      <w:r>
        <w:br/>
      </w:r>
      <w:r w:rsidRPr="00D44AC4">
        <w:rPr>
          <w:rtl/>
        </w:rPr>
        <w:t>ولاية المقرر الخاص المعني بحالة المدافعين عن حقوق الإنسان</w:t>
      </w:r>
    </w:p>
    <w:p w:rsidR="00994FE4" w:rsidRPr="002654E2" w:rsidRDefault="00994FE4" w:rsidP="00994FE4">
      <w:pPr>
        <w:pStyle w:val="SingleTxtGA"/>
        <w:rPr>
          <w:i/>
          <w:iCs/>
          <w:rtl/>
        </w:rPr>
      </w:pPr>
      <w:r>
        <w:rPr>
          <w:rFonts w:hint="cs"/>
          <w:i/>
          <w:iCs/>
          <w:rtl/>
        </w:rPr>
        <w:tab/>
      </w:r>
      <w:r w:rsidRPr="002654E2">
        <w:rPr>
          <w:i/>
          <w:iCs/>
          <w:rtl/>
        </w:rPr>
        <w:t>إن مجلس حقوق الإنسان،</w:t>
      </w:r>
    </w:p>
    <w:p w:rsidR="00994FE4" w:rsidRPr="00994FE4" w:rsidRDefault="00994FE4" w:rsidP="00994FE4">
      <w:pPr>
        <w:pStyle w:val="SingleTxtGA"/>
        <w:rPr>
          <w:rFonts w:hint="cs"/>
          <w:rtl/>
        </w:rPr>
      </w:pPr>
      <w:r>
        <w:rPr>
          <w:rFonts w:hint="cs"/>
          <w:rtl/>
        </w:rPr>
        <w:tab/>
      </w:r>
      <w:r>
        <w:rPr>
          <w:rFonts w:hint="cs"/>
          <w:i/>
          <w:iCs/>
          <w:rtl/>
        </w:rPr>
        <w:t xml:space="preserve">إذ يسترشد </w:t>
      </w:r>
      <w:r>
        <w:rPr>
          <w:rFonts w:hint="cs"/>
          <w:rtl/>
        </w:rPr>
        <w:t>بمقاصد ميثاق الأمم المتحدة ومبادئه وبالإعلان العالمي لحقوق الإنسان والعهدين الدوليين الخاصين بحقوق الإنسان وغير ذلك من الصكوك ذات الصلة،</w:t>
      </w:r>
    </w:p>
    <w:p w:rsidR="00994FE4" w:rsidRDefault="00994FE4" w:rsidP="00994FE4">
      <w:pPr>
        <w:pStyle w:val="SingleTxtGA"/>
        <w:rPr>
          <w:rFonts w:hint="cs"/>
          <w:rtl/>
        </w:rPr>
      </w:pPr>
      <w:r>
        <w:rPr>
          <w:rFonts w:hint="cs"/>
          <w:rtl/>
        </w:rPr>
        <w:tab/>
      </w:r>
      <w:r w:rsidRPr="004E54D3">
        <w:rPr>
          <w:i/>
          <w:iCs/>
          <w:rtl/>
        </w:rPr>
        <w:t>إذ يشير</w:t>
      </w:r>
      <w:r w:rsidRPr="00D44AC4">
        <w:rPr>
          <w:rtl/>
        </w:rPr>
        <w:t xml:space="preserve"> إلى قرار الجمعية العامة 53/144 المؤرخ 9 كانون الأول/ديسمبر 1998، الذي اعتمدت الجمعية العامة بموجبه</w:t>
      </w:r>
      <w:r>
        <w:rPr>
          <w:rFonts w:hint="cs"/>
          <w:rtl/>
        </w:rPr>
        <w:t>،</w:t>
      </w:r>
      <w:r w:rsidRPr="00D44AC4">
        <w:rPr>
          <w:rtl/>
        </w:rPr>
        <w:t xml:space="preserve"> بتوافق الآراء، الإعلان المتعلق بحق ومسؤولية الأفراد والجماعات وهيئات المجتمع في تعزيز وحماية حقوق الإنسان والحريات الأساسية المعترف بها عالمياً، المرفق بذلك القرار، وإذ يكرر </w:t>
      </w:r>
      <w:r>
        <w:rPr>
          <w:rFonts w:hint="cs"/>
          <w:rtl/>
        </w:rPr>
        <w:t xml:space="preserve">تأكيد </w:t>
      </w:r>
      <w:r w:rsidRPr="00D44AC4">
        <w:rPr>
          <w:rtl/>
        </w:rPr>
        <w:t>أهمية الإعلان وأهمية تعزيزه وتنفيذه،</w:t>
      </w:r>
    </w:p>
    <w:p w:rsidR="00994FE4" w:rsidRDefault="00994FE4" w:rsidP="00994FE4">
      <w:pPr>
        <w:pStyle w:val="SingleTxtGA"/>
        <w:rPr>
          <w:rFonts w:hint="cs"/>
          <w:rtl/>
        </w:rPr>
      </w:pPr>
      <w:r>
        <w:rPr>
          <w:rFonts w:hint="cs"/>
          <w:i/>
          <w:iCs/>
          <w:rtl/>
        </w:rPr>
        <w:tab/>
      </w:r>
      <w:r w:rsidRPr="00436FB8">
        <w:rPr>
          <w:i/>
          <w:iCs/>
          <w:rtl/>
        </w:rPr>
        <w:t>وإذ يشير أيضاً</w:t>
      </w:r>
      <w:r w:rsidRPr="00D44AC4">
        <w:rPr>
          <w:rtl/>
        </w:rPr>
        <w:t xml:space="preserve"> إلى استمرار صلاحية وتطبيق جميع أحكام الإعلان المذكور أعلاه،</w:t>
      </w:r>
    </w:p>
    <w:p w:rsidR="00994FE4" w:rsidRDefault="00994FE4" w:rsidP="00994FE4">
      <w:pPr>
        <w:pStyle w:val="SingleTxtGA"/>
        <w:rPr>
          <w:rFonts w:hint="cs"/>
          <w:rtl/>
        </w:rPr>
      </w:pPr>
      <w:r>
        <w:rPr>
          <w:rFonts w:hint="cs"/>
          <w:rtl/>
        </w:rPr>
        <w:tab/>
      </w:r>
      <w:r w:rsidRPr="00436FB8">
        <w:rPr>
          <w:i/>
          <w:iCs/>
          <w:rtl/>
        </w:rPr>
        <w:t>وإذ يشير كذلك</w:t>
      </w:r>
      <w:r w:rsidRPr="00D44AC4">
        <w:rPr>
          <w:rtl/>
        </w:rPr>
        <w:t xml:space="preserve"> إلى جميع القرارات السابقة بشأن هذا الموضوع، </w:t>
      </w:r>
      <w:r>
        <w:rPr>
          <w:rFonts w:hint="cs"/>
          <w:rtl/>
        </w:rPr>
        <w:t xml:space="preserve">ولا سيما قرارا مجلس </w:t>
      </w:r>
      <w:r w:rsidRPr="00D44AC4">
        <w:rPr>
          <w:rtl/>
        </w:rPr>
        <w:t xml:space="preserve">حقوق الإنسان </w:t>
      </w:r>
      <w:r>
        <w:rPr>
          <w:rFonts w:hint="cs"/>
          <w:rtl/>
        </w:rPr>
        <w:t xml:space="preserve">16/5 </w:t>
      </w:r>
      <w:r w:rsidRPr="00D44AC4">
        <w:rPr>
          <w:rtl/>
        </w:rPr>
        <w:t>ال</w:t>
      </w:r>
      <w:r>
        <w:rPr>
          <w:rtl/>
        </w:rPr>
        <w:t>مؤرخ</w:t>
      </w:r>
      <w:r>
        <w:rPr>
          <w:rFonts w:hint="cs"/>
          <w:rtl/>
        </w:rPr>
        <w:t xml:space="preserve"> 24 </w:t>
      </w:r>
      <w:r>
        <w:rPr>
          <w:rtl/>
        </w:rPr>
        <w:t>آذار/مارس</w:t>
      </w:r>
      <w:r>
        <w:rPr>
          <w:rFonts w:hint="cs"/>
          <w:rtl/>
        </w:rPr>
        <w:t xml:space="preserve"> 2011 و22/6 </w:t>
      </w:r>
      <w:r w:rsidRPr="00D44AC4">
        <w:rPr>
          <w:rtl/>
        </w:rPr>
        <w:t xml:space="preserve">المؤرخ </w:t>
      </w:r>
      <w:r>
        <w:rPr>
          <w:rFonts w:hint="cs"/>
          <w:rtl/>
        </w:rPr>
        <w:t>21</w:t>
      </w:r>
      <w:r w:rsidRPr="00D44AC4">
        <w:rPr>
          <w:rtl/>
        </w:rPr>
        <w:t xml:space="preserve"> آذار/</w:t>
      </w:r>
      <w:r>
        <w:rPr>
          <w:rFonts w:hint="cs"/>
          <w:rtl/>
        </w:rPr>
        <w:t xml:space="preserve"> </w:t>
      </w:r>
      <w:r w:rsidRPr="00D44AC4">
        <w:rPr>
          <w:rtl/>
        </w:rPr>
        <w:t>مارس</w:t>
      </w:r>
      <w:r>
        <w:rPr>
          <w:rFonts w:hint="cs"/>
          <w:rtl/>
        </w:rPr>
        <w:t xml:space="preserve"> 2013، </w:t>
      </w:r>
      <w:r w:rsidRPr="00D44AC4">
        <w:rPr>
          <w:rtl/>
        </w:rPr>
        <w:t>وقرار</w:t>
      </w:r>
      <w:r>
        <w:rPr>
          <w:rFonts w:hint="cs"/>
          <w:rtl/>
        </w:rPr>
        <w:t>ا</w:t>
      </w:r>
      <w:r w:rsidRPr="00D44AC4">
        <w:rPr>
          <w:rtl/>
        </w:rPr>
        <w:t xml:space="preserve"> الجمعية العامة 6</w:t>
      </w:r>
      <w:r>
        <w:rPr>
          <w:rFonts w:hint="cs"/>
          <w:rtl/>
        </w:rPr>
        <w:t>6</w:t>
      </w:r>
      <w:r w:rsidRPr="00D44AC4">
        <w:rPr>
          <w:rtl/>
        </w:rPr>
        <w:t>/16</w:t>
      </w:r>
      <w:r>
        <w:rPr>
          <w:rFonts w:hint="cs"/>
          <w:rtl/>
        </w:rPr>
        <w:t>4</w:t>
      </w:r>
      <w:r w:rsidRPr="00D44AC4">
        <w:rPr>
          <w:rtl/>
        </w:rPr>
        <w:t xml:space="preserve"> المؤرخ 1</w:t>
      </w:r>
      <w:r>
        <w:rPr>
          <w:rFonts w:hint="cs"/>
          <w:rtl/>
        </w:rPr>
        <w:t>9</w:t>
      </w:r>
      <w:r w:rsidRPr="00D44AC4">
        <w:rPr>
          <w:rtl/>
        </w:rPr>
        <w:t xml:space="preserve"> كانون الأول/ديسمبر 20</w:t>
      </w:r>
      <w:r>
        <w:rPr>
          <w:rFonts w:hint="cs"/>
          <w:rtl/>
        </w:rPr>
        <w:t xml:space="preserve">11 و68/181 </w:t>
      </w:r>
      <w:r w:rsidRPr="00D44AC4">
        <w:rPr>
          <w:rtl/>
        </w:rPr>
        <w:t>المؤرخ 1</w:t>
      </w:r>
      <w:r>
        <w:rPr>
          <w:rFonts w:hint="cs"/>
          <w:rtl/>
        </w:rPr>
        <w:t>8</w:t>
      </w:r>
      <w:r w:rsidRPr="00D44AC4">
        <w:rPr>
          <w:rtl/>
        </w:rPr>
        <w:t xml:space="preserve"> كانون الأول/ديسمبر 20</w:t>
      </w:r>
      <w:r>
        <w:rPr>
          <w:rFonts w:hint="cs"/>
          <w:rtl/>
        </w:rPr>
        <w:t>13،</w:t>
      </w:r>
    </w:p>
    <w:p w:rsidR="00994FE4" w:rsidRPr="00D44AC4" w:rsidRDefault="00994FE4" w:rsidP="00994FE4">
      <w:pPr>
        <w:pStyle w:val="SingleTxtGA"/>
        <w:rPr>
          <w:rtl/>
        </w:rPr>
      </w:pPr>
      <w:r>
        <w:rPr>
          <w:rFonts w:hint="cs"/>
          <w:rtl/>
        </w:rPr>
        <w:tab/>
      </w:r>
      <w:r w:rsidRPr="00436FB8">
        <w:rPr>
          <w:i/>
          <w:iCs/>
          <w:rtl/>
        </w:rPr>
        <w:t>وإذ يشير</w:t>
      </w:r>
      <w:r w:rsidRPr="00D44AC4">
        <w:rPr>
          <w:rtl/>
        </w:rPr>
        <w:t xml:space="preserve"> إلى قراري </w:t>
      </w:r>
      <w:r>
        <w:rPr>
          <w:rFonts w:hint="cs"/>
          <w:rtl/>
        </w:rPr>
        <w:t xml:space="preserve">مجلس </w:t>
      </w:r>
      <w:r w:rsidRPr="00D44AC4">
        <w:rPr>
          <w:rtl/>
        </w:rPr>
        <w:t xml:space="preserve">حقوق الإنسان 5/1 </w:t>
      </w:r>
      <w:r>
        <w:rPr>
          <w:rFonts w:hint="cs"/>
          <w:rtl/>
        </w:rPr>
        <w:t>المتعلق</w:t>
      </w:r>
      <w:r w:rsidRPr="00D44AC4">
        <w:rPr>
          <w:rtl/>
        </w:rPr>
        <w:t xml:space="preserve"> </w:t>
      </w:r>
      <w:r>
        <w:rPr>
          <w:rFonts w:hint="cs"/>
          <w:rtl/>
        </w:rPr>
        <w:t>ب</w:t>
      </w:r>
      <w:r w:rsidRPr="00D44AC4">
        <w:rPr>
          <w:rtl/>
        </w:rPr>
        <w:t xml:space="preserve">بناء مؤسسات </w:t>
      </w:r>
      <w:r>
        <w:rPr>
          <w:rFonts w:hint="cs"/>
          <w:rtl/>
        </w:rPr>
        <w:t>ال</w:t>
      </w:r>
      <w:r w:rsidRPr="00D44AC4">
        <w:rPr>
          <w:rtl/>
        </w:rPr>
        <w:t xml:space="preserve">مجلس </w:t>
      </w:r>
      <w:r>
        <w:rPr>
          <w:rtl/>
        </w:rPr>
        <w:t xml:space="preserve">و5/2 </w:t>
      </w:r>
      <w:r>
        <w:rPr>
          <w:rFonts w:hint="cs"/>
          <w:rtl/>
        </w:rPr>
        <w:t>المتعلق ب</w:t>
      </w:r>
      <w:r w:rsidRPr="00D44AC4">
        <w:rPr>
          <w:rtl/>
        </w:rPr>
        <w:t>مدونة</w:t>
      </w:r>
      <w:r w:rsidRPr="00D44AC4">
        <w:t xml:space="preserve"> </w:t>
      </w:r>
      <w:r w:rsidRPr="00D44AC4">
        <w:rPr>
          <w:rtl/>
        </w:rPr>
        <w:t>قواعد</w:t>
      </w:r>
      <w:r w:rsidRPr="00D44AC4">
        <w:t xml:space="preserve"> </w:t>
      </w:r>
      <w:r w:rsidRPr="00D44AC4">
        <w:rPr>
          <w:rtl/>
        </w:rPr>
        <w:t>السلوك</w:t>
      </w:r>
      <w:r w:rsidRPr="00D44AC4">
        <w:t xml:space="preserve"> </w:t>
      </w:r>
      <w:r w:rsidRPr="00D44AC4">
        <w:rPr>
          <w:rtl/>
        </w:rPr>
        <w:t>لأصحاب</w:t>
      </w:r>
      <w:r w:rsidRPr="00D44AC4">
        <w:t xml:space="preserve"> </w:t>
      </w:r>
      <w:r w:rsidRPr="00D44AC4">
        <w:rPr>
          <w:rtl/>
        </w:rPr>
        <w:t>الولايات</w:t>
      </w:r>
      <w:r w:rsidRPr="00D44AC4">
        <w:t xml:space="preserve"> </w:t>
      </w:r>
      <w:r w:rsidRPr="00D44AC4">
        <w:rPr>
          <w:rtl/>
        </w:rPr>
        <w:t>في</w:t>
      </w:r>
      <w:r w:rsidRPr="00D44AC4">
        <w:t xml:space="preserve"> </w:t>
      </w:r>
      <w:r w:rsidRPr="00D44AC4">
        <w:rPr>
          <w:rtl/>
        </w:rPr>
        <w:t>إطار</w:t>
      </w:r>
      <w:r w:rsidRPr="00D44AC4">
        <w:t xml:space="preserve"> </w:t>
      </w:r>
      <w:r w:rsidRPr="00D44AC4">
        <w:rPr>
          <w:rtl/>
        </w:rPr>
        <w:t>الإجراءات</w:t>
      </w:r>
      <w:r w:rsidRPr="00D44AC4">
        <w:t xml:space="preserve"> </w:t>
      </w:r>
      <w:r w:rsidRPr="00D44AC4">
        <w:rPr>
          <w:rtl/>
        </w:rPr>
        <w:t>الخاصة</w:t>
      </w:r>
      <w:r>
        <w:t xml:space="preserve"> </w:t>
      </w:r>
      <w:r>
        <w:rPr>
          <w:rFonts w:hint="cs"/>
          <w:rtl/>
        </w:rPr>
        <w:t>لل</w:t>
      </w:r>
      <w:r w:rsidRPr="00D44AC4">
        <w:rPr>
          <w:rtl/>
        </w:rPr>
        <w:t>مجلس، المؤرخين 18 حزيران/يونيه 2007، وإذ ي</w:t>
      </w:r>
      <w:r>
        <w:rPr>
          <w:rFonts w:hint="cs"/>
          <w:rtl/>
        </w:rPr>
        <w:t>شدد</w:t>
      </w:r>
      <w:r w:rsidRPr="00D44AC4">
        <w:rPr>
          <w:rtl/>
        </w:rPr>
        <w:t xml:space="preserve"> على أن</w:t>
      </w:r>
      <w:r>
        <w:rPr>
          <w:rFonts w:hint="cs"/>
          <w:rtl/>
        </w:rPr>
        <w:t>ه</w:t>
      </w:r>
      <w:r w:rsidRPr="00D44AC4">
        <w:rPr>
          <w:rtl/>
        </w:rPr>
        <w:t xml:space="preserve"> </w:t>
      </w:r>
      <w:r>
        <w:rPr>
          <w:rFonts w:hint="cs"/>
          <w:rtl/>
        </w:rPr>
        <w:t xml:space="preserve">يجب أن </w:t>
      </w:r>
      <w:r w:rsidRPr="00D44AC4">
        <w:rPr>
          <w:rtl/>
        </w:rPr>
        <w:t>يضطلع صاحب الولاية بمهامه وفقاً لهذين القرارين ومرفقاتهما،</w:t>
      </w:r>
    </w:p>
    <w:p w:rsidR="00994FE4" w:rsidRDefault="00994FE4" w:rsidP="00994FE4">
      <w:pPr>
        <w:pStyle w:val="SingleTxtGA"/>
        <w:rPr>
          <w:rFonts w:hint="cs"/>
          <w:rtl/>
        </w:rPr>
      </w:pPr>
      <w:r>
        <w:rPr>
          <w:rFonts w:hint="cs"/>
          <w:rtl/>
        </w:rPr>
        <w:tab/>
      </w:r>
      <w:r w:rsidRPr="00436FB8">
        <w:rPr>
          <w:i/>
          <w:iCs/>
          <w:rtl/>
        </w:rPr>
        <w:t>وإذ يؤكد</w:t>
      </w:r>
      <w:r w:rsidRPr="00D44AC4">
        <w:rPr>
          <w:rtl/>
        </w:rPr>
        <w:t xml:space="preserve"> الدور الهام الذي يؤديه كل من الأفراد ومؤسسات المجتمع المدني، بما في</w:t>
      </w:r>
      <w:r>
        <w:rPr>
          <w:rFonts w:hint="cs"/>
          <w:rtl/>
        </w:rPr>
        <w:t>ها</w:t>
      </w:r>
      <w:r w:rsidRPr="00D44AC4">
        <w:rPr>
          <w:rtl/>
        </w:rPr>
        <w:t xml:space="preserve"> المنظمات غير الحكومية، والجماعات، والمؤسسات الوطنية لحقوق الإنسان</w:t>
      </w:r>
      <w:r>
        <w:rPr>
          <w:rFonts w:hint="cs"/>
          <w:rtl/>
        </w:rPr>
        <w:t>،</w:t>
      </w:r>
      <w:r w:rsidRPr="00D44AC4">
        <w:rPr>
          <w:rtl/>
        </w:rPr>
        <w:t xml:space="preserve"> </w:t>
      </w:r>
      <w:r>
        <w:rPr>
          <w:rFonts w:hint="cs"/>
          <w:rtl/>
        </w:rPr>
        <w:t xml:space="preserve">على المستويات المحلي والوطني والإقليمي والدولي </w:t>
      </w:r>
      <w:r w:rsidRPr="00D44AC4">
        <w:rPr>
          <w:rtl/>
        </w:rPr>
        <w:t xml:space="preserve">في تعزيز وحماية جميع حقوق الإنسان والحريات الأساسية </w:t>
      </w:r>
      <w:r>
        <w:rPr>
          <w:rFonts w:hint="cs"/>
          <w:rtl/>
        </w:rPr>
        <w:t>للناس كافة</w:t>
      </w:r>
      <w:r w:rsidRPr="00D44AC4">
        <w:rPr>
          <w:rtl/>
        </w:rPr>
        <w:t>،</w:t>
      </w:r>
    </w:p>
    <w:p w:rsidR="00994FE4" w:rsidRDefault="00994FE4" w:rsidP="00994FE4">
      <w:pPr>
        <w:pStyle w:val="SingleTxtGA"/>
        <w:rPr>
          <w:rFonts w:hint="cs"/>
          <w:rtl/>
        </w:rPr>
      </w:pPr>
      <w:r>
        <w:rPr>
          <w:rFonts w:hint="cs"/>
          <w:rtl/>
          <w:lang/>
        </w:rPr>
        <w:tab/>
      </w:r>
      <w:r>
        <w:rPr>
          <w:rFonts w:hint="cs"/>
          <w:i/>
          <w:iCs/>
          <w:rtl/>
          <w:lang/>
        </w:rPr>
        <w:t xml:space="preserve">وإذ يكرر </w:t>
      </w:r>
      <w:r w:rsidRPr="00994FE4">
        <w:rPr>
          <w:rFonts w:hint="cs"/>
          <w:i/>
          <w:iCs/>
          <w:rtl/>
          <w:lang/>
        </w:rPr>
        <w:t>التأكيد</w:t>
      </w:r>
      <w:r>
        <w:rPr>
          <w:rFonts w:hint="cs"/>
          <w:rtl/>
          <w:lang/>
        </w:rPr>
        <w:t xml:space="preserve"> على القلق الشديد الذي أبدته الجمعية العامة في قراريها</w:t>
      </w:r>
      <w:r>
        <w:rPr>
          <w:rFonts w:hint="eastAsia"/>
          <w:rtl/>
          <w:lang/>
        </w:rPr>
        <w:t> </w:t>
      </w:r>
      <w:r>
        <w:rPr>
          <w:rFonts w:hint="cs"/>
          <w:rtl/>
          <w:lang/>
        </w:rPr>
        <w:t>66/164 و68/181، وأبداه مجلس حقوق الإنسان في قراره 22/6 بشأن المخاطر الكبيرة التي يواجهها المدافعون عن حقوق الإنسان بسبب التهديدات والاعتداءات والأعمال الانتقامية وأعمال الترهيب التي تستهدفهم،</w:t>
      </w:r>
    </w:p>
    <w:p w:rsidR="00994FE4" w:rsidRPr="00453DFA" w:rsidRDefault="00994FE4" w:rsidP="00994FE4">
      <w:pPr>
        <w:pStyle w:val="SingleTxtGA"/>
        <w:rPr>
          <w:rFonts w:hint="cs"/>
          <w:rtl/>
        </w:rPr>
      </w:pPr>
      <w:r w:rsidRPr="00453DFA">
        <w:rPr>
          <w:rtl/>
        </w:rPr>
        <w:tab/>
      </w:r>
      <w:r w:rsidRPr="003D13C4">
        <w:rPr>
          <w:i/>
          <w:iCs/>
          <w:rtl/>
        </w:rPr>
        <w:t>وإذ يؤ</w:t>
      </w:r>
      <w:r w:rsidRPr="003D13C4">
        <w:rPr>
          <w:rFonts w:hint="cs"/>
          <w:i/>
          <w:iCs/>
          <w:rtl/>
        </w:rPr>
        <w:t>ك</w:t>
      </w:r>
      <w:r w:rsidRPr="003D13C4">
        <w:rPr>
          <w:i/>
          <w:iCs/>
          <w:rtl/>
        </w:rPr>
        <w:t xml:space="preserve">د </w:t>
      </w:r>
      <w:r>
        <w:rPr>
          <w:rFonts w:hint="cs"/>
          <w:i/>
          <w:iCs/>
          <w:rtl/>
        </w:rPr>
        <w:t xml:space="preserve">من جديد </w:t>
      </w:r>
      <w:r w:rsidRPr="00453DFA">
        <w:rPr>
          <w:rtl/>
        </w:rPr>
        <w:t>أن الدول ملزمة بحماية جميع حقوق الإنسان والحريات الأساسية لجميع الأشخاص،</w:t>
      </w:r>
    </w:p>
    <w:p w:rsidR="00994FE4" w:rsidRPr="00453DFA" w:rsidRDefault="00994FE4" w:rsidP="00994FE4">
      <w:pPr>
        <w:pStyle w:val="SingleTxtGA"/>
        <w:rPr>
          <w:rtl/>
        </w:rPr>
      </w:pPr>
      <w:r w:rsidRPr="00453DFA">
        <w:rPr>
          <w:rtl/>
        </w:rPr>
        <w:tab/>
      </w:r>
      <w:r w:rsidRPr="004A285D">
        <w:rPr>
          <w:i/>
          <w:iCs/>
          <w:rtl/>
        </w:rPr>
        <w:t xml:space="preserve">وإذ </w:t>
      </w:r>
      <w:r>
        <w:rPr>
          <w:rFonts w:hint="cs"/>
          <w:i/>
          <w:iCs/>
          <w:rtl/>
        </w:rPr>
        <w:t xml:space="preserve">يشدد على </w:t>
      </w:r>
      <w:r w:rsidRPr="00453DFA">
        <w:rPr>
          <w:rtl/>
        </w:rPr>
        <w:t xml:space="preserve">أن احترام ودعم أنشطة المدافعين عن حقوق الإنسان، </w:t>
      </w:r>
      <w:r>
        <w:rPr>
          <w:rFonts w:hint="cs"/>
          <w:rtl/>
        </w:rPr>
        <w:t>بمن</w:t>
      </w:r>
      <w:r w:rsidRPr="00453DFA">
        <w:rPr>
          <w:rtl/>
        </w:rPr>
        <w:t xml:space="preserve"> فيهم المدافعات عن حقوق الإنسان، أمر ضروري للتمتع </w:t>
      </w:r>
      <w:r>
        <w:rPr>
          <w:rFonts w:hint="cs"/>
          <w:rtl/>
        </w:rPr>
        <w:t xml:space="preserve">الشامل </w:t>
      </w:r>
      <w:r>
        <w:rPr>
          <w:rtl/>
        </w:rPr>
        <w:t>بحقوق الإنسان</w:t>
      </w:r>
      <w:r w:rsidRPr="00453DFA">
        <w:rPr>
          <w:rtl/>
        </w:rPr>
        <w:t>،</w:t>
      </w:r>
    </w:p>
    <w:p w:rsidR="00994FE4" w:rsidRDefault="00994FE4" w:rsidP="00994FE4">
      <w:pPr>
        <w:pStyle w:val="SingleTxtGA"/>
        <w:rPr>
          <w:rFonts w:hint="cs"/>
          <w:rtl/>
          <w:lang/>
        </w:rPr>
      </w:pPr>
      <w:r>
        <w:rPr>
          <w:rFonts w:hint="cs"/>
          <w:rtl/>
          <w:lang/>
        </w:rPr>
        <w:tab/>
      </w:r>
      <w:r w:rsidRPr="00994FE4">
        <w:rPr>
          <w:rFonts w:hint="cs"/>
          <w:i/>
          <w:iCs/>
          <w:rtl/>
          <w:lang/>
        </w:rPr>
        <w:t>وإذ يضع في اعتباره</w:t>
      </w:r>
      <w:r>
        <w:rPr>
          <w:rFonts w:hint="cs"/>
          <w:rtl/>
          <w:lang/>
        </w:rPr>
        <w:t xml:space="preserve"> أنه ينبغي أن تيسر الأحكام القانونية والإدارية الوطنية وتطبيقها عمل المدافعين عن حقوق الإنسان، بوسائل منها تجنب أي تجريم لهذا العمل أو وصم له أو</w:t>
      </w:r>
      <w:r>
        <w:rPr>
          <w:rFonts w:hint="eastAsia"/>
          <w:rtl/>
          <w:lang/>
        </w:rPr>
        <w:t> </w:t>
      </w:r>
      <w:r>
        <w:rPr>
          <w:rFonts w:hint="cs"/>
          <w:rtl/>
          <w:lang/>
        </w:rPr>
        <w:t>إعاقة أو عرقلة أو تقييد يخالف القانون الدولي لحقوق الإنسان،</w:t>
      </w:r>
    </w:p>
    <w:p w:rsidR="00994FE4" w:rsidRDefault="00994FE4" w:rsidP="00994FE4">
      <w:pPr>
        <w:pStyle w:val="SingleTxtGA"/>
        <w:rPr>
          <w:rFonts w:hint="cs"/>
          <w:rtl/>
          <w:lang/>
        </w:rPr>
      </w:pPr>
      <w:r>
        <w:rPr>
          <w:rFonts w:hint="cs"/>
          <w:rtl/>
          <w:lang/>
        </w:rPr>
        <w:tab/>
      </w:r>
      <w:r>
        <w:rPr>
          <w:rFonts w:hint="cs"/>
          <w:i/>
          <w:iCs/>
          <w:rtl/>
          <w:lang/>
        </w:rPr>
        <w:t>وإذ يؤكد</w:t>
      </w:r>
      <w:r>
        <w:rPr>
          <w:rFonts w:hint="cs"/>
          <w:rtl/>
          <w:lang/>
        </w:rPr>
        <w:t xml:space="preserve"> أن الإطار القانوني الذي يعمل فيه المدافعون عن حقوق الإنسان بشكل سلمي لتعزيز وحماية حقوق الإنسان والحريات الأساسية هو إطار التشريعات الوطنية المتسقة مع الميثاق ومع القانون الدولي لحقوق الإنسان،</w:t>
      </w:r>
    </w:p>
    <w:p w:rsidR="00231C20" w:rsidRDefault="00231C20" w:rsidP="00231C20">
      <w:pPr>
        <w:pStyle w:val="SingleTxtGA"/>
        <w:rPr>
          <w:rFonts w:hint="cs"/>
          <w:rtl/>
          <w:lang/>
        </w:rPr>
      </w:pPr>
      <w:r>
        <w:rPr>
          <w:rFonts w:hint="cs"/>
          <w:rtl/>
          <w:lang/>
        </w:rPr>
        <w:tab/>
      </w:r>
      <w:r>
        <w:rPr>
          <w:rFonts w:hint="cs"/>
          <w:i/>
          <w:iCs/>
          <w:rtl/>
          <w:lang/>
        </w:rPr>
        <w:t>وإذ يساوره القلق الشديد</w:t>
      </w:r>
      <w:r>
        <w:rPr>
          <w:rFonts w:hint="cs"/>
          <w:rtl/>
          <w:lang/>
        </w:rPr>
        <w:t xml:space="preserve"> لأن التشريعات والتدابير الأخرى المتعلقة بالأمن القومي ومكافحة الإرهاب، مثل القوانين التي تحكم منظمات المجتمع المدني، قد أُسيء استخدامها، في بعض الحالات، لاستهداف المدافعين عن حقوق الإنسان، أو قد أعاقبت عملهم أو عرضت سلامتهم للخطر على نحو مخالف للقانون الدولي،</w:t>
      </w:r>
    </w:p>
    <w:p w:rsidR="00231C20" w:rsidRDefault="00231C20" w:rsidP="00231C20">
      <w:pPr>
        <w:pStyle w:val="SingleTxtGA"/>
        <w:rPr>
          <w:rFonts w:hint="cs"/>
          <w:rtl/>
          <w:lang/>
        </w:rPr>
      </w:pPr>
      <w:r>
        <w:rPr>
          <w:rFonts w:hint="cs"/>
          <w:rtl/>
          <w:lang/>
        </w:rPr>
        <w:tab/>
      </w:r>
      <w:r>
        <w:rPr>
          <w:rFonts w:hint="cs"/>
          <w:i/>
          <w:iCs/>
          <w:rtl/>
          <w:lang/>
        </w:rPr>
        <w:t xml:space="preserve">وإذ يسلم </w:t>
      </w:r>
      <w:r>
        <w:rPr>
          <w:rFonts w:hint="cs"/>
          <w:rtl/>
          <w:lang/>
        </w:rPr>
        <w:t>بالحاجة الملحة إلى التصدي لاستخدام التشريعات في إعاقة أو تقييد قدرة المدافعين عن حقوق الإنسان على ممارسة عملهم، دون مبرر، والحاجة إلى اتخاذ خطوات ملموسة لمنع ذلك ووقفه، بوسائل منها استعراض التشريعات ذات الصلة وطريقة تنفيذها، وتعديلها عند الاقتضاء، لضمان الامتثال للقانون الدولي لحقوق الإنسان،</w:t>
      </w:r>
    </w:p>
    <w:p w:rsidR="00231C20" w:rsidRPr="00827C8F" w:rsidRDefault="00231C20" w:rsidP="00231C20">
      <w:pPr>
        <w:pStyle w:val="SingleTxtGA"/>
        <w:rPr>
          <w:rFonts w:hint="cs"/>
          <w:smallCaps/>
          <w:rtl/>
          <w:lang/>
        </w:rPr>
      </w:pPr>
      <w:r>
        <w:rPr>
          <w:rFonts w:hint="cs"/>
          <w:rtl/>
          <w:lang/>
        </w:rPr>
        <w:tab/>
        <w:t>1-</w:t>
      </w:r>
      <w:r>
        <w:rPr>
          <w:rFonts w:hint="cs"/>
          <w:rtl/>
          <w:lang/>
        </w:rPr>
        <w:tab/>
      </w:r>
      <w:r>
        <w:rPr>
          <w:rFonts w:hint="cs"/>
          <w:i/>
          <w:iCs/>
          <w:rtl/>
          <w:lang/>
        </w:rPr>
        <w:t>يرحب</w:t>
      </w:r>
      <w:r>
        <w:rPr>
          <w:rFonts w:hint="cs"/>
          <w:rtl/>
          <w:lang/>
        </w:rPr>
        <w:t xml:space="preserve"> بالعمل الذي أنجزته المقررة الخاصة المعنية بحالة المدافعين عن حقوق الإنسان، ويحيط علماً مع التقدير بالتقرير الذي أعدته</w:t>
      </w:r>
      <w:r>
        <w:rPr>
          <w:vertAlign w:val="superscript"/>
          <w:rtl/>
          <w:lang/>
        </w:rPr>
        <w:t>(</w:t>
      </w:r>
      <w:r>
        <w:rPr>
          <w:rStyle w:val="FootnoteReference"/>
          <w:rtl/>
          <w:lang/>
        </w:rPr>
        <w:footnoteReference w:id="1"/>
      </w:r>
      <w:r>
        <w:rPr>
          <w:vertAlign w:val="superscript"/>
          <w:rtl/>
          <w:lang/>
        </w:rPr>
        <w:t>)</w:t>
      </w:r>
      <w:r>
        <w:rPr>
          <w:rFonts w:hint="cs"/>
          <w:rtl/>
          <w:lang/>
        </w:rPr>
        <w:t>،</w:t>
      </w:r>
      <w:r w:rsidR="00827C8F">
        <w:rPr>
          <w:rFonts w:hint="cs"/>
          <w:rtl/>
          <w:lang/>
        </w:rPr>
        <w:t xml:space="preserve"> ويحث جميع الدول بشدة على اتخاذ خطوات ملموسة لتهيئة بيئة آمنة ومواتية، في القانون وفي الممارسة</w:t>
      </w:r>
      <w:r w:rsidR="00827C8F">
        <w:rPr>
          <w:rFonts w:hint="cs"/>
          <w:smallCaps/>
          <w:rtl/>
          <w:lang/>
        </w:rPr>
        <w:t>، يسمح للمدافعين عن حقوق الإنسان بالعمل دون عوائق ودون التعرض لأخطار انعدام الأمن؛</w:t>
      </w:r>
    </w:p>
    <w:p w:rsidR="00994FE4" w:rsidRPr="00D44AC4" w:rsidRDefault="00994FE4" w:rsidP="00994FE4">
      <w:pPr>
        <w:pStyle w:val="SingleTxtGA"/>
        <w:rPr>
          <w:rFonts w:hint="cs"/>
          <w:rtl/>
          <w:lang/>
        </w:rPr>
      </w:pPr>
      <w:r>
        <w:rPr>
          <w:rFonts w:hint="cs"/>
          <w:rtl/>
        </w:rPr>
        <w:tab/>
        <w:t>2-</w:t>
      </w:r>
      <w:r>
        <w:rPr>
          <w:rFonts w:hint="cs"/>
          <w:rtl/>
        </w:rPr>
        <w:tab/>
      </w:r>
      <w:r w:rsidRPr="00436FB8">
        <w:rPr>
          <w:rFonts w:hint="cs"/>
          <w:i/>
          <w:iCs/>
          <w:rtl/>
        </w:rPr>
        <w:t>ي</w:t>
      </w:r>
      <w:r w:rsidRPr="00436FB8">
        <w:rPr>
          <w:i/>
          <w:iCs/>
          <w:rtl/>
        </w:rPr>
        <w:t>قرر</w:t>
      </w:r>
      <w:r w:rsidRPr="005E72E0">
        <w:rPr>
          <w:rtl/>
        </w:rPr>
        <w:t xml:space="preserve"> تمديد</w:t>
      </w:r>
      <w:r w:rsidRPr="00D44AC4">
        <w:rPr>
          <w:rtl/>
        </w:rPr>
        <w:t xml:space="preserve"> ولاية المقررة الخاصة المعنية بحالة المدافعين عن حقوق الإنسان لفترة ثلاث سنوات </w:t>
      </w:r>
      <w:r>
        <w:rPr>
          <w:rFonts w:hint="cs"/>
          <w:rtl/>
          <w:lang/>
        </w:rPr>
        <w:t>بالشروط نفسها التي حددها</w:t>
      </w:r>
      <w:r w:rsidRPr="00492BC0">
        <w:rPr>
          <w:rFonts w:hint="cs"/>
          <w:rtl/>
        </w:rPr>
        <w:t xml:space="preserve"> </w:t>
      </w:r>
      <w:r>
        <w:rPr>
          <w:rFonts w:hint="cs"/>
          <w:rtl/>
        </w:rPr>
        <w:t xml:space="preserve">مجلس </w:t>
      </w:r>
      <w:r w:rsidRPr="00D44AC4">
        <w:rPr>
          <w:rtl/>
        </w:rPr>
        <w:t xml:space="preserve">حقوق الإنسان </w:t>
      </w:r>
      <w:r>
        <w:rPr>
          <w:rFonts w:hint="cs"/>
          <w:rtl/>
          <w:lang/>
        </w:rPr>
        <w:t>في قراره 16/5؛</w:t>
      </w:r>
    </w:p>
    <w:p w:rsidR="00994FE4" w:rsidRDefault="00994FE4" w:rsidP="00827C8F">
      <w:pPr>
        <w:pStyle w:val="SingleTxtGA"/>
        <w:rPr>
          <w:rFonts w:hint="cs"/>
          <w:rtl/>
          <w:lang/>
        </w:rPr>
      </w:pPr>
      <w:r>
        <w:rPr>
          <w:rFonts w:hint="cs"/>
          <w:rtl/>
        </w:rPr>
        <w:tab/>
        <w:t>3-</w:t>
      </w:r>
      <w:r>
        <w:rPr>
          <w:rFonts w:hint="cs"/>
          <w:rtl/>
        </w:rPr>
        <w:tab/>
      </w:r>
      <w:r w:rsidRPr="00436FB8">
        <w:rPr>
          <w:rFonts w:hint="cs"/>
          <w:i/>
          <w:iCs/>
          <w:rtl/>
        </w:rPr>
        <w:t>ي</w:t>
      </w:r>
      <w:r>
        <w:rPr>
          <w:rFonts w:hint="cs"/>
          <w:i/>
          <w:iCs/>
          <w:rtl/>
        </w:rPr>
        <w:t xml:space="preserve">حث </w:t>
      </w:r>
      <w:r>
        <w:rPr>
          <w:rFonts w:hint="cs"/>
          <w:rtl/>
        </w:rPr>
        <w:t xml:space="preserve">جميع الدول على التعاون مع المقررة الخاصة ومساعدتها في أداء مهامها، وتزويدها بجميع المعلومات والرد على </w:t>
      </w:r>
      <w:r w:rsidR="00827C8F">
        <w:rPr>
          <w:rFonts w:hint="cs"/>
          <w:rtl/>
          <w:lang/>
        </w:rPr>
        <w:t xml:space="preserve">الرسائل التي تحيلها إليها </w:t>
      </w:r>
      <w:r>
        <w:rPr>
          <w:rFonts w:hint="cs"/>
          <w:rtl/>
          <w:lang/>
        </w:rPr>
        <w:t>دون تأخير لا مبرر له؛</w:t>
      </w:r>
    </w:p>
    <w:p w:rsidR="00994FE4" w:rsidRDefault="00994FE4" w:rsidP="00827C8F">
      <w:pPr>
        <w:pStyle w:val="SingleTxtGA"/>
        <w:rPr>
          <w:rFonts w:hint="cs"/>
          <w:rtl/>
          <w:lang/>
        </w:rPr>
      </w:pPr>
      <w:r>
        <w:rPr>
          <w:rFonts w:hint="cs"/>
          <w:rtl/>
        </w:rPr>
        <w:tab/>
        <w:t>4-</w:t>
      </w:r>
      <w:r>
        <w:rPr>
          <w:rFonts w:hint="cs"/>
          <w:rtl/>
        </w:rPr>
        <w:tab/>
      </w:r>
      <w:r w:rsidRPr="00EE123D">
        <w:rPr>
          <w:rFonts w:hint="cs"/>
          <w:i/>
          <w:iCs/>
          <w:rtl/>
        </w:rPr>
        <w:t>يهيب</w:t>
      </w:r>
      <w:r>
        <w:rPr>
          <w:rFonts w:hint="cs"/>
          <w:rtl/>
        </w:rPr>
        <w:t xml:space="preserve"> بالدول أن </w:t>
      </w:r>
      <w:r w:rsidRPr="0074698F">
        <w:rPr>
          <w:rFonts w:hint="cs"/>
          <w:rtl/>
        </w:rPr>
        <w:t xml:space="preserve">تنظر بجدية في الاستجابة لطلبات </w:t>
      </w:r>
      <w:r w:rsidRPr="0074698F">
        <w:rPr>
          <w:rtl/>
        </w:rPr>
        <w:t>المقررة الخاص</w:t>
      </w:r>
      <w:r w:rsidRPr="0074698F">
        <w:rPr>
          <w:rFonts w:hint="cs"/>
          <w:rtl/>
        </w:rPr>
        <w:t>ة</w:t>
      </w:r>
      <w:r w:rsidRPr="0074698F">
        <w:rPr>
          <w:rtl/>
        </w:rPr>
        <w:t xml:space="preserve"> </w:t>
      </w:r>
      <w:r>
        <w:rPr>
          <w:rFonts w:hint="cs"/>
          <w:rtl/>
        </w:rPr>
        <w:t>ب</w:t>
      </w:r>
      <w:r w:rsidRPr="0074698F">
        <w:rPr>
          <w:rtl/>
        </w:rPr>
        <w:t>زيار</w:t>
      </w:r>
      <w:r w:rsidRPr="0074698F">
        <w:rPr>
          <w:rFonts w:hint="cs"/>
          <w:rtl/>
        </w:rPr>
        <w:t>ة بلدانها،</w:t>
      </w:r>
      <w:r w:rsidRPr="0074698F">
        <w:rPr>
          <w:rtl/>
        </w:rPr>
        <w:t xml:space="preserve"> و</w:t>
      </w:r>
      <w:r>
        <w:rPr>
          <w:rFonts w:hint="cs"/>
          <w:rtl/>
        </w:rPr>
        <w:t>ي</w:t>
      </w:r>
      <w:r w:rsidRPr="0074698F">
        <w:rPr>
          <w:rFonts w:hint="cs"/>
          <w:rtl/>
        </w:rPr>
        <w:t xml:space="preserve">حثها على </w:t>
      </w:r>
      <w:r w:rsidR="00827C8F">
        <w:rPr>
          <w:rFonts w:hint="cs"/>
          <w:rtl/>
        </w:rPr>
        <w:t xml:space="preserve">إقامة </w:t>
      </w:r>
      <w:r w:rsidRPr="0074698F">
        <w:rPr>
          <w:rFonts w:hint="cs"/>
          <w:rtl/>
        </w:rPr>
        <w:t>حوار بناء مع المقررة الخاصة فيما يتعلق بمتابعة توصياتها وتنفيذها</w:t>
      </w:r>
      <w:r w:rsidRPr="0074698F">
        <w:rPr>
          <w:rFonts w:hint="cs"/>
          <w:rtl/>
          <w:lang/>
        </w:rPr>
        <w:t xml:space="preserve">، </w:t>
      </w:r>
      <w:r w:rsidR="00827C8F">
        <w:rPr>
          <w:rFonts w:hint="cs"/>
          <w:rtl/>
          <w:lang/>
        </w:rPr>
        <w:t xml:space="preserve">لتمكينها من إنجاز </w:t>
      </w:r>
      <w:r>
        <w:rPr>
          <w:rFonts w:hint="cs"/>
          <w:rtl/>
          <w:lang/>
        </w:rPr>
        <w:t>ولايتها</w:t>
      </w:r>
      <w:r w:rsidRPr="0074698F">
        <w:rPr>
          <w:rFonts w:hint="cs"/>
          <w:rtl/>
          <w:lang/>
        </w:rPr>
        <w:t xml:space="preserve"> بمزيد من</w:t>
      </w:r>
      <w:r>
        <w:rPr>
          <w:rFonts w:hint="cs"/>
          <w:rtl/>
          <w:lang/>
        </w:rPr>
        <w:t xml:space="preserve"> </w:t>
      </w:r>
      <w:r w:rsidRPr="0074698F">
        <w:rPr>
          <w:rFonts w:hint="cs"/>
          <w:rtl/>
          <w:lang/>
        </w:rPr>
        <w:t>الفعالية؛</w:t>
      </w:r>
    </w:p>
    <w:p w:rsidR="00994FE4" w:rsidRDefault="00994FE4" w:rsidP="00827C8F">
      <w:pPr>
        <w:pStyle w:val="SingleTxtGA"/>
        <w:rPr>
          <w:rFonts w:hint="cs"/>
          <w:rtl/>
        </w:rPr>
      </w:pPr>
      <w:r>
        <w:rPr>
          <w:rFonts w:hint="cs"/>
          <w:rtl/>
        </w:rPr>
        <w:tab/>
        <w:t>5-</w:t>
      </w:r>
      <w:r>
        <w:rPr>
          <w:rFonts w:hint="cs"/>
          <w:rtl/>
        </w:rPr>
        <w:tab/>
      </w:r>
      <w:r w:rsidRPr="00EE123D">
        <w:rPr>
          <w:rFonts w:hint="cs"/>
          <w:i/>
          <w:iCs/>
          <w:rtl/>
        </w:rPr>
        <w:t>ي</w:t>
      </w:r>
      <w:r>
        <w:rPr>
          <w:rFonts w:hint="cs"/>
          <w:i/>
          <w:iCs/>
          <w:rtl/>
        </w:rPr>
        <w:t xml:space="preserve">طلب </w:t>
      </w:r>
      <w:r w:rsidRPr="00D44AC4">
        <w:rPr>
          <w:rtl/>
        </w:rPr>
        <w:t xml:space="preserve">إلى الأمين العام ومفوضة الأمم المتحدة السامية لحقوق الإنسان </w:t>
      </w:r>
      <w:r w:rsidR="00827C8F">
        <w:rPr>
          <w:rFonts w:hint="cs"/>
          <w:rtl/>
        </w:rPr>
        <w:t xml:space="preserve">أن يقدما </w:t>
      </w:r>
      <w:r w:rsidRPr="00D44AC4">
        <w:rPr>
          <w:rtl/>
        </w:rPr>
        <w:t xml:space="preserve">إلى المقررة الخاصة </w:t>
      </w:r>
      <w:r w:rsidR="00827C8F" w:rsidRPr="00D44AC4">
        <w:rPr>
          <w:rtl/>
        </w:rPr>
        <w:t xml:space="preserve">كل </w:t>
      </w:r>
      <w:r w:rsidR="00827C8F">
        <w:rPr>
          <w:rFonts w:hint="cs"/>
          <w:rtl/>
        </w:rPr>
        <w:t xml:space="preserve">ما يلزم من </w:t>
      </w:r>
      <w:r w:rsidR="00827C8F" w:rsidRPr="00D44AC4">
        <w:rPr>
          <w:rtl/>
        </w:rPr>
        <w:t xml:space="preserve">مساعدة </w:t>
      </w:r>
      <w:r w:rsidR="00827C8F">
        <w:rPr>
          <w:rFonts w:hint="cs"/>
          <w:rtl/>
        </w:rPr>
        <w:t>ل</w:t>
      </w:r>
      <w:r w:rsidRPr="00D44AC4">
        <w:rPr>
          <w:rtl/>
        </w:rPr>
        <w:t>إنجاز ولايتها بفعالية؛</w:t>
      </w:r>
    </w:p>
    <w:p w:rsidR="00994FE4" w:rsidRDefault="00994FE4" w:rsidP="00827C8F">
      <w:pPr>
        <w:pStyle w:val="SingleTxtGA"/>
        <w:rPr>
          <w:rFonts w:hint="cs"/>
          <w:rtl/>
        </w:rPr>
      </w:pPr>
      <w:r>
        <w:rPr>
          <w:rFonts w:hint="cs"/>
          <w:rtl/>
        </w:rPr>
        <w:tab/>
        <w:t>6-</w:t>
      </w:r>
      <w:r>
        <w:rPr>
          <w:rFonts w:hint="cs"/>
          <w:rtl/>
        </w:rPr>
        <w:tab/>
      </w:r>
      <w:r w:rsidRPr="00EE123D">
        <w:rPr>
          <w:rFonts w:hint="cs"/>
          <w:i/>
          <w:iCs/>
          <w:rtl/>
        </w:rPr>
        <w:t>ي</w:t>
      </w:r>
      <w:r>
        <w:rPr>
          <w:rFonts w:hint="cs"/>
          <w:i/>
          <w:iCs/>
          <w:rtl/>
        </w:rPr>
        <w:t xml:space="preserve">شجع </w:t>
      </w:r>
      <w:r w:rsidRPr="00DB337D">
        <w:rPr>
          <w:rFonts w:hint="cs"/>
          <w:rtl/>
        </w:rPr>
        <w:t xml:space="preserve">جميع وكالات </w:t>
      </w:r>
      <w:r w:rsidRPr="00DB337D">
        <w:rPr>
          <w:rFonts w:hint="eastAsia"/>
          <w:rtl/>
        </w:rPr>
        <w:t>الأمم</w:t>
      </w:r>
      <w:r w:rsidRPr="00DB337D">
        <w:rPr>
          <w:rtl/>
        </w:rPr>
        <w:t xml:space="preserve"> المتحدة </w:t>
      </w:r>
      <w:r w:rsidRPr="00DB337D">
        <w:rPr>
          <w:rFonts w:hint="cs"/>
          <w:rtl/>
        </w:rPr>
        <w:t xml:space="preserve">ومؤسساتها المعنية </w:t>
      </w:r>
      <w:r w:rsidR="00827C8F">
        <w:rPr>
          <w:rFonts w:hint="cs"/>
          <w:rtl/>
        </w:rPr>
        <w:t xml:space="preserve">على </w:t>
      </w:r>
      <w:r w:rsidRPr="00DB337D">
        <w:rPr>
          <w:rFonts w:hint="cs"/>
          <w:rtl/>
        </w:rPr>
        <w:t xml:space="preserve">أن </w:t>
      </w:r>
      <w:r w:rsidR="00827C8F">
        <w:rPr>
          <w:rFonts w:hint="cs"/>
          <w:rtl/>
        </w:rPr>
        <w:t>تقدم</w:t>
      </w:r>
      <w:r w:rsidRPr="00DB337D">
        <w:rPr>
          <w:rFonts w:hint="cs"/>
          <w:rtl/>
        </w:rPr>
        <w:t xml:space="preserve">، </w:t>
      </w:r>
      <w:r w:rsidR="00827C8F">
        <w:rPr>
          <w:rFonts w:hint="cs"/>
          <w:rtl/>
        </w:rPr>
        <w:t xml:space="preserve">في إطار </w:t>
      </w:r>
      <w:r>
        <w:rPr>
          <w:rFonts w:hint="cs"/>
          <w:rtl/>
        </w:rPr>
        <w:t xml:space="preserve">ولاياتها، كل ما </w:t>
      </w:r>
      <w:r w:rsidRPr="00DB337D">
        <w:rPr>
          <w:rFonts w:hint="cs"/>
          <w:rtl/>
        </w:rPr>
        <w:t xml:space="preserve">يمكن من مساعدة ودعم إلى المقررة الخاصة </w:t>
      </w:r>
      <w:r w:rsidR="00827C8F">
        <w:rPr>
          <w:rFonts w:hint="cs"/>
          <w:rtl/>
        </w:rPr>
        <w:t xml:space="preserve">ليتسنى لها إنجاز </w:t>
      </w:r>
      <w:r w:rsidRPr="00DB337D">
        <w:rPr>
          <w:rFonts w:hint="cs"/>
          <w:rtl/>
        </w:rPr>
        <w:t xml:space="preserve">ولايتها </w:t>
      </w:r>
      <w:r w:rsidR="00827C8F">
        <w:rPr>
          <w:rFonts w:hint="cs"/>
          <w:rtl/>
        </w:rPr>
        <w:t>بفعالية</w:t>
      </w:r>
      <w:r w:rsidRPr="00DB337D">
        <w:rPr>
          <w:rFonts w:hint="cs"/>
          <w:rtl/>
        </w:rPr>
        <w:t>، بما في ذلك في سياق الزيارات القطرية وعن طريق تقديم مقترحات بشأن سب</w:t>
      </w:r>
      <w:r>
        <w:rPr>
          <w:rFonts w:hint="cs"/>
          <w:rtl/>
        </w:rPr>
        <w:t>ل ووسائل ضمان الحماية للمدافعين</w:t>
      </w:r>
      <w:r w:rsidRPr="00DB337D">
        <w:rPr>
          <w:rFonts w:hint="cs"/>
          <w:rtl/>
        </w:rPr>
        <w:t xml:space="preserve"> عن حقوق الإنسان؛</w:t>
      </w:r>
    </w:p>
    <w:p w:rsidR="00994FE4" w:rsidRDefault="00994FE4" w:rsidP="00827C8F">
      <w:pPr>
        <w:pStyle w:val="SingleTxtGA"/>
        <w:rPr>
          <w:rFonts w:hint="cs"/>
          <w:rtl/>
        </w:rPr>
      </w:pPr>
      <w:r>
        <w:rPr>
          <w:rFonts w:hint="cs"/>
          <w:rtl/>
        </w:rPr>
        <w:tab/>
        <w:t>7-</w:t>
      </w:r>
      <w:r w:rsidRPr="00D44AC4">
        <w:tab/>
      </w:r>
      <w:r>
        <w:rPr>
          <w:rFonts w:hint="cs"/>
          <w:i/>
          <w:iCs/>
          <w:rtl/>
        </w:rPr>
        <w:t>يُ</w:t>
      </w:r>
      <w:r w:rsidRPr="008042DE">
        <w:rPr>
          <w:i/>
          <w:iCs/>
          <w:rtl/>
        </w:rPr>
        <w:t>قرر</w:t>
      </w:r>
      <w:r w:rsidRPr="00D44AC4">
        <w:rPr>
          <w:rtl/>
        </w:rPr>
        <w:t xml:space="preserve"> مواصلة النظر في هذه المسألة وفقاً لبرنامج عمله السنوي.</w:t>
      </w:r>
    </w:p>
    <w:p w:rsidR="00827C8F" w:rsidRPr="00827C8F" w:rsidRDefault="00827C8F" w:rsidP="00827C8F">
      <w:pPr>
        <w:pStyle w:val="SingleTxtGA"/>
        <w:spacing w:before="120" w:after="0"/>
        <w:jc w:val="right"/>
        <w:rPr>
          <w:rFonts w:hint="cs"/>
          <w:i/>
          <w:iCs/>
          <w:rtl/>
        </w:rPr>
      </w:pPr>
      <w:r w:rsidRPr="00827C8F">
        <w:rPr>
          <w:rFonts w:hint="cs"/>
          <w:i/>
          <w:iCs/>
          <w:rtl/>
        </w:rPr>
        <w:t>الجلسة 55</w:t>
      </w:r>
    </w:p>
    <w:p w:rsidR="00827C8F" w:rsidRPr="00827C8F" w:rsidRDefault="00827C8F" w:rsidP="00827C8F">
      <w:pPr>
        <w:pStyle w:val="SingleTxtGA"/>
        <w:jc w:val="right"/>
        <w:rPr>
          <w:rFonts w:hint="cs"/>
          <w:i/>
          <w:iCs/>
          <w:rtl/>
        </w:rPr>
      </w:pPr>
      <w:r w:rsidRPr="00827C8F">
        <w:rPr>
          <w:rFonts w:hint="cs"/>
          <w:i/>
          <w:iCs/>
          <w:rtl/>
        </w:rPr>
        <w:t>28 آذار/مارس 2014</w:t>
      </w:r>
    </w:p>
    <w:p w:rsidR="00827C8F" w:rsidRDefault="00827C8F" w:rsidP="00827C8F">
      <w:pPr>
        <w:pStyle w:val="SingleTxtGA"/>
        <w:rPr>
          <w:rFonts w:hint="cs"/>
          <w:rtl/>
        </w:rPr>
      </w:pPr>
      <w:r>
        <w:rPr>
          <w:rFonts w:hint="cs"/>
          <w:rtl/>
        </w:rPr>
        <w:t>[اعتمد بدون تصويت.]</w:t>
      </w:r>
    </w:p>
    <w:p w:rsidR="00994FE4" w:rsidRPr="002B3ACA" w:rsidRDefault="00994FE4" w:rsidP="00994FE4">
      <w:pPr>
        <w:spacing w:before="120"/>
        <w:jc w:val="center"/>
        <w:rPr>
          <w:rFonts w:hint="cs"/>
          <w:u w:val="single"/>
          <w:rtl/>
        </w:rPr>
      </w:pPr>
      <w:r>
        <w:rPr>
          <w:u w:val="single"/>
          <w:rtl/>
        </w:rPr>
        <w:tab/>
      </w:r>
      <w:r>
        <w:rPr>
          <w:u w:val="single"/>
          <w:rtl/>
        </w:rPr>
        <w:tab/>
      </w:r>
      <w:r>
        <w:rPr>
          <w:u w:val="single"/>
          <w:rtl/>
        </w:rPr>
        <w:tab/>
      </w:r>
    </w:p>
    <w:sectPr w:rsidR="00994FE4" w:rsidRPr="002B3ACA" w:rsidSect="00994FE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6AA" w:rsidRPr="00FE6865" w:rsidRDefault="005076AA" w:rsidP="00FE6865">
      <w:pPr>
        <w:pStyle w:val="Footer"/>
      </w:pPr>
    </w:p>
  </w:endnote>
  <w:endnote w:type="continuationSeparator" w:id="0">
    <w:p w:rsidR="005076AA" w:rsidRDefault="005076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6AA" w:rsidRPr="00994FE4" w:rsidRDefault="005076AA" w:rsidP="00994FE4">
    <w:pPr>
      <w:pStyle w:val="Footer"/>
      <w:tabs>
        <w:tab w:val="right" w:pos="9598"/>
      </w:tabs>
    </w:pPr>
    <w:r>
      <w:t>GE.14-13450</w:t>
    </w:r>
    <w:r>
      <w:tab/>
    </w:r>
    <w:r w:rsidRPr="00994FE4">
      <w:rPr>
        <w:b/>
        <w:sz w:val="18"/>
      </w:rPr>
      <w:fldChar w:fldCharType="begin"/>
    </w:r>
    <w:r w:rsidRPr="00994FE4">
      <w:rPr>
        <w:b/>
        <w:sz w:val="18"/>
      </w:rPr>
      <w:instrText xml:space="preserve"> PAGE  \* MERGEFORMAT </w:instrText>
    </w:r>
    <w:r w:rsidRPr="00994FE4">
      <w:rPr>
        <w:b/>
        <w:sz w:val="18"/>
      </w:rPr>
      <w:fldChar w:fldCharType="separate"/>
    </w:r>
    <w:r>
      <w:rPr>
        <w:b/>
        <w:noProof/>
        <w:sz w:val="18"/>
      </w:rPr>
      <w:t>2</w:t>
    </w:r>
    <w:r w:rsidRPr="00994FE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6AA" w:rsidRPr="00994FE4" w:rsidRDefault="005076AA" w:rsidP="00994FE4">
    <w:pPr>
      <w:pStyle w:val="Footer"/>
      <w:tabs>
        <w:tab w:val="right" w:pos="9598"/>
      </w:tabs>
      <w:rPr>
        <w:b/>
        <w:sz w:val="18"/>
      </w:rPr>
    </w:pPr>
    <w:r w:rsidRPr="00994FE4">
      <w:rPr>
        <w:b/>
        <w:sz w:val="18"/>
      </w:rPr>
      <w:fldChar w:fldCharType="begin"/>
    </w:r>
    <w:r w:rsidRPr="00994FE4">
      <w:rPr>
        <w:b/>
        <w:sz w:val="18"/>
      </w:rPr>
      <w:instrText xml:space="preserve"> PAGE  \* MERGEFORMAT </w:instrText>
    </w:r>
    <w:r w:rsidRPr="00994FE4">
      <w:rPr>
        <w:b/>
        <w:sz w:val="18"/>
      </w:rPr>
      <w:fldChar w:fldCharType="separate"/>
    </w:r>
    <w:r>
      <w:rPr>
        <w:b/>
        <w:noProof/>
        <w:sz w:val="18"/>
      </w:rPr>
      <w:t>3</w:t>
    </w:r>
    <w:r w:rsidRPr="00994FE4">
      <w:rPr>
        <w:b/>
        <w:sz w:val="18"/>
      </w:rPr>
      <w:fldChar w:fldCharType="end"/>
    </w:r>
    <w:r>
      <w:rPr>
        <w:b/>
        <w:sz w:val="18"/>
      </w:rPr>
      <w:tab/>
    </w:r>
    <w:r>
      <w:t>GE.14-13450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6AA" w:rsidRDefault="005076AA" w:rsidP="00994FE4">
    <w:pPr>
      <w:pStyle w:val="Footer"/>
      <w:jc w:val="right"/>
      <w:rPr>
        <w:rFonts w:hint="cs"/>
      </w:rPr>
    </w:pPr>
    <w:r>
      <w:rPr>
        <w:sz w:val="20"/>
      </w:rPr>
      <w:t>(A)   GE.14-13450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280514    300514</w:t>
    </w:r>
    <w:r>
      <w:br/>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sidRPr="00C22BA8">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18&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6AA" w:rsidRPr="00F678A1" w:rsidRDefault="005076AA" w:rsidP="00F678A1">
      <w:pPr>
        <w:spacing w:after="80" w:line="200" w:lineRule="exact"/>
        <w:ind w:left="680"/>
        <w:rPr>
          <w:sz w:val="12"/>
          <w:szCs w:val="22"/>
        </w:rPr>
      </w:pPr>
      <w:r w:rsidRPr="00F678A1">
        <w:rPr>
          <w:sz w:val="8"/>
          <w:szCs w:val="22"/>
          <w:rtl/>
        </w:rPr>
        <w:t>__________</w:t>
      </w:r>
    </w:p>
  </w:footnote>
  <w:footnote w:type="continuationSeparator" w:id="0">
    <w:p w:rsidR="005076AA" w:rsidRDefault="005076AA" w:rsidP="00444AA6">
      <w:pPr>
        <w:pStyle w:val="Footer"/>
        <w:bidi/>
        <w:spacing w:after="80" w:line="200" w:lineRule="exact"/>
        <w:ind w:left="680"/>
      </w:pPr>
      <w:r>
        <w:rPr>
          <w:rFonts w:hint="cs"/>
          <w:rtl/>
        </w:rPr>
        <w:t>__________</w:t>
      </w:r>
    </w:p>
  </w:footnote>
  <w:footnote w:id="1">
    <w:p w:rsidR="005076AA" w:rsidRPr="00CD13EB" w:rsidRDefault="005076AA" w:rsidP="00231C20">
      <w:pPr>
        <w:pStyle w:val="FootnoteText"/>
        <w:numPr>
          <w:ilvl w:val="0"/>
          <w:numId w:val="40"/>
        </w:numPr>
        <w:tabs>
          <w:tab w:val="clear" w:pos="1292"/>
        </w:tabs>
        <w:spacing w:after="60" w:line="300" w:lineRule="exact"/>
        <w:ind w:left="1247" w:right="1247"/>
        <w:rPr>
          <w:rFonts w:hint="cs"/>
          <w:sz w:val="18"/>
          <w:szCs w:val="26"/>
        </w:rPr>
      </w:pPr>
      <w:r w:rsidRPr="00CD13EB">
        <w:rPr>
          <w:sz w:val="18"/>
          <w:szCs w:val="26"/>
        </w:rPr>
        <w:t>A/HRC/25/55</w:t>
      </w:r>
      <w:r w:rsidRPr="00CD13EB">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6AA" w:rsidRPr="00994FE4" w:rsidRDefault="005076AA" w:rsidP="00994FE4">
    <w:pPr>
      <w:pStyle w:val="Header"/>
      <w:jc w:val="right"/>
    </w:pPr>
    <w:r w:rsidRPr="00994FE4">
      <w:t>A/HRC/RES/25/18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6AA" w:rsidRPr="00994FE4" w:rsidRDefault="005076AA" w:rsidP="00994FE4">
    <w:pPr>
      <w:pStyle w:val="Header"/>
      <w:jc w:val="left"/>
    </w:pPr>
    <w:r w:rsidRPr="00994FE4">
      <w:t>A/HRC/RES/25/18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C56A76"/>
    <w:multiLevelType w:val="hybridMultilevel"/>
    <w:tmpl w:val="8A405DD4"/>
    <w:lvl w:ilvl="0" w:tplc="BD804EB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F95595C"/>
    <w:multiLevelType w:val="hybridMultilevel"/>
    <w:tmpl w:val="DAB26448"/>
    <w:lvl w:ilvl="0" w:tplc="8486ACF0">
      <w:start w:val="1"/>
      <w:numFmt w:val="decimal"/>
      <w:lvlRestart w:val="0"/>
      <w:lvlText w:val="(%1)"/>
      <w:lvlJc w:val="right"/>
      <w:pPr>
        <w:tabs>
          <w:tab w:val="num" w:pos="1292"/>
        </w:tabs>
        <w:ind w:left="1292" w:hanging="227"/>
      </w:pPr>
      <w:rPr>
        <w:rFonts w:ascii="Traditional Arabic" w:hAnsi="Traditional Arabic" w:cs="Traditional Arabic" w:hint="default"/>
        <w:b w:val="0"/>
        <w:bCs w:val="0"/>
        <w:i w:val="0"/>
        <w:i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5"/>
  </w:num>
  <w:num w:numId="4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02B"/>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1C20"/>
    <w:rsid w:val="0023736D"/>
    <w:rsid w:val="00257225"/>
    <w:rsid w:val="00260CB4"/>
    <w:rsid w:val="00275860"/>
    <w:rsid w:val="00310160"/>
    <w:rsid w:val="00341A8C"/>
    <w:rsid w:val="003519E6"/>
    <w:rsid w:val="003B4356"/>
    <w:rsid w:val="003D5D43"/>
    <w:rsid w:val="003F08A8"/>
    <w:rsid w:val="004250E3"/>
    <w:rsid w:val="00444AA6"/>
    <w:rsid w:val="00455F80"/>
    <w:rsid w:val="00472A81"/>
    <w:rsid w:val="004B2C92"/>
    <w:rsid w:val="004D6A3A"/>
    <w:rsid w:val="004F4AD7"/>
    <w:rsid w:val="005076AA"/>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20012"/>
    <w:rsid w:val="00827C8F"/>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4FE4"/>
    <w:rsid w:val="00996BBE"/>
    <w:rsid w:val="009A0C39"/>
    <w:rsid w:val="009D1DD5"/>
    <w:rsid w:val="00A11DDA"/>
    <w:rsid w:val="00A26157"/>
    <w:rsid w:val="00A265C3"/>
    <w:rsid w:val="00A43F9A"/>
    <w:rsid w:val="00A543D4"/>
    <w:rsid w:val="00AD0014"/>
    <w:rsid w:val="00AD4CF2"/>
    <w:rsid w:val="00AF0BBA"/>
    <w:rsid w:val="00B30468"/>
    <w:rsid w:val="00B3702B"/>
    <w:rsid w:val="00B54239"/>
    <w:rsid w:val="00B60E70"/>
    <w:rsid w:val="00B639B9"/>
    <w:rsid w:val="00BB2C41"/>
    <w:rsid w:val="00BC55C8"/>
    <w:rsid w:val="00BC5C10"/>
    <w:rsid w:val="00BE2964"/>
    <w:rsid w:val="00C22BA8"/>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04921"/>
    <w:rsid w:val="00F1727A"/>
    <w:rsid w:val="00F34764"/>
    <w:rsid w:val="00F54E3C"/>
    <w:rsid w:val="00F678A1"/>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
    <w:link w:val="FootnoteText"/>
    <w:semiHidden/>
    <w:rsid w:val="00994FE4"/>
    <w:rPr>
      <w:rFonts w:cs="Traditional Arabic"/>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687</Words>
  <Characters>3921</Characters>
  <Application>Microsoft Office Outlook</Application>
  <DocSecurity>4</DocSecurity>
  <Lines>32</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A/HRC/RES/25/18</vt:lpstr>
      <vt:lpstr>A/HRC/RES/25/18</vt:lpstr>
    </vt:vector>
  </TitlesOfParts>
  <Company>CSD</Company>
  <LinksUpToDate>false</LinksUpToDate>
  <CharactersWithSpaces>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A/HRC/RES/25/18</dc:title>
  <dc:subject>FAHMY</dc:subject>
  <dc:creator>Bahnassawy</dc:creator>
  <cp:keywords/>
  <dc:description/>
  <cp:lastModifiedBy>TPS</cp:lastModifiedBy>
  <cp:revision>2</cp:revision>
  <cp:lastPrinted>2014-05-30T09:21:00Z</cp:lastPrinted>
  <dcterms:created xsi:type="dcterms:W3CDTF">2014-05-30T12:52:00Z</dcterms:created>
  <dcterms:modified xsi:type="dcterms:W3CDTF">2014-05-30T12:52:00Z</dcterms:modified>
</cp:coreProperties>
</file>