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276C163" w14:textId="77777777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399BEB3" w14:textId="77777777" w:rsidR="002D5AAC" w:rsidRDefault="002D5AAC" w:rsidP="0030691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C35C06E" w14:textId="77777777"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552408E9" w14:textId="1B24480F" w:rsidR="002D5AAC" w:rsidRDefault="00306913" w:rsidP="00306913">
            <w:pPr>
              <w:jc w:val="right"/>
            </w:pPr>
            <w:r w:rsidRPr="00306913">
              <w:rPr>
                <w:sz w:val="40"/>
              </w:rPr>
              <w:t>CERD</w:t>
            </w:r>
            <w:r>
              <w:t>/C/MCO/CO/7-9</w:t>
            </w:r>
          </w:p>
        </w:tc>
      </w:tr>
      <w:tr w:rsidR="002D5AAC" w:rsidRPr="00E912B1" w14:paraId="6967C762" w14:textId="77777777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0E5DEA4" w14:textId="77777777"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4D089B3" wp14:editId="2F3F942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D9AEDBB" w14:textId="77777777" w:rsidR="002D5AAC" w:rsidRPr="00033EE1" w:rsidRDefault="002B74B1" w:rsidP="00DF6F2D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49A2DAD" w14:textId="77777777" w:rsidR="002D5AAC" w:rsidRPr="00306913" w:rsidRDefault="00306913" w:rsidP="008D2AAD">
            <w:pPr>
              <w:spacing w:before="240"/>
              <w:rPr>
                <w:lang w:val="en-US"/>
              </w:rPr>
            </w:pPr>
            <w:r w:rsidRPr="00306913">
              <w:rPr>
                <w:lang w:val="en-US"/>
              </w:rPr>
              <w:t>Distr.: General</w:t>
            </w:r>
          </w:p>
          <w:p w14:paraId="1D16C0E0" w14:textId="77777777" w:rsidR="00306913" w:rsidRPr="00306913" w:rsidRDefault="00306913" w:rsidP="00306913">
            <w:pPr>
              <w:spacing w:line="240" w:lineRule="exact"/>
              <w:rPr>
                <w:lang w:val="en-US"/>
              </w:rPr>
            </w:pPr>
            <w:r w:rsidRPr="00306913">
              <w:rPr>
                <w:lang w:val="en-US"/>
              </w:rPr>
              <w:t>24 December 2024</w:t>
            </w:r>
          </w:p>
          <w:p w14:paraId="6432C6FC" w14:textId="77777777" w:rsidR="00306913" w:rsidRPr="00306913" w:rsidRDefault="00306913" w:rsidP="00306913">
            <w:pPr>
              <w:spacing w:line="240" w:lineRule="exact"/>
              <w:rPr>
                <w:lang w:val="en-US"/>
              </w:rPr>
            </w:pPr>
            <w:r w:rsidRPr="00306913">
              <w:rPr>
                <w:lang w:val="en-US"/>
              </w:rPr>
              <w:t>Russian</w:t>
            </w:r>
          </w:p>
          <w:p w14:paraId="0B9EE299" w14:textId="648CE778" w:rsidR="00306913" w:rsidRPr="00306913" w:rsidRDefault="00306913" w:rsidP="00306913">
            <w:pPr>
              <w:spacing w:line="240" w:lineRule="exact"/>
              <w:rPr>
                <w:lang w:val="en-US"/>
              </w:rPr>
            </w:pPr>
            <w:r w:rsidRPr="00306913">
              <w:rPr>
                <w:lang w:val="en-US"/>
              </w:rPr>
              <w:t>Original: French</w:t>
            </w:r>
          </w:p>
        </w:tc>
      </w:tr>
    </w:tbl>
    <w:p w14:paraId="6DE2558F" w14:textId="77777777" w:rsidR="00306913" w:rsidRPr="006C0374" w:rsidRDefault="00306913" w:rsidP="00306913">
      <w:pPr>
        <w:spacing w:before="120"/>
        <w:rPr>
          <w:b/>
          <w:sz w:val="24"/>
          <w:szCs w:val="24"/>
        </w:rPr>
      </w:pPr>
      <w:r w:rsidRPr="006C0374">
        <w:rPr>
          <w:b/>
          <w:sz w:val="24"/>
          <w:szCs w:val="24"/>
        </w:rPr>
        <w:t>Комитет по ликвидации расовой дискриминации</w:t>
      </w:r>
    </w:p>
    <w:p w14:paraId="1EF93A40" w14:textId="18E82796" w:rsidR="00306913" w:rsidRPr="00953FF8" w:rsidRDefault="00306913" w:rsidP="00306913">
      <w:pPr>
        <w:pStyle w:val="HChG"/>
      </w:pPr>
      <w:r>
        <w:tab/>
      </w:r>
      <w:r>
        <w:tab/>
      </w:r>
      <w:r>
        <w:tab/>
        <w:t xml:space="preserve">Заключительные замечания по объединенным </w:t>
      </w:r>
      <w:r w:rsidRPr="00E912B1">
        <w:br/>
      </w:r>
      <w:r>
        <w:t>седьмому — девятому периодическим докладам Монако</w:t>
      </w:r>
      <w:r w:rsidRPr="00306913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5A3C60EC" w14:textId="68F40D47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953FF8">
        <w:rPr>
          <w:bCs/>
        </w:rPr>
        <w:t>1.</w:t>
      </w:r>
      <w:r w:rsidRPr="00953FF8">
        <w:rPr>
          <w:bCs/>
        </w:rPr>
        <w:tab/>
      </w:r>
      <w:r>
        <w:t>Комитет рассмотрел объединенные седьмой — девятый периодические доклады Монако</w:t>
      </w:r>
      <w:r w:rsidRPr="00F507DF">
        <w:rPr>
          <w:rStyle w:val="aa"/>
        </w:rPr>
        <w:footnoteReference w:id="2"/>
      </w:r>
      <w:r>
        <w:t xml:space="preserve"> на своих 3115-м и 3116-м заседаниях</w:t>
      </w:r>
      <w:r w:rsidRPr="00F507DF">
        <w:rPr>
          <w:rStyle w:val="aa"/>
        </w:rPr>
        <w:footnoteReference w:id="3"/>
      </w:r>
      <w:r>
        <w:t>, состоявшихся 28 и 29 ноября 2024 года. На своем 3130-м заседании, состоявшемся 10 декабря 2024 года, он принял настоящие заключительные замечания.</w:t>
      </w:r>
    </w:p>
    <w:p w14:paraId="595F1600" w14:textId="77777777" w:rsidR="00306913" w:rsidRPr="00661BD9" w:rsidRDefault="00306913" w:rsidP="00306913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2FDBD6CB" w14:textId="3C656C02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953FF8">
        <w:rPr>
          <w:bCs/>
        </w:rPr>
        <w:t>2.</w:t>
      </w:r>
      <w:r w:rsidRPr="00953FF8">
        <w:rPr>
          <w:bCs/>
        </w:rPr>
        <w:tab/>
      </w:r>
      <w:r>
        <w:t>Комитет с удовлетворением отмечает представление объединенных седьмого</w:t>
      </w:r>
      <w:r>
        <w:rPr>
          <w:lang w:val="en-US"/>
        </w:rPr>
        <w:t> </w:t>
      </w:r>
      <w:r>
        <w:t>— девятого периодических докладов государства-участника, хотя они и были представлены с задержкой в девять лет. Он также приветствует конструктивный диалог с делегацией государства-участника и благодарит делегацию за информацию, предоставленную в ходе рассмотрения доклада.</w:t>
      </w:r>
    </w:p>
    <w:p w14:paraId="1FCBE697" w14:textId="77777777" w:rsidR="00306913" w:rsidRPr="00661BD9" w:rsidRDefault="00306913" w:rsidP="00306913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6C59F536" w14:textId="7E37E3C1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953FF8">
        <w:rPr>
          <w:bCs/>
        </w:rPr>
        <w:t>3.</w:t>
      </w:r>
      <w:r w:rsidRPr="00953FF8">
        <w:rPr>
          <w:bCs/>
        </w:rPr>
        <w:tab/>
      </w:r>
      <w:r>
        <w:t>Комитет с удовлетворением отмечает тот факт, что государство-участник ратифицировало следующие международные документы или присоединилось к ним:</w:t>
      </w:r>
    </w:p>
    <w:p w14:paraId="522107F6" w14:textId="473603AD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953FF8">
        <w:t>a)</w:t>
      </w:r>
      <w:r w:rsidRPr="00953FF8">
        <w:tab/>
      </w:r>
      <w:r>
        <w:t>Конвенция о правах инвалидов и Факультативный протокол к ней — 19 сентября 2017 года и 27 июня 2019 года соответственно;</w:t>
      </w:r>
    </w:p>
    <w:p w14:paraId="583B3F35" w14:textId="0CB9992D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953FF8">
        <w:t>b)</w:t>
      </w:r>
      <w:r w:rsidRPr="00953FF8">
        <w:tab/>
      </w:r>
      <w:r>
        <w:t>Факультативный протокол к Конвенции о ликвидации всех форм дискриминации в отношении женщин — 3 мая 2016 года;</w:t>
      </w:r>
    </w:p>
    <w:p w14:paraId="73F4C219" w14:textId="582E8BE4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953FF8">
        <w:t>c)</w:t>
      </w:r>
      <w:r w:rsidRPr="00953FF8">
        <w:tab/>
      </w:r>
      <w:r>
        <w:t>Факультативный протокол к Конвенции о правах ребенка, касающийся процедуры сообщений — 24 сентября 2014 года;</w:t>
      </w:r>
    </w:p>
    <w:p w14:paraId="0FC71DDD" w14:textId="3142511D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953FF8">
        <w:t>d)</w:t>
      </w:r>
      <w:r w:rsidRPr="00953FF8">
        <w:tab/>
      </w:r>
      <w:r>
        <w:t>Конвенция Организации Объединенных Наций по вопросам образования, науки и культуры о борьбе с дискриминацией в области образования — 28 августа 2012 года;</w:t>
      </w:r>
    </w:p>
    <w:p w14:paraId="64D16699" w14:textId="6B97952A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953FF8">
        <w:t>e)</w:t>
      </w:r>
      <w:r w:rsidRPr="00953FF8">
        <w:tab/>
      </w:r>
      <w:r>
        <w:t>Протокол, касающийся статуса беженцев — 16 июня 2010 года.</w:t>
      </w:r>
    </w:p>
    <w:p w14:paraId="5059E814" w14:textId="0F5FDC6A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953FF8">
        <w:rPr>
          <w:bCs/>
        </w:rPr>
        <w:t>4.</w:t>
      </w:r>
      <w:r w:rsidRPr="00953FF8">
        <w:rPr>
          <w:bCs/>
        </w:rPr>
        <w:tab/>
      </w:r>
      <w:r>
        <w:t>Комитет приветствует также принятие государством-участником следующих законодательных и институциональных мер:</w:t>
      </w:r>
    </w:p>
    <w:p w14:paraId="242921B5" w14:textId="37C80475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color w:val="000000"/>
        </w:rPr>
      </w:pPr>
      <w:r w:rsidRPr="00953FF8">
        <w:rPr>
          <w:color w:val="000000"/>
        </w:rPr>
        <w:t>a)</w:t>
      </w:r>
      <w:r w:rsidRPr="00953FF8">
        <w:rPr>
          <w:color w:val="000000"/>
        </w:rPr>
        <w:tab/>
      </w:r>
      <w:r>
        <w:t xml:space="preserve">реформа Управления Верховного комиссара по защите прав и свобод и посредничеству, учрежденного в 2013 году Суверенным указом № 10.845 от 1 октября </w:t>
      </w:r>
      <w:r>
        <w:lastRenderedPageBreak/>
        <w:t>2024 года о создании управления Верховного комиссара по защите прав и посредничеству;</w:t>
      </w:r>
    </w:p>
    <w:p w14:paraId="58FED972" w14:textId="5AE90094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color w:val="000000"/>
        </w:rPr>
      </w:pPr>
      <w:r w:rsidRPr="00953FF8">
        <w:rPr>
          <w:color w:val="000000"/>
        </w:rPr>
        <w:t>b)</w:t>
      </w:r>
      <w:r w:rsidRPr="00953FF8">
        <w:rPr>
          <w:color w:val="000000"/>
        </w:rPr>
        <w:tab/>
      </w:r>
      <w:r>
        <w:t>Закон № 1.513 от 3 декабря 2021 года о борьбе с травлей и насилием в школах;</w:t>
      </w:r>
    </w:p>
    <w:p w14:paraId="43E8C933" w14:textId="32394A6D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color w:val="000000"/>
        </w:rPr>
      </w:pPr>
      <w:r w:rsidRPr="00953FF8">
        <w:rPr>
          <w:color w:val="000000"/>
        </w:rPr>
        <w:t>c)</w:t>
      </w:r>
      <w:r w:rsidRPr="00953FF8">
        <w:rPr>
          <w:color w:val="000000"/>
        </w:rPr>
        <w:tab/>
      </w:r>
      <w:r>
        <w:t>Суверенный указ № 7.178 от 25 октября 2018 года об учреждении комитета по поощрению и защите прав женщин;</w:t>
      </w:r>
    </w:p>
    <w:p w14:paraId="547B7AC0" w14:textId="318E1145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color w:val="000000"/>
        </w:rPr>
      </w:pPr>
      <w:r w:rsidRPr="00953FF8">
        <w:rPr>
          <w:color w:val="000000"/>
        </w:rPr>
        <w:t>d)</w:t>
      </w:r>
      <w:r w:rsidRPr="00953FF8">
        <w:rPr>
          <w:color w:val="000000"/>
        </w:rPr>
        <w:tab/>
      </w:r>
      <w:r>
        <w:t>Закон № 1.387 от 19 декабря 2011 года о внесении изменений в Закон № 1.155 от 18 декабря 1992 года о гражданстве, позволяющий натурализованным гражданам Монако — мужчинам и женщинам — передавать свое гражданство Монако супругу или супруге;</w:t>
      </w:r>
    </w:p>
    <w:p w14:paraId="2020EDB2" w14:textId="74210372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color w:val="000000"/>
        </w:rPr>
      </w:pPr>
      <w:r w:rsidRPr="00953FF8">
        <w:rPr>
          <w:color w:val="000000"/>
        </w:rPr>
        <w:t>e)</w:t>
      </w:r>
      <w:r w:rsidRPr="00953FF8">
        <w:rPr>
          <w:color w:val="000000"/>
        </w:rPr>
        <w:tab/>
      </w:r>
      <w:r>
        <w:t>Закон № 1.382 от 20 июля 2011 года о предупреждении и пресечении отдельных форм насилия.</w:t>
      </w:r>
    </w:p>
    <w:p w14:paraId="2A4B8641" w14:textId="77777777" w:rsidR="00306913" w:rsidRPr="00953FF8" w:rsidRDefault="00306913" w:rsidP="00306913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Вопросы, вызывающие обеспокоенность, и рекомендации</w:t>
      </w:r>
    </w:p>
    <w:p w14:paraId="2E6A351F" w14:textId="77777777" w:rsidR="00306913" w:rsidRPr="009872C2" w:rsidRDefault="00306913" w:rsidP="00306913">
      <w:pPr>
        <w:pStyle w:val="H23G"/>
      </w:pPr>
      <w:r>
        <w:tab/>
      </w:r>
      <w:r>
        <w:tab/>
      </w:r>
      <w:r>
        <w:rPr>
          <w:bCs/>
        </w:rPr>
        <w:t>Статистические данные</w:t>
      </w:r>
    </w:p>
    <w:p w14:paraId="3B84A102" w14:textId="24628F52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953FF8">
        <w:rPr>
          <w:bCs/>
        </w:rPr>
        <w:t>5.</w:t>
      </w:r>
      <w:r w:rsidRPr="00953FF8">
        <w:rPr>
          <w:bCs/>
        </w:rPr>
        <w:tab/>
      </w:r>
      <w:r>
        <w:t>Комитет принимает к сведению предоставленные государством-участником данные о составе населения, проживающего на его территории, включая общую численность граждан и неграждан. Тем не менее он вновь выражает сожаление в связи с отсутствием статистических данных об этническом составе населения страны и социально-экономическом положении различных групп населения, что ограничивает его возможности по анализу положения этих групп, в том числе возможного прогресса, достигнутого в деле полного осуществления прав, предусмотренных Конвенцией (ст. 1 и 2).</w:t>
      </w:r>
    </w:p>
    <w:p w14:paraId="6A218CC9" w14:textId="1DB7847E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953FF8">
        <w:rPr>
          <w:bCs/>
        </w:rPr>
        <w:t>6.</w:t>
      </w:r>
      <w:r w:rsidRPr="00953FF8">
        <w:rPr>
          <w:bCs/>
        </w:rPr>
        <w:tab/>
      </w:r>
      <w:r>
        <w:rPr>
          <w:b/>
          <w:bCs/>
        </w:rPr>
        <w:t>Ссылаясь на свои предыдущие заключительные замечания</w:t>
      </w:r>
      <w:r w:rsidRPr="00F507DF">
        <w:rPr>
          <w:rStyle w:val="aa"/>
        </w:rPr>
        <w:footnoteReference w:id="4"/>
      </w:r>
      <w:r>
        <w:rPr>
          <w:b/>
          <w:bCs/>
        </w:rPr>
        <w:t>, в целях создания достаточной эмпирической основы для оценки политики и мер, направленных на обеспечение равного осуществления всех прав, защищаемых Конвенцией, всеми группами населения на территории государства-участника без дискриминации, Комитет рекомендует государству-участнику собирать обезличенные, надежные и обновленные статистические данные по социально-экономическим показателям в разбивке по этническому и национальному происхождению.</w:t>
      </w:r>
      <w:r>
        <w:t xml:space="preserve"> </w:t>
      </w:r>
      <w:r>
        <w:rPr>
          <w:b/>
          <w:bCs/>
        </w:rPr>
        <w:t>Он напоминает государству-участнику о своих общих рекомендациях: № 4 (1973), касающейся представления докладов государствами-участниками, № 8 (1990), касающейся толкования и применения пунктов 1 и 4 статьи 1 Конвенции, и № 24 (1999), касающейся статьи 1 Конвенции, а также о пунктах 10–12 своих руководящих принципов подготовки документа по КЛРД</w:t>
      </w:r>
      <w:r w:rsidRPr="00F507DF">
        <w:rPr>
          <w:rStyle w:val="aa"/>
        </w:rPr>
        <w:footnoteReference w:id="5"/>
      </w:r>
      <w:r>
        <w:rPr>
          <w:b/>
          <w:bCs/>
        </w:rPr>
        <w:t>.</w:t>
      </w:r>
      <w:bookmarkStart w:id="0" w:name="_Hlk102643260"/>
      <w:bookmarkEnd w:id="0"/>
    </w:p>
    <w:p w14:paraId="2422EAAA" w14:textId="77777777" w:rsidR="00306913" w:rsidRPr="00953FF8" w:rsidRDefault="00306913" w:rsidP="00306913">
      <w:pPr>
        <w:pStyle w:val="H23G"/>
      </w:pPr>
      <w:r>
        <w:tab/>
      </w:r>
      <w:r>
        <w:tab/>
      </w:r>
      <w:r>
        <w:rPr>
          <w:bCs/>
        </w:rPr>
        <w:t>Применение Конвенции в национальной правовой системе</w:t>
      </w:r>
    </w:p>
    <w:p w14:paraId="6A9147F5" w14:textId="45D93DB0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953FF8">
        <w:rPr>
          <w:bCs/>
        </w:rPr>
        <w:t>7.</w:t>
      </w:r>
      <w:r w:rsidRPr="00953FF8">
        <w:rPr>
          <w:bCs/>
        </w:rPr>
        <w:tab/>
      </w:r>
      <w:r>
        <w:t xml:space="preserve">Комитет отмечает, что в национальной правовой системе государства-участника ратифицированные международные договоры, включая Конвенцию, имеют приоритет над национальными законами и нормативными актами. В то же время он сожалеет об отсутствии подробной информации о делах, в которых национальные суды ссылались на положения Конвенции или непосредственно применяли их. Он </w:t>
      </w:r>
      <w:r w:rsidR="002B6010" w:rsidRPr="00E912B1">
        <w:br/>
      </w:r>
      <w:r>
        <w:t xml:space="preserve">по-прежнему обеспокоен тем, что государство-участник не снимает свои оговорки к пункту 1 статьи 2 </w:t>
      </w:r>
      <w:r w:rsidR="00E912B1" w:rsidRPr="00E912B1">
        <w:t>и статье 4 Конвенции (ст. 2 и 4)</w:t>
      </w:r>
      <w:r>
        <w:t>.</w:t>
      </w:r>
    </w:p>
    <w:p w14:paraId="628277CA" w14:textId="63442E34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953FF8">
        <w:rPr>
          <w:bCs/>
        </w:rPr>
        <w:t>8.</w:t>
      </w:r>
      <w:r w:rsidRPr="00953FF8">
        <w:rPr>
          <w:bCs/>
        </w:rPr>
        <w:tab/>
      </w:r>
      <w:r>
        <w:rPr>
          <w:b/>
          <w:bCs/>
        </w:rPr>
        <w:t>Комитет рекомендует государству-участнику активизировать усилия по организации регулярного обучения по вопросам, связанным с положениями Конвенции, в частности для судей, прокуроров, сотрудников правоприменительных органов и адвокатов, чтобы они могли ссылаться на эти положения или применять их в соответствующих случаях.</w:t>
      </w:r>
      <w:r>
        <w:t xml:space="preserve"> </w:t>
      </w:r>
      <w:r>
        <w:rPr>
          <w:b/>
          <w:bCs/>
        </w:rPr>
        <w:t xml:space="preserve">Он рекомендует также государству-участнику провести среди населения в целом, в частности среди </w:t>
      </w:r>
      <w:r>
        <w:rPr>
          <w:b/>
          <w:bCs/>
        </w:rPr>
        <w:lastRenderedPageBreak/>
        <w:t>групп, наиболее уязвимых к расовой дискриминации, кампании по повышению осведомленности о положениях Конвенции и о доступных средствах правовой защиты.</w:t>
      </w:r>
      <w:r>
        <w:t xml:space="preserve"> </w:t>
      </w:r>
      <w:r>
        <w:rPr>
          <w:b/>
          <w:bCs/>
        </w:rPr>
        <w:t>Он просит государство-участник включить в свой следующий периодический доклад конкретные примеры применения Конвенции национальными судами.</w:t>
      </w:r>
      <w:r>
        <w:t xml:space="preserve"> </w:t>
      </w:r>
      <w:r>
        <w:rPr>
          <w:b/>
          <w:bCs/>
        </w:rPr>
        <w:t>Комитет повторяет свою рекомендацию государству-участнику рассмотреть возможность снятия его оговорок, касающихся пункта 1 статьи 2 и статьи 4 Конвенции</w:t>
      </w:r>
      <w:r w:rsidRPr="00F507DF">
        <w:rPr>
          <w:rStyle w:val="aa"/>
        </w:rPr>
        <w:footnoteReference w:id="6"/>
      </w:r>
      <w:r>
        <w:rPr>
          <w:b/>
          <w:bCs/>
        </w:rPr>
        <w:t>.</w:t>
      </w:r>
    </w:p>
    <w:p w14:paraId="423A6EE7" w14:textId="77777777" w:rsidR="00306913" w:rsidRPr="00953FF8" w:rsidRDefault="00306913" w:rsidP="00306913">
      <w:pPr>
        <w:pStyle w:val="H23G"/>
      </w:pPr>
      <w:r>
        <w:tab/>
      </w:r>
      <w:r>
        <w:tab/>
      </w:r>
      <w:r>
        <w:rPr>
          <w:bCs/>
        </w:rPr>
        <w:t>Законодательство и государственная политика в области борьбы с расовой дискриминацией</w:t>
      </w:r>
    </w:p>
    <w:p w14:paraId="56BD6AAF" w14:textId="1265B7AD" w:rsidR="00306913" w:rsidRPr="009872C2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9872C2">
        <w:rPr>
          <w:bCs/>
        </w:rPr>
        <w:t>9.</w:t>
      </w:r>
      <w:r w:rsidRPr="009872C2">
        <w:rPr>
          <w:bCs/>
        </w:rPr>
        <w:tab/>
      </w:r>
      <w:r>
        <w:t>Комитет принимает к сведению принятие Закона № 1.527 от 7 июля 2022 года о внесении изменений в Закон № 975 от 12 июля 1975 года о статусе государственных служащих, включающего в статью 17 закона № 975 принцип недискриминации государственных служащих, в частности по признаку их внешнего облика или этнической принадлежности. Тем не менее он обеспокоен тем, что в национальной законодательной базе нет определения расовой дискриминации, полностью соответствующего статье 1 Конвенции и прямо охватывающего все указанные в ней основания для дискриминации, в том числе прямую и косвенную дискриминацию в государственной и частной сферах. Кроме того, он сожалеет об отсутствии национального плана действий по борьбе с расизмом, расовой дискриминацией, ксенофобией и нетерпимостью (ст. 1 и 2).</w:t>
      </w:r>
    </w:p>
    <w:p w14:paraId="3BB2A274" w14:textId="0CE6EED9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953FF8">
        <w:rPr>
          <w:bCs/>
        </w:rPr>
        <w:t>10.</w:t>
      </w:r>
      <w:r w:rsidRPr="00953FF8">
        <w:rPr>
          <w:bCs/>
        </w:rPr>
        <w:tab/>
      </w:r>
      <w:r>
        <w:rPr>
          <w:b/>
          <w:bCs/>
        </w:rPr>
        <w:t>В свете своей общей рекомендации № 14 (1993) по пункту 1 статьи 1 Конвенции Комитет рекомендует государству-участнику принять всеобъемлющее законодательство о борьбе с дискриминацией, содержащее четкое определение расовой дискриминации, включающее прямые, косвенные, множественные и перекрестные формы дискриминации, охватывающее все области права в публичной и частной сферах и все основания для дискриминации, предусмотренные в пункте 1 статьи 1 Конвенции.</w:t>
      </w:r>
      <w:r>
        <w:t xml:space="preserve"> </w:t>
      </w:r>
      <w:r>
        <w:rPr>
          <w:b/>
          <w:bCs/>
        </w:rPr>
        <w:t>Он также рекомендует ему принять национальный план действий по борьбе с расизмом, расовой дискриминацией, ксенофобией и связанной с ними нетерпимостью.</w:t>
      </w:r>
      <w:bookmarkStart w:id="1" w:name="_Hlk183972296"/>
      <w:bookmarkEnd w:id="1"/>
    </w:p>
    <w:p w14:paraId="4F0EFEAD" w14:textId="77777777" w:rsidR="00306913" w:rsidRPr="009872C2" w:rsidRDefault="00306913" w:rsidP="00306913">
      <w:pPr>
        <w:pStyle w:val="H23G"/>
      </w:pPr>
      <w:r>
        <w:tab/>
      </w:r>
      <w:r>
        <w:tab/>
      </w:r>
      <w:r>
        <w:rPr>
          <w:bCs/>
        </w:rPr>
        <w:t>Институциональная основа</w:t>
      </w:r>
    </w:p>
    <w:p w14:paraId="0D4D1814" w14:textId="270F3166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953FF8">
        <w:rPr>
          <w:bCs/>
        </w:rPr>
        <w:t>11.</w:t>
      </w:r>
      <w:r w:rsidRPr="00953FF8">
        <w:rPr>
          <w:bCs/>
        </w:rPr>
        <w:tab/>
      </w:r>
      <w:r>
        <w:t>Комитет приветствует выпуск 1 октября 2024 года Суверенного указа № 10.845 о создании Управления Верховного комиссара по защите прав и посредничеству, расширяющего объем полномочий Управления Верховного комиссара, учрежденного в 2013 году, в частности его полномочий по самостоятельному рассмотрению жалоб в рамках миссии по борьбе с дискриминацией и защите прав ребенка. Вместе с тем он с сожалением отмечает, что в мандат Управления Верховного комиссара прямо не включена борьба с расовой дискриминацией, что может привести к ограничению его деятельности в этой области, особенно в отсутствие в государстве-участнике конкретного законодательства и государственной политики, посвященных борьбе с этим видом дискриминации. Кроме того, Комитет по-прежнему обеспокоен отсутствием национального правозащитного учреждения, соответствующего принципам, касающимся статуса национальных учреждений, занимающихся поощрением и защитой прав человека (Парижские принципы) (ст. 1 и 2).</w:t>
      </w:r>
    </w:p>
    <w:p w14:paraId="61A179F3" w14:textId="6213A78A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953FF8">
        <w:rPr>
          <w:bCs/>
        </w:rPr>
        <w:t>12.</w:t>
      </w:r>
      <w:r w:rsidRPr="00953FF8">
        <w:rPr>
          <w:bCs/>
        </w:rPr>
        <w:tab/>
      </w:r>
      <w:r>
        <w:rPr>
          <w:b/>
          <w:bCs/>
        </w:rPr>
        <w:t>В свете своей общей рекомендации № 17 (1993) о создании национальных институтов по содействию осуществлению Конвенции Комитет рекомендует государству-участнику принять необходимые меры, в том числе законодательного характера, чтобы в мандат Управления Верховного комиссара по защите прав и посредничеству были прямо включены полномочия по предотвращению расовой дискриминации и борьбе с ней.</w:t>
      </w:r>
      <w:r>
        <w:t xml:space="preserve"> </w:t>
      </w:r>
      <w:r>
        <w:rPr>
          <w:b/>
          <w:bCs/>
        </w:rPr>
        <w:t>Он рекомендует государству-участнику также выделить этому учреждению достаточные кадровые, финансовые и технические ресурсы, позволяющие эффективно выполнять его мандат, и усилить подготовку его служащих по вопросам, связанным с положениями Конвенции и борьбой с расовой дискриминацией.</w:t>
      </w:r>
      <w:r>
        <w:t xml:space="preserve"> </w:t>
      </w:r>
      <w:r>
        <w:rPr>
          <w:b/>
          <w:bCs/>
        </w:rPr>
        <w:lastRenderedPageBreak/>
        <w:t>Кроме того, ссылаясь на свои предыдущие заключительные замечания</w:t>
      </w:r>
      <w:r w:rsidRPr="00F507DF">
        <w:rPr>
          <w:rStyle w:val="aa"/>
        </w:rPr>
        <w:footnoteReference w:id="7"/>
      </w:r>
      <w:r>
        <w:rPr>
          <w:b/>
          <w:bCs/>
        </w:rPr>
        <w:t>, Комитет рекомендует государству-участнику создать независимое национальное правозащитное учреждение в соответствии с Парижскими принципами.</w:t>
      </w:r>
    </w:p>
    <w:p w14:paraId="0AD05272" w14:textId="77777777" w:rsidR="00306913" w:rsidRPr="009872C2" w:rsidRDefault="00306913" w:rsidP="00306913">
      <w:pPr>
        <w:pStyle w:val="H23G"/>
      </w:pPr>
      <w:r>
        <w:tab/>
      </w:r>
      <w:r>
        <w:tab/>
      </w:r>
      <w:r>
        <w:rPr>
          <w:bCs/>
        </w:rPr>
        <w:t>Применение статьи 4 Конвенции</w:t>
      </w:r>
    </w:p>
    <w:p w14:paraId="74F799DB" w14:textId="42D43575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953FF8">
        <w:rPr>
          <w:bCs/>
        </w:rPr>
        <w:t>13.</w:t>
      </w:r>
      <w:r w:rsidRPr="00953FF8">
        <w:rPr>
          <w:bCs/>
        </w:rPr>
        <w:tab/>
      </w:r>
      <w:r>
        <w:t>Комитет приветствует принятие Закона № 1.478 от 12 ноября 2019 года о внесении изменений в некоторые положения о наказаниях, который в числе прочих поправок предусматривает включение в качестве отягчающего обстоятельства при совершении некоторых уголовных преступлений их совершение на почве расизма. Вместе с тем он по-прежнему обеспокоен тем, что Уголовный кодекс не охватывает в полной мере ни все основания для дискриминации, указанные в статье 1 Конвенции, ни все обязательства, принятые государством-участником в соответствии со статьей 4 Конвенции, в том числе в положениях об объявлении незаконными и запрещении организаций, которые поощряют расовую дискриминацию и подстрекают к ней, и о криминализации поощрения расовой дискриминации и подстрекательства к ней со стороны органов государственной власти и государственных учреждений (ст. 4).</w:t>
      </w:r>
    </w:p>
    <w:p w14:paraId="59D65A79" w14:textId="729E6D4E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953FF8">
        <w:rPr>
          <w:bCs/>
        </w:rPr>
        <w:t>14.</w:t>
      </w:r>
      <w:r w:rsidRPr="00953FF8">
        <w:rPr>
          <w:bCs/>
        </w:rPr>
        <w:tab/>
      </w:r>
      <w:r>
        <w:rPr>
          <w:b/>
          <w:bCs/>
        </w:rPr>
        <w:t>Ссылаясь на свои предыдущие заключительные замечания</w:t>
      </w:r>
      <w:r w:rsidRPr="00F507DF">
        <w:rPr>
          <w:rStyle w:val="aa"/>
        </w:rPr>
        <w:footnoteReference w:id="8"/>
      </w:r>
      <w:r>
        <w:rPr>
          <w:b/>
          <w:bCs/>
        </w:rPr>
        <w:t>, Комитет рекомендует государству-участнику пересмотреть свое законодательство, в частности Уголовный кодекс, путем внесения поправок, запрещающих и криминализирующих все действия, описанные в статье 4 Конвенции.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свои общие рекомендации № 1 (1972), № 7 (1985), № 8 (1990) и № 15 (1993) по статье 4 Конвенции, согласно которым все требования статьи 4 являются обязательными.</w:t>
      </w:r>
    </w:p>
    <w:p w14:paraId="0F59ADCD" w14:textId="77777777" w:rsidR="00306913" w:rsidRPr="00953FF8" w:rsidRDefault="00306913" w:rsidP="00306913">
      <w:pPr>
        <w:pStyle w:val="H23G"/>
      </w:pPr>
      <w:r>
        <w:tab/>
      </w:r>
      <w:r>
        <w:tab/>
      </w:r>
      <w:r>
        <w:rPr>
          <w:bCs/>
        </w:rPr>
        <w:t>Ненавистнические высказывания расистского толка и преступления на почве расовой ненависти</w:t>
      </w:r>
    </w:p>
    <w:p w14:paraId="7E6D3CC7" w14:textId="280A0B2C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953FF8">
        <w:rPr>
          <w:bCs/>
        </w:rPr>
        <w:t>15.</w:t>
      </w:r>
      <w:r w:rsidRPr="00953FF8">
        <w:rPr>
          <w:bCs/>
        </w:rPr>
        <w:tab/>
      </w:r>
      <w:r>
        <w:t>Комитет принимает к сведению предоставленную государством-участником информацию о существующих и разработанных в последние годы законодательных мерах по предупреждению и пресечению ненавистнических высказываний расистского толка и преступлений на почве расовой ненависти, таких как Закон</w:t>
      </w:r>
      <w:r w:rsidR="002B6010">
        <w:rPr>
          <w:lang w:val="en-US"/>
        </w:rPr>
        <w:t> </w:t>
      </w:r>
      <w:r>
        <w:t xml:space="preserve">№ 1.299 от 15 июля 2005 года о свободе публичного выражения мнений, </w:t>
      </w:r>
      <w:r w:rsidR="002B6010" w:rsidRPr="00E912B1">
        <w:br/>
      </w:r>
      <w:r>
        <w:t xml:space="preserve">Закон № 1.383 от 2 августа 2011 года о цифровом Княжестве, Закон № 1.513 от </w:t>
      </w:r>
      <w:r w:rsidR="002B6010" w:rsidRPr="00E912B1">
        <w:br/>
      </w:r>
      <w:r>
        <w:t>3 декабря 2021 года о борьбе с травлей и насилием в школах и поправки, внесенные в соответствующие положения Уголовного кодекса. Тем не менее он обеспокоен отсутствием систематического сбора данных о ненавистнических высказываниях расистского толка и преступлениях на почве расовой ненависти (ст</w:t>
      </w:r>
      <w:r w:rsidR="002B6010" w:rsidRPr="002B6010">
        <w:t>.</w:t>
      </w:r>
      <w:r>
        <w:t xml:space="preserve"> 2 и 4).</w:t>
      </w:r>
    </w:p>
    <w:p w14:paraId="3FC19E0C" w14:textId="5B5A08AF" w:rsidR="00306913" w:rsidRPr="009872C2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9872C2">
        <w:rPr>
          <w:bCs/>
        </w:rPr>
        <w:t>16.</w:t>
      </w:r>
      <w:r w:rsidRPr="009872C2">
        <w:rPr>
          <w:bCs/>
        </w:rPr>
        <w:tab/>
      </w:r>
      <w:r>
        <w:rPr>
          <w:b/>
          <w:bCs/>
        </w:rPr>
        <w:t>Комитет рекомендует государству-участнику:</w:t>
      </w:r>
    </w:p>
    <w:p w14:paraId="01D900AA" w14:textId="707DF929" w:rsidR="00306913" w:rsidRPr="00306913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  <w:bCs/>
        </w:rPr>
      </w:pPr>
      <w:bookmarkStart w:id="2" w:name="_Hlk184050000"/>
      <w:r w:rsidRPr="00306913">
        <w:rPr>
          <w:b/>
          <w:bCs/>
        </w:rPr>
        <w:t>a)</w:t>
      </w:r>
      <w:r w:rsidRPr="00306913">
        <w:rPr>
          <w:b/>
          <w:bCs/>
        </w:rPr>
        <w:tab/>
        <w:t>принять необходимые меры для предупреждения и пресечения ненавистнических высказываний расистского толка и преступлений на почве расовой ненависти, в том числе в Интернете и социальных сетях, содействовать сообщению о таких высказываниях и преступлениях, обеспечить надлежащее преследование по закону и наказание виновных, а также доступ жертв к эффективным средствам правовой защиты и соответствующему возмещению ущерба;</w:t>
      </w:r>
    </w:p>
    <w:bookmarkEnd w:id="2"/>
    <w:p w14:paraId="7CFB261D" w14:textId="4930CEE5" w:rsidR="00306913" w:rsidRPr="00306913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  <w:bCs/>
          <w:spacing w:val="-1"/>
        </w:rPr>
      </w:pPr>
      <w:r w:rsidRPr="00306913">
        <w:rPr>
          <w:b/>
          <w:bCs/>
          <w:spacing w:val="-1"/>
        </w:rPr>
        <w:t>b)</w:t>
      </w:r>
      <w:r w:rsidRPr="00306913">
        <w:rPr>
          <w:b/>
          <w:bCs/>
          <w:spacing w:val="-1"/>
        </w:rPr>
        <w:tab/>
      </w:r>
      <w:r w:rsidRPr="00306913">
        <w:rPr>
          <w:b/>
          <w:bCs/>
        </w:rPr>
        <w:t>укрепить программы обучения сотрудников полиции, прокуроров, судей и других должностных лиц, ответственных за поддержание правопорядка, методам выявления и регистрации случаев ненавистнических высказываний расистского толка и преступлений на почве расовой ненависти, расследования таких преступлений и уголовного преследования совершивших их лиц;</w:t>
      </w:r>
    </w:p>
    <w:p w14:paraId="49F214C2" w14:textId="2AEC6022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306913">
        <w:rPr>
          <w:b/>
          <w:bCs/>
        </w:rPr>
        <w:t>c)</w:t>
      </w:r>
      <w:r w:rsidRPr="00306913">
        <w:rPr>
          <w:b/>
          <w:bCs/>
        </w:rPr>
        <w:tab/>
      </w:r>
      <w:r>
        <w:rPr>
          <w:b/>
          <w:bCs/>
        </w:rPr>
        <w:t xml:space="preserve">собирать и публиковать достоверные и полные статистические данные, в разбивке по этническому или национальному происхождению жертв, о сообщениях о ненавистнических высказываниях расистского толка и </w:t>
      </w:r>
      <w:r>
        <w:rPr>
          <w:b/>
          <w:bCs/>
        </w:rPr>
        <w:lastRenderedPageBreak/>
        <w:t>преступлениях на почве расовой ненависти, осуществленных судебных преследованиях и вынесенных приговорах, а также о возмещении ущерба, предоставленном жертвам.</w:t>
      </w:r>
    </w:p>
    <w:p w14:paraId="6713285F" w14:textId="77777777" w:rsidR="00306913" w:rsidRPr="009872C2" w:rsidRDefault="00306913" w:rsidP="00306913">
      <w:pPr>
        <w:pStyle w:val="H23G"/>
      </w:pPr>
      <w:r>
        <w:tab/>
      </w:r>
      <w:r>
        <w:tab/>
      </w:r>
      <w:r>
        <w:rPr>
          <w:bCs/>
        </w:rPr>
        <w:t>Положение неграждан</w:t>
      </w:r>
    </w:p>
    <w:p w14:paraId="6500B2CE" w14:textId="6E6B7174" w:rsidR="00306913" w:rsidRPr="00C255A3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C255A3">
        <w:rPr>
          <w:bCs/>
        </w:rPr>
        <w:t>17.</w:t>
      </w:r>
      <w:r w:rsidRPr="00C255A3">
        <w:rPr>
          <w:bCs/>
        </w:rPr>
        <w:tab/>
      </w:r>
      <w:r>
        <w:t>Комитет принимает к сведению, что принцип равенства закреплен в статье 17 Конституции, которая гласит, что «граждане Монако равны перед законом», и что согласно статье 32 Конституции неграждане пользуются «в Княжестве всеми публичными и частными правами, которые формально не закреплены исключительно за его гражданами». Он принимает к сведению и разъяснения, предоставленные государством-участником в отношении нормативно-правовой базы для приоритизации или привилегий граждан, включая статью 25 Конституции, согласно которым, поскольку граждане составляют лишь четверть населения, в Монако складывается специфическая ситуация и правила о приоритизации при приеме на работу не окажут никакого негативного воздействия на возможность получения иностранцами доступа к занятости. Тем не менее Комитет сожалеет об отсутствии достаточной и подробной информации о воздействии законодательства и политики, касающихся приоритизации или привилегий граждан, в том числе в области занятости, на население страны, в частности на неграждан. Кроме того, Комитет обеспокоен:</w:t>
      </w:r>
    </w:p>
    <w:p w14:paraId="66D8710F" w14:textId="04E20877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bCs/>
        </w:rPr>
      </w:pPr>
      <w:r w:rsidRPr="00953FF8">
        <w:rPr>
          <w:bCs/>
        </w:rPr>
        <w:t>a)</w:t>
      </w:r>
      <w:r w:rsidRPr="00953FF8">
        <w:rPr>
          <w:bCs/>
        </w:rPr>
        <w:tab/>
      </w:r>
      <w:r>
        <w:t>положениями Суверенного указа № 3.153 от 19 марта 1964 года об условиях въезда иностранцев на территорию Княжества и пребывания на его территории, которые криминализируют нерегулярную миграцию;</w:t>
      </w:r>
    </w:p>
    <w:p w14:paraId="18763FB1" w14:textId="3182E042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 w:rsidRPr="00953FF8">
        <w:rPr>
          <w:bCs/>
        </w:rPr>
        <w:t>b)</w:t>
      </w:r>
      <w:r w:rsidRPr="00953FF8">
        <w:rPr>
          <w:bCs/>
        </w:rPr>
        <w:tab/>
      </w:r>
      <w:r>
        <w:t>отсутствием национального плана действий по содействию интеграции неграждан;</w:t>
      </w:r>
    </w:p>
    <w:p w14:paraId="0B762AB7" w14:textId="0AB3DF1C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 w:rsidRPr="00953FF8">
        <w:rPr>
          <w:bCs/>
        </w:rPr>
        <w:t>c)</w:t>
      </w:r>
      <w:r w:rsidRPr="00953FF8">
        <w:rPr>
          <w:bCs/>
        </w:rPr>
        <w:tab/>
      </w:r>
      <w:r>
        <w:t>отсутствием законодательных положений, гарантирующих воссоединение семьи;</w:t>
      </w:r>
    </w:p>
    <w:p w14:paraId="4F5177E9" w14:textId="4DA9EB47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 w:rsidRPr="00953FF8">
        <w:rPr>
          <w:bCs/>
        </w:rPr>
        <w:t>d)</w:t>
      </w:r>
      <w:r w:rsidRPr="00953FF8">
        <w:rPr>
          <w:bCs/>
        </w:rPr>
        <w:tab/>
      </w:r>
      <w:r>
        <w:t>необходимостью для неграждан прожить в стране не менее пяти лет, прежде чем они смогут получить возможность пользоваться социальным обеспечением, медицинской помощью и помощью в обеспечении жильем, в результате чего некоторые из них, с низким уровнем дохода, остаются без надлежащей защиты, при этом Комитет отмечает возможность исключений, предоставляемых государством-участником;</w:t>
      </w:r>
      <w:bookmarkStart w:id="3" w:name="_Hlk184149404"/>
      <w:bookmarkEnd w:id="3"/>
    </w:p>
    <w:p w14:paraId="0371FFCA" w14:textId="6290A208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 w:rsidRPr="00953FF8">
        <w:rPr>
          <w:bCs/>
        </w:rPr>
        <w:t>e)</w:t>
      </w:r>
      <w:r w:rsidRPr="00953FF8">
        <w:rPr>
          <w:bCs/>
        </w:rPr>
        <w:tab/>
      </w:r>
      <w:r>
        <w:t xml:space="preserve">информацией, согласно которой правила о приоритизации граждан в сфере занятости в некоторых случаях приводят к дискриминации при увольнении неграждан, которая усугубляется возможностью увольнения работников без предварительно указанных веских причин на основании статьи 6 Закона № 729 от </w:t>
      </w:r>
      <w:r w:rsidR="004B0978" w:rsidRPr="00E912B1">
        <w:br/>
      </w:r>
      <w:r>
        <w:t>16 марта 1963 года о трудовых договорах;</w:t>
      </w:r>
    </w:p>
    <w:p w14:paraId="476E8934" w14:textId="67727583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953FF8">
        <w:rPr>
          <w:bCs/>
        </w:rPr>
        <w:t>f)</w:t>
      </w:r>
      <w:r w:rsidRPr="00953FF8">
        <w:rPr>
          <w:bCs/>
        </w:rPr>
        <w:tab/>
      </w:r>
      <w:r>
        <w:t>информацией об очевидно нестабильных условиях труда многих трудящихся женщин-мигрантов, занятых в качестве домашней прислуги, и незарегистрированных трудящихся-мигрантов;</w:t>
      </w:r>
    </w:p>
    <w:p w14:paraId="769258CB" w14:textId="22D884FC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 w:rsidRPr="00953FF8">
        <w:rPr>
          <w:bCs/>
        </w:rPr>
        <w:t>g)</w:t>
      </w:r>
      <w:r w:rsidRPr="00953FF8">
        <w:rPr>
          <w:bCs/>
        </w:rPr>
        <w:tab/>
      </w:r>
      <w:r>
        <w:t>дискриминационным характером законодательных положений о профсоюзах, требующих, чтобы в органах профсоюзов и их федераций большинство составляли граждане Монако и Франции (ст. 5).</w:t>
      </w:r>
    </w:p>
    <w:p w14:paraId="676559D5" w14:textId="6FEE44F6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953FF8">
        <w:rPr>
          <w:bCs/>
        </w:rPr>
        <w:t>18.</w:t>
      </w:r>
      <w:r w:rsidRPr="00953FF8">
        <w:rPr>
          <w:bCs/>
        </w:rPr>
        <w:tab/>
      </w:r>
      <w:r>
        <w:rPr>
          <w:b/>
          <w:bCs/>
        </w:rPr>
        <w:t>В свете своей общей рекомендации № 30 (2004) о дискриминации неграждан, ссылаясь на свои предыдущие заключительные замечания</w:t>
      </w:r>
      <w:r w:rsidRPr="00F507DF">
        <w:rPr>
          <w:rStyle w:val="aa"/>
        </w:rPr>
        <w:footnoteReference w:id="9"/>
      </w:r>
      <w:r>
        <w:rPr>
          <w:b/>
          <w:bCs/>
        </w:rPr>
        <w:t>, Комитет рекомендует государству-участнику:</w:t>
      </w:r>
    </w:p>
    <w:p w14:paraId="36342469" w14:textId="41AB9E8C" w:rsidR="00306913" w:rsidRPr="00306913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 w:rsidRPr="00306913">
        <w:rPr>
          <w:b/>
        </w:rPr>
        <w:t>a)</w:t>
      </w:r>
      <w:r w:rsidRPr="00306913">
        <w:rPr>
          <w:b/>
        </w:rPr>
        <w:tab/>
        <w:t>пересмотреть Суверенный указ № 3.153 и обеспечить его соответствие международным обязательствам страны, в частности отменив действующие положения, криминализирующие нерегулярную миграцию;</w:t>
      </w:r>
    </w:p>
    <w:p w14:paraId="0965966E" w14:textId="622507DD" w:rsidR="00306913" w:rsidRPr="00306913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 w:rsidRPr="00306913">
        <w:rPr>
          <w:b/>
        </w:rPr>
        <w:t>b)</w:t>
      </w:r>
      <w:r w:rsidRPr="00306913">
        <w:rPr>
          <w:b/>
        </w:rPr>
        <w:tab/>
        <w:t xml:space="preserve">принять дополнительные меры по содействию интеграции неграждан, включая принятие национального плана действий, и разработать </w:t>
      </w:r>
      <w:r w:rsidRPr="00306913">
        <w:rPr>
          <w:b/>
        </w:rPr>
        <w:lastRenderedPageBreak/>
        <w:t>систему показателей для оценки воздействия его государственной политики и других мер, в частности в отношении эффективного осуществления экономических, социальных и культурных прав;</w:t>
      </w:r>
    </w:p>
    <w:p w14:paraId="1948BBFA" w14:textId="6ACD5439" w:rsidR="00306913" w:rsidRPr="00306913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 w:rsidRPr="00306913">
        <w:rPr>
          <w:b/>
        </w:rPr>
        <w:t>c)</w:t>
      </w:r>
      <w:r w:rsidRPr="00306913">
        <w:rPr>
          <w:b/>
        </w:rPr>
        <w:tab/>
        <w:t>принять необходимые меры, в том числе законодательного характера, чтобы гарантировать и облегчить воссоединение семьи;</w:t>
      </w:r>
    </w:p>
    <w:p w14:paraId="16601A46" w14:textId="3654B5C0" w:rsidR="00306913" w:rsidRPr="00306913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 w:rsidRPr="00306913">
        <w:rPr>
          <w:b/>
        </w:rPr>
        <w:t>d)</w:t>
      </w:r>
      <w:r w:rsidRPr="00306913">
        <w:rPr>
          <w:b/>
        </w:rPr>
        <w:tab/>
        <w:t>принять необходимые меры, чтобы гарантировать в законодательстве и на практике доступ к социальному обеспечению, медицинской помощи и помощи в обеспечении жильем для неграждан с низким уровнем дохода, еще не прожившим в стране пять лет, включая сокращение установленного срока проживания или отмену этого условия о проживании;</w:t>
      </w:r>
    </w:p>
    <w:p w14:paraId="7FDCA899" w14:textId="61A4FF63" w:rsidR="00306913" w:rsidRPr="00306913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 w:rsidRPr="00306913">
        <w:rPr>
          <w:b/>
        </w:rPr>
        <w:t>e)</w:t>
      </w:r>
      <w:r w:rsidRPr="00306913">
        <w:rPr>
          <w:b/>
        </w:rPr>
        <w:tab/>
        <w:t xml:space="preserve">обеспечить, чтобы применение правил о приоритизации граждан не приводило на практике к злоупотреблениям или случаям дискриминации в сфере занятости в отношении неграждан, в том числе путем изучения последствий режима приоритизации граждан и внесения поправок в </w:t>
      </w:r>
      <w:r w:rsidR="004B0978" w:rsidRPr="00E912B1">
        <w:rPr>
          <w:b/>
        </w:rPr>
        <w:br/>
      </w:r>
      <w:r w:rsidRPr="00306913">
        <w:rPr>
          <w:b/>
        </w:rPr>
        <w:t>Закон № 729, прямо запрещающих увольнение без предварительно указанных веских причин;</w:t>
      </w:r>
    </w:p>
    <w:p w14:paraId="4F3CE620" w14:textId="71F45A52" w:rsidR="00306913" w:rsidRPr="00306913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 w:rsidRPr="00306913">
        <w:rPr>
          <w:b/>
        </w:rPr>
        <w:t>f)</w:t>
      </w:r>
      <w:r w:rsidRPr="00306913">
        <w:rPr>
          <w:b/>
        </w:rPr>
        <w:tab/>
        <w:t>укрепить компетенции и увеличить ресурсы трудовой инспекции, позволяя ей повысить эффективность контроля условий труда, особенно в секторе домашней работы, обеспечить проведение проверок и в частных домах, активизировать усилия по информированию трудящихся-мигрантов, включая незарегистрированных работников, об их правах и механизмах подачи жалоб и упростить им доступ к таким механизмам;</w:t>
      </w:r>
    </w:p>
    <w:p w14:paraId="6E552CDE" w14:textId="1CC94F4F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 w:rsidRPr="00306913">
        <w:rPr>
          <w:b/>
        </w:rPr>
        <w:t>g)</w:t>
      </w:r>
      <w:r w:rsidRPr="00306913">
        <w:rPr>
          <w:b/>
        </w:rPr>
        <w:tab/>
        <w:t>ускорить принятие поправок к законодательству о профсоюзах, чтобы га</w:t>
      </w:r>
      <w:r>
        <w:rPr>
          <w:b/>
          <w:bCs/>
        </w:rPr>
        <w:t>рантировать недискриминационный доступ к руководящим должностям в профсоюзах и профсоюзных федерациях.</w:t>
      </w:r>
    </w:p>
    <w:p w14:paraId="54A73948" w14:textId="77777777" w:rsidR="00306913" w:rsidRPr="009872C2" w:rsidRDefault="00306913" w:rsidP="00306913">
      <w:pPr>
        <w:pStyle w:val="H23G"/>
      </w:pPr>
      <w:r>
        <w:tab/>
      </w:r>
      <w:r>
        <w:tab/>
      </w:r>
      <w:r>
        <w:rPr>
          <w:bCs/>
        </w:rPr>
        <w:t>Доступ к гражданству</w:t>
      </w:r>
    </w:p>
    <w:p w14:paraId="2E4D6A15" w14:textId="21A6DE97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953FF8">
        <w:rPr>
          <w:bCs/>
        </w:rPr>
        <w:t>19.</w:t>
      </w:r>
      <w:r w:rsidRPr="00953FF8">
        <w:rPr>
          <w:bCs/>
        </w:rPr>
        <w:tab/>
      </w:r>
      <w:r>
        <w:t>Комитет принимает к сведению принятие Закона № 1.387 о гражданстве, который позволяет натурализованным гражданам Монако — мужчинам и женщинам</w:t>
      </w:r>
      <w:r w:rsidR="004B0978">
        <w:rPr>
          <w:lang w:val="en-US"/>
        </w:rPr>
        <w:t> </w:t>
      </w:r>
      <w:r>
        <w:t xml:space="preserve">— передавать свое гражданство Монако супругу или супруге на равных условиях. Тем не менее он обеспокоен тем, что люди, получившие гражданство Монако в результате заключения брака, не могут передавать его после развода. </w:t>
      </w:r>
      <w:r w:rsidR="004B0978" w:rsidRPr="00E912B1">
        <w:br/>
      </w:r>
      <w:r>
        <w:t xml:space="preserve">Он также сожалеет о принятии поправок к законодательству, увеличивающих период нахождения в браке для передачи гражданства на основании заключения брака до </w:t>
      </w:r>
      <w:r w:rsidR="004B0978" w:rsidRPr="004B0978">
        <w:t>10</w:t>
      </w:r>
      <w:r w:rsidR="004B0978">
        <w:rPr>
          <w:lang w:val="en-US"/>
        </w:rPr>
        <w:t> </w:t>
      </w:r>
      <w:r>
        <w:t xml:space="preserve">лет в 2011 году, а затем до </w:t>
      </w:r>
      <w:r w:rsidR="004B0978" w:rsidRPr="004B0978">
        <w:t>20</w:t>
      </w:r>
      <w:r>
        <w:t xml:space="preserve"> лет в 2021 году, тогда как ранее этот срок составлял </w:t>
      </w:r>
      <w:r w:rsidR="004B0978" w:rsidRPr="004B0978">
        <w:t>5</w:t>
      </w:r>
      <w:r>
        <w:t xml:space="preserve"> лет (ст. 2 и 5).</w:t>
      </w:r>
    </w:p>
    <w:p w14:paraId="6AEB62D2" w14:textId="41A5E93E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953FF8">
        <w:rPr>
          <w:bCs/>
        </w:rPr>
        <w:t>20.</w:t>
      </w:r>
      <w:r w:rsidRPr="00953FF8">
        <w:rPr>
          <w:bCs/>
        </w:rPr>
        <w:tab/>
      </w:r>
      <w:r>
        <w:rPr>
          <w:b/>
          <w:bCs/>
        </w:rPr>
        <w:t>В свете своей общей рекомендации № 30 (2004) о дискриминации неграждан Комитет рекомендует государству-участнику принять необходимые меры, в том числе законодательного характера, с тем чтобы разрешить передачу гражданства всеми гражданами Монако независимо от того, каким путем они получили гражданство.</w:t>
      </w:r>
      <w:r>
        <w:t xml:space="preserve"> </w:t>
      </w:r>
      <w:r>
        <w:rPr>
          <w:b/>
          <w:bCs/>
        </w:rPr>
        <w:t>Он также рекомендует ему уделить должное внимание возможным препятствиям для натурализации неграждан, проживающих и работающих в Монако, включая период проживания, необходимый для получения гражданства Монако, и упростить этот процесс.</w:t>
      </w:r>
    </w:p>
    <w:p w14:paraId="633AFF28" w14:textId="77777777" w:rsidR="00306913" w:rsidRPr="009872C2" w:rsidRDefault="00306913" w:rsidP="00306913">
      <w:pPr>
        <w:pStyle w:val="H23G"/>
      </w:pPr>
      <w:r>
        <w:tab/>
      </w:r>
      <w:r>
        <w:tab/>
      </w:r>
      <w:r>
        <w:rPr>
          <w:bCs/>
        </w:rPr>
        <w:t>Борьба с торговлей людьми</w:t>
      </w:r>
    </w:p>
    <w:p w14:paraId="695B9EE2" w14:textId="778A86F1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953FF8">
        <w:rPr>
          <w:bCs/>
        </w:rPr>
        <w:t>21.</w:t>
      </w:r>
      <w:r w:rsidRPr="00953FF8">
        <w:rPr>
          <w:bCs/>
        </w:rPr>
        <w:tab/>
      </w:r>
      <w:r>
        <w:t>Принимая к сведению выпуск Суверенного указа № 9.966 от 30 июня 2023 года о внесении изменений в Суверенный указ № 605 от 1 августа 2006 года в отношении применения Конвенции Организации Объединенных Наций против транснациональной организованной преступности, дополняющего ее Протокола о предупреждении и пресечении торговли людьми, особенно женщинами и детьми, и наказании за нее и дополняющего ее Протокола против незаконного ввоза мигрантов по суше, морю и воздуху, принятых в Нью-Йорке в новой редакции 15 ноября 2000</w:t>
      </w:r>
      <w:r w:rsidR="004B0978">
        <w:rPr>
          <w:lang w:val="en-US"/>
        </w:rPr>
        <w:t> </w:t>
      </w:r>
      <w:r>
        <w:t xml:space="preserve">года, Комитет обеспокоен тем, что в Уголовном кодексе не предусмотрена уголовная ответственность за торговлю людьми, что может привести к ограничению </w:t>
      </w:r>
      <w:r>
        <w:lastRenderedPageBreak/>
        <w:t>судебного преследования, вынесения обвинительных приговоров и назначения соответствующих наказаний по делам о торговле людьми. Он также сожалеет об отсутствии национального плана действий и стратегии по борьбе с торговлей людьми. Принимая к сведению предоставленную государством-участником информацию о подготовке циркуляра о выявлении жертв торговли людьми и оказании им помощи, Комитет сожалеет о том, что этот циркуляр еще не принят (ст. 5).</w:t>
      </w:r>
    </w:p>
    <w:p w14:paraId="7AEB3FE1" w14:textId="7635FED2" w:rsidR="00306913" w:rsidRPr="009872C2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9872C2">
        <w:rPr>
          <w:bCs/>
        </w:rPr>
        <w:t>22.</w:t>
      </w:r>
      <w:r w:rsidRPr="009872C2">
        <w:rPr>
          <w:bCs/>
        </w:rPr>
        <w:tab/>
      </w:r>
      <w:r>
        <w:rPr>
          <w:b/>
          <w:bCs/>
        </w:rPr>
        <w:t>Комитет рекомендует государству-участнику:</w:t>
      </w:r>
    </w:p>
    <w:p w14:paraId="2DFE9DA4" w14:textId="52D2A5F8" w:rsidR="00306913" w:rsidRPr="00306913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 w:rsidRPr="00306913">
        <w:rPr>
          <w:b/>
        </w:rPr>
        <w:t>a)</w:t>
      </w:r>
      <w:r w:rsidRPr="00306913">
        <w:rPr>
          <w:b/>
        </w:rPr>
        <w:tab/>
        <w:t>укрепить его законодательную базу и государственную политику по борьбе с торговлей людьми, в частности включив преступление торговли людьми в Уголовный кодекс и приняв национальный план или национальную стратегию по предотвращению и пресечению торговли людьми;</w:t>
      </w:r>
    </w:p>
    <w:p w14:paraId="1BF25CA5" w14:textId="5801A98F" w:rsidR="00306913" w:rsidRPr="00306913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 w:rsidRPr="00306913">
        <w:rPr>
          <w:b/>
        </w:rPr>
        <w:t>b)</w:t>
      </w:r>
      <w:r w:rsidRPr="00306913">
        <w:rPr>
          <w:b/>
        </w:rPr>
        <w:tab/>
        <w:t>активизировать усилия по расследованию всех сообщений о торговле людьми, судебному преследованию лиц, совершивших такие деяния, и, в случае признания виновными, назначению им соответствующей меры наказания, обеспечивая при этом доступ жертв к эффективным средствам правовой защиты;</w:t>
      </w:r>
    </w:p>
    <w:p w14:paraId="3BD8E508" w14:textId="5F4793E5" w:rsidR="00306913" w:rsidRPr="00306913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 w:rsidRPr="00306913">
        <w:rPr>
          <w:b/>
        </w:rPr>
        <w:t>c)</w:t>
      </w:r>
      <w:r w:rsidRPr="00306913">
        <w:rPr>
          <w:b/>
        </w:rPr>
        <w:tab/>
        <w:t>активизировать усилия по повышению эффективности выявления жертв торговли людьми и ускорить принятие и реализацию циркуляра с межведомственным планом координации, касающимся выявления жертв торговли людьми и оказания им помощи;</w:t>
      </w:r>
    </w:p>
    <w:p w14:paraId="0AD73B80" w14:textId="296D4046" w:rsidR="00306913" w:rsidRPr="00306913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 w:rsidRPr="00306913">
        <w:rPr>
          <w:b/>
        </w:rPr>
        <w:t>d)</w:t>
      </w:r>
      <w:r w:rsidRPr="00306913">
        <w:rPr>
          <w:b/>
        </w:rPr>
        <w:tab/>
        <w:t>усилить меры по защите и поддержке жертв и обеспечить им реальный доступ к соответствующей юридической, медицинской и психологической помощи и к социальному обеспечению, независимо от их национальности и положения с точки зрения права на пребывание;</w:t>
      </w:r>
    </w:p>
    <w:p w14:paraId="7E125DEF" w14:textId="49BB16FA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bCs/>
        </w:rPr>
      </w:pPr>
      <w:r w:rsidRPr="00306913">
        <w:rPr>
          <w:b/>
        </w:rPr>
        <w:t>e)</w:t>
      </w:r>
      <w:r w:rsidRPr="00306913">
        <w:rPr>
          <w:b/>
        </w:rPr>
        <w:tab/>
        <w:t>продолжать деятельность по обучению сотрудников полиции, пограничных</w:t>
      </w:r>
      <w:r>
        <w:rPr>
          <w:b/>
          <w:bCs/>
        </w:rPr>
        <w:t xml:space="preserve"> войск и иммиграционных служб, судей, прокуроров и трудовых инспекторов с целью обеспечения эффективного применения законодательства о борьбе с торговлей людьми.</w:t>
      </w:r>
    </w:p>
    <w:p w14:paraId="21AAA21F" w14:textId="77777777" w:rsidR="00306913" w:rsidRPr="009872C2" w:rsidRDefault="00306913" w:rsidP="00306913">
      <w:pPr>
        <w:pStyle w:val="H23G"/>
      </w:pPr>
      <w:r>
        <w:tab/>
      </w:r>
      <w:r>
        <w:tab/>
      </w:r>
      <w:r>
        <w:rPr>
          <w:bCs/>
        </w:rPr>
        <w:t>Правовые основы предоставления убежища</w:t>
      </w:r>
    </w:p>
    <w:p w14:paraId="2A1A4253" w14:textId="5F628F7B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953FF8">
        <w:rPr>
          <w:bCs/>
        </w:rPr>
        <w:t>23.</w:t>
      </w:r>
      <w:r w:rsidRPr="00953FF8">
        <w:rPr>
          <w:bCs/>
        </w:rPr>
        <w:tab/>
      </w:r>
      <w:r>
        <w:t>Комитет принимает к сведению предоставленную государством-участником информацию об административной и юридической защите беженцев, обеспеченной в результате ратификации Конвенции 1951 года о статусе беженцев и Протокола 1967</w:t>
      </w:r>
      <w:r w:rsidR="004B0978">
        <w:rPr>
          <w:lang w:val="en-US"/>
        </w:rPr>
        <w:t> </w:t>
      </w:r>
      <w:r>
        <w:t>года, касающегося статуса беженцев. В то же время он обеспокоен отсутствием национального законодательства о защите беженцев и просителей убежища, которое предусматривало бы процедуру определения статуса беженца (ст. 1, 2 и 5).</w:t>
      </w:r>
    </w:p>
    <w:p w14:paraId="4C6F336F" w14:textId="54C0B146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953FF8">
        <w:rPr>
          <w:bCs/>
        </w:rPr>
        <w:t>24.</w:t>
      </w:r>
      <w:r w:rsidRPr="00953FF8">
        <w:rPr>
          <w:bCs/>
        </w:rPr>
        <w:tab/>
      </w:r>
      <w:r>
        <w:rPr>
          <w:b/>
          <w:bCs/>
        </w:rPr>
        <w:t>В свете своей общей рекомендации № 30 (2004) о дискриминации неграждан Комитет рекомендует государству-участнику принять законодательство о предоставлении убежища, включающее принципы невысылки и недискриминации и предусматривающее процедуру определения статуса беженца, а также обеспечить его соответствие международным нормам, в частности Конвенции 1951 года о статусе беженцев и Протоколу 1967 года, касающемуся статуса беженцев.</w:t>
      </w:r>
    </w:p>
    <w:p w14:paraId="6114F586" w14:textId="77777777" w:rsidR="00306913" w:rsidRPr="00953FF8" w:rsidRDefault="00306913" w:rsidP="00306913">
      <w:pPr>
        <w:pStyle w:val="H23G"/>
      </w:pPr>
      <w:r>
        <w:tab/>
      </w:r>
      <w:r>
        <w:tab/>
      </w:r>
      <w:r>
        <w:rPr>
          <w:bCs/>
        </w:rPr>
        <w:t>Жалобы на расовую дискриминацию и доступ к правосудию</w:t>
      </w:r>
    </w:p>
    <w:p w14:paraId="7C1C0B77" w14:textId="64596691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953FF8">
        <w:rPr>
          <w:bCs/>
        </w:rPr>
        <w:t>25.</w:t>
      </w:r>
      <w:r w:rsidRPr="00953FF8">
        <w:rPr>
          <w:bCs/>
        </w:rPr>
        <w:tab/>
      </w:r>
      <w:r>
        <w:t>Принимая к сведению предоставленную государством-участником информацию о небольшом количестве жалоб на расовую дискриминацию, Комитет обеспокоен отсутствием системы регистрации и сбора данных о фактах расовой дискриминации и сожалеет об отсутствии достаточной и подробной информации о жалобах на расовую дискриминацию и связанных с ней правонарушениях, поданных в суды или другие национальные учреждения, а также о результатах проведенных расследований и судебных преследований, назначенных наказаниях виновным и возмещении ущерба жертвам. Он сожалеет также о том, что в делах о расовой дискриминации государство-участник не применяет принцип переноса бремени доказывания (ст. 5 и 6).</w:t>
      </w:r>
    </w:p>
    <w:p w14:paraId="5AF0C2C0" w14:textId="415B3DA9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953FF8">
        <w:rPr>
          <w:bCs/>
        </w:rPr>
        <w:lastRenderedPageBreak/>
        <w:t>26.</w:t>
      </w:r>
      <w:r w:rsidRPr="00953FF8">
        <w:rPr>
          <w:bCs/>
        </w:rPr>
        <w:tab/>
      </w:r>
      <w:r>
        <w:rPr>
          <w:b/>
          <w:bCs/>
        </w:rPr>
        <w:t>В свете своей общей рекомендации № 31 (2005) о предупреждении расовой дискриминации в процессе отправления и функционирования системы уголовного правосудия Комитет напоминает государству-участнику, что отсутствие или незначительное число жалоб и судебных исков, поданных жертвами расовой дискриминации, может свидетельствовать об отсутствии конкретного законодательства в этой области, недостаточной осведомленности жертв о своих правах, страхе жертв перед общественным осуждением или местью или дороговизной и сложностью судебного разбирательства, отсутствии доверия к полиции и судебным органам или недостаточном внимании или недостаточной информационно-просветительской работе со стороны этих органов в области правонарушений на почве расизма.</w:t>
      </w:r>
      <w:r>
        <w:t xml:space="preserve"> </w:t>
      </w:r>
      <w:r>
        <w:rPr>
          <w:b/>
          <w:bCs/>
        </w:rPr>
        <w:t>Ссылаясь на свои предыдущие заключительные замечания</w:t>
      </w:r>
      <w:r w:rsidRPr="00F507DF">
        <w:rPr>
          <w:rStyle w:val="aa"/>
        </w:rPr>
        <w:footnoteReference w:id="10"/>
      </w:r>
      <w:r>
        <w:rPr>
          <w:b/>
          <w:bCs/>
        </w:rPr>
        <w:t>, Комитет рекомендует государству-участнику:</w:t>
      </w:r>
    </w:p>
    <w:p w14:paraId="616C1697" w14:textId="6E2CA24C" w:rsidR="00306913" w:rsidRPr="00306913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  <w:bCs/>
        </w:rPr>
      </w:pPr>
      <w:r w:rsidRPr="00306913">
        <w:rPr>
          <w:b/>
          <w:bCs/>
        </w:rPr>
        <w:t>a)</w:t>
      </w:r>
      <w:r w:rsidRPr="00306913">
        <w:rPr>
          <w:b/>
          <w:bCs/>
        </w:rPr>
        <w:tab/>
        <w:t>обеспечить, чтобы законодательная база для борьбы с расовой дискриминацией содержала соответствующие положения, принять необходимые меры для облегчения сообщения о таких случаях и обеспечить, чтобы все жертвы расовой дискриминации имели доступ к эффективным средствам правовой защиты и надлежащему возмещению ущерба;</w:t>
      </w:r>
    </w:p>
    <w:p w14:paraId="0AAB8CB4" w14:textId="7E8C79E1" w:rsidR="00306913" w:rsidRPr="00306913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  <w:bCs/>
        </w:rPr>
      </w:pPr>
      <w:r w:rsidRPr="00306913">
        <w:rPr>
          <w:b/>
          <w:bCs/>
        </w:rPr>
        <w:t>b)</w:t>
      </w:r>
      <w:r w:rsidRPr="00306913">
        <w:rPr>
          <w:b/>
          <w:bCs/>
        </w:rPr>
        <w:tab/>
        <w:t>активизировать информационные кампании, посвященные правам, закрепленным в Конвенции, а также связанным с ними судебным и внесудебным средствам правовой защиты;</w:t>
      </w:r>
    </w:p>
    <w:p w14:paraId="724193CE" w14:textId="18909AB9" w:rsidR="00306913" w:rsidRPr="00306913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  <w:bCs/>
        </w:rPr>
      </w:pPr>
      <w:r w:rsidRPr="00306913">
        <w:rPr>
          <w:b/>
          <w:bCs/>
        </w:rPr>
        <w:t>c)</w:t>
      </w:r>
      <w:r w:rsidRPr="00306913">
        <w:rPr>
          <w:b/>
          <w:bCs/>
        </w:rPr>
        <w:tab/>
        <w:t>усилить подготовку должностных лиц, ответственных за поддержание правопорядка, чтобы они могли эффективно бороться со случаями расовой дискриминации;</w:t>
      </w:r>
    </w:p>
    <w:p w14:paraId="58D02B70" w14:textId="2AAF0CF3" w:rsidR="00306913" w:rsidRPr="00306913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  <w:bCs/>
        </w:rPr>
      </w:pPr>
      <w:r w:rsidRPr="00306913">
        <w:rPr>
          <w:b/>
          <w:bCs/>
        </w:rPr>
        <w:t>d)</w:t>
      </w:r>
      <w:r w:rsidRPr="00306913">
        <w:rPr>
          <w:b/>
          <w:bCs/>
        </w:rPr>
        <w:tab/>
        <w:t>принять необходимые меры, в том числе законодательного характера, для применения принципа переноса бремени доказывания в пользу жертв расовой дискриминации;</w:t>
      </w:r>
    </w:p>
    <w:p w14:paraId="451F4D37" w14:textId="6DDBF767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  <w:bCs/>
        </w:rPr>
      </w:pPr>
      <w:r w:rsidRPr="00306913">
        <w:rPr>
          <w:b/>
          <w:bCs/>
        </w:rPr>
        <w:t>e)</w:t>
      </w:r>
      <w:r w:rsidRPr="00953FF8">
        <w:tab/>
      </w:r>
      <w:r>
        <w:rPr>
          <w:b/>
          <w:bCs/>
        </w:rPr>
        <w:t>создать механизм сбора статистических данных о жалобах на расовую дискриминацию и связанных с ней правонарушениях в разбивке по этническому или национальному происхождению, о судебных преследованиях, приговорах и наказаниях на основании таких жалоб, а также о предоставленном жертвам возмещении ущерба.</w:t>
      </w:r>
    </w:p>
    <w:p w14:paraId="5CE2158A" w14:textId="63275406" w:rsidR="00306913" w:rsidRPr="00953FF8" w:rsidRDefault="00306913" w:rsidP="00306913">
      <w:pPr>
        <w:pStyle w:val="H23G"/>
      </w:pPr>
      <w:r>
        <w:tab/>
      </w:r>
      <w:r>
        <w:tab/>
      </w:r>
      <w:r>
        <w:rPr>
          <w:bCs/>
        </w:rPr>
        <w:t xml:space="preserve">Просвещение в области прав человека в целях борьбы с предрассудками </w:t>
      </w:r>
      <w:r w:rsidR="004B0978" w:rsidRPr="00E912B1">
        <w:rPr>
          <w:bCs/>
        </w:rPr>
        <w:br/>
      </w:r>
      <w:r>
        <w:rPr>
          <w:bCs/>
        </w:rPr>
        <w:t>и нетерпимостью</w:t>
      </w:r>
    </w:p>
    <w:p w14:paraId="686131D0" w14:textId="7CFF6BEA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953FF8">
        <w:rPr>
          <w:bCs/>
        </w:rPr>
        <w:t>27.</w:t>
      </w:r>
      <w:r w:rsidRPr="00953FF8">
        <w:rPr>
          <w:bCs/>
        </w:rPr>
        <w:tab/>
      </w:r>
      <w:r>
        <w:t>Комитет приветствует тот факт, что школьные программы государства-участника включают изучение прав человека с детского сада до окончания средней школы, в частности в рамках курса под названием «моральное и гражданское воспитание», и что с 2023 года месяц ноябрь посвящается повышению осведомленности о травле в школах в целях ее предотвращения и пресечения. Вместе с тем Комитет сожалеет об отсутствии в школьных программах и программах профессиональной подготовки подробной информации о специальной подготовке по вопросам, касающимся положений Конвенции и борьбы с расовой дискриминацией, расизмом и ксенофобией (ст. 7).</w:t>
      </w:r>
    </w:p>
    <w:p w14:paraId="73C0DADE" w14:textId="2D6B0083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953FF8">
        <w:rPr>
          <w:bCs/>
        </w:rPr>
        <w:t>28.</w:t>
      </w:r>
      <w:r w:rsidRPr="00953FF8">
        <w:rPr>
          <w:bCs/>
        </w:rPr>
        <w:tab/>
      </w:r>
      <w:r>
        <w:rPr>
          <w:b/>
          <w:bCs/>
        </w:rPr>
        <w:t>Комитет рекомендует государству-участнику продолжать деятельность в области обучения по правам человека, обеспечивая включение в школьные учебные программы и программы профессиональной подготовки в этой области систематической и непрерывной подготовки по вопросам, касающимся положений Конвенции и борьбы с расовой дискриминацией, расизмом и ксенофобией.</w:t>
      </w:r>
    </w:p>
    <w:p w14:paraId="48995C7A" w14:textId="77777777" w:rsidR="00306913" w:rsidRPr="00953FF8" w:rsidRDefault="00306913" w:rsidP="00306913">
      <w:pPr>
        <w:pStyle w:val="H1G"/>
      </w:pPr>
      <w:r>
        <w:rPr>
          <w:bCs/>
        </w:rPr>
        <w:lastRenderedPageBreak/>
        <w:tab/>
        <w:t>D.</w:t>
      </w:r>
      <w:r>
        <w:tab/>
      </w:r>
      <w:r>
        <w:rPr>
          <w:bCs/>
        </w:rPr>
        <w:t>Другие рекомендации</w:t>
      </w:r>
    </w:p>
    <w:p w14:paraId="3E7D8877" w14:textId="77777777" w:rsidR="00306913" w:rsidRPr="00953FF8" w:rsidRDefault="00306913" w:rsidP="00306913">
      <w:pPr>
        <w:pStyle w:val="H23G"/>
      </w:pPr>
      <w:r>
        <w:tab/>
      </w:r>
      <w:r>
        <w:tab/>
      </w:r>
      <w:r>
        <w:rPr>
          <w:bCs/>
        </w:rPr>
        <w:t>Ратификация других договоров</w:t>
      </w:r>
    </w:p>
    <w:p w14:paraId="70E91664" w14:textId="097F7956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953FF8">
        <w:rPr>
          <w:bCs/>
        </w:rPr>
        <w:t>29.</w:t>
      </w:r>
      <w:r w:rsidRPr="00953FF8">
        <w:rPr>
          <w:bCs/>
        </w:rPr>
        <w:tab/>
      </w:r>
      <w:r>
        <w:rPr>
          <w:b/>
          <w:bCs/>
        </w:rPr>
        <w:t>Учитывая неделимый характер всех прав человека, Комитет призывает государство-участник рассмотреть возможность ратификации еще не ратифицированных им международных договоров по правам человека, в частности тех договоров, положения которых непосредственно касаются общин, которые могут подвергаться расовой дискриминации, в том числе Международной конвенции о защите прав всех трудящихся-мигрантов и членов их семей, первого Факультативного протокола к Международному пакту о гражданских и политических правах и Факультативного протокола к Международному пакту об экономических, социальных и культурных правах.</w:t>
      </w:r>
      <w:r>
        <w:t xml:space="preserve"> </w:t>
      </w:r>
      <w:r>
        <w:rPr>
          <w:b/>
          <w:bCs/>
        </w:rPr>
        <w:t>Комитет призывает государство-участник присоединиться к Конвенции 1954</w:t>
      </w:r>
      <w:r w:rsidR="004B0978">
        <w:rPr>
          <w:b/>
          <w:bCs/>
          <w:lang w:val="en-US"/>
        </w:rPr>
        <w:t> </w:t>
      </w:r>
      <w:r>
        <w:rPr>
          <w:b/>
          <w:bCs/>
        </w:rPr>
        <w:t>года о статусе апатридов и к Конвенции 1961 года о сокращении безгражданства.</w:t>
      </w:r>
    </w:p>
    <w:p w14:paraId="390D0060" w14:textId="77777777" w:rsidR="00306913" w:rsidRPr="009872C2" w:rsidRDefault="00306913" w:rsidP="00306913">
      <w:pPr>
        <w:pStyle w:val="H23G"/>
      </w:pPr>
      <w:r>
        <w:tab/>
      </w:r>
      <w:r>
        <w:tab/>
      </w:r>
      <w:r>
        <w:rPr>
          <w:bCs/>
        </w:rPr>
        <w:t>Поправка к статье 8 Конвенции</w:t>
      </w:r>
    </w:p>
    <w:p w14:paraId="42D43B11" w14:textId="0D1794B9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953FF8">
        <w:rPr>
          <w:bCs/>
        </w:rPr>
        <w:t>30.</w:t>
      </w:r>
      <w:r w:rsidRPr="00953FF8">
        <w:rPr>
          <w:bCs/>
        </w:rPr>
        <w:tab/>
      </w:r>
      <w:r>
        <w:rPr>
          <w:b/>
          <w:bCs/>
        </w:rPr>
        <w:t xml:space="preserve">Комитет рекомендует государству-участнику согласиться с поправкой к пункту 6 статьи 8 Конвенции, которая была принята 15 января 1992 года на четырнадцатом совещании государств — участников Конвенции и одобрена Генеральной Ассамблеей в ее резолюции </w:t>
      </w:r>
      <w:hyperlink r:id="rId8" w:history="1">
        <w:r w:rsidR="004B0978" w:rsidRPr="004B0978">
          <w:rPr>
            <w:rStyle w:val="af1"/>
            <w:b/>
            <w:bCs/>
          </w:rPr>
          <w:t>47/111</w:t>
        </w:r>
      </w:hyperlink>
      <w:r>
        <w:rPr>
          <w:b/>
          <w:bCs/>
        </w:rPr>
        <w:t>.</w:t>
      </w:r>
    </w:p>
    <w:p w14:paraId="62EACCFF" w14:textId="77777777" w:rsidR="00306913" w:rsidRPr="00953FF8" w:rsidRDefault="00306913" w:rsidP="00306913">
      <w:pPr>
        <w:pStyle w:val="H23G"/>
      </w:pPr>
      <w:r>
        <w:tab/>
      </w:r>
      <w:r>
        <w:tab/>
      </w:r>
      <w:r>
        <w:rPr>
          <w:bCs/>
        </w:rPr>
        <w:t>Последующие меры по осуществлению Дурбанской декларации и Программы действий</w:t>
      </w:r>
    </w:p>
    <w:p w14:paraId="64C739F6" w14:textId="09B5A1C8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953FF8">
        <w:rPr>
          <w:bCs/>
        </w:rPr>
        <w:t>31.</w:t>
      </w:r>
      <w:r w:rsidRPr="00953FF8">
        <w:rPr>
          <w:bCs/>
        </w:rPr>
        <w:tab/>
      </w:r>
      <w:r>
        <w:rPr>
          <w:b/>
          <w:bCs/>
        </w:rPr>
        <w:t>В свете своей общей рекомендации № 33 (2009) о последующих мерах в связи с Конференцией по обзору Дурбанского процесса Комитет рекомендует государству-участнику при осуществлении Конвенции принять меры по выполнению Дурбанской декларации и Программы действий, утвержденных в сентябре 2001 года на Всемирной конференции по борьбе против расизма, расовой дискриминации, ксенофобии и связанной с ними нетерпимости, с учетом итогового документа Конференции по обзору Дурбанского процесса, состоявшейся в Женеве в апреле 2009 года.</w:t>
      </w:r>
      <w:r>
        <w:t xml:space="preserve"> </w:t>
      </w:r>
      <w:r>
        <w:rPr>
          <w:b/>
          <w:bCs/>
        </w:rPr>
        <w:t>Комитет просит государство-участник включить в его следующий периодический доклад конкретную информацию об утвержденных планах действий и о других мерах, принятых с целью осуществления Дурбанской декларации и Программы действий на национальном уровне.</w:t>
      </w:r>
    </w:p>
    <w:p w14:paraId="4A077EB7" w14:textId="77777777" w:rsidR="00306913" w:rsidRPr="009872C2" w:rsidRDefault="00306913" w:rsidP="00306913">
      <w:pPr>
        <w:pStyle w:val="H23G"/>
      </w:pPr>
      <w:r>
        <w:tab/>
      </w:r>
      <w:r>
        <w:tab/>
      </w:r>
      <w:r>
        <w:rPr>
          <w:bCs/>
        </w:rPr>
        <w:t>Международное десятилетие лиц африканского происхождения</w:t>
      </w:r>
    </w:p>
    <w:p w14:paraId="1C94FEFC" w14:textId="4B24CCB9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953FF8">
        <w:rPr>
          <w:bCs/>
        </w:rPr>
        <w:t>32.</w:t>
      </w:r>
      <w:r w:rsidRPr="00953FF8">
        <w:rPr>
          <w:bCs/>
        </w:rPr>
        <w:tab/>
      </w:r>
      <w:r>
        <w:rPr>
          <w:b/>
          <w:bCs/>
        </w:rPr>
        <w:t xml:space="preserve">В свете резолюции </w:t>
      </w:r>
      <w:hyperlink r:id="rId9" w:history="1">
        <w:r w:rsidR="004B0978" w:rsidRPr="004B0978">
          <w:rPr>
            <w:rStyle w:val="af1"/>
            <w:b/>
            <w:bCs/>
          </w:rPr>
          <w:t>68/237</w:t>
        </w:r>
      </w:hyperlink>
      <w:r w:rsidR="004B0978" w:rsidRPr="004B0978">
        <w:rPr>
          <w:rStyle w:val="af1"/>
          <w:b/>
          <w:bCs/>
        </w:rPr>
        <w:t xml:space="preserve"> </w:t>
      </w:r>
      <w:r>
        <w:rPr>
          <w:b/>
          <w:bCs/>
        </w:rPr>
        <w:t xml:space="preserve">Генеральной Ассамблеи, в которой Ассамблея провозгласила 2015–2024 годы Международным десятилетием лиц африканского происхождения, и резолюции </w:t>
      </w:r>
      <w:hyperlink r:id="rId10" w:history="1">
        <w:r w:rsidR="004B0978" w:rsidRPr="004B0978">
          <w:rPr>
            <w:rStyle w:val="af1"/>
            <w:b/>
            <w:bCs/>
          </w:rPr>
          <w:t>69/16</w:t>
        </w:r>
      </w:hyperlink>
      <w:r w:rsidR="004B0978" w:rsidRPr="004B0978">
        <w:rPr>
          <w:rStyle w:val="af1"/>
          <w:b/>
          <w:bCs/>
        </w:rPr>
        <w:t xml:space="preserve"> </w:t>
      </w:r>
      <w:r>
        <w:rPr>
          <w:b/>
          <w:bCs/>
        </w:rPr>
        <w:t>Ассамблеи о программе мероприятий по проведению Международного десятилетия, а также учитывая, что приближается конец этого Международного десятилетия, Комитет просит государство-участник включить в свой следующий периодический доклад информацию о результатах мер, принятых для осуществления программы мероприятий, и об устойчивых мерах и устойчивой политике, осуществляемых в сотрудничестве с лицами африканского происхождения и их организациями, с учетом общей рекомендации № 34 (2011) Комитета о расовой дискриминации в отношении лиц африканского происхождения.</w:t>
      </w:r>
    </w:p>
    <w:p w14:paraId="1B06CE7C" w14:textId="77777777" w:rsidR="00306913" w:rsidRPr="009872C2" w:rsidRDefault="00306913" w:rsidP="00306913">
      <w:pPr>
        <w:pStyle w:val="H23G"/>
      </w:pPr>
      <w:r>
        <w:tab/>
      </w:r>
      <w:r>
        <w:tab/>
      </w:r>
      <w:r>
        <w:rPr>
          <w:bCs/>
        </w:rPr>
        <w:t>Консультации с гражданским обществом</w:t>
      </w:r>
    </w:p>
    <w:p w14:paraId="6F2C22B7" w14:textId="0C643758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953FF8">
        <w:rPr>
          <w:bCs/>
        </w:rPr>
        <w:t>33.</w:t>
      </w:r>
      <w:r w:rsidRPr="00953FF8">
        <w:rPr>
          <w:bCs/>
        </w:rPr>
        <w:tab/>
      </w:r>
      <w:r>
        <w:rPr>
          <w:b/>
          <w:bCs/>
        </w:rPr>
        <w:t>Комитет рекомендует государству-участнику продолжать и расширять диалог с организациями гражданского общества, занимающимися защитой прав человека, в частности ведущими борьбу с расовой дискриминацией, в рамках подготовки следующего периодического доклада и принятия последующих мер во исполнение настоящих заключительных замечаний.</w:t>
      </w:r>
    </w:p>
    <w:p w14:paraId="0B3CC51D" w14:textId="77777777" w:rsidR="00306913" w:rsidRPr="009872C2" w:rsidRDefault="00306913" w:rsidP="00306913">
      <w:pPr>
        <w:pStyle w:val="H23G"/>
      </w:pPr>
      <w:r>
        <w:lastRenderedPageBreak/>
        <w:tab/>
      </w:r>
      <w:r>
        <w:tab/>
      </w:r>
      <w:r>
        <w:rPr>
          <w:bCs/>
        </w:rPr>
        <w:t>Распространение информации</w:t>
      </w:r>
    </w:p>
    <w:p w14:paraId="35629C1D" w14:textId="6D4F0AF4" w:rsidR="00306913" w:rsidRPr="00953FF8" w:rsidRDefault="00306913" w:rsidP="00306913">
      <w:pPr>
        <w:pStyle w:val="SingleTxtG"/>
        <w:tabs>
          <w:tab w:val="left" w:pos="156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953FF8">
        <w:rPr>
          <w:bCs/>
        </w:rPr>
        <w:t>34.</w:t>
      </w:r>
      <w:r w:rsidRPr="00953FF8">
        <w:rPr>
          <w:bCs/>
        </w:rPr>
        <w:tab/>
      </w:r>
      <w:r>
        <w:rPr>
          <w:b/>
          <w:bCs/>
        </w:rPr>
        <w:t>Комитет рекомендует государству-участнику обеспечить, чтобы его доклады были доступны общественности с момента их представления и чтобы заключительные замечания Комитета по этим докладам также распространялись среди всех государственных органов, ответственных за осуществление Конвенции, а также публиковались на сайте Департамента внешних сношений и сотрудничества на официальных языках, а при необходимости — и на других широко используемых языках.</w:t>
      </w:r>
    </w:p>
    <w:p w14:paraId="230BCF51" w14:textId="77777777" w:rsidR="00306913" w:rsidRPr="009872C2" w:rsidRDefault="00306913" w:rsidP="00306913">
      <w:pPr>
        <w:pStyle w:val="H23G"/>
      </w:pPr>
      <w:r>
        <w:tab/>
      </w:r>
      <w:r>
        <w:tab/>
      </w:r>
      <w:r>
        <w:rPr>
          <w:bCs/>
        </w:rPr>
        <w:t>Пункты, имеющие особое значение</w:t>
      </w:r>
    </w:p>
    <w:p w14:paraId="171D148B" w14:textId="79CDF579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953FF8">
        <w:rPr>
          <w:bCs/>
        </w:rPr>
        <w:t>35.</w:t>
      </w:r>
      <w:r w:rsidRPr="00953FF8">
        <w:rPr>
          <w:bCs/>
        </w:rPr>
        <w:tab/>
      </w:r>
      <w:r>
        <w:rPr>
          <w:b/>
          <w:bCs/>
        </w:rPr>
        <w:t>Комитет обращает внимание государства-участника на особую значимость рекомендаций, содержащихся в пунктах 18 e) (положение неграждан) и 24 (правовые основы предоставления убежища) выше, и просит государство-участник включить в свой следующий периодический доклад подробную информацию о конкретных мерах, принятых для их выполнения.</w:t>
      </w:r>
    </w:p>
    <w:p w14:paraId="51A9E23A" w14:textId="77777777" w:rsidR="00306913" w:rsidRPr="00953FF8" w:rsidRDefault="00306913" w:rsidP="00306913">
      <w:pPr>
        <w:pStyle w:val="H23G"/>
      </w:pPr>
      <w:r>
        <w:tab/>
      </w:r>
      <w:r>
        <w:tab/>
      </w:r>
      <w:r>
        <w:rPr>
          <w:bCs/>
        </w:rPr>
        <w:t>Последующие меры по выполнению заключительных замечаний</w:t>
      </w:r>
    </w:p>
    <w:p w14:paraId="7D589AB7" w14:textId="21DEC23A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953FF8">
        <w:rPr>
          <w:bCs/>
        </w:rPr>
        <w:t>36.</w:t>
      </w:r>
      <w:r w:rsidRPr="00953FF8">
        <w:rPr>
          <w:bCs/>
        </w:rPr>
        <w:tab/>
      </w:r>
      <w:r>
        <w:rPr>
          <w:b/>
          <w:bCs/>
        </w:rPr>
        <w:t>В соответствии с пунктом 1 статьи 9 Конвенции и правилом 65 своих правил процедуры Комитет просит государство-участник предоставить в течение одного года с момента принятия настоящих заключительных замечаний информацию о последующих мерах по выполнению рекомендаций, содержащихся в пунктах 22 c) (борьба с торговлей людьми) и 26 c) и e) (жалобы на расовую дискриминацию и доступ к правосудию) выше.</w:t>
      </w:r>
    </w:p>
    <w:p w14:paraId="4B3461E8" w14:textId="419F9332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953FF8">
        <w:rPr>
          <w:bCs/>
        </w:rPr>
        <w:t>37.</w:t>
      </w:r>
      <w:r w:rsidRPr="00953FF8">
        <w:rPr>
          <w:bCs/>
        </w:rPr>
        <w:tab/>
      </w:r>
      <w:r>
        <w:rPr>
          <w:b/>
          <w:bCs/>
        </w:rPr>
        <w:t>Комитет выражает признательность государству-участнику за своевременное предоставление запрошенной информации о последующих мерах во исполнение его предыдущих заключительных замечаний</w:t>
      </w:r>
      <w:r w:rsidRPr="00F507DF">
        <w:rPr>
          <w:rStyle w:val="aa"/>
        </w:rPr>
        <w:footnoteReference w:id="11"/>
      </w:r>
      <w:r>
        <w:rPr>
          <w:b/>
          <w:bCs/>
        </w:rPr>
        <w:t>.</w:t>
      </w:r>
    </w:p>
    <w:p w14:paraId="339CCBD6" w14:textId="77777777" w:rsidR="00306913" w:rsidRPr="009872C2" w:rsidRDefault="00306913" w:rsidP="00306913">
      <w:pPr>
        <w:pStyle w:val="H23G"/>
      </w:pPr>
      <w:r>
        <w:tab/>
      </w:r>
      <w:r>
        <w:tab/>
      </w:r>
      <w:r>
        <w:rPr>
          <w:bCs/>
        </w:rPr>
        <w:t>Подготовка следующего периодического доклада</w:t>
      </w:r>
    </w:p>
    <w:p w14:paraId="2144A051" w14:textId="6770336A" w:rsidR="00306913" w:rsidRPr="00953FF8" w:rsidRDefault="00306913" w:rsidP="00306913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953FF8">
        <w:rPr>
          <w:bCs/>
        </w:rPr>
        <w:t>38.</w:t>
      </w:r>
      <w:r w:rsidRPr="00953FF8">
        <w:rPr>
          <w:bCs/>
        </w:rPr>
        <w:tab/>
      </w:r>
      <w:r>
        <w:rPr>
          <w:b/>
          <w:bCs/>
        </w:rPr>
        <w:t>Комитет рекомендует государству-участнику представить свои объединенные десятый и одиннадцатый периодические доклады в виде единого документа к 27 октября 2028 года с учетом руководящих принципов подготовки докладов об осуществлении Конвенции, принятых Комитетом в ходе его семьдесят первой сессии</w:t>
      </w:r>
      <w:r w:rsidRPr="00F507DF">
        <w:rPr>
          <w:rStyle w:val="aa"/>
        </w:rPr>
        <w:footnoteReference w:id="12"/>
      </w:r>
      <w:r>
        <w:rPr>
          <w:b/>
          <w:bCs/>
        </w:rPr>
        <w:t>, отразив в нем все вопросы, поднятые в настоящих заключительных замечаниях.</w:t>
      </w:r>
      <w:r>
        <w:t xml:space="preserve"> </w:t>
      </w:r>
      <w:r>
        <w:rPr>
          <w:b/>
          <w:bCs/>
        </w:rPr>
        <w:t xml:space="preserve">В свете резолюции </w:t>
      </w:r>
      <w:hyperlink r:id="rId11" w:history="1">
        <w:r w:rsidR="00F50E80" w:rsidRPr="00F50E80">
          <w:rPr>
            <w:rStyle w:val="af1"/>
            <w:b/>
            <w:bCs/>
          </w:rPr>
          <w:t>68/268</w:t>
        </w:r>
      </w:hyperlink>
      <w:r w:rsidR="00F50E80" w:rsidRPr="00F50E80">
        <w:rPr>
          <w:rStyle w:val="af1"/>
          <w:b/>
          <w:bCs/>
        </w:rPr>
        <w:t xml:space="preserve"> </w:t>
      </w:r>
      <w:r>
        <w:rPr>
          <w:b/>
          <w:bCs/>
        </w:rPr>
        <w:t>Генеральной Ассамблеи Комитет настоятельно призывает государство-участник соблюдать установленное для объема периодических докладов ограничение в 21 200 слов.</w:t>
      </w:r>
    </w:p>
    <w:p w14:paraId="60C71984" w14:textId="77777777" w:rsidR="00306913" w:rsidRPr="00953FF8" w:rsidRDefault="00306913" w:rsidP="00306913">
      <w:pPr>
        <w:pStyle w:val="SingleTxtG"/>
        <w:spacing w:before="240" w:after="0"/>
        <w:jc w:val="center"/>
        <w:rPr>
          <w:u w:val="single"/>
        </w:rPr>
      </w:pPr>
      <w:r w:rsidRPr="00953FF8">
        <w:rPr>
          <w:u w:val="single"/>
        </w:rPr>
        <w:tab/>
      </w:r>
      <w:r w:rsidRPr="00953FF8">
        <w:rPr>
          <w:u w:val="single"/>
        </w:rPr>
        <w:tab/>
      </w:r>
      <w:r w:rsidRPr="00953FF8">
        <w:rPr>
          <w:u w:val="single"/>
        </w:rPr>
        <w:tab/>
      </w:r>
    </w:p>
    <w:p w14:paraId="4D58DAD9" w14:textId="33EB4C95" w:rsidR="00306913" w:rsidRPr="00306913" w:rsidRDefault="00306913" w:rsidP="004055E9"/>
    <w:p w14:paraId="42D962D0" w14:textId="77777777" w:rsidR="00381C24" w:rsidRPr="00306913" w:rsidRDefault="00381C24" w:rsidP="004055E9"/>
    <w:sectPr w:rsidR="00381C24" w:rsidRPr="00306913" w:rsidSect="00306913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22D8A" w14:textId="77777777" w:rsidR="00DE64E3" w:rsidRPr="00A312BC" w:rsidRDefault="00DE64E3" w:rsidP="00A312BC"/>
  </w:endnote>
  <w:endnote w:type="continuationSeparator" w:id="0">
    <w:p w14:paraId="3EB220A6" w14:textId="77777777" w:rsidR="00DE64E3" w:rsidRPr="00A312BC" w:rsidRDefault="00DE64E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81E44" w14:textId="18EF8966" w:rsidR="00306913" w:rsidRPr="00306913" w:rsidRDefault="00306913">
    <w:pPr>
      <w:pStyle w:val="a8"/>
    </w:pPr>
    <w:r w:rsidRPr="00306913">
      <w:rPr>
        <w:b/>
        <w:sz w:val="18"/>
      </w:rPr>
      <w:fldChar w:fldCharType="begin"/>
    </w:r>
    <w:r w:rsidRPr="00306913">
      <w:rPr>
        <w:b/>
        <w:sz w:val="18"/>
      </w:rPr>
      <w:instrText xml:space="preserve"> PAGE  \* MERGEFORMAT </w:instrText>
    </w:r>
    <w:r w:rsidRPr="00306913">
      <w:rPr>
        <w:b/>
        <w:sz w:val="18"/>
      </w:rPr>
      <w:fldChar w:fldCharType="separate"/>
    </w:r>
    <w:r w:rsidRPr="00306913">
      <w:rPr>
        <w:b/>
        <w:noProof/>
        <w:sz w:val="18"/>
      </w:rPr>
      <w:t>2</w:t>
    </w:r>
    <w:r w:rsidRPr="00306913">
      <w:rPr>
        <w:b/>
        <w:sz w:val="18"/>
      </w:rPr>
      <w:fldChar w:fldCharType="end"/>
    </w:r>
    <w:r>
      <w:rPr>
        <w:b/>
        <w:sz w:val="18"/>
      </w:rPr>
      <w:tab/>
    </w:r>
    <w:r>
      <w:t>GE.24-23848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B15B1" w14:textId="5A6D70DB" w:rsidR="00306913" w:rsidRPr="00306913" w:rsidRDefault="00306913" w:rsidP="00306913">
    <w:pPr>
      <w:pStyle w:val="a8"/>
      <w:tabs>
        <w:tab w:val="clear" w:pos="9639"/>
        <w:tab w:val="right" w:pos="9638"/>
      </w:tabs>
      <w:rPr>
        <w:b/>
        <w:sz w:val="18"/>
      </w:rPr>
    </w:pPr>
    <w:r>
      <w:t>GE.24-23848</w:t>
    </w:r>
    <w:r>
      <w:tab/>
    </w:r>
    <w:r w:rsidRPr="00306913">
      <w:rPr>
        <w:b/>
        <w:sz w:val="18"/>
      </w:rPr>
      <w:fldChar w:fldCharType="begin"/>
    </w:r>
    <w:r w:rsidRPr="00306913">
      <w:rPr>
        <w:b/>
        <w:sz w:val="18"/>
      </w:rPr>
      <w:instrText xml:space="preserve"> PAGE  \* MERGEFORMAT </w:instrText>
    </w:r>
    <w:r w:rsidRPr="00306913">
      <w:rPr>
        <w:b/>
        <w:sz w:val="18"/>
      </w:rPr>
      <w:fldChar w:fldCharType="separate"/>
    </w:r>
    <w:r w:rsidRPr="00306913">
      <w:rPr>
        <w:b/>
        <w:noProof/>
        <w:sz w:val="18"/>
      </w:rPr>
      <w:t>3</w:t>
    </w:r>
    <w:r w:rsidRPr="0030691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2389D" w14:textId="5F2B8798" w:rsidR="00042B72" w:rsidRPr="00306913" w:rsidRDefault="00306913" w:rsidP="00306913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2E02C1C" wp14:editId="4729622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24-23848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3D5CEA4" wp14:editId="34D7198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230125  </w:t>
    </w:r>
    <w:r w:rsidR="00E912B1">
      <w:rPr>
        <w:lang w:val="en-US"/>
      </w:rPr>
      <w:t>10</w:t>
    </w:r>
    <w:r>
      <w:rPr>
        <w:lang w:val="en-US"/>
      </w:rPr>
      <w:t>0225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14C1A" w14:textId="77777777" w:rsidR="00DE64E3" w:rsidRPr="001075E9" w:rsidRDefault="00DE64E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071E5F1" w14:textId="77777777" w:rsidR="00DE64E3" w:rsidRDefault="00DE64E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12AD1D7" w14:textId="77777777" w:rsidR="00306913" w:rsidRPr="00953FF8" w:rsidRDefault="00306913" w:rsidP="00306913">
      <w:pPr>
        <w:pStyle w:val="ad"/>
      </w:pPr>
      <w:r>
        <w:tab/>
      </w:r>
      <w:r w:rsidRPr="00306913">
        <w:rPr>
          <w:sz w:val="20"/>
        </w:rPr>
        <w:t>*</w:t>
      </w:r>
      <w:r>
        <w:tab/>
        <w:t>Приняты Комитетом на его сто четырнадцатой сессии (25 ноября — 13 декабря 2024 года).</w:t>
      </w:r>
    </w:p>
  </w:footnote>
  <w:footnote w:id="2">
    <w:p w14:paraId="72C10CBB" w14:textId="16BAE133" w:rsidR="00306913" w:rsidRPr="00953FF8" w:rsidRDefault="00306913" w:rsidP="00306913">
      <w:pPr>
        <w:pStyle w:val="ad"/>
      </w:pPr>
      <w:r w:rsidRPr="00F507DF">
        <w:tab/>
      </w:r>
      <w:r w:rsidRPr="00F507DF">
        <w:rPr>
          <w:rStyle w:val="aa"/>
        </w:rPr>
        <w:footnoteRef/>
      </w:r>
      <w:r>
        <w:tab/>
      </w:r>
      <w:r>
        <w:tab/>
      </w:r>
      <w:hyperlink r:id="rId1" w:history="1">
        <w:r w:rsidRPr="00306913">
          <w:rPr>
            <w:rStyle w:val="af1"/>
          </w:rPr>
          <w:t>CERD/C/MCO/7-9</w:t>
        </w:r>
      </w:hyperlink>
      <w:r>
        <w:t>.</w:t>
      </w:r>
    </w:p>
  </w:footnote>
  <w:footnote w:id="3">
    <w:p w14:paraId="731243CA" w14:textId="025E948A" w:rsidR="00306913" w:rsidRPr="00E912B1" w:rsidRDefault="00306913" w:rsidP="00306913">
      <w:pPr>
        <w:pStyle w:val="ad"/>
      </w:pPr>
      <w:r w:rsidRPr="00F22F46">
        <w:tab/>
      </w:r>
      <w:r w:rsidRPr="00F507DF">
        <w:rPr>
          <w:rStyle w:val="aa"/>
        </w:rPr>
        <w:footnoteRef/>
      </w:r>
      <w:r>
        <w:tab/>
        <w:t xml:space="preserve">См. </w:t>
      </w:r>
      <w:hyperlink r:id="rId2" w:history="1">
        <w:r w:rsidRPr="00306913">
          <w:rPr>
            <w:rStyle w:val="af1"/>
            <w:lang w:val="fr-CH"/>
          </w:rPr>
          <w:t>CERD</w:t>
        </w:r>
        <w:r w:rsidRPr="00E912B1">
          <w:rPr>
            <w:rStyle w:val="af1"/>
          </w:rPr>
          <w:t>/</w:t>
        </w:r>
        <w:r w:rsidRPr="00306913">
          <w:rPr>
            <w:rStyle w:val="af1"/>
            <w:lang w:val="fr-CH"/>
          </w:rPr>
          <w:t>C</w:t>
        </w:r>
        <w:r w:rsidRPr="00E912B1">
          <w:rPr>
            <w:rStyle w:val="af1"/>
          </w:rPr>
          <w:t>/</w:t>
        </w:r>
        <w:r w:rsidRPr="00306913">
          <w:rPr>
            <w:rStyle w:val="af1"/>
            <w:lang w:val="fr-CH"/>
          </w:rPr>
          <w:t>SR</w:t>
        </w:r>
        <w:r w:rsidRPr="00E912B1">
          <w:rPr>
            <w:rStyle w:val="af1"/>
          </w:rPr>
          <w:t>.3115</w:t>
        </w:r>
      </w:hyperlink>
      <w:r w:rsidRPr="00E912B1">
        <w:t xml:space="preserve"> </w:t>
      </w:r>
      <w:r>
        <w:t>и</w:t>
      </w:r>
      <w:r w:rsidRPr="00E912B1">
        <w:t xml:space="preserve"> </w:t>
      </w:r>
      <w:hyperlink r:id="rId3" w:history="1">
        <w:r w:rsidRPr="00306913">
          <w:rPr>
            <w:rStyle w:val="af1"/>
            <w:lang w:val="fr-CH"/>
          </w:rPr>
          <w:t>CERD</w:t>
        </w:r>
        <w:r w:rsidRPr="00E912B1">
          <w:rPr>
            <w:rStyle w:val="af1"/>
          </w:rPr>
          <w:t>/</w:t>
        </w:r>
        <w:r w:rsidRPr="00306913">
          <w:rPr>
            <w:rStyle w:val="af1"/>
            <w:lang w:val="fr-CH"/>
          </w:rPr>
          <w:t>C</w:t>
        </w:r>
        <w:r w:rsidRPr="00E912B1">
          <w:rPr>
            <w:rStyle w:val="af1"/>
          </w:rPr>
          <w:t>/</w:t>
        </w:r>
        <w:r w:rsidRPr="00306913">
          <w:rPr>
            <w:rStyle w:val="af1"/>
            <w:lang w:val="fr-CH"/>
          </w:rPr>
          <w:t>SR</w:t>
        </w:r>
        <w:r w:rsidRPr="00E912B1">
          <w:rPr>
            <w:rStyle w:val="af1"/>
          </w:rPr>
          <w:t>.3116</w:t>
        </w:r>
      </w:hyperlink>
      <w:r w:rsidRPr="00E912B1">
        <w:t>.</w:t>
      </w:r>
    </w:p>
  </w:footnote>
  <w:footnote w:id="4">
    <w:p w14:paraId="1EBF7EEA" w14:textId="33208630" w:rsidR="00306913" w:rsidRPr="00953FF8" w:rsidRDefault="00306913" w:rsidP="00306913">
      <w:pPr>
        <w:pStyle w:val="ad"/>
        <w:rPr>
          <w:lang w:val="en-US"/>
        </w:rPr>
      </w:pPr>
      <w:r w:rsidRPr="00E912B1">
        <w:tab/>
      </w:r>
      <w:r w:rsidRPr="00F507DF">
        <w:rPr>
          <w:rStyle w:val="aa"/>
        </w:rPr>
        <w:footnoteRef/>
      </w:r>
      <w:r w:rsidRPr="00953FF8">
        <w:rPr>
          <w:lang w:val="en-US"/>
        </w:rPr>
        <w:tab/>
      </w:r>
      <w:hyperlink r:id="rId4" w:history="1">
        <w:r w:rsidRPr="00306913">
          <w:rPr>
            <w:rStyle w:val="af1"/>
            <w:lang w:val="en-US"/>
          </w:rPr>
          <w:t>CERD/C/MCO/CO/6</w:t>
        </w:r>
      </w:hyperlink>
      <w:r w:rsidRPr="00953FF8">
        <w:rPr>
          <w:lang w:val="en-US"/>
        </w:rPr>
        <w:t xml:space="preserve">, </w:t>
      </w:r>
      <w:r>
        <w:t>п</w:t>
      </w:r>
      <w:r w:rsidRPr="00953FF8">
        <w:rPr>
          <w:lang w:val="en-US"/>
        </w:rPr>
        <w:t>. 6.</w:t>
      </w:r>
    </w:p>
  </w:footnote>
  <w:footnote w:id="5">
    <w:p w14:paraId="3374AB74" w14:textId="40B6818D" w:rsidR="00306913" w:rsidRPr="00953FF8" w:rsidRDefault="00306913" w:rsidP="00306913">
      <w:pPr>
        <w:pStyle w:val="ad"/>
        <w:rPr>
          <w:lang w:val="en-US"/>
        </w:rPr>
      </w:pPr>
      <w:r w:rsidRPr="00953FF8">
        <w:rPr>
          <w:lang w:val="en-US"/>
        </w:rPr>
        <w:tab/>
      </w:r>
      <w:r w:rsidRPr="00F507DF">
        <w:rPr>
          <w:rStyle w:val="aa"/>
        </w:rPr>
        <w:footnoteRef/>
      </w:r>
      <w:r w:rsidRPr="00953FF8">
        <w:rPr>
          <w:lang w:val="en-US"/>
        </w:rPr>
        <w:tab/>
      </w:r>
      <w:hyperlink r:id="rId5" w:history="1">
        <w:r w:rsidRPr="00306913">
          <w:rPr>
            <w:rStyle w:val="af1"/>
            <w:lang w:val="en-US"/>
          </w:rPr>
          <w:t>CERD/C/2007/1</w:t>
        </w:r>
      </w:hyperlink>
      <w:r w:rsidRPr="00953FF8">
        <w:rPr>
          <w:lang w:val="en-US"/>
        </w:rPr>
        <w:t>.</w:t>
      </w:r>
    </w:p>
  </w:footnote>
  <w:footnote w:id="6">
    <w:p w14:paraId="1DE24FD1" w14:textId="23D692C8" w:rsidR="00306913" w:rsidRPr="00953FF8" w:rsidRDefault="00306913" w:rsidP="00306913">
      <w:pPr>
        <w:pStyle w:val="ad"/>
        <w:rPr>
          <w:lang w:val="en-US"/>
        </w:rPr>
      </w:pPr>
      <w:r w:rsidRPr="00953FF8">
        <w:rPr>
          <w:lang w:val="en-US"/>
        </w:rPr>
        <w:tab/>
      </w:r>
      <w:r w:rsidRPr="00F507DF">
        <w:rPr>
          <w:rStyle w:val="aa"/>
        </w:rPr>
        <w:footnoteRef/>
      </w:r>
      <w:r w:rsidRPr="00953FF8">
        <w:rPr>
          <w:lang w:val="en-US"/>
        </w:rPr>
        <w:tab/>
      </w:r>
      <w:hyperlink r:id="rId6" w:history="1">
        <w:r w:rsidRPr="00306913">
          <w:rPr>
            <w:rStyle w:val="af1"/>
            <w:lang w:val="en-US"/>
          </w:rPr>
          <w:t>CERD/C/MCO/CO/6</w:t>
        </w:r>
      </w:hyperlink>
      <w:r w:rsidRPr="00953FF8">
        <w:rPr>
          <w:lang w:val="en-US"/>
        </w:rPr>
        <w:t xml:space="preserve">, </w:t>
      </w:r>
      <w:r>
        <w:t>п</w:t>
      </w:r>
      <w:r w:rsidRPr="00953FF8">
        <w:rPr>
          <w:lang w:val="en-US"/>
        </w:rPr>
        <w:t>. 7.</w:t>
      </w:r>
    </w:p>
  </w:footnote>
  <w:footnote w:id="7">
    <w:p w14:paraId="0E1CD421" w14:textId="77777777" w:rsidR="00306913" w:rsidRPr="00953FF8" w:rsidRDefault="00306913" w:rsidP="00306913">
      <w:pPr>
        <w:pStyle w:val="ad"/>
      </w:pPr>
      <w:r w:rsidRPr="00953FF8">
        <w:rPr>
          <w:lang w:val="en-US"/>
        </w:rPr>
        <w:tab/>
      </w:r>
      <w:r w:rsidRPr="00F507DF">
        <w:rPr>
          <w:rStyle w:val="aa"/>
        </w:rPr>
        <w:footnoteRef/>
      </w:r>
      <w:r>
        <w:tab/>
        <w:t>Там же, п. 9.</w:t>
      </w:r>
    </w:p>
  </w:footnote>
  <w:footnote w:id="8">
    <w:p w14:paraId="0302A93E" w14:textId="77777777" w:rsidR="00306913" w:rsidRPr="00953FF8" w:rsidRDefault="00306913" w:rsidP="00306913">
      <w:pPr>
        <w:pStyle w:val="ad"/>
      </w:pPr>
      <w:r w:rsidRPr="00F507DF">
        <w:tab/>
      </w:r>
      <w:r w:rsidRPr="00F507DF">
        <w:rPr>
          <w:rStyle w:val="aa"/>
        </w:rPr>
        <w:footnoteRef/>
      </w:r>
      <w:r>
        <w:tab/>
        <w:t>Там же, п. 10.</w:t>
      </w:r>
    </w:p>
  </w:footnote>
  <w:footnote w:id="9">
    <w:p w14:paraId="18236C4B" w14:textId="77777777" w:rsidR="00306913" w:rsidRPr="00953FF8" w:rsidRDefault="00306913" w:rsidP="00306913">
      <w:pPr>
        <w:pStyle w:val="ad"/>
      </w:pPr>
      <w:r w:rsidRPr="00F507DF">
        <w:tab/>
      </w:r>
      <w:r w:rsidRPr="00F507DF">
        <w:rPr>
          <w:rStyle w:val="aa"/>
        </w:rPr>
        <w:footnoteRef/>
      </w:r>
      <w:r>
        <w:tab/>
        <w:t>Там же, п. 12.</w:t>
      </w:r>
    </w:p>
  </w:footnote>
  <w:footnote w:id="10">
    <w:p w14:paraId="21FE38A4" w14:textId="77777777" w:rsidR="00306913" w:rsidRPr="00953FF8" w:rsidRDefault="00306913" w:rsidP="00306913">
      <w:pPr>
        <w:pStyle w:val="ad"/>
      </w:pPr>
      <w:r w:rsidRPr="00F507DF">
        <w:tab/>
      </w:r>
      <w:r w:rsidRPr="00F507DF">
        <w:rPr>
          <w:rStyle w:val="aa"/>
        </w:rPr>
        <w:footnoteRef/>
      </w:r>
      <w:r>
        <w:tab/>
        <w:t>Там же, п. 14.</w:t>
      </w:r>
    </w:p>
  </w:footnote>
  <w:footnote w:id="11">
    <w:p w14:paraId="30CFA952" w14:textId="21792F18" w:rsidR="00306913" w:rsidRPr="00953FF8" w:rsidRDefault="00306913" w:rsidP="00306913">
      <w:pPr>
        <w:pStyle w:val="ad"/>
        <w:rPr>
          <w:lang w:val="en-US"/>
        </w:rPr>
      </w:pPr>
      <w:r>
        <w:tab/>
      </w:r>
      <w:r w:rsidRPr="00F507DF">
        <w:rPr>
          <w:rStyle w:val="aa"/>
        </w:rPr>
        <w:footnoteRef/>
      </w:r>
      <w:r w:rsidRPr="00953FF8">
        <w:rPr>
          <w:lang w:val="en-US"/>
        </w:rPr>
        <w:tab/>
      </w:r>
      <w:hyperlink r:id="rId7" w:history="1">
        <w:r w:rsidRPr="00306913">
          <w:rPr>
            <w:rStyle w:val="af1"/>
            <w:lang w:val="en-US"/>
          </w:rPr>
          <w:t>CERD/C/MCO/CO/6/Add.1</w:t>
        </w:r>
      </w:hyperlink>
      <w:r w:rsidRPr="00953FF8">
        <w:rPr>
          <w:lang w:val="en-US"/>
        </w:rPr>
        <w:t xml:space="preserve"> </w:t>
      </w:r>
      <w:r>
        <w:t>и</w:t>
      </w:r>
      <w:r w:rsidRPr="00953FF8">
        <w:rPr>
          <w:lang w:val="en-US"/>
        </w:rPr>
        <w:t xml:space="preserve"> </w:t>
      </w:r>
      <w:hyperlink r:id="rId8" w:history="1">
        <w:r w:rsidRPr="00306913">
          <w:rPr>
            <w:rStyle w:val="af1"/>
            <w:lang w:val="en-US"/>
          </w:rPr>
          <w:t>CERD/C/MCO/CO/6</w:t>
        </w:r>
      </w:hyperlink>
      <w:r w:rsidRPr="00953FF8">
        <w:rPr>
          <w:lang w:val="en-US"/>
        </w:rPr>
        <w:t xml:space="preserve">, </w:t>
      </w:r>
      <w:r>
        <w:t>п</w:t>
      </w:r>
      <w:r w:rsidRPr="00953FF8">
        <w:rPr>
          <w:lang w:val="en-US"/>
        </w:rPr>
        <w:t>. 20.</w:t>
      </w:r>
    </w:p>
  </w:footnote>
  <w:footnote w:id="12">
    <w:p w14:paraId="299F7C0B" w14:textId="7AEFCABE" w:rsidR="00306913" w:rsidRPr="006A0864" w:rsidRDefault="00306913" w:rsidP="00306913">
      <w:pPr>
        <w:pStyle w:val="ad"/>
      </w:pPr>
      <w:r w:rsidRPr="00953FF8">
        <w:rPr>
          <w:lang w:val="en-US"/>
        </w:rPr>
        <w:tab/>
      </w:r>
      <w:r w:rsidRPr="00F507DF">
        <w:rPr>
          <w:rStyle w:val="aa"/>
        </w:rPr>
        <w:footnoteRef/>
      </w:r>
      <w:r>
        <w:tab/>
      </w:r>
      <w:hyperlink r:id="rId9" w:history="1">
        <w:r w:rsidRPr="00306913">
          <w:rPr>
            <w:rStyle w:val="af1"/>
          </w:rPr>
          <w:t>CERD/C/2007/1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B1492" w14:textId="384C5C39" w:rsidR="00306913" w:rsidRPr="00306913" w:rsidRDefault="005873A6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CERD/C/MCO/CO/7-9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EEA3A" w14:textId="5449776E" w:rsidR="00306913" w:rsidRPr="00306913" w:rsidRDefault="005873A6" w:rsidP="0030691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CERD/C/MCO/CO/7-9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A776AB"/>
    <w:multiLevelType w:val="hybridMultilevel"/>
    <w:tmpl w:val="41E8F5C8"/>
    <w:lvl w:ilvl="0" w:tplc="BB2868B8">
      <w:start w:val="1"/>
      <w:numFmt w:val="lowerLetter"/>
      <w:lvlText w:val="%1)"/>
      <w:lvlJc w:val="left"/>
      <w:pPr>
        <w:ind w:left="2421" w:hanging="360"/>
      </w:pPr>
      <w:rPr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3141" w:hanging="360"/>
      </w:p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1" w15:restartNumberingAfterBreak="0">
    <w:nsid w:val="0FDD3629"/>
    <w:multiLevelType w:val="hybridMultilevel"/>
    <w:tmpl w:val="6BF071F0"/>
    <w:lvl w:ilvl="0" w:tplc="795AFF90">
      <w:start w:val="1"/>
      <w:numFmt w:val="lowerLetter"/>
      <w:lvlText w:val="%1)"/>
      <w:lvlJc w:val="left"/>
      <w:pPr>
        <w:ind w:left="1854" w:hanging="360"/>
      </w:pPr>
      <w:rPr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12B3167F"/>
    <w:multiLevelType w:val="hybridMultilevel"/>
    <w:tmpl w:val="9D8684F2"/>
    <w:lvl w:ilvl="0" w:tplc="BA04BEBA">
      <w:start w:val="1"/>
      <w:numFmt w:val="lowerLetter"/>
      <w:lvlText w:val="%1)"/>
      <w:lvlJc w:val="left"/>
      <w:pPr>
        <w:ind w:left="2574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294" w:hanging="360"/>
      </w:pPr>
    </w:lvl>
    <w:lvl w:ilvl="2" w:tplc="FFFFFFFF" w:tentative="1">
      <w:start w:val="1"/>
      <w:numFmt w:val="lowerRoman"/>
      <w:lvlText w:val="%3."/>
      <w:lvlJc w:val="right"/>
      <w:pPr>
        <w:ind w:left="4014" w:hanging="180"/>
      </w:pPr>
    </w:lvl>
    <w:lvl w:ilvl="3" w:tplc="FFFFFFFF" w:tentative="1">
      <w:start w:val="1"/>
      <w:numFmt w:val="decimal"/>
      <w:lvlText w:val="%4."/>
      <w:lvlJc w:val="left"/>
      <w:pPr>
        <w:ind w:left="4734" w:hanging="360"/>
      </w:pPr>
    </w:lvl>
    <w:lvl w:ilvl="4" w:tplc="FFFFFFFF" w:tentative="1">
      <w:start w:val="1"/>
      <w:numFmt w:val="lowerLetter"/>
      <w:lvlText w:val="%5."/>
      <w:lvlJc w:val="left"/>
      <w:pPr>
        <w:ind w:left="5454" w:hanging="360"/>
      </w:pPr>
    </w:lvl>
    <w:lvl w:ilvl="5" w:tplc="FFFFFFFF" w:tentative="1">
      <w:start w:val="1"/>
      <w:numFmt w:val="lowerRoman"/>
      <w:lvlText w:val="%6."/>
      <w:lvlJc w:val="right"/>
      <w:pPr>
        <w:ind w:left="6174" w:hanging="180"/>
      </w:pPr>
    </w:lvl>
    <w:lvl w:ilvl="6" w:tplc="FFFFFFFF" w:tentative="1">
      <w:start w:val="1"/>
      <w:numFmt w:val="decimal"/>
      <w:lvlText w:val="%7."/>
      <w:lvlJc w:val="left"/>
      <w:pPr>
        <w:ind w:left="6894" w:hanging="360"/>
      </w:pPr>
    </w:lvl>
    <w:lvl w:ilvl="7" w:tplc="FFFFFFFF" w:tentative="1">
      <w:start w:val="1"/>
      <w:numFmt w:val="lowerLetter"/>
      <w:lvlText w:val="%8."/>
      <w:lvlJc w:val="left"/>
      <w:pPr>
        <w:ind w:left="7614" w:hanging="360"/>
      </w:pPr>
    </w:lvl>
    <w:lvl w:ilvl="8" w:tplc="FFFFFFFF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3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4" w15:restartNumberingAfterBreak="0">
    <w:nsid w:val="1D881D22"/>
    <w:multiLevelType w:val="hybridMultilevel"/>
    <w:tmpl w:val="BFE2BFBE"/>
    <w:lvl w:ilvl="0" w:tplc="899A39E6">
      <w:start w:val="1"/>
      <w:numFmt w:val="lowerLetter"/>
      <w:lvlText w:val="%1)"/>
      <w:lvlJc w:val="left"/>
      <w:pPr>
        <w:ind w:left="2574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3294" w:hanging="360"/>
      </w:pPr>
    </w:lvl>
    <w:lvl w:ilvl="2" w:tplc="0809001B" w:tentative="1">
      <w:start w:val="1"/>
      <w:numFmt w:val="lowerRoman"/>
      <w:lvlText w:val="%3."/>
      <w:lvlJc w:val="right"/>
      <w:pPr>
        <w:ind w:left="4014" w:hanging="180"/>
      </w:pPr>
    </w:lvl>
    <w:lvl w:ilvl="3" w:tplc="0809000F" w:tentative="1">
      <w:start w:val="1"/>
      <w:numFmt w:val="decimal"/>
      <w:lvlText w:val="%4."/>
      <w:lvlJc w:val="left"/>
      <w:pPr>
        <w:ind w:left="4734" w:hanging="360"/>
      </w:pPr>
    </w:lvl>
    <w:lvl w:ilvl="4" w:tplc="08090019" w:tentative="1">
      <w:start w:val="1"/>
      <w:numFmt w:val="lowerLetter"/>
      <w:lvlText w:val="%5."/>
      <w:lvlJc w:val="left"/>
      <w:pPr>
        <w:ind w:left="5454" w:hanging="360"/>
      </w:pPr>
    </w:lvl>
    <w:lvl w:ilvl="5" w:tplc="0809001B" w:tentative="1">
      <w:start w:val="1"/>
      <w:numFmt w:val="lowerRoman"/>
      <w:lvlText w:val="%6."/>
      <w:lvlJc w:val="right"/>
      <w:pPr>
        <w:ind w:left="6174" w:hanging="180"/>
      </w:pPr>
    </w:lvl>
    <w:lvl w:ilvl="6" w:tplc="0809000F" w:tentative="1">
      <w:start w:val="1"/>
      <w:numFmt w:val="decimal"/>
      <w:lvlText w:val="%7."/>
      <w:lvlJc w:val="left"/>
      <w:pPr>
        <w:ind w:left="6894" w:hanging="360"/>
      </w:pPr>
    </w:lvl>
    <w:lvl w:ilvl="7" w:tplc="08090019" w:tentative="1">
      <w:start w:val="1"/>
      <w:numFmt w:val="lowerLetter"/>
      <w:lvlText w:val="%8."/>
      <w:lvlJc w:val="left"/>
      <w:pPr>
        <w:ind w:left="7614" w:hanging="360"/>
      </w:pPr>
    </w:lvl>
    <w:lvl w:ilvl="8" w:tplc="0809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5" w15:restartNumberingAfterBreak="0">
    <w:nsid w:val="296951EE"/>
    <w:multiLevelType w:val="hybridMultilevel"/>
    <w:tmpl w:val="A1DCF276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B50073"/>
    <w:multiLevelType w:val="hybridMultilevel"/>
    <w:tmpl w:val="B23E9E52"/>
    <w:lvl w:ilvl="0" w:tplc="08090017">
      <w:start w:val="1"/>
      <w:numFmt w:val="lowerLetter"/>
      <w:lvlText w:val="%1)"/>
      <w:lvlJc w:val="left"/>
      <w:pPr>
        <w:ind w:left="2421" w:hanging="360"/>
      </w:pPr>
    </w:lvl>
    <w:lvl w:ilvl="1" w:tplc="08090019" w:tentative="1">
      <w:start w:val="1"/>
      <w:numFmt w:val="lowerLetter"/>
      <w:lvlText w:val="%2."/>
      <w:lvlJc w:val="left"/>
      <w:pPr>
        <w:ind w:left="3141" w:hanging="360"/>
      </w:p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8" w15:restartNumberingAfterBreak="0">
    <w:nsid w:val="3B66056D"/>
    <w:multiLevelType w:val="hybridMultilevel"/>
    <w:tmpl w:val="E7AC4356"/>
    <w:lvl w:ilvl="0" w:tplc="A7E6A73C">
      <w:start w:val="1"/>
      <w:numFmt w:val="decimal"/>
      <w:lvlText w:val="%1."/>
      <w:lvlJc w:val="left"/>
      <w:pPr>
        <w:ind w:left="1854" w:hanging="360"/>
      </w:pPr>
      <w:rPr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1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E3032E5"/>
    <w:multiLevelType w:val="hybridMultilevel"/>
    <w:tmpl w:val="5400068E"/>
    <w:lvl w:ilvl="0" w:tplc="DBF4B0CA">
      <w:start w:val="1"/>
      <w:numFmt w:val="lowerLetter"/>
      <w:lvlText w:val="%1)"/>
      <w:lvlJc w:val="left"/>
      <w:pPr>
        <w:ind w:left="1854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064063080">
    <w:abstractNumId w:val="24"/>
  </w:num>
  <w:num w:numId="2" w16cid:durableId="224024604">
    <w:abstractNumId w:val="16"/>
  </w:num>
  <w:num w:numId="3" w16cid:durableId="804468468">
    <w:abstractNumId w:val="13"/>
  </w:num>
  <w:num w:numId="4" w16cid:durableId="1936205651">
    <w:abstractNumId w:val="25"/>
  </w:num>
  <w:num w:numId="5" w16cid:durableId="1407417131">
    <w:abstractNumId w:val="20"/>
  </w:num>
  <w:num w:numId="6" w16cid:durableId="1249384599">
    <w:abstractNumId w:val="8"/>
  </w:num>
  <w:num w:numId="7" w16cid:durableId="725690659">
    <w:abstractNumId w:val="3"/>
  </w:num>
  <w:num w:numId="8" w16cid:durableId="587230704">
    <w:abstractNumId w:val="2"/>
  </w:num>
  <w:num w:numId="9" w16cid:durableId="1228298274">
    <w:abstractNumId w:val="1"/>
  </w:num>
  <w:num w:numId="10" w16cid:durableId="1040662605">
    <w:abstractNumId w:val="0"/>
  </w:num>
  <w:num w:numId="11" w16cid:durableId="439957537">
    <w:abstractNumId w:val="9"/>
  </w:num>
  <w:num w:numId="12" w16cid:durableId="1609579333">
    <w:abstractNumId w:val="7"/>
  </w:num>
  <w:num w:numId="13" w16cid:durableId="1183520733">
    <w:abstractNumId w:val="6"/>
  </w:num>
  <w:num w:numId="14" w16cid:durableId="443690586">
    <w:abstractNumId w:val="5"/>
  </w:num>
  <w:num w:numId="15" w16cid:durableId="1823234533">
    <w:abstractNumId w:val="4"/>
  </w:num>
  <w:num w:numId="16" w16cid:durableId="2085683281">
    <w:abstractNumId w:val="23"/>
  </w:num>
  <w:num w:numId="17" w16cid:durableId="366637293">
    <w:abstractNumId w:val="19"/>
  </w:num>
  <w:num w:numId="18" w16cid:durableId="116720568">
    <w:abstractNumId w:val="21"/>
  </w:num>
  <w:num w:numId="19" w16cid:durableId="212427639">
    <w:abstractNumId w:val="23"/>
  </w:num>
  <w:num w:numId="20" w16cid:durableId="916980932">
    <w:abstractNumId w:val="19"/>
  </w:num>
  <w:num w:numId="21" w16cid:durableId="857239583">
    <w:abstractNumId w:val="21"/>
  </w:num>
  <w:num w:numId="22" w16cid:durableId="1781954917">
    <w:abstractNumId w:val="18"/>
  </w:num>
  <w:num w:numId="23" w16cid:durableId="887640994">
    <w:abstractNumId w:val="15"/>
  </w:num>
  <w:num w:numId="24" w16cid:durableId="827401017">
    <w:abstractNumId w:val="17"/>
  </w:num>
  <w:num w:numId="25" w16cid:durableId="230848643">
    <w:abstractNumId w:val="14"/>
  </w:num>
  <w:num w:numId="26" w16cid:durableId="1647709540">
    <w:abstractNumId w:val="12"/>
  </w:num>
  <w:num w:numId="27" w16cid:durableId="1200242418">
    <w:abstractNumId w:val="10"/>
  </w:num>
  <w:num w:numId="28" w16cid:durableId="225532048">
    <w:abstractNumId w:val="11"/>
  </w:num>
  <w:num w:numId="29" w16cid:durableId="1019694071">
    <w:abstractNumId w:val="2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4E3"/>
    <w:rsid w:val="00033EE1"/>
    <w:rsid w:val="00042B72"/>
    <w:rsid w:val="000558BD"/>
    <w:rsid w:val="000B57E7"/>
    <w:rsid w:val="000B6373"/>
    <w:rsid w:val="000E16DE"/>
    <w:rsid w:val="000F09DF"/>
    <w:rsid w:val="000F61B2"/>
    <w:rsid w:val="001075E9"/>
    <w:rsid w:val="00166E1A"/>
    <w:rsid w:val="00180183"/>
    <w:rsid w:val="0018024D"/>
    <w:rsid w:val="0018649F"/>
    <w:rsid w:val="00196389"/>
    <w:rsid w:val="001B3EF6"/>
    <w:rsid w:val="001C7A89"/>
    <w:rsid w:val="00256CA9"/>
    <w:rsid w:val="002A2EFC"/>
    <w:rsid w:val="002B6010"/>
    <w:rsid w:val="002B74B1"/>
    <w:rsid w:val="002C0E18"/>
    <w:rsid w:val="002D5AAC"/>
    <w:rsid w:val="002E5067"/>
    <w:rsid w:val="002F405F"/>
    <w:rsid w:val="002F7EEC"/>
    <w:rsid w:val="00301299"/>
    <w:rsid w:val="00305C08"/>
    <w:rsid w:val="00306913"/>
    <w:rsid w:val="00307FB6"/>
    <w:rsid w:val="00317339"/>
    <w:rsid w:val="00322004"/>
    <w:rsid w:val="003402C2"/>
    <w:rsid w:val="00381C24"/>
    <w:rsid w:val="003958D0"/>
    <w:rsid w:val="003A6859"/>
    <w:rsid w:val="003B00E5"/>
    <w:rsid w:val="003D11EA"/>
    <w:rsid w:val="004055E9"/>
    <w:rsid w:val="00407B78"/>
    <w:rsid w:val="00424203"/>
    <w:rsid w:val="00452493"/>
    <w:rsid w:val="00453318"/>
    <w:rsid w:val="00454E07"/>
    <w:rsid w:val="00472C5C"/>
    <w:rsid w:val="004A1C15"/>
    <w:rsid w:val="004B0978"/>
    <w:rsid w:val="004E104A"/>
    <w:rsid w:val="0050108D"/>
    <w:rsid w:val="00503601"/>
    <w:rsid w:val="00513081"/>
    <w:rsid w:val="00517901"/>
    <w:rsid w:val="00526683"/>
    <w:rsid w:val="0057071C"/>
    <w:rsid w:val="005709E0"/>
    <w:rsid w:val="00572E19"/>
    <w:rsid w:val="005873A6"/>
    <w:rsid w:val="005961C8"/>
    <w:rsid w:val="005C1733"/>
    <w:rsid w:val="005D7914"/>
    <w:rsid w:val="005E2B41"/>
    <w:rsid w:val="005F0B42"/>
    <w:rsid w:val="005F3380"/>
    <w:rsid w:val="00627C61"/>
    <w:rsid w:val="006306AC"/>
    <w:rsid w:val="00641A8C"/>
    <w:rsid w:val="0067000F"/>
    <w:rsid w:val="00681A10"/>
    <w:rsid w:val="006A1ED8"/>
    <w:rsid w:val="006C2031"/>
    <w:rsid w:val="006D461A"/>
    <w:rsid w:val="006F35EE"/>
    <w:rsid w:val="007021FF"/>
    <w:rsid w:val="00702289"/>
    <w:rsid w:val="00706B3D"/>
    <w:rsid w:val="00712895"/>
    <w:rsid w:val="00757357"/>
    <w:rsid w:val="007C46C9"/>
    <w:rsid w:val="007C49AB"/>
    <w:rsid w:val="00825F8D"/>
    <w:rsid w:val="00834B71"/>
    <w:rsid w:val="0086445C"/>
    <w:rsid w:val="00894693"/>
    <w:rsid w:val="008A08D7"/>
    <w:rsid w:val="008A3166"/>
    <w:rsid w:val="008B227E"/>
    <w:rsid w:val="008B360C"/>
    <w:rsid w:val="008B6909"/>
    <w:rsid w:val="008C1299"/>
    <w:rsid w:val="008D2AAD"/>
    <w:rsid w:val="0090054A"/>
    <w:rsid w:val="00906890"/>
    <w:rsid w:val="00911BE4"/>
    <w:rsid w:val="00951972"/>
    <w:rsid w:val="009608F3"/>
    <w:rsid w:val="009A24AC"/>
    <w:rsid w:val="009D5FCE"/>
    <w:rsid w:val="00A14DA8"/>
    <w:rsid w:val="00A312BC"/>
    <w:rsid w:val="00A84021"/>
    <w:rsid w:val="00A84D35"/>
    <w:rsid w:val="00A917B3"/>
    <w:rsid w:val="00AB4B51"/>
    <w:rsid w:val="00B10CC7"/>
    <w:rsid w:val="00B27969"/>
    <w:rsid w:val="00B32719"/>
    <w:rsid w:val="00B36DF7"/>
    <w:rsid w:val="00B52942"/>
    <w:rsid w:val="00B539E7"/>
    <w:rsid w:val="00B62458"/>
    <w:rsid w:val="00B67B12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536C4"/>
    <w:rsid w:val="00D90028"/>
    <w:rsid w:val="00D90138"/>
    <w:rsid w:val="00DB085C"/>
    <w:rsid w:val="00DD1D1E"/>
    <w:rsid w:val="00DD78D1"/>
    <w:rsid w:val="00DE32CD"/>
    <w:rsid w:val="00DE64E3"/>
    <w:rsid w:val="00DF6F2D"/>
    <w:rsid w:val="00DF71B9"/>
    <w:rsid w:val="00E32125"/>
    <w:rsid w:val="00E73F76"/>
    <w:rsid w:val="00E912B1"/>
    <w:rsid w:val="00EA2C9F"/>
    <w:rsid w:val="00EA420E"/>
    <w:rsid w:val="00ED0BDA"/>
    <w:rsid w:val="00ED743C"/>
    <w:rsid w:val="00EF1360"/>
    <w:rsid w:val="00EF3220"/>
    <w:rsid w:val="00F0540A"/>
    <w:rsid w:val="00F27C71"/>
    <w:rsid w:val="00F41B03"/>
    <w:rsid w:val="00F43903"/>
    <w:rsid w:val="00F50E80"/>
    <w:rsid w:val="00F94155"/>
    <w:rsid w:val="00F9783F"/>
    <w:rsid w:val="00FC255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A78610"/>
  <w15:docId w15:val="{053108DC-23AC-4BE2-872B-E8B5909B7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055E9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6306AC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41A8C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27C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27C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6306A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6306AC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6306AC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055E9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6306AC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6306AC"/>
  </w:style>
  <w:style w:type="character" w:customStyle="1" w:styleId="af0">
    <w:name w:val="Текст концевой сноски Знак"/>
    <w:aliases w:val="2_G Знак"/>
    <w:basedOn w:val="a0"/>
    <w:link w:val="af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6306AC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6306AC"/>
    <w:rPr>
      <w:color w:val="0000FF"/>
      <w:u w:val="none"/>
    </w:rPr>
  </w:style>
  <w:style w:type="character" w:styleId="af2">
    <w:name w:val="FollowedHyperlink"/>
    <w:basedOn w:val="a0"/>
    <w:rsid w:val="006306AC"/>
    <w:rPr>
      <w:color w:val="0000FF"/>
      <w:u w:val="none"/>
    </w:rPr>
  </w:style>
  <w:style w:type="character" w:customStyle="1" w:styleId="HChGChar">
    <w:name w:val="_ H _Ch_G Char"/>
    <w:link w:val="HChG"/>
    <w:rsid w:val="00306913"/>
    <w:rPr>
      <w:b/>
      <w:sz w:val="28"/>
      <w:lang w:val="ru-RU" w:eastAsia="ru-RU"/>
    </w:rPr>
  </w:style>
  <w:style w:type="character" w:customStyle="1" w:styleId="SingleTxtGChar">
    <w:name w:val="_ Single Txt_G Char"/>
    <w:link w:val="SingleTxtG"/>
    <w:locked/>
    <w:rsid w:val="00306913"/>
    <w:rPr>
      <w:lang w:val="ru-RU" w:eastAsia="en-US"/>
    </w:rPr>
  </w:style>
  <w:style w:type="character" w:customStyle="1" w:styleId="H1GChar">
    <w:name w:val="_ H_1_G Char"/>
    <w:link w:val="H1G"/>
    <w:locked/>
    <w:rsid w:val="00306913"/>
    <w:rPr>
      <w:b/>
      <w:sz w:val="24"/>
      <w:lang w:val="ru-RU" w:eastAsia="ru-RU"/>
    </w:rPr>
  </w:style>
  <w:style w:type="character" w:customStyle="1" w:styleId="H23GChar">
    <w:name w:val="_ H_2/3_G Char"/>
    <w:link w:val="H23G"/>
    <w:locked/>
    <w:rsid w:val="00306913"/>
    <w:rPr>
      <w:b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3069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RES/47/111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ru/A/RES/68/268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undocs.org/ru/A/RES/69/1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ndocs.org/ru/A/RES/68/237" TargetMode="Externa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ERD/C/MCO/CO/6" TargetMode="External"/><Relationship Id="rId3" Type="http://schemas.openxmlformats.org/officeDocument/2006/relationships/hyperlink" Target="http://undocs.org/en/CERD/C/SR.3116" TargetMode="External"/><Relationship Id="rId7" Type="http://schemas.openxmlformats.org/officeDocument/2006/relationships/hyperlink" Target="http://undocs.org/fr/CERD/C/MCO/CO/6/Add.1" TargetMode="External"/><Relationship Id="rId2" Type="http://schemas.openxmlformats.org/officeDocument/2006/relationships/hyperlink" Target="http://undocs.org/en/CERD/C/SR.3115" TargetMode="External"/><Relationship Id="rId1" Type="http://schemas.openxmlformats.org/officeDocument/2006/relationships/hyperlink" Target="http://undocs.org/en/CERD/C/MCO/7-9" TargetMode="External"/><Relationship Id="rId6" Type="http://schemas.openxmlformats.org/officeDocument/2006/relationships/hyperlink" Target="http://undocs.org/ru/CERD/C/MCO/CO/6" TargetMode="External"/><Relationship Id="rId5" Type="http://schemas.openxmlformats.org/officeDocument/2006/relationships/hyperlink" Target="http://undocs.org/ru/CERD/C/2007/1" TargetMode="External"/><Relationship Id="rId4" Type="http://schemas.openxmlformats.org/officeDocument/2006/relationships/hyperlink" Target="http://undocs.org/ru/CERD/C/MCO/CO/6" TargetMode="External"/><Relationship Id="rId9" Type="http://schemas.openxmlformats.org/officeDocument/2006/relationships/hyperlink" Target="http://undocs.org/ru/CERD/C/2007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2</TotalTime>
  <Pages>10</Pages>
  <Words>3896</Words>
  <Characters>26481</Characters>
  <Application>Microsoft Office Word</Application>
  <DocSecurity>0</DocSecurity>
  <Lines>482</Lines>
  <Paragraphs>109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CERD/C/MCO/CO/7-9</vt:lpstr>
      <vt:lpstr>A/</vt:lpstr>
      <vt:lpstr>A/</vt:lpstr>
    </vt:vector>
  </TitlesOfParts>
  <Company>DCM</Company>
  <LinksUpToDate>false</LinksUpToDate>
  <CharactersWithSpaces>30330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CERD/C/MCO/CO/7-9</dc:title>
  <dc:subject/>
  <dc:creator>Sharkina</dc:creator>
  <cp:keywords/>
  <cp:lastModifiedBy>Sharkina</cp:lastModifiedBy>
  <cp:revision>3</cp:revision>
  <cp:lastPrinted>2025-02-10T16:31:00Z</cp:lastPrinted>
  <dcterms:created xsi:type="dcterms:W3CDTF">2025-02-10T16:31:00Z</dcterms:created>
  <dcterms:modified xsi:type="dcterms:W3CDTF">2025-02-10T16:32:00Z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