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tabs>
          <w:tab w:val="right" w:pos="1022"/>
          <w:tab w:val="left" w:pos="1267"/>
          <w:tab w:val="left" w:pos="1742"/>
          <w:tab w:val="left" w:pos="2218"/>
          <w:tab w:val="left" w:pos="2340"/>
          <w:tab w:val="left" w:pos="2693"/>
          <w:tab w:val="left" w:pos="3182"/>
          <w:tab w:val="left" w:pos="3658"/>
          <w:tab w:val="left" w:pos="4133"/>
          <w:tab w:val="left" w:pos="4622"/>
          <w:tab w:val="left" w:pos="5098"/>
          <w:tab w:val="left" w:pos="5573"/>
          <w:tab w:val="left" w:pos="6048"/>
        </w:tabs>
        <w:ind w:right="1267"/>
      </w:pPr>
      <w:r>
        <w:t>Comité para la Eliminación de la Discriminación</w:t>
      </w:r>
      <w:r>
        <w:br/>
        <w:t>contra la Mujer</w:t>
      </w:r>
    </w:p>
    <w:p w:rsidR="00000000" w:rsidRDefault="00000000">
      <w:pPr>
        <w:tabs>
          <w:tab w:val="left" w:pos="2340"/>
        </w:tabs>
        <w:spacing w:line="120" w:lineRule="exact"/>
        <w:rPr>
          <w:sz w:val="10"/>
        </w:rPr>
      </w:pPr>
    </w:p>
    <w:p w:rsidR="00000000" w:rsidRDefault="00000000">
      <w:pPr>
        <w:tabs>
          <w:tab w:val="left" w:pos="2340"/>
        </w:tabs>
        <w:spacing w:line="120" w:lineRule="exact"/>
        <w:rPr>
          <w:sz w:val="10"/>
        </w:rPr>
      </w:pPr>
    </w:p>
    <w:p w:rsidR="00000000" w:rsidRDefault="00000000">
      <w:pPr>
        <w:tabs>
          <w:tab w:val="left" w:pos="2340"/>
        </w:tabs>
        <w:spacing w:line="120" w:lineRule="exact"/>
        <w:rPr>
          <w:sz w:val="10"/>
        </w:rPr>
      </w:pPr>
    </w:p>
    <w:p w:rsidR="00000000" w:rsidRDefault="00000000">
      <w:pPr>
        <w:pStyle w:val="HCh"/>
        <w:tabs>
          <w:tab w:val="right" w:pos="1022"/>
          <w:tab w:val="left" w:pos="1267"/>
          <w:tab w:val="left" w:pos="1742"/>
          <w:tab w:val="left" w:pos="2218"/>
          <w:tab w:val="left" w:pos="2340"/>
          <w:tab w:val="left" w:pos="2693"/>
          <w:tab w:val="left" w:pos="3182"/>
          <w:tab w:val="left" w:pos="3658"/>
          <w:tab w:val="left" w:pos="4133"/>
          <w:tab w:val="left" w:pos="4622"/>
          <w:tab w:val="left" w:pos="5098"/>
          <w:tab w:val="left" w:pos="5573"/>
          <w:tab w:val="left" w:pos="6048"/>
        </w:tabs>
        <w:ind w:left="1267" w:right="1260" w:hanging="1267"/>
      </w:pPr>
      <w:r>
        <w:tab/>
      </w:r>
      <w:r>
        <w:tab/>
        <w:t>Examen de los informes presentados por los Estados partes en virtud del artículo 18 de la Convención sobre la eliminación de todas las formas de discriminación contra la mujer</w:t>
      </w:r>
    </w:p>
    <w:p w:rsidR="00000000" w:rsidRDefault="00000000">
      <w:pPr>
        <w:pStyle w:val="SingleTxt"/>
        <w:tabs>
          <w:tab w:val="left" w:pos="2340"/>
        </w:tabs>
        <w:spacing w:after="0" w:line="120" w:lineRule="exact"/>
        <w:rPr>
          <w:sz w:val="10"/>
        </w:rPr>
      </w:pPr>
    </w:p>
    <w:p w:rsidR="00000000" w:rsidRDefault="00000000">
      <w:pPr>
        <w:pStyle w:val="SingleTxt"/>
        <w:tabs>
          <w:tab w:val="left" w:pos="2340"/>
        </w:tabs>
        <w:spacing w:after="0" w:line="120" w:lineRule="exact"/>
        <w:rPr>
          <w:sz w:val="10"/>
        </w:rPr>
      </w:pPr>
    </w:p>
    <w:p w:rsidR="00000000" w:rsidRDefault="00000000">
      <w:pPr>
        <w:pStyle w:val="H1"/>
        <w:tabs>
          <w:tab w:val="right" w:pos="1022"/>
          <w:tab w:val="left" w:pos="1267"/>
          <w:tab w:val="left" w:pos="1742"/>
          <w:tab w:val="left" w:pos="2218"/>
          <w:tab w:val="left" w:pos="2340"/>
          <w:tab w:val="left" w:pos="2693"/>
          <w:tab w:val="left" w:pos="3182"/>
          <w:tab w:val="left" w:pos="3658"/>
          <w:tab w:val="left" w:pos="4133"/>
          <w:tab w:val="left" w:pos="4622"/>
          <w:tab w:val="left" w:pos="5098"/>
          <w:tab w:val="left" w:pos="5573"/>
          <w:tab w:val="left" w:pos="6048"/>
        </w:tabs>
        <w:ind w:left="1267" w:right="1260" w:hanging="1267"/>
      </w:pPr>
      <w:r>
        <w:tab/>
      </w:r>
      <w:r>
        <w:tab/>
        <w:t>Informes periódicos cuarto, quinto y sexto presentados por los Estados partes</w:t>
      </w:r>
    </w:p>
    <w:p w:rsidR="00000000" w:rsidRDefault="00000000">
      <w:pPr>
        <w:pStyle w:val="SingleTxt"/>
        <w:tabs>
          <w:tab w:val="left" w:pos="2340"/>
        </w:tabs>
        <w:spacing w:after="0" w:line="120" w:lineRule="exact"/>
        <w:rPr>
          <w:sz w:val="10"/>
        </w:rPr>
      </w:pPr>
    </w:p>
    <w:p w:rsidR="00000000" w:rsidRDefault="00000000">
      <w:pPr>
        <w:pStyle w:val="SingleTxt"/>
        <w:tabs>
          <w:tab w:val="left" w:pos="2340"/>
        </w:tabs>
        <w:spacing w:after="0" w:line="120" w:lineRule="exact"/>
        <w:rPr>
          <w:sz w:val="10"/>
        </w:rPr>
      </w:pPr>
    </w:p>
    <w:p w:rsidR="00000000" w:rsidRDefault="00000000">
      <w:pPr>
        <w:pStyle w:val="HCh"/>
        <w:tabs>
          <w:tab w:val="right" w:pos="1022"/>
          <w:tab w:val="left" w:pos="1267"/>
          <w:tab w:val="left" w:pos="1742"/>
          <w:tab w:val="left" w:pos="2218"/>
          <w:tab w:val="left" w:pos="2340"/>
          <w:tab w:val="left" w:pos="2693"/>
          <w:tab w:val="left" w:pos="3182"/>
          <w:tab w:val="left" w:pos="3658"/>
          <w:tab w:val="left" w:pos="4133"/>
          <w:tab w:val="left" w:pos="4622"/>
          <w:tab w:val="left" w:pos="5098"/>
          <w:tab w:val="left" w:pos="5573"/>
          <w:tab w:val="left" w:pos="6048"/>
        </w:tabs>
        <w:ind w:left="1267" w:right="1260" w:hanging="1267"/>
        <w:rPr>
          <w:sz w:val="20"/>
        </w:rPr>
      </w:pPr>
      <w:r>
        <w:tab/>
      </w:r>
      <w:r>
        <w:tab/>
        <w:t>Venezuela (República Bolivariana de)</w:t>
      </w:r>
      <w:r>
        <w:rPr>
          <w:sz w:val="20"/>
        </w:rPr>
        <w:t>*</w:t>
      </w:r>
    </w:p>
    <w:p w:rsidR="00000000" w:rsidRDefault="00000000">
      <w:pPr>
        <w:framePr w:w="9792" w:h="432" w:hSpace="180" w:wrap="around" w:hAnchor="page" w:x="1210" w:yAlign="bottom"/>
        <w:tabs>
          <w:tab w:val="left" w:pos="2340"/>
        </w:tabs>
        <w:spacing w:line="240" w:lineRule="auto"/>
        <w:rPr>
          <w:sz w:val="10"/>
        </w:rPr>
      </w:pPr>
    </w:p>
    <w:p w:rsidR="00000000" w:rsidRDefault="00000000">
      <w:pPr>
        <w:framePr w:w="9792" w:h="432" w:hSpace="180" w:wrap="around" w:hAnchor="page" w:x="1210" w:yAlign="bottom"/>
        <w:tabs>
          <w:tab w:val="left" w:pos="2340"/>
        </w:tabs>
        <w:spacing w:line="240" w:lineRule="auto"/>
        <w:rPr>
          <w:sz w:val="6"/>
        </w:rPr>
      </w:pPr>
      <w:r>
        <w:rPr>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340"/>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Publicado nuevamente por razones técnicas.</w:t>
      </w:r>
    </w:p>
    <w:p w:rsidR="00000000" w:rsidRDefault="00000000">
      <w:pPr>
        <w:framePr w:w="9792" w:h="432" w:hSpace="180" w:wrap="around" w:hAnchor="page" w:x="1210" w:yAlign="bottom"/>
        <w:tabs>
          <w:tab w:val="right" w:pos="1195"/>
          <w:tab w:val="left" w:pos="1267"/>
          <w:tab w:val="left" w:pos="1742"/>
          <w:tab w:val="left" w:pos="2218"/>
          <w:tab w:val="left" w:pos="2340"/>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El presente documento no ha sido objeto de revisión editorial.</w:t>
      </w:r>
    </w:p>
    <w:p w:rsidR="00000000" w:rsidRDefault="00000000">
      <w:pPr>
        <w:framePr w:w="9792" w:h="432" w:hSpace="180" w:wrap="around" w:hAnchor="page" w:x="1210" w:yAlign="bottom"/>
        <w:tabs>
          <w:tab w:val="right" w:pos="1195"/>
          <w:tab w:val="left" w:pos="1267"/>
          <w:tab w:val="left" w:pos="1742"/>
          <w:tab w:val="left" w:pos="2218"/>
          <w:tab w:val="left" w:pos="2340"/>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t>El informe inicial presentado por el Gobierno de Venezuela figura en el documento CEDAW/C/5/Add.24, que fue examinado por el Comité en su quinta sesión. El segundo informe periódico presentado por el Gobierno de Venezuela figura en el documento CEDAW/C/13/Add.21 y el tercer informe periódico presentado por el Gobierno de Venezuela figura en el documento CEDAW/C/VEN/3.</w:t>
      </w:r>
    </w:p>
    <w:p w:rsidR="00000000" w:rsidRDefault="00000000">
      <w:pPr>
        <w:pStyle w:val="SingleTxt"/>
        <w:tabs>
          <w:tab w:val="left" w:pos="2340"/>
        </w:tabs>
        <w:spacing w:after="0" w:line="120" w:lineRule="exact"/>
        <w:rPr>
          <w:sz w:val="10"/>
        </w:rPr>
      </w:pPr>
    </w:p>
    <w:p w:rsidR="00000000" w:rsidRDefault="00000000">
      <w:pPr>
        <w:pStyle w:val="SingleTxt"/>
        <w:tabs>
          <w:tab w:val="left" w:pos="2340"/>
        </w:tabs>
        <w:spacing w:after="0" w:line="120" w:lineRule="exact"/>
        <w:rPr>
          <w:sz w:val="10"/>
        </w:rPr>
      </w:pPr>
    </w:p>
    <w:p w:rsidR="00000000" w:rsidRDefault="00000000">
      <w:pPr>
        <w:tabs>
          <w:tab w:val="left" w:pos="2340"/>
        </w:tabs>
        <w:spacing w:line="240" w:lineRule="auto"/>
        <w:rPr>
          <w:sz w:val="2"/>
        </w:rPr>
        <w:sectPr w:rsidR="00000000">
          <w:endnotePr>
            <w:numFmt w:val="decimal"/>
          </w:endnotePr>
          <w:type w:val="continuous"/>
          <w:pgSz w:w="12240" w:h="15840" w:code="1"/>
          <w:pgMar w:top="1742" w:right="1195" w:bottom="1898" w:left="1195" w:header="576" w:footer="1030" w:gutter="0"/>
          <w:cols w:space="720"/>
          <w:noEndnote/>
        </w:sectPr>
      </w:pPr>
      <w:r>
        <w:br w:type="page"/>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04"/>
        </w:numPr>
        <w:tabs>
          <w:tab w:val="clear" w:pos="475"/>
          <w:tab w:val="num" w:pos="1742"/>
        </w:tabs>
        <w:ind w:left="1267"/>
      </w:pPr>
      <w:r>
        <w:t>La República Bolivariana de Venezuela está ubicada al norte de América del Sur. Tiene una extensión territorial de 916.445 kilómetros cuadrados. Venezuela es el sexto país de América del Sur por extensión territorial. Limita al norte con el Mar Caribe y las Antillas Mayores y Menores; al nordeste con el Océano Atlántico; al este con la República Cooperativa de Guyana, al sur con la República Federativa de Brasil; y al oeste con la República de Colombia.</w:t>
      </w:r>
    </w:p>
    <w:p w:rsidR="00000000" w:rsidRDefault="00000000">
      <w:pPr>
        <w:pStyle w:val="SingleTxt"/>
        <w:numPr>
          <w:ilvl w:val="0"/>
          <w:numId w:val="204"/>
        </w:numPr>
        <w:tabs>
          <w:tab w:val="clear" w:pos="475"/>
          <w:tab w:val="num" w:pos="1742"/>
        </w:tabs>
        <w:ind w:left="1267"/>
      </w:pPr>
      <w:r>
        <w:t>Tiene una población total estimada de 23.232.553 habitantes, según los prim</w:t>
      </w:r>
      <w:r>
        <w:t>e</w:t>
      </w:r>
      <w:r>
        <w:t>ros resultados del CENSO de población y vivienda del año 2001 (estos datos tienen carácter preliminar por tanto están sujetos a ajustes); distribuida casi equitativ</w:t>
      </w:r>
      <w:r>
        <w:t>a</w:t>
      </w:r>
      <w:r>
        <w:t>mente entre mujeres (50,5%.) y hombres (49,5%.), tendencia que se mantendrá en los próximos veinte años, de acuerdo a las estimaciones y proyecciones del Instituto N</w:t>
      </w:r>
      <w:r>
        <w:t>a</w:t>
      </w:r>
      <w:r>
        <w:t xml:space="preserve">cional de Estadística de Venezuela (INE). </w:t>
      </w:r>
    </w:p>
    <w:p w:rsidR="00000000" w:rsidRDefault="00000000">
      <w:pPr>
        <w:pStyle w:val="SingleTxt"/>
        <w:numPr>
          <w:ilvl w:val="0"/>
          <w:numId w:val="204"/>
        </w:numPr>
        <w:tabs>
          <w:tab w:val="clear" w:pos="475"/>
          <w:tab w:val="num" w:pos="1742"/>
        </w:tabs>
        <w:ind w:left="1267"/>
      </w:pPr>
      <w:r>
        <w:t>El país , presenta además, un crecimiento anual de 2,3 % personas por cada 1000 y su dens</w:t>
      </w:r>
      <w:r>
        <w:t>i</w:t>
      </w:r>
      <w:r>
        <w:t>dad poblacional es de 25,7 habitantes por Km. 2.</w:t>
      </w:r>
    </w:p>
    <w:p w:rsidR="00000000" w:rsidRDefault="00000000">
      <w:pPr>
        <w:pStyle w:val="SingleTxt"/>
        <w:numPr>
          <w:ilvl w:val="0"/>
          <w:numId w:val="204"/>
        </w:numPr>
        <w:tabs>
          <w:tab w:val="clear" w:pos="475"/>
          <w:tab w:val="num" w:pos="1742"/>
        </w:tabs>
        <w:ind w:left="1267"/>
      </w:pPr>
      <w:r>
        <w:t>La tasa de actividad neta de la población con 15 y más años es de 55,1% (oc</w:t>
      </w:r>
      <w:r>
        <w:t>u</w:t>
      </w:r>
      <w:r>
        <w:t>padas o desoc</w:t>
      </w:r>
      <w:r>
        <w:t>u</w:t>
      </w:r>
      <w:r>
        <w:t>padas).</w:t>
      </w:r>
    </w:p>
    <w:p w:rsidR="00000000" w:rsidRDefault="00000000">
      <w:pPr>
        <w:pStyle w:val="SingleTxt"/>
        <w:numPr>
          <w:ilvl w:val="0"/>
          <w:numId w:val="204"/>
        </w:numPr>
        <w:tabs>
          <w:tab w:val="clear" w:pos="475"/>
          <w:tab w:val="num" w:pos="1742"/>
        </w:tabs>
        <w:ind w:left="1267"/>
      </w:pPr>
      <w:r>
        <w:t>Venezuela es, por su composición etárea, un país joven, en la actualidad la proporción de población joven, de 0-14 años, es del 33,1%. Sin embargo, el se</w:t>
      </w:r>
      <w:r>
        <w:t>g</w:t>
      </w:r>
      <w:r>
        <w:t>mento de población que más ha crecido en los últimos diez años es el de las pers</w:t>
      </w:r>
      <w:r>
        <w:t>o</w:t>
      </w:r>
      <w:r>
        <w:t>nas adultas mayores. Según el INE para el año 2001, hay más de un millón de pe</w:t>
      </w:r>
      <w:r>
        <w:t>r</w:t>
      </w:r>
      <w:r>
        <w:t>sonas de 65 años y más, lo que significa una tasa de crecimiento de aproximad</w:t>
      </w:r>
      <w:r>
        <w:t>a</w:t>
      </w:r>
      <w:r>
        <w:t>mente 4,9 % del total de la población .</w:t>
      </w:r>
    </w:p>
    <w:p w:rsidR="00000000" w:rsidRDefault="00000000">
      <w:pPr>
        <w:pStyle w:val="SingleTxt"/>
        <w:numPr>
          <w:ilvl w:val="0"/>
          <w:numId w:val="204"/>
        </w:numPr>
        <w:tabs>
          <w:tab w:val="clear" w:pos="475"/>
          <w:tab w:val="num" w:pos="1742"/>
        </w:tabs>
        <w:ind w:left="1267"/>
      </w:pPr>
      <w:r>
        <w:t>El índice de masculinidad se coloco en 0,97.</w:t>
      </w:r>
    </w:p>
    <w:p w:rsidR="00000000" w:rsidRDefault="00000000">
      <w:pPr>
        <w:pStyle w:val="SingleTxt"/>
        <w:numPr>
          <w:ilvl w:val="0"/>
          <w:numId w:val="204"/>
        </w:numPr>
        <w:tabs>
          <w:tab w:val="clear" w:pos="475"/>
          <w:tab w:val="num" w:pos="1742"/>
        </w:tabs>
        <w:ind w:left="1267"/>
      </w:pPr>
      <w:r>
        <w:t>La Esperanza de vida al nacer de las mujeres en Venezuela para el año 2002 era de 76,6 y de 70,8 para los hombres. Índice éste que ha aumentado desde el año 1995 cuando la esperanza de vida al nacer se situaba en 75,1 para mujeres y 69,4 p</w:t>
      </w:r>
      <w:r>
        <w:t>a</w:t>
      </w:r>
      <w:r>
        <w:t>ra los hombres.</w:t>
      </w:r>
    </w:p>
    <w:p w:rsidR="00000000" w:rsidRDefault="00000000">
      <w:pPr>
        <w:pStyle w:val="SingleTxt"/>
        <w:numPr>
          <w:ilvl w:val="0"/>
          <w:numId w:val="204"/>
        </w:numPr>
        <w:tabs>
          <w:tab w:val="clear" w:pos="475"/>
          <w:tab w:val="num" w:pos="1742"/>
        </w:tabs>
        <w:ind w:left="1267"/>
      </w:pPr>
      <w:r>
        <w:t>La tasa general de fecundidad (por cada 1000 mujeres en edad reproductiva) para el año 2001 se situó en 82,4.</w:t>
      </w:r>
    </w:p>
    <w:p w:rsidR="00000000" w:rsidRDefault="00000000">
      <w:pPr>
        <w:pStyle w:val="SingleTxt"/>
        <w:numPr>
          <w:ilvl w:val="0"/>
          <w:numId w:val="204"/>
        </w:numPr>
        <w:tabs>
          <w:tab w:val="clear" w:pos="475"/>
          <w:tab w:val="num" w:pos="1742"/>
        </w:tabs>
        <w:ind w:left="1267"/>
      </w:pPr>
      <w:r>
        <w:t>El 15 de Diciembre de 1999, mediante Referéndum Popular se aprobó la nueva Constitución de la República Bolivariana de Venezuela. Esta Constitución reconoce cuatro grandes categorías, en lo que a derechos se refiere:</w:t>
      </w:r>
    </w:p>
    <w:p w:rsidR="00000000" w:rsidRDefault="00000000">
      <w:pPr>
        <w:pStyle w:val="SingleTxt"/>
      </w:pPr>
      <w:r>
        <w:tab/>
        <w:t>a)</w:t>
      </w:r>
      <w:r>
        <w:tab/>
        <w:t>De supervivencia: derecho a la vida, a la salud, a un nivel de vida ad</w:t>
      </w:r>
      <w:r>
        <w:t>e</w:t>
      </w:r>
      <w:r>
        <w:t>cuado, a que los padres asuman la crianza de sus hijos e hijas.</w:t>
      </w:r>
    </w:p>
    <w:p w:rsidR="00000000" w:rsidRDefault="00000000">
      <w:pPr>
        <w:pStyle w:val="SingleTxt"/>
      </w:pPr>
      <w:r>
        <w:tab/>
        <w:t>b)</w:t>
      </w:r>
      <w:r>
        <w:tab/>
        <w:t>De Desarrollo: derecho a la educación, acceso a la información, a prese</w:t>
      </w:r>
      <w:r>
        <w:t>r</w:t>
      </w:r>
      <w:r>
        <w:t>var la identidad, al nombre y a ser registrado (a), a no ser separado (a) de su familia orig</w:t>
      </w:r>
      <w:r>
        <w:t>i</w:t>
      </w:r>
      <w:r>
        <w:t>naria, a la recreación y a la cultura.</w:t>
      </w:r>
    </w:p>
    <w:p w:rsidR="00000000" w:rsidRDefault="00000000">
      <w:pPr>
        <w:pStyle w:val="SingleTxt"/>
      </w:pPr>
      <w:r>
        <w:tab/>
        <w:t>c)</w:t>
      </w:r>
      <w:r>
        <w:tab/>
        <w:t>A la Protección: abarcando todas las formas que ella adquiere frente a la explotación y crueldad, protección contra el abuso sexual, contra la venta o trata de niños (as), entre otras.</w:t>
      </w:r>
    </w:p>
    <w:p w:rsidR="00000000" w:rsidRDefault="00000000">
      <w:pPr>
        <w:pStyle w:val="SingleTxt"/>
      </w:pPr>
      <w:r>
        <w:rPr>
          <w:w w:val="101"/>
        </w:rPr>
        <w:tab/>
        <w:t>d)</w:t>
      </w:r>
      <w:r>
        <w:rPr>
          <w:w w:val="101"/>
        </w:rPr>
        <w:tab/>
        <w:t>A La Participación: incluye la libertad de expresión de opinión y de ser e</w:t>
      </w:r>
      <w:r>
        <w:rPr>
          <w:w w:val="101"/>
        </w:rPr>
        <w:t>s</w:t>
      </w:r>
      <w:r>
        <w:rPr>
          <w:w w:val="101"/>
        </w:rPr>
        <w:t>cuchado en los asuntos que le conciernen a los ciudadanos y las ciudadanas, además de desempeñar un papel activo en la sociedad en general, vale decir protagón</w:t>
      </w:r>
      <w:r>
        <w:rPr>
          <w:w w:val="101"/>
        </w:rPr>
        <w:t>i</w:t>
      </w:r>
      <w:r>
        <w:rPr>
          <w:w w:val="101"/>
        </w:rPr>
        <w:t>co</w:t>
      </w:r>
      <w:r>
        <w:rPr>
          <w:rStyle w:val="FootnoteReference"/>
          <w:rFonts w:ascii="Arial" w:hAnsi="Arial"/>
          <w:w w:val="101"/>
        </w:rPr>
        <w:footnoteReference w:id="1"/>
      </w:r>
      <w:r>
        <w:t>.</w:t>
      </w:r>
    </w:p>
    <w:p w:rsidR="00000000" w:rsidRDefault="00000000">
      <w:pPr>
        <w:pStyle w:val="SingleTxt"/>
        <w:numPr>
          <w:ilvl w:val="0"/>
          <w:numId w:val="204"/>
        </w:numPr>
        <w:tabs>
          <w:tab w:val="clear" w:pos="475"/>
          <w:tab w:val="num" w:pos="1742"/>
        </w:tabs>
        <w:ind w:left="1267"/>
      </w:pPr>
      <w:r>
        <w:t>Así mismo, la Constitución de la República</w:t>
      </w:r>
      <w:r>
        <w:rPr>
          <w:rFonts w:ascii="Arial" w:hAnsi="Arial"/>
        </w:rPr>
        <w:t xml:space="preserve"> </w:t>
      </w:r>
      <w:r>
        <w:t>vigente, redactada con enfoque de género, reconoce a sujetos(as) sociales de derecho y de justicia haciéndolos(as) su</w:t>
      </w:r>
      <w:r>
        <w:t>s</w:t>
      </w:r>
      <w:r>
        <w:t>ceptibles de protección integral a niños(as), adolescentes, jóvenes, personas de la tercera edad, personas con discapacidad, respetando su condición humana y caract</w:t>
      </w:r>
      <w:r>
        <w:t>e</w:t>
      </w:r>
      <w:r>
        <w:t>rísticas físicas</w:t>
      </w:r>
      <w:r>
        <w:rPr>
          <w:rStyle w:val="FootnoteReference"/>
          <w:rFonts w:ascii="Arial" w:hAnsi="Arial"/>
        </w:rPr>
        <w:footnoteReference w:id="2"/>
      </w:r>
      <w:r>
        <w:t>. Consagra también, la integridad cultural, social y económica, el d</w:t>
      </w:r>
      <w:r>
        <w:t>e</w:t>
      </w:r>
      <w:r>
        <w:t>recho a desarrollar la identidad étnica y cultural, cosmovisión, valores, espiritual</w:t>
      </w:r>
      <w:r>
        <w:t>i</w:t>
      </w:r>
      <w:r>
        <w:t>dad, lugares sagrados y de culto, así como el derecho de los pueblos indígenas a una s</w:t>
      </w:r>
      <w:r>
        <w:t>a</w:t>
      </w:r>
      <w:r>
        <w:t>lud integral, a la definición de sus prácticas económicas.</w:t>
      </w:r>
    </w:p>
    <w:p w:rsidR="00000000" w:rsidRDefault="00000000">
      <w:pPr>
        <w:pStyle w:val="SingleTxt"/>
        <w:numPr>
          <w:ilvl w:val="0"/>
          <w:numId w:val="204"/>
        </w:numPr>
        <w:tabs>
          <w:tab w:val="clear" w:pos="475"/>
          <w:tab w:val="num" w:pos="1742"/>
        </w:tabs>
        <w:ind w:left="1267"/>
      </w:pPr>
      <w:r>
        <w:t xml:space="preserve">La República Bolivariana de Venezuela: “... </w:t>
      </w:r>
      <w:r>
        <w:rPr>
          <w:i/>
        </w:rPr>
        <w:t>es un Estado Federal  descentral</w:t>
      </w:r>
      <w:r>
        <w:rPr>
          <w:i/>
        </w:rPr>
        <w:t>i</w:t>
      </w:r>
      <w:r>
        <w:rPr>
          <w:i/>
        </w:rPr>
        <w:t>zado en los términos consagrados en esta Constitución y se rige por los principios de integridad territorial, cooperación, solidaridad, concurrencia y corresponsabil</w:t>
      </w:r>
      <w:r>
        <w:rPr>
          <w:i/>
        </w:rPr>
        <w:t>i</w:t>
      </w:r>
      <w:r>
        <w:rPr>
          <w:i/>
        </w:rPr>
        <w:t>dad”</w:t>
      </w:r>
      <w:r>
        <w:t xml:space="preserve"> </w:t>
      </w:r>
      <w:r>
        <w:rPr>
          <w:i/>
        </w:rPr>
        <w:t>(Art.4 de la Constitución de la R</w:t>
      </w:r>
      <w:r>
        <w:rPr>
          <w:i/>
        </w:rPr>
        <w:t>e</w:t>
      </w:r>
      <w:r>
        <w:rPr>
          <w:i/>
        </w:rPr>
        <w:t>pública Bolivariana de Venezuela)</w:t>
      </w:r>
      <w:r>
        <w:t>.</w:t>
      </w:r>
    </w:p>
    <w:p w:rsidR="00000000" w:rsidRDefault="00000000">
      <w:pPr>
        <w:pStyle w:val="SingleTxt"/>
        <w:numPr>
          <w:ilvl w:val="0"/>
          <w:numId w:val="204"/>
        </w:numPr>
        <w:tabs>
          <w:tab w:val="clear" w:pos="475"/>
          <w:tab w:val="num" w:pos="1742"/>
        </w:tabs>
        <w:ind w:left="1267"/>
      </w:pPr>
      <w:r>
        <w:t>El Art. 136 de la referida Constitución señala: “</w:t>
      </w:r>
      <w:r>
        <w:rPr>
          <w:i/>
        </w:rPr>
        <w:t>El Poder Público se distribuye entre el Poder Municipal, el Poder Estatal y el Poder Nacional. El Poder Público Nacional se divide en Legislativo, Ejecutivo, Judicial, Ciudadano y Electoral. Cada una de las ramas del Poder Público tiene sus funciones propias, pero los órganos a los que incumbe su ejercicio colaborarán entre sí en la realización de los fines del Estado</w:t>
      </w:r>
      <w:r>
        <w:t>”.</w:t>
      </w:r>
    </w:p>
    <w:p w:rsidR="00000000" w:rsidRDefault="00000000">
      <w:pPr>
        <w:pStyle w:val="SingleTxt"/>
      </w:pPr>
      <w:r>
        <w:tab/>
      </w:r>
      <w:r>
        <w:rPr>
          <w:b/>
        </w:rPr>
        <w:t>a)</w:t>
      </w:r>
      <w:r>
        <w:tab/>
      </w:r>
      <w:r>
        <w:rPr>
          <w:b/>
        </w:rPr>
        <w:t>Poder Legislativo: Ejercido por la Asamblea Nacional integrada por</w:t>
      </w:r>
      <w:r>
        <w:rPr>
          <w:b/>
          <w:i/>
        </w:rPr>
        <w:t xml:space="preserve"> </w:t>
      </w:r>
      <w:r>
        <w:rPr>
          <w:b/>
        </w:rPr>
        <w:t>Diputados (as) elegidos (as) en cada entidad federal</w:t>
      </w:r>
      <w:r>
        <w:rPr>
          <w:b/>
          <w:i/>
        </w:rPr>
        <w:t xml:space="preserve"> </w:t>
      </w:r>
      <w:r>
        <w:rPr>
          <w:b/>
        </w:rPr>
        <w:t>por voto universal directo, personalizado</w:t>
      </w:r>
      <w:r>
        <w:rPr>
          <w:b/>
          <w:i/>
        </w:rPr>
        <w:t xml:space="preserve"> </w:t>
      </w:r>
      <w:r>
        <w:rPr>
          <w:b/>
        </w:rPr>
        <w:t>y s</w:t>
      </w:r>
      <w:r>
        <w:rPr>
          <w:b/>
        </w:rPr>
        <w:t>e</w:t>
      </w:r>
      <w:r>
        <w:rPr>
          <w:b/>
        </w:rPr>
        <w:t>creto con representación proporcional</w:t>
      </w:r>
      <w:r>
        <w:t>.</w:t>
      </w:r>
    </w:p>
    <w:p w:rsidR="00000000" w:rsidRDefault="00000000">
      <w:pPr>
        <w:pStyle w:val="SingleTxt"/>
      </w:pPr>
      <w:r>
        <w:rPr>
          <w:b/>
        </w:rPr>
        <w:tab/>
      </w:r>
      <w:r>
        <w:t>b)</w:t>
      </w:r>
      <w:r>
        <w:tab/>
        <w:t>Poder Ejecutivo: Ejercido por el Presidente o Presidenta, el Vicepres</w:t>
      </w:r>
      <w:r>
        <w:t>i</w:t>
      </w:r>
      <w:r>
        <w:t>dente (a) de la República, los Ministros (as) y demás funcionarios (as) que determ</w:t>
      </w:r>
      <w:r>
        <w:t>i</w:t>
      </w:r>
      <w:r>
        <w:t>nen la Constit</w:t>
      </w:r>
      <w:r>
        <w:t>u</w:t>
      </w:r>
      <w:r>
        <w:t xml:space="preserve">ción de la República y las Leyes. </w:t>
      </w:r>
    </w:p>
    <w:p w:rsidR="00000000" w:rsidRDefault="00000000">
      <w:pPr>
        <w:pStyle w:val="SingleTxt"/>
      </w:pPr>
      <w:r>
        <w:tab/>
        <w:t>c)</w:t>
      </w:r>
      <w:r>
        <w:tab/>
        <w:t>Poder Judicial: La potestad de administrar justicia emana de los ciudad</w:t>
      </w:r>
      <w:r>
        <w:t>a</w:t>
      </w:r>
      <w:r>
        <w:t>nos y ciudadanas y se imparte en nombre de la República por autoridad de la Ley. El sistema de justicia está constituido por el Tribunal Supremo de Justicia y los demás Tribunales que determine la Ley, el Ministerio Público, la Defensora Pública, los órganos de investigación penal, los(as) auxiliares, los(as) funcionarios(as) de just</w:t>
      </w:r>
      <w:r>
        <w:t>i</w:t>
      </w:r>
      <w:r>
        <w:t>cia, el sistema penitenciario, los medios alternativos de justicia, los ciudadanos y ciudadanas que participan en la administración de justicia conforme a la Ley y los (as) abogados y abogadas autorizados para el ejercicio.</w:t>
      </w:r>
    </w:p>
    <w:p w:rsidR="00000000" w:rsidRDefault="00000000">
      <w:pPr>
        <w:pStyle w:val="SingleTxt"/>
      </w:pPr>
      <w:r>
        <w:tab/>
        <w:t>d)</w:t>
      </w:r>
      <w:r>
        <w:tab/>
        <w:t>Poder Ciudadano: Ejercido por el Consejo Moral Republicano integrado por el(a) Defensor(a) del Pueblo, el(a) Fiscal y el(a) Contralor(a) General de la R</w:t>
      </w:r>
      <w:r>
        <w:t>e</w:t>
      </w:r>
      <w:r>
        <w:t>públ</w:t>
      </w:r>
      <w:r>
        <w:t>i</w:t>
      </w:r>
      <w:r>
        <w:t>ca.</w:t>
      </w:r>
    </w:p>
    <w:p w:rsidR="00000000" w:rsidRDefault="00000000">
      <w:pPr>
        <w:pStyle w:val="SingleTxt"/>
        <w:suppressAutoHyphens/>
        <w:rPr>
          <w:b/>
        </w:rPr>
      </w:pPr>
      <w:r>
        <w:tab/>
        <w:t>e)</w:t>
      </w:r>
      <w:r>
        <w:tab/>
        <w:t>Poder Electoral: Ejercido por el Consejo Nacional Electoral como ente rector y como organismos subordinados a este, la Junta Electoral Nacional, la Comisión de Registro Civil y Electoral y la Comisión de Participación Política y Financiamiento, con la organización y el funcionamiento que establezca la</w:t>
      </w:r>
      <w:r>
        <w:rPr>
          <w:i/>
        </w:rPr>
        <w:t xml:space="preserve"> </w:t>
      </w:r>
      <w:r>
        <w:t>Ley Orgánica respectiva</w:t>
      </w:r>
      <w:r>
        <w:rPr>
          <w:b/>
        </w:rPr>
        <w:t xml:space="preserve">. </w:t>
      </w:r>
    </w:p>
    <w:p w:rsidR="00000000" w:rsidRDefault="00000000">
      <w:pPr>
        <w:pStyle w:val="SingleTxt"/>
        <w:numPr>
          <w:ilvl w:val="0"/>
          <w:numId w:val="204"/>
        </w:numPr>
        <w:tabs>
          <w:tab w:val="clear" w:pos="475"/>
          <w:tab w:val="num" w:pos="1742"/>
        </w:tabs>
        <w:ind w:left="1267"/>
      </w:pPr>
      <w:r>
        <w:t>En Febrero de 1999, elegido democráticamente por el voto popular, tomó p</w:t>
      </w:r>
      <w:r>
        <w:t>o</w:t>
      </w:r>
      <w:r>
        <w:t xml:space="preserve">sesión como Presidente de la República Hugo Chávez Frías. Desde entonces, el país vive un proceso de revolución democrática pacífica </w:t>
      </w:r>
      <w:r>
        <w:rPr>
          <w:i/>
        </w:rPr>
        <w:t>“con el fin supremo de refundar la República para establecer una sociedad democrática, participativa y protagon</w:t>
      </w:r>
      <w:r>
        <w:rPr>
          <w:i/>
        </w:rPr>
        <w:t>i</w:t>
      </w:r>
      <w:r>
        <w:rPr>
          <w:i/>
        </w:rPr>
        <w:t>za, multiétnica y pluricultural, en un Estado de justicia, federal y descentralizado que consolide los valores de la libertad, la independencia, la paz, la solidaridad, el bien común, la integridad territorial, la convivencia y el imperio de la ley para esta y las futuras generaciones, asegure el derecho a la vida, al trabajo, a la cultura, a la educación, a la justicia social y a la igualdad sin discriminación ni subordin</w:t>
      </w:r>
      <w:r>
        <w:rPr>
          <w:i/>
        </w:rPr>
        <w:t>a</w:t>
      </w:r>
      <w:r>
        <w:rPr>
          <w:i/>
        </w:rPr>
        <w:t>ción alguna, promueve la cooperación pacífica entre las naciones e impulse y co</w:t>
      </w:r>
      <w:r>
        <w:rPr>
          <w:i/>
        </w:rPr>
        <w:t>n</w:t>
      </w:r>
      <w:r>
        <w:rPr>
          <w:i/>
        </w:rPr>
        <w:t>solide la integración latinoamericana de acuerdo con el principio de no interve</w:t>
      </w:r>
      <w:r>
        <w:rPr>
          <w:i/>
        </w:rPr>
        <w:t>n</w:t>
      </w:r>
      <w:r>
        <w:rPr>
          <w:i/>
        </w:rPr>
        <w:t>ción y autodeterminación de los pueblos, la garantía universal e indivisible de los derechos humanos, la democratización de la sociedad internacional, el desarme n</w:t>
      </w:r>
      <w:r>
        <w:rPr>
          <w:i/>
        </w:rPr>
        <w:t>u</w:t>
      </w:r>
      <w:r>
        <w:rPr>
          <w:i/>
        </w:rPr>
        <w:t>clear. El equilibrio ecológico y los bienes jurídicos ambientales como patrimonio común e irrenunciable de la humanidad”</w:t>
      </w:r>
      <w:r>
        <w:rPr>
          <w:b/>
          <w:i/>
        </w:rPr>
        <w:t xml:space="preserve">. </w:t>
      </w:r>
      <w:r>
        <w:t>Para lograr este fin establecido en el preámbulo de nuestra Constitución, el Gobierno del Presidente Chávez ha diseñado un</w:t>
      </w:r>
      <w:r>
        <w:rPr>
          <w:i/>
        </w:rPr>
        <w:t xml:space="preserve"> </w:t>
      </w:r>
      <w:r>
        <w:t>Programa de Gobierno fundamentado en cinco equilibrios: político, social, ec</w:t>
      </w:r>
      <w:r>
        <w:t>o</w:t>
      </w:r>
      <w:r>
        <w:t>nómico, territ</w:t>
      </w:r>
      <w:r>
        <w:t>o</w:t>
      </w:r>
      <w:r>
        <w:t xml:space="preserve">rial e internacional. </w:t>
      </w:r>
    </w:p>
    <w:p w:rsidR="00000000" w:rsidRDefault="00000000">
      <w:pPr>
        <w:pStyle w:val="SingleTxt"/>
        <w:numPr>
          <w:ilvl w:val="0"/>
          <w:numId w:val="204"/>
        </w:numPr>
        <w:tabs>
          <w:tab w:val="clear" w:pos="475"/>
          <w:tab w:val="num" w:pos="1742"/>
        </w:tabs>
        <w:ind w:left="1267"/>
      </w:pPr>
      <w:r>
        <w:t>El Pueblo de Venezuela y su Gobierno han asumido el compromiso del des</w:t>
      </w:r>
      <w:r>
        <w:t>a</w:t>
      </w:r>
      <w:r>
        <w:t>rrollo social, cultural, económico, político garantizado en la Constitución y en las reformas legislativas y judiciales de acuerdo con los principios de igualdad y el pl</w:t>
      </w:r>
      <w:r>
        <w:t>e</w:t>
      </w:r>
      <w:r>
        <w:t xml:space="preserve">no respeto de los derechos humanos, la dignidad y la integridad humana. </w:t>
      </w:r>
    </w:p>
    <w:p w:rsidR="00000000" w:rsidRDefault="00000000">
      <w:pPr>
        <w:pStyle w:val="SingleTxt"/>
        <w:numPr>
          <w:ilvl w:val="0"/>
          <w:numId w:val="204"/>
        </w:numPr>
        <w:tabs>
          <w:tab w:val="clear" w:pos="475"/>
          <w:tab w:val="num" w:pos="1742"/>
        </w:tabs>
        <w:ind w:left="1267"/>
      </w:pPr>
      <w:r>
        <w:t>Así mismo, han iniciado reformas destinadas a mejorar la gestión de las inst</w:t>
      </w:r>
      <w:r>
        <w:t>i</w:t>
      </w:r>
      <w:r>
        <w:t>tuciones y sistemas públicos con el fin de hacerlos más accesibles y que respondan a las necesidades de todos (as).</w:t>
      </w:r>
    </w:p>
    <w:p w:rsidR="00000000" w:rsidRDefault="00000000">
      <w:pPr>
        <w:pStyle w:val="SingleTxt"/>
        <w:numPr>
          <w:ilvl w:val="0"/>
          <w:numId w:val="204"/>
        </w:numPr>
        <w:tabs>
          <w:tab w:val="clear" w:pos="475"/>
          <w:tab w:val="num" w:pos="1742"/>
        </w:tabs>
        <w:ind w:left="1267"/>
      </w:pPr>
      <w:r>
        <w:t>El Gobierno Nacional entre otras metas previstas para erradicar la discrimin</w:t>
      </w:r>
      <w:r>
        <w:t>a</w:t>
      </w:r>
      <w:r>
        <w:t>ción y lograr la equidad de género</w:t>
      </w:r>
      <w:r>
        <w:rPr>
          <w:i/>
        </w:rPr>
        <w:t xml:space="preserve"> </w:t>
      </w:r>
      <w:r>
        <w:t>plantea,</w:t>
      </w:r>
      <w:r>
        <w:rPr>
          <w:i/>
        </w:rPr>
        <w:t xml:space="preserve"> </w:t>
      </w:r>
      <w:r>
        <w:t>progresivamente:</w:t>
      </w:r>
    </w:p>
    <w:p w:rsidR="00000000" w:rsidRDefault="00000000">
      <w:pPr>
        <w:pStyle w:val="SingleTxt"/>
      </w:pPr>
      <w:r>
        <w:tab/>
        <w:t>a)</w:t>
      </w:r>
      <w:r>
        <w:tab/>
        <w:t>Asegurar a los y las que viven en situación de pobreza el acceso a los r</w:t>
      </w:r>
      <w:r>
        <w:t>e</w:t>
      </w:r>
      <w:r>
        <w:t>cursos de producción, (crédito, tierra, educación y formación, tecnología, conoc</w:t>
      </w:r>
      <w:r>
        <w:t>i</w:t>
      </w:r>
      <w:r>
        <w:t>mientos e información) a los servicios públicos</w:t>
      </w:r>
      <w:r>
        <w:rPr>
          <w:i/>
        </w:rPr>
        <w:t xml:space="preserve"> </w:t>
      </w:r>
      <w:r>
        <w:t>y</w:t>
      </w:r>
      <w:r>
        <w:rPr>
          <w:i/>
        </w:rPr>
        <w:t xml:space="preserve"> </w:t>
      </w:r>
      <w:r>
        <w:t>a la participación en la toma de dec</w:t>
      </w:r>
      <w:r>
        <w:t>i</w:t>
      </w:r>
      <w:r>
        <w:t>siones.</w:t>
      </w:r>
    </w:p>
    <w:p w:rsidR="00000000" w:rsidRDefault="00000000">
      <w:pPr>
        <w:pStyle w:val="SingleTxt"/>
      </w:pPr>
      <w:r>
        <w:tab/>
        <w:t>b)</w:t>
      </w:r>
      <w:r>
        <w:tab/>
        <w:t>Establecer políticas, estructuras, objetivos y metas que aseguren la equ</w:t>
      </w:r>
      <w:r>
        <w:t>i</w:t>
      </w:r>
      <w:r>
        <w:t>dad de género, en los procesos de toma de decisión, ampliar las oportunidades pol</w:t>
      </w:r>
      <w:r>
        <w:t>í</w:t>
      </w:r>
      <w:r>
        <w:t>ticas, sociales, económicas y culturales de la mujer, potenciar las diversas organiz</w:t>
      </w:r>
      <w:r>
        <w:t>a</w:t>
      </w:r>
      <w:r>
        <w:t>ciones en especial las de mujeres indígenas y de base comunitaria.</w:t>
      </w:r>
    </w:p>
    <w:p w:rsidR="00000000" w:rsidRDefault="00000000">
      <w:pPr>
        <w:pStyle w:val="SingleTxt"/>
      </w:pPr>
      <w:r>
        <w:tab/>
        <w:t>c)</w:t>
      </w:r>
      <w:r>
        <w:tab/>
        <w:t>Ampliar</w:t>
      </w:r>
      <w:r>
        <w:rPr>
          <w:i/>
        </w:rPr>
        <w:t xml:space="preserve"> </w:t>
      </w:r>
      <w:r>
        <w:t>el marco jurídico de igualdad y equidad entre los géneros que permita el respeto de los derechos humanos, la justicia, las libertades fundament</w:t>
      </w:r>
      <w:r>
        <w:t>a</w:t>
      </w:r>
      <w:r>
        <w:t>les, para así eliminar toda forma de discriminación.</w:t>
      </w:r>
    </w:p>
    <w:p w:rsidR="00000000" w:rsidRDefault="00000000">
      <w:pPr>
        <w:pStyle w:val="SingleTxt"/>
      </w:pPr>
      <w:r>
        <w:tab/>
        <w:t>d)</w:t>
      </w:r>
      <w:r>
        <w:tab/>
        <w:t>Garantizar</w:t>
      </w:r>
      <w:r>
        <w:rPr>
          <w:i/>
        </w:rPr>
        <w:t xml:space="preserve"> </w:t>
      </w:r>
      <w:r>
        <w:t>el derecho de los pueblos indígenas a mantener y desarrollar su identidad, cultura e intereses, apoyar sus aspiraciones de justicia y proporciona</w:t>
      </w:r>
      <w:r>
        <w:t>r</w:t>
      </w:r>
      <w:r>
        <w:t>les un entorno de participación s</w:t>
      </w:r>
      <w:r>
        <w:t>o</w:t>
      </w:r>
      <w:r>
        <w:t>cial, económica y política.</w:t>
      </w:r>
    </w:p>
    <w:p w:rsidR="00000000" w:rsidRDefault="00000000">
      <w:pPr>
        <w:pStyle w:val="SingleTxt"/>
      </w:pPr>
      <w:r>
        <w:tab/>
        <w:t>e)</w:t>
      </w:r>
      <w:r>
        <w:tab/>
        <w:t>Garantizar que todas las personas con discapacidad tengan acceso al tr</w:t>
      </w:r>
      <w:r>
        <w:t>a</w:t>
      </w:r>
      <w:r>
        <w:t>bajo, a la rehabilit</w:t>
      </w:r>
      <w:r>
        <w:t>a</w:t>
      </w:r>
      <w:r>
        <w:t>ción y a otros servicios.</w:t>
      </w:r>
    </w:p>
    <w:p w:rsidR="00000000" w:rsidRDefault="00000000">
      <w:pPr>
        <w:pStyle w:val="SingleTxt"/>
      </w:pPr>
      <w:r>
        <w:tab/>
        <w:t>f)</w:t>
      </w:r>
      <w:r>
        <w:tab/>
        <w:t>Fomentar una sociedad estable y justa sobre la base de la promoción y protección de los derechos humanos, la no discriminación, tolerancia, respeto a la divers</w:t>
      </w:r>
      <w:r>
        <w:t>i</w:t>
      </w:r>
      <w:r>
        <w:t xml:space="preserve">dad, igualdad, solidaridad, seguridad y participación. </w:t>
      </w:r>
    </w:p>
    <w:p w:rsidR="00000000" w:rsidRDefault="00000000">
      <w:pPr>
        <w:pStyle w:val="SingleTxt"/>
      </w:pPr>
      <w:r>
        <w:tab/>
        <w:t>g)</w:t>
      </w:r>
      <w:r>
        <w:tab/>
        <w:t>Promover políticas, cambios en las actitudes, estructuras y leyes con el fin de eliminar práct</w:t>
      </w:r>
      <w:r>
        <w:t>i</w:t>
      </w:r>
      <w:r>
        <w:t>cas discriminatorias.</w:t>
      </w:r>
    </w:p>
    <w:p w:rsidR="00000000" w:rsidRDefault="00000000">
      <w:pPr>
        <w:pStyle w:val="SingleTxt"/>
      </w:pPr>
      <w:r>
        <w:tab/>
        <w:t>h)</w:t>
      </w:r>
      <w:r>
        <w:tab/>
        <w:t>Promover el ejercicio de la democracia participativa y protagónica, el estado de derecho, el pluralismo y la diversidad, la tolerancia y la corresponsabil</w:t>
      </w:r>
      <w:r>
        <w:t>i</w:t>
      </w:r>
      <w:r>
        <w:t>dad, la no violencia y solidaridad, alentando a los sistemas educativos, medios de comunicación y comunidades a la integración s</w:t>
      </w:r>
      <w:r>
        <w:t>o</w:t>
      </w:r>
      <w:r>
        <w:t xml:space="preserve">cial. </w:t>
      </w:r>
    </w:p>
    <w:p w:rsidR="00000000" w:rsidRDefault="00000000">
      <w:pPr>
        <w:pStyle w:val="SingleTxt"/>
        <w:numPr>
          <w:ilvl w:val="0"/>
          <w:numId w:val="204"/>
        </w:numPr>
        <w:tabs>
          <w:tab w:val="clear" w:pos="475"/>
          <w:tab w:val="num" w:pos="1742"/>
        </w:tabs>
        <w:ind w:left="1267"/>
      </w:pPr>
      <w:r>
        <w:t>Conforme a los cambios políticos y estructurales del país, el Consejo Nacional de la Mujer concebido como una Comisión Presidencial de carácter permanente y</w:t>
      </w:r>
      <w:r>
        <w:rPr>
          <w:i/>
        </w:rPr>
        <w:t xml:space="preserve"> </w:t>
      </w:r>
      <w:r>
        <w:t xml:space="preserve">en virtud de lo establecido en la </w:t>
      </w:r>
      <w:r>
        <w:rPr>
          <w:i/>
        </w:rPr>
        <w:t>Ley de Igualdad de Oportunidades para la Mujer</w:t>
      </w:r>
      <w:r>
        <w:t>, (p</w:t>
      </w:r>
      <w:r>
        <w:t>u</w:t>
      </w:r>
      <w:r>
        <w:t>blicada en Gaceta Oficial No. Extraordinario 4635, de fecha 28-09-93), reformada según</w:t>
      </w:r>
      <w:r>
        <w:rPr>
          <w:i/>
        </w:rPr>
        <w:t xml:space="preserve"> </w:t>
      </w:r>
      <w:r>
        <w:t xml:space="preserve">Gaceta Oficial Extraordinaria No. 5.398 de fecha 25 de octubre de 1999, pasó a constituirse en </w:t>
      </w:r>
      <w:r>
        <w:rPr>
          <w:b/>
        </w:rPr>
        <w:t>Instituto Nacional de la Mujer (Inamujer),</w:t>
      </w:r>
      <w:r>
        <w:t xml:space="preserve"> con carácter de In</w:t>
      </w:r>
      <w:r>
        <w:t>s</w:t>
      </w:r>
      <w:r>
        <w:t>tituto Autónomo, personalidad jurídica y patrimonio propio .</w:t>
      </w:r>
    </w:p>
    <w:p w:rsidR="00000000" w:rsidRDefault="00000000">
      <w:pPr>
        <w:pStyle w:val="SingleTxt"/>
        <w:tabs>
          <w:tab w:val="num" w:pos="1742"/>
        </w:tab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w:t>
      </w:r>
    </w:p>
    <w:p w:rsidR="00000000" w:rsidRDefault="00000000">
      <w:pPr>
        <w:pStyle w:val="SingleTxt"/>
        <w:tabs>
          <w:tab w:val="num" w:pos="1742"/>
        </w:tabs>
        <w:spacing w:after="0" w:line="120" w:lineRule="exact"/>
        <w:rPr>
          <w:b/>
          <w:i/>
          <w:sz w:val="10"/>
        </w:rPr>
      </w:pPr>
    </w:p>
    <w:p w:rsidR="00000000" w:rsidRDefault="00000000">
      <w:pPr>
        <w:pStyle w:val="SingleTxt"/>
        <w:numPr>
          <w:ilvl w:val="0"/>
          <w:numId w:val="204"/>
        </w:numPr>
        <w:tabs>
          <w:tab w:val="clear" w:pos="475"/>
          <w:tab w:val="num" w:pos="1742"/>
        </w:tabs>
        <w:ind w:left="1267"/>
      </w:pPr>
      <w:r>
        <w:t>La Constitución de la República Bolivariana de Venezuela, aprobada por el pueblo mediante</w:t>
      </w:r>
      <w:r>
        <w:rPr>
          <w:i/>
        </w:rPr>
        <w:t xml:space="preserve"> </w:t>
      </w:r>
      <w:r>
        <w:t>Referéndum el 15 de diciembre de 1999, establece la igualdad de derechos entre hombres y mujeres en todos los ámbitos de la vida: familiar, laboral, político, social, comunitario, de participación, económico, entre otros. Visibiliza a la mujer, como sujeto social, utiliza un lenguaje no-sexista en todo el texto, desde el preámbulo hasta las disposiciones finales, reconoce el valor</w:t>
      </w:r>
      <w:r>
        <w:rPr>
          <w:i/>
        </w:rPr>
        <w:t xml:space="preserve"> </w:t>
      </w:r>
      <w:r>
        <w:t xml:space="preserve">económico social del trabajo doméstico, en el artículo 88 y los derechos sexuales y reproductivos de las mujeres, en el artículo 76. A continuación citamos ambos artículos: </w:t>
      </w:r>
    </w:p>
    <w:p w:rsidR="00000000" w:rsidRDefault="00000000">
      <w:pPr>
        <w:pStyle w:val="SingleTxt"/>
        <w:ind w:left="1742" w:hanging="475"/>
        <w:rPr>
          <w:w w:val="101"/>
        </w:rPr>
      </w:pPr>
      <w:r>
        <w:rPr>
          <w:b/>
          <w:w w:val="101"/>
        </w:rPr>
        <w:tab/>
        <w:t xml:space="preserve">Artículo 88: </w:t>
      </w:r>
      <w:r>
        <w:rPr>
          <w:w w:val="101"/>
        </w:rPr>
        <w:t>“El Estado garantizará la igualdad y equidad de hombres y mujeres  en el ejercicio de derecho al trabajo. El Estado reconocerá el trabajo del hogar como actividad económica que crea valor agregado y produce riqueza y biene</w:t>
      </w:r>
      <w:r>
        <w:rPr>
          <w:w w:val="101"/>
        </w:rPr>
        <w:t>s</w:t>
      </w:r>
      <w:r>
        <w:rPr>
          <w:w w:val="101"/>
        </w:rPr>
        <w:t>tar social. Las amas de casa tienen derecho a la seguridad social de conformidad con la ley.”</w:t>
      </w:r>
    </w:p>
    <w:p w:rsidR="00000000" w:rsidRDefault="00000000">
      <w:pPr>
        <w:pStyle w:val="SingleTxt"/>
        <w:ind w:left="1742" w:hanging="475"/>
      </w:pPr>
      <w:r>
        <w:rPr>
          <w:b/>
        </w:rPr>
        <w:tab/>
        <w:t>Artículo 76</w:t>
      </w:r>
      <w:r>
        <w:t>: “La maternidad y la paternidad son protegidas integralmente, el ejercicio de este derecho. El Estado garantizará asistencia y protección integral a la maternidad, en general a partir del momento de la concepción, durante el embarazo, el parto y el puerperio, y asegurará servicios de planificación fam</w:t>
      </w:r>
      <w:r>
        <w:t>i</w:t>
      </w:r>
      <w:r>
        <w:t>liar integral bas</w:t>
      </w:r>
      <w:r>
        <w:t>a</w:t>
      </w:r>
      <w:r>
        <w:t>dos en los valores éticos y científicos.</w:t>
      </w:r>
    </w:p>
    <w:p w:rsidR="00000000" w:rsidRDefault="00000000">
      <w:pPr>
        <w:pStyle w:val="SingleTxt"/>
        <w:ind w:left="1742" w:hanging="475"/>
      </w:pPr>
      <w:r>
        <w:tab/>
      </w:r>
      <w:r>
        <w:tab/>
        <w:t>El padre y la madre tienen el deber compartido e irrenunciable de criar, formar, educar, mantener y asistir a sus hijos o hijas, y éstos tienen el deber de asistirlos (as) cuando aquel o aquella no puedan hacerlo por sí mismo (a). La Ley establecerá las medidas necesarias y adecuadas para garantizar la efectiv</w:t>
      </w:r>
      <w:r>
        <w:t>i</w:t>
      </w:r>
      <w:r>
        <w:t>dad de la obligación al</w:t>
      </w:r>
      <w:r>
        <w:t>i</w:t>
      </w:r>
      <w:r>
        <w:t>mentaría.”</w:t>
      </w:r>
    </w:p>
    <w:p w:rsidR="00000000" w:rsidRDefault="00000000">
      <w:pPr>
        <w:pStyle w:val="SingleTxt"/>
        <w:numPr>
          <w:ilvl w:val="0"/>
          <w:numId w:val="204"/>
        </w:numPr>
        <w:tabs>
          <w:tab w:val="clear" w:pos="475"/>
          <w:tab w:val="num" w:pos="1742"/>
        </w:tabs>
        <w:ind w:left="1267"/>
      </w:pPr>
      <w:r>
        <w:rPr>
          <w:w w:val="102"/>
        </w:rPr>
        <w:t>En la redacción de la nueva Constitución se logró la incorporación</w:t>
      </w:r>
      <w:r>
        <w:rPr>
          <w:i/>
          <w:w w:val="102"/>
        </w:rPr>
        <w:t xml:space="preserve"> </w:t>
      </w:r>
      <w:r>
        <w:rPr>
          <w:w w:val="102"/>
        </w:rPr>
        <w:t>total de las propuestas presentadas por el Instituto Nacional de la Mujer y el Movimiento</w:t>
      </w:r>
      <w:r>
        <w:rPr>
          <w:i/>
          <w:w w:val="102"/>
        </w:rPr>
        <w:t xml:space="preserve"> </w:t>
      </w:r>
      <w:r>
        <w:rPr>
          <w:w w:val="102"/>
        </w:rPr>
        <w:t>Org</w:t>
      </w:r>
      <w:r>
        <w:rPr>
          <w:w w:val="102"/>
        </w:rPr>
        <w:t>a</w:t>
      </w:r>
      <w:r>
        <w:rPr>
          <w:w w:val="102"/>
        </w:rPr>
        <w:t>nizado de Mujeres.</w:t>
      </w:r>
      <w:r>
        <w:rPr>
          <w:i/>
          <w:w w:val="102"/>
        </w:rPr>
        <w:t xml:space="preserve"> </w:t>
      </w:r>
      <w:r>
        <w:rPr>
          <w:w w:val="102"/>
        </w:rPr>
        <w:t>En el Capítulo V de la Carta Magna denominado De los Derechos Sociales y de las Familias, (artículos 75 a 97) se concentran en su mayoría las pr</w:t>
      </w:r>
      <w:r>
        <w:rPr>
          <w:w w:val="102"/>
        </w:rPr>
        <w:t>o</w:t>
      </w:r>
      <w:r>
        <w:rPr>
          <w:w w:val="102"/>
        </w:rPr>
        <w:t>puestas realizadas por las mujeres</w:t>
      </w:r>
      <w:r>
        <w:rPr>
          <w:rStyle w:val="FootnoteReference"/>
        </w:rPr>
        <w:footnoteReference w:id="3"/>
      </w:r>
      <w:r>
        <w:t>.</w:t>
      </w:r>
    </w:p>
    <w:p w:rsidR="00000000" w:rsidRDefault="00000000">
      <w:pPr>
        <w:pStyle w:val="SingleTxt"/>
        <w:numPr>
          <w:ilvl w:val="0"/>
          <w:numId w:val="204"/>
        </w:numPr>
        <w:tabs>
          <w:tab w:val="clear" w:pos="475"/>
          <w:tab w:val="num" w:pos="1742"/>
        </w:tabs>
        <w:ind w:left="1267"/>
      </w:pPr>
      <w:r>
        <w:t>La ley de Igualdad de Oportunidades “</w:t>
      </w:r>
      <w:r>
        <w:rPr>
          <w:i/>
        </w:rPr>
        <w:t>regula el ejercicio de los derechos y g</w:t>
      </w:r>
      <w:r>
        <w:rPr>
          <w:i/>
        </w:rPr>
        <w:t>a</w:t>
      </w:r>
      <w:r>
        <w:rPr>
          <w:i/>
        </w:rPr>
        <w:t>rantías para lograr la igualdad de oportunidades para la mujer con fundamento en la Ley Aprobatoria de la Convención sobre la Eliminación de todas las formas de discrimin</w:t>
      </w:r>
      <w:r>
        <w:rPr>
          <w:i/>
        </w:rPr>
        <w:t>a</w:t>
      </w:r>
      <w:r>
        <w:rPr>
          <w:i/>
        </w:rPr>
        <w:t>ción contra la Mujer</w:t>
      </w:r>
      <w:r>
        <w:t>” (Art.1).</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2</w:t>
      </w:r>
    </w:p>
    <w:p w:rsidR="00000000" w:rsidRDefault="00000000">
      <w:pPr>
        <w:pStyle w:val="SingleTxt"/>
        <w:spacing w:after="0" w:line="120" w:lineRule="exact"/>
        <w:rPr>
          <w:sz w:val="10"/>
        </w:rPr>
      </w:pPr>
    </w:p>
    <w:p w:rsidR="00000000" w:rsidRDefault="00000000">
      <w:pPr>
        <w:pStyle w:val="SingleTxt"/>
        <w:numPr>
          <w:ilvl w:val="0"/>
          <w:numId w:val="213"/>
        </w:numPr>
      </w:pPr>
      <w:r>
        <w:t xml:space="preserve">En relación con el artículo 2 de la Convención, la Constitución de la República Bolivariana de Venezuela en su artículo 23 establece: </w:t>
      </w:r>
      <w:r>
        <w:rPr>
          <w:i/>
        </w:rPr>
        <w:t>“Los tratados, pactos y co</w:t>
      </w:r>
      <w:r>
        <w:rPr>
          <w:i/>
        </w:rPr>
        <w:t>n</w:t>
      </w:r>
      <w:r>
        <w:rPr>
          <w:i/>
        </w:rPr>
        <w:t>venios relativos a los derechos humanos suscritos y ratificados por Venezuela, ti</w:t>
      </w:r>
      <w:r>
        <w:rPr>
          <w:i/>
        </w:rPr>
        <w:t>e</w:t>
      </w:r>
      <w:r>
        <w:rPr>
          <w:i/>
        </w:rPr>
        <w:t>nen jerarquía constitucional y prevalecen en el orden interno, en la medida que contengan normas sobre su goce y ejercicio más favorables a las establecidas en esta Constitución y en las Leyes de la República, y son de aplicación inmediata y directa por los Tribunales y demás órganos del Poder Público”:</w:t>
      </w:r>
    </w:p>
    <w:p w:rsidR="00000000" w:rsidRDefault="00000000">
      <w:pPr>
        <w:pStyle w:val="SingleTxt"/>
        <w:numPr>
          <w:ilvl w:val="0"/>
          <w:numId w:val="213"/>
        </w:numPr>
      </w:pPr>
      <w:r>
        <w:t>El 26 de julio de 1982 se produce la</w:t>
      </w:r>
      <w:r>
        <w:rPr>
          <w:i/>
        </w:rPr>
        <w:t xml:space="preserve"> </w:t>
      </w:r>
      <w:r>
        <w:t>reforma del Código Civil en lo relativo a los deberes y derechos del matrimonio, cambiando la organización patriarcal de la familia al eliminar el poder marital, estableciendo igualdad de derechos entre ho</w:t>
      </w:r>
      <w:r>
        <w:t>m</w:t>
      </w:r>
      <w:r>
        <w:t xml:space="preserve">bres y mujeres. Este cambio queda claramente establecido en el Numeral XI, Sesión I, artículo 140 que reza </w:t>
      </w:r>
      <w:r>
        <w:rPr>
          <w:i/>
        </w:rPr>
        <w:t>“los cónyuges, de mutuo acuerdo, tomaran decisiones rel</w:t>
      </w:r>
      <w:r>
        <w:rPr>
          <w:i/>
        </w:rPr>
        <w:t>a</w:t>
      </w:r>
      <w:r>
        <w:rPr>
          <w:i/>
        </w:rPr>
        <w:t>tivas a la vida familiar y fijaran el domicilio conyugal”.</w:t>
      </w:r>
    </w:p>
    <w:p w:rsidR="00000000" w:rsidRDefault="00000000">
      <w:pPr>
        <w:pStyle w:val="SingleTxt"/>
        <w:numPr>
          <w:ilvl w:val="0"/>
          <w:numId w:val="214"/>
        </w:numPr>
        <w:tabs>
          <w:tab w:val="left" w:pos="1742"/>
        </w:tabs>
      </w:pPr>
      <w:r>
        <w:t>Como instrumento</w:t>
      </w:r>
      <w:r>
        <w:rPr>
          <w:b/>
        </w:rPr>
        <w:t xml:space="preserve"> </w:t>
      </w:r>
      <w:r>
        <w:t>específico</w:t>
      </w:r>
      <w:r>
        <w:rPr>
          <w:b/>
        </w:rPr>
        <w:t xml:space="preserve"> </w:t>
      </w:r>
      <w:r>
        <w:t>en cuanto</w:t>
      </w:r>
      <w:r>
        <w:rPr>
          <w:b/>
        </w:rPr>
        <w:t xml:space="preserve"> </w:t>
      </w:r>
      <w:r>
        <w:t xml:space="preserve">a la protección y el establecimiento del principio de igualdad entre hombres y mujeres, Venezuela cuenta </w:t>
      </w:r>
      <w:r>
        <w:rPr>
          <w:i/>
        </w:rPr>
        <w:t xml:space="preserve">con </w:t>
      </w:r>
      <w:r>
        <w:rPr>
          <w:b/>
        </w:rPr>
        <w:t xml:space="preserve">La Ley de Igualdad de Oportunidades para la Mujer </w:t>
      </w:r>
      <w:r>
        <w:t>(publicada en Gaceta Oficial No. E</w:t>
      </w:r>
      <w:r>
        <w:t>x</w:t>
      </w:r>
      <w:r>
        <w:t>traordinario 4635, de fecha 28-09-93),</w:t>
      </w:r>
      <w:r>
        <w:rPr>
          <w:b/>
        </w:rPr>
        <w:t xml:space="preserve"> </w:t>
      </w:r>
      <w:r>
        <w:t>Esta</w:t>
      </w:r>
      <w:r>
        <w:rPr>
          <w:i/>
        </w:rPr>
        <w:t xml:space="preserve"> </w:t>
      </w:r>
      <w:r>
        <w:t>Ley</w:t>
      </w:r>
      <w:r>
        <w:rPr>
          <w:b/>
        </w:rPr>
        <w:t xml:space="preserve"> </w:t>
      </w:r>
      <w:r>
        <w:t>contempla la equidad, las oportun</w:t>
      </w:r>
      <w:r>
        <w:t>i</w:t>
      </w:r>
      <w:r>
        <w:t>dades de empleo, el derecho al trabajo, la remuneración y la seguridad social, con el</w:t>
      </w:r>
      <w:r>
        <w:rPr>
          <w:i/>
        </w:rPr>
        <w:t xml:space="preserve"> </w:t>
      </w:r>
      <w:r>
        <w:t>objetivo de garantizar el pleno ejercicio de los derechos humanos de las m</w:t>
      </w:r>
      <w:r>
        <w:t>u</w:t>
      </w:r>
      <w:r>
        <w:t>jeres.</w:t>
      </w:r>
    </w:p>
    <w:p w:rsidR="00000000" w:rsidRDefault="00000000">
      <w:pPr>
        <w:pStyle w:val="SingleTxt"/>
        <w:numPr>
          <w:ilvl w:val="0"/>
          <w:numId w:val="214"/>
        </w:numPr>
      </w:pPr>
      <w:r>
        <w:t>Desde esa fecha permaneció sin aplicarse y por ende, sin que el Inamujer p</w:t>
      </w:r>
      <w:r>
        <w:t>u</w:t>
      </w:r>
      <w:r>
        <w:t xml:space="preserve">diera entrar en funcionamiento, debido a errores y vacíos de carácter legal. A partir del </w:t>
      </w:r>
      <w:r>
        <w:rPr>
          <w:b/>
        </w:rPr>
        <w:t>Decreto Presidencial No. 428</w:t>
      </w:r>
      <w:r>
        <w:t xml:space="preserve">, de fecha 26 de octubre de 1999, publicada en </w:t>
      </w:r>
      <w:r>
        <w:rPr>
          <w:b/>
        </w:rPr>
        <w:t>Gaceta Oficial No. 5.398</w:t>
      </w:r>
      <w:r>
        <w:t>, se reforma la Ley y comienza a actuar efectivamente el Instituto y la Defensoría Nacional de los Derechos de la M</w:t>
      </w:r>
      <w:r>
        <w:t>u</w:t>
      </w:r>
      <w:r>
        <w:t xml:space="preserve">jer. </w:t>
      </w:r>
    </w:p>
    <w:p w:rsidR="00000000" w:rsidRDefault="00000000">
      <w:pPr>
        <w:pStyle w:val="SingleTxt"/>
        <w:numPr>
          <w:ilvl w:val="0"/>
          <w:numId w:val="214"/>
        </w:numPr>
      </w:pPr>
      <w:r>
        <w:t xml:space="preserve">Otro instrumento jurídico fundamental es la </w:t>
      </w:r>
      <w:r>
        <w:rPr>
          <w:b/>
        </w:rPr>
        <w:t>Ley Sobre la Violencia Contra la Mujer y la Familia (Gaceta Oficial extraordinaria No. 36531)</w:t>
      </w:r>
      <w:r>
        <w:t xml:space="preserve"> aprobada el 3 de septiembre de 1998</w:t>
      </w:r>
      <w:r>
        <w:rPr>
          <w:i/>
        </w:rPr>
        <w:t xml:space="preserve"> </w:t>
      </w:r>
      <w:r>
        <w:t>y puesta en vigencia el 1 de abril de 1999. Por medio de las di</w:t>
      </w:r>
      <w:r>
        <w:t>s</w:t>
      </w:r>
      <w:r>
        <w:t>posiciones de esta Ley no sólo se considera un delito, la violencia contra la mujer y la familia, sino que además se establecen los derechos de los(as) protegidos(as), la prevención y tratamiento</w:t>
      </w:r>
      <w:r>
        <w:rPr>
          <w:i/>
        </w:rPr>
        <w:t xml:space="preserve"> </w:t>
      </w:r>
      <w:r>
        <w:t>de las personas maltratadas y la educación de los agres</w:t>
      </w:r>
      <w:r>
        <w:t>o</w:t>
      </w:r>
      <w:r>
        <w:t>res, los principios procésales, la definición de la violencia contra la mujer y la fam</w:t>
      </w:r>
      <w:r>
        <w:t>i</w:t>
      </w:r>
      <w:r>
        <w:t>lia y sus tipos, las políticas de prevención y asistencia, las funciones del Inamujer, la responsabilidad de los ministerios, los estados, los municipios, de las unidades de atención y tratamiento de hechos de violencia hacia la mujer, las amenazas, las fa</w:t>
      </w:r>
      <w:r>
        <w:t>l</w:t>
      </w:r>
      <w:r>
        <w:t>tas y sus consecuencias, la responsabilidad civil, los procedimientos, entre otras</w:t>
      </w:r>
      <w:r>
        <w:rPr>
          <w:rStyle w:val="FootnoteReference"/>
          <w:rFonts w:ascii="Arial" w:hAnsi="Arial"/>
        </w:rPr>
        <w:footnoteReference w:id="4"/>
      </w:r>
      <w:r>
        <w:t>.</w:t>
      </w:r>
    </w:p>
    <w:p w:rsidR="00000000" w:rsidRDefault="00000000">
      <w:pPr>
        <w:pStyle w:val="SingleTxt"/>
        <w:numPr>
          <w:ilvl w:val="0"/>
          <w:numId w:val="214"/>
        </w:numPr>
      </w:pPr>
      <w:r>
        <w:t>En la actualidad, mayo de 2004, esta Ley tiene un recurso de nulidad parcial intentado por el Fiscal General de la República de Venezuela en fecha 26 de Agosto de 2003 , el que se considera que los órganos receptores de denuncia de violencia contra la mujer, no pueden tomar las medidas cautelares a favor de la misma. N</w:t>
      </w:r>
      <w:r>
        <w:t>e</w:t>
      </w:r>
      <w:r>
        <w:t>gando</w:t>
      </w:r>
      <w:r>
        <w:rPr>
          <w:i/>
        </w:rPr>
        <w:t xml:space="preserve"> </w:t>
      </w:r>
      <w:r>
        <w:t>el carácter de esos órganos de denuncia en tanto auxili</w:t>
      </w:r>
      <w:r>
        <w:t>a</w:t>
      </w:r>
      <w:r>
        <w:t>res del poder judicial.</w:t>
      </w:r>
    </w:p>
    <w:p w:rsidR="00000000" w:rsidRDefault="00000000">
      <w:pPr>
        <w:pStyle w:val="SingleTxt"/>
        <w:numPr>
          <w:ilvl w:val="0"/>
          <w:numId w:val="214"/>
        </w:numPr>
      </w:pPr>
      <w:r>
        <w:t>Inamujer, el Centro de Estudio de la Mujer de la Universidad Central de Ven</w:t>
      </w:r>
      <w:r>
        <w:t>e</w:t>
      </w:r>
      <w:r>
        <w:t>zuela y varias ONG`s de mujeres,</w:t>
      </w:r>
      <w:r>
        <w:rPr>
          <w:i/>
        </w:rPr>
        <w:t xml:space="preserve"> </w:t>
      </w:r>
      <w:r>
        <w:t>se han hecho parte en el juicio y han rebatido todo lo dicho en el Recurso de Nulidad, estableciendo, ampliamente, el carácter constit</w:t>
      </w:r>
      <w:r>
        <w:t>u</w:t>
      </w:r>
      <w:r>
        <w:t>cional de esta Ley. El juicio está en la etapa de sentencia. En el supuesto negado que se declare con lugar el recurso intentado por el Fiscal , las mujeres víctimas de vi</w:t>
      </w:r>
      <w:r>
        <w:t>o</w:t>
      </w:r>
      <w:r>
        <w:t>lencia quedarían una vez más</w:t>
      </w:r>
      <w:r>
        <w:rPr>
          <w:i/>
        </w:rPr>
        <w:t xml:space="preserve"> </w:t>
      </w:r>
      <w:r>
        <w:t>desamparadas y por tanto la impunidad frente a los agr</w:t>
      </w:r>
      <w:r>
        <w:t>e</w:t>
      </w:r>
      <w:r>
        <w:t>sores</w:t>
      </w:r>
      <w:r>
        <w:rPr>
          <w:i/>
        </w:rPr>
        <w:t xml:space="preserve"> </w:t>
      </w:r>
      <w:r>
        <w:t>tomaría nuevamente cuerpo en el país.</w:t>
      </w:r>
    </w:p>
    <w:p w:rsidR="00000000" w:rsidRDefault="00000000">
      <w:pPr>
        <w:pStyle w:val="SingleTxt"/>
        <w:numPr>
          <w:ilvl w:val="0"/>
          <w:numId w:val="214"/>
        </w:numPr>
      </w:pPr>
      <w:r>
        <w:t xml:space="preserve">En la Ley de Tierras y Desarrollo Agrario (publicada en </w:t>
      </w:r>
      <w:r>
        <w:rPr>
          <w:b/>
        </w:rPr>
        <w:t>Gaceta Oficial</w:t>
      </w:r>
      <w:r>
        <w:t xml:space="preserve"> </w:t>
      </w:r>
      <w:r>
        <w:rPr>
          <w:b/>
        </w:rPr>
        <w:t>No. 37.323</w:t>
      </w:r>
      <w:r>
        <w:t xml:space="preserve"> de</w:t>
      </w:r>
      <w:r>
        <w:rPr>
          <w:i/>
        </w:rPr>
        <w:t xml:space="preserve"> </w:t>
      </w:r>
      <w:r>
        <w:t>fecha 13 de noviembre de 2001) se hace alusión directa ,en algunos de sus artículos, a la campesina como persona beneficiaria de dicha Ley y se le confiere beneficios a la mujer jefa de familia, tal como reza el</w:t>
      </w:r>
      <w:r>
        <w:rPr>
          <w:i/>
        </w:rPr>
        <w:t xml:space="preserve"> </w:t>
      </w:r>
      <w:r>
        <w:t>Artículo 14 de la Ley cuando “</w:t>
      </w:r>
      <w:r>
        <w:rPr>
          <w:i/>
        </w:rPr>
        <w:t>se consideran beneficiarios preferenciales en la adjudicación de tierras... a las</w:t>
      </w:r>
      <w:r>
        <w:t xml:space="preserve"> </w:t>
      </w:r>
      <w:r>
        <w:rPr>
          <w:i/>
        </w:rPr>
        <w:t>ciudadanas que sean cabeza de familia que se comprometan a trabajar una parcela para manutención de su grupo familiar e incorporación al desarrollo de la nación. A las ciudadanas dedicadas a la producción agrícola se les garantiza subsidio e</w:t>
      </w:r>
      <w:r>
        <w:rPr>
          <w:i/>
        </w:rPr>
        <w:t>s</w:t>
      </w:r>
      <w:r>
        <w:rPr>
          <w:i/>
        </w:rPr>
        <w:t>pecial alimentario pre y post natal por parte del Instituto de Desarrollo Rural”.</w:t>
      </w:r>
    </w:p>
    <w:p w:rsidR="00000000" w:rsidRDefault="00000000">
      <w:pPr>
        <w:pStyle w:val="SingleTxt"/>
        <w:numPr>
          <w:ilvl w:val="0"/>
          <w:numId w:val="214"/>
        </w:numPr>
      </w:pPr>
      <w:r>
        <w:t>El</w:t>
      </w:r>
      <w:r>
        <w:rPr>
          <w:i/>
        </w:rPr>
        <w:t xml:space="preserve"> </w:t>
      </w:r>
      <w:r>
        <w:t>anteproyecto de Ley de Responsabilidad Social en Radio y Televisión</w:t>
      </w:r>
      <w:r>
        <w:rPr>
          <w:i/>
        </w:rPr>
        <w:t xml:space="preserve"> </w:t>
      </w:r>
      <w:r>
        <w:t>apr</w:t>
      </w:r>
      <w:r>
        <w:t>o</w:t>
      </w:r>
      <w:r>
        <w:t>bado en segunda discusión en la Asamblea Nacional en mayo de 2003, establece, en el</w:t>
      </w:r>
      <w:r>
        <w:rPr>
          <w:i/>
        </w:rPr>
        <w:t xml:space="preserve"> </w:t>
      </w:r>
      <w:r>
        <w:rPr>
          <w:b/>
        </w:rPr>
        <w:t>Capítulo VI de la Responsabilidad Administrativa, en el párrafo Único,</w:t>
      </w:r>
      <w:r>
        <w:t xml:space="preserve"> </w:t>
      </w:r>
      <w:r>
        <w:rPr>
          <w:b/>
        </w:rPr>
        <w:t>ordinal p</w:t>
      </w:r>
      <w:r>
        <w:t>, sanciones de hasta treinta mil (30.000) Unidades Tributarias , al prest</w:t>
      </w:r>
      <w:r>
        <w:t>a</w:t>
      </w:r>
      <w:r>
        <w:t xml:space="preserve">dor de servicios de radio y Televisión que </w:t>
      </w:r>
      <w:r>
        <w:rPr>
          <w:i/>
        </w:rPr>
        <w:t>“Difunda mensajes que promuevan, h</w:t>
      </w:r>
      <w:r>
        <w:rPr>
          <w:i/>
        </w:rPr>
        <w:t>a</w:t>
      </w:r>
      <w:r>
        <w:rPr>
          <w:i/>
        </w:rPr>
        <w:t>gan apología o inciten a la discriminación hacia personas o grupos por razones de raza, color, origen nacional y étnico idioma, religión, culto, edad, género, origen y condición social, posición económica, aspecto físico, condición de salud, discap</w:t>
      </w:r>
      <w:r>
        <w:rPr>
          <w:i/>
        </w:rPr>
        <w:t>a</w:t>
      </w:r>
      <w:r>
        <w:rPr>
          <w:i/>
        </w:rPr>
        <w:t>cidad, nacimiento, ideas, pensamiento u opiniones políticas o de cualquier otra í</w:t>
      </w:r>
      <w:r>
        <w:rPr>
          <w:i/>
        </w:rPr>
        <w:t>n</w:t>
      </w:r>
      <w:r>
        <w:rPr>
          <w:i/>
        </w:rPr>
        <w:t>dole, así como por cua</w:t>
      </w:r>
      <w:r>
        <w:rPr>
          <w:i/>
        </w:rPr>
        <w:t>l</w:t>
      </w:r>
      <w:r>
        <w:rPr>
          <w:i/>
        </w:rPr>
        <w:t xml:space="preserve">quier otra condición de las personas”. </w:t>
      </w:r>
    </w:p>
    <w:p w:rsidR="00000000" w:rsidRDefault="00000000">
      <w:pPr>
        <w:pStyle w:val="SingleTxt"/>
        <w:numPr>
          <w:ilvl w:val="0"/>
          <w:numId w:val="214"/>
        </w:numPr>
      </w:pPr>
      <w:r>
        <w:t>Por otra parte,</w:t>
      </w:r>
      <w:r>
        <w:rPr>
          <w:i/>
        </w:rPr>
        <w:t xml:space="preserve"> </w:t>
      </w:r>
      <w:r>
        <w:t>en este anteproyecto de Ley se contempla la creación de un D</w:t>
      </w:r>
      <w:r>
        <w:t>i</w:t>
      </w:r>
      <w:r>
        <w:t>rectorio y un Consejo de Responsabilidad Social para</w:t>
      </w:r>
      <w:r>
        <w:rPr>
          <w:i/>
        </w:rPr>
        <w:t xml:space="preserve"> </w:t>
      </w:r>
      <w:r>
        <w:t>discutir y aprobar las normas técnicas derivadas de la Ley, en el que el Instituto Nacional de la Mujer (Inamujer), el Consejo Nacional del Niño y del Adolescente y el Ministerio de Comunicación entre otras instituciones públicas, tienen participación. Estos garantizarán, una vez aprobada la Ley,</w:t>
      </w:r>
      <w:r>
        <w:rPr>
          <w:i/>
        </w:rPr>
        <w:t xml:space="preserve"> </w:t>
      </w:r>
      <w:r>
        <w:t>presencia activa</w:t>
      </w:r>
      <w:r>
        <w:rPr>
          <w:i/>
        </w:rPr>
        <w:t xml:space="preserve"> </w:t>
      </w:r>
      <w:r>
        <w:t>de mujeres en la elaboración de políticas de c</w:t>
      </w:r>
      <w:r>
        <w:t>o</w:t>
      </w:r>
      <w:r>
        <w:t>municación y regulación, en lo relacionado con la prevención de la violencia contra la m</w:t>
      </w:r>
      <w:r>
        <w:t>u</w:t>
      </w:r>
      <w:r>
        <w:t>jer, la discriminación y la transversalización del enfoque de género.</w:t>
      </w:r>
    </w:p>
    <w:p w:rsidR="00000000" w:rsidRDefault="00000000">
      <w:pPr>
        <w:pStyle w:val="SingleTxt"/>
        <w:numPr>
          <w:ilvl w:val="0"/>
          <w:numId w:val="214"/>
        </w:numPr>
      </w:pPr>
      <w:r>
        <w:t>La Ley</w:t>
      </w:r>
      <w:r>
        <w:rPr>
          <w:i/>
        </w:rPr>
        <w:t xml:space="preserve"> </w:t>
      </w:r>
      <w:r>
        <w:t>Nacional de</w:t>
      </w:r>
      <w:r>
        <w:rPr>
          <w:i/>
        </w:rPr>
        <w:t xml:space="preserve"> </w:t>
      </w:r>
      <w:r>
        <w:t xml:space="preserve">Juventud, publicada en la </w:t>
      </w:r>
      <w:r>
        <w:rPr>
          <w:b/>
        </w:rPr>
        <w:t xml:space="preserve">Gaceta Oficial N.37.404 </w:t>
      </w:r>
      <w:r>
        <w:t>de f</w:t>
      </w:r>
      <w:r>
        <w:t>e</w:t>
      </w:r>
      <w:r>
        <w:t>cha 14 de marzo de 2002, plantea en el Título II, Deberes y Derechos de la Juve</w:t>
      </w:r>
      <w:r>
        <w:t>n</w:t>
      </w:r>
      <w:r>
        <w:t xml:space="preserve">tud, Artículo 8, que </w:t>
      </w:r>
      <w:r>
        <w:rPr>
          <w:i/>
        </w:rPr>
        <w:t>“el Estado, la sociedad y la familia proveerán los medios para garantizar la plena incorporación de la juventud a la toma de decisiones de la vida pública, a los asuntos de Estado y a los destinos de las comunidades; así mismo, desarrollarán acciones educativas que reforzarán la convivencia plural, las práct</w:t>
      </w:r>
      <w:r>
        <w:rPr>
          <w:i/>
        </w:rPr>
        <w:t>i</w:t>
      </w:r>
      <w:r>
        <w:rPr>
          <w:i/>
        </w:rPr>
        <w:t>cas de solidaridad, la justicia y la equidad entre los géneros y fortalecerá entre los jóvenes y las jóvenes, la cultura para la democracia y la paz”:</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3</w:t>
      </w:r>
    </w:p>
    <w:p w:rsidR="00000000" w:rsidRDefault="00000000">
      <w:pPr>
        <w:pStyle w:val="SingleTxt"/>
        <w:spacing w:after="0" w:line="120" w:lineRule="exact"/>
        <w:rPr>
          <w:sz w:val="10"/>
        </w:rPr>
      </w:pPr>
    </w:p>
    <w:p w:rsidR="00000000" w:rsidRDefault="00000000">
      <w:pPr>
        <w:pStyle w:val="SingleTxt"/>
        <w:numPr>
          <w:ilvl w:val="0"/>
          <w:numId w:val="214"/>
        </w:numPr>
      </w:pPr>
      <w:r>
        <w:t>El Estado Venezolano desarrolla</w:t>
      </w:r>
      <w:r>
        <w:rPr>
          <w:i/>
        </w:rPr>
        <w:t xml:space="preserve"> </w:t>
      </w:r>
      <w:r>
        <w:t>políticas hacia las mujeres , enmarcadas en ejes fundame</w:t>
      </w:r>
      <w:r>
        <w:t>n</w:t>
      </w:r>
      <w:r>
        <w:t>tales que definen el actual programa de gobierno:</w:t>
      </w:r>
    </w:p>
    <w:p w:rsidR="00000000" w:rsidRDefault="00000000">
      <w:pPr>
        <w:pStyle w:val="SingleTxt"/>
      </w:pPr>
      <w:r>
        <w:rPr>
          <w:b/>
        </w:rPr>
        <w:tab/>
        <w:t>a)</w:t>
      </w:r>
      <w:r>
        <w:rPr>
          <w:b/>
        </w:rPr>
        <w:tab/>
        <w:t>En la esfera política</w:t>
      </w:r>
      <w:r>
        <w:t>, ha desarrollado la “Campaña del 50 y 50 de</w:t>
      </w:r>
      <w:r>
        <w:rPr>
          <w:i/>
        </w:rPr>
        <w:t xml:space="preserve"> </w:t>
      </w:r>
      <w:r>
        <w:t>part</w:t>
      </w:r>
      <w:r>
        <w:t>i</w:t>
      </w:r>
      <w:r>
        <w:t>cipación en las instancias gubernamentales”, producto de ello ha sido posible el a</w:t>
      </w:r>
      <w:r>
        <w:t>c</w:t>
      </w:r>
      <w:r>
        <w:t>ceso</w:t>
      </w:r>
      <w:r>
        <w:rPr>
          <w:i/>
        </w:rPr>
        <w:t xml:space="preserve"> </w:t>
      </w:r>
      <w:r>
        <w:t>de la mujer</w:t>
      </w:r>
      <w:r>
        <w:rPr>
          <w:i/>
        </w:rPr>
        <w:t xml:space="preserve"> </w:t>
      </w:r>
      <w:r>
        <w:t>a cargos de alto nivel político en los poderes públicos. En Ven</w:t>
      </w:r>
      <w:r>
        <w:t>e</w:t>
      </w:r>
      <w:r>
        <w:t>zuela, luego del proceso constituyente en el año 1999,</w:t>
      </w:r>
      <w:r>
        <w:rPr>
          <w:i/>
        </w:rPr>
        <w:t xml:space="preserve"> </w:t>
      </w:r>
      <w:r>
        <w:t>se</w:t>
      </w:r>
      <w:r>
        <w:rPr>
          <w:i/>
        </w:rPr>
        <w:t xml:space="preserve"> </w:t>
      </w:r>
      <w:r>
        <w:t>observó</w:t>
      </w:r>
      <w:r>
        <w:rPr>
          <w:i/>
        </w:rPr>
        <w:t xml:space="preserve"> </w:t>
      </w:r>
      <w:r>
        <w:t>un incremento</w:t>
      </w:r>
      <w:r>
        <w:rPr>
          <w:i/>
        </w:rPr>
        <w:t xml:space="preserve"> </w:t>
      </w:r>
      <w:r>
        <w:t>de la presencia de la mujer en el sector público.</w:t>
      </w:r>
      <w:r>
        <w:rPr>
          <w:i/>
        </w:rPr>
        <w:t xml:space="preserve"> </w:t>
      </w:r>
      <w:r>
        <w:t>El índice de mujeres en altos cargos de g</w:t>
      </w:r>
      <w:r>
        <w:t>o</w:t>
      </w:r>
      <w:r>
        <w:t xml:space="preserve">bierno ha aumentado significativamente. </w:t>
      </w:r>
    </w:p>
    <w:p w:rsidR="00000000" w:rsidRDefault="00000000">
      <w:pPr>
        <w:pStyle w:val="SingleTxt"/>
      </w:pPr>
      <w:r>
        <w:tab/>
        <w:t>El aumento de la participación de las mujeres en puestos de liderazgos ( m</w:t>
      </w:r>
      <w:r>
        <w:t>i</w:t>
      </w:r>
      <w:r>
        <w:t>nistras, diputadas, concejalas, alcaldesas, presidentas de Institutos autónomos, pr</w:t>
      </w:r>
      <w:r>
        <w:t>e</w:t>
      </w:r>
      <w:r>
        <w:t>sidentas de bancos públicos, institutos financieros públicos, viceministras coordin</w:t>
      </w:r>
      <w:r>
        <w:t>a</w:t>
      </w:r>
      <w:r>
        <w:t>doras , directoras, entre otros)</w:t>
      </w:r>
      <w:r>
        <w:rPr>
          <w:i/>
        </w:rPr>
        <w:t xml:space="preserve"> </w:t>
      </w:r>
      <w:r>
        <w:t>tienden a alcanzar un mayor porcentaje en</w:t>
      </w:r>
      <w:r>
        <w:rPr>
          <w:i/>
        </w:rPr>
        <w:t xml:space="preserve"> </w:t>
      </w:r>
      <w:r>
        <w:t>las Instit</w:t>
      </w:r>
      <w:r>
        <w:t>u</w:t>
      </w:r>
      <w:r>
        <w:t xml:space="preserve">ciones del Estado. </w:t>
      </w:r>
    </w:p>
    <w:p w:rsidR="00000000" w:rsidRDefault="00000000">
      <w:pPr>
        <w:pStyle w:val="SingleTxt"/>
      </w:pPr>
      <w:r>
        <w:tab/>
        <w:t xml:space="preserve">El Instituto Nacional de la Mujer (Inamujer) , como “... </w:t>
      </w:r>
      <w:r>
        <w:rPr>
          <w:i/>
        </w:rPr>
        <w:t>el órgano permanente de definición, ejecución, dirección, coordinación, supervisión y evaluación de las políticas y asuntos relacionados con la condición y situación de la mujer el (art</w:t>
      </w:r>
      <w:r>
        <w:rPr>
          <w:i/>
        </w:rPr>
        <w:t>í</w:t>
      </w:r>
      <w:r>
        <w:rPr>
          <w:i/>
        </w:rPr>
        <w:t>culo 47 de la Ley de Igualdad de Oportunidades)</w:t>
      </w:r>
      <w:r>
        <w:t>”, se ha planteado como meta d</w:t>
      </w:r>
      <w:r>
        <w:t>e</w:t>
      </w:r>
      <w:r>
        <w:t>mocratizar sus políticas, programas, planes y proyectos promoviendo la particip</w:t>
      </w:r>
      <w:r>
        <w:t>a</w:t>
      </w:r>
      <w:r>
        <w:t>ción de las mujeres en todos los sectores del país. A través de la acción de la Dire</w:t>
      </w:r>
      <w:r>
        <w:t>c</w:t>
      </w:r>
      <w:r>
        <w:t>ción de Regiones se han establecido nexos con las mujeres de los estados y se ha impulsado la creación de los Institutos Regionales, Consejos Regionales, Centros y Casas de la Mujer en todo el país, con el objeto de implementar las medidas que el Inamujer ha diseñado como ente rector de las políticas públicas en materia de gén</w:t>
      </w:r>
      <w:r>
        <w:t>e</w:t>
      </w:r>
      <w:r>
        <w:t>ro que conduzcan hacia la consecución de la soberanía y el protagonismo de las mujeres . Desde el año 2001 hasta el 2004 se han creado un total de 26 Casas de la Mujer , 7 Institutos Regionales de la Mujer, 12 Oficinas de la Mujer, 3 Institutos Municipales de la Mujer y 1 Ce</w:t>
      </w:r>
      <w:r>
        <w:t>n</w:t>
      </w:r>
      <w:r>
        <w:t xml:space="preserve">tro de Atención Integral . </w:t>
      </w:r>
    </w:p>
    <w:p w:rsidR="00000000" w:rsidRDefault="00000000">
      <w:pPr>
        <w:pStyle w:val="SingleTxt"/>
      </w:pPr>
      <w:r>
        <w:tab/>
        <w:t>En este proceso de democratización, ha jugado un papel fundamental</w:t>
      </w:r>
      <w:r>
        <w:rPr>
          <w:i/>
        </w:rPr>
        <w:t xml:space="preserve"> </w:t>
      </w:r>
      <w:r>
        <w:t>la figura de los “Puntos de Encuentro con Inamujer”, que constituyen organizaciones de base y funcionan como centros de enlace entre las comunidades y el organismo gubern</w:t>
      </w:r>
      <w:r>
        <w:t>a</w:t>
      </w:r>
      <w:r>
        <w:t>mental. Su finalidad es relacionar a las mujeres de las comunidades con el Estado venezolano para buscar soluciones a los problemas comunes que las afectan y eje</w:t>
      </w:r>
      <w:r>
        <w:t>r</w:t>
      </w:r>
      <w:r>
        <w:t>cer la participación protagónica. Desde su creación en 1999, hasta el año 2003, se han constituidos 11.937 Puntos</w:t>
      </w:r>
      <w:r>
        <w:rPr>
          <w:i/>
        </w:rPr>
        <w:t xml:space="preserve"> </w:t>
      </w:r>
      <w:r>
        <w:t>los cuales agrupan a un total de 125.230 mujeres o</w:t>
      </w:r>
      <w:r>
        <w:t>r</w:t>
      </w:r>
      <w:r>
        <w:t>gan</w:t>
      </w:r>
      <w:r>
        <w:t>i</w:t>
      </w:r>
      <w:r>
        <w:t>zadas.</w:t>
      </w:r>
    </w:p>
    <w:p w:rsidR="00000000" w:rsidRDefault="00000000">
      <w:pPr>
        <w:pStyle w:val="SingleTxt"/>
      </w:pPr>
      <w:r>
        <w:tab/>
        <w:t>INAMUJER , elaboró el Plan Nacional de Igualdad para las Mujeres, para promover la transversalización del enfoque de género en todas las instancias del Estado venezolano,</w:t>
      </w:r>
      <w:r>
        <w:rPr>
          <w:i/>
        </w:rPr>
        <w:t xml:space="preserve"> </w:t>
      </w:r>
      <w:r>
        <w:t>el</w:t>
      </w:r>
      <w:r>
        <w:rPr>
          <w:i/>
        </w:rPr>
        <w:t xml:space="preserve"> </w:t>
      </w:r>
      <w:r>
        <w:t>cual fue sometido, en el año 2003, a una consulta nacional con 1.247</w:t>
      </w:r>
      <w:r>
        <w:rPr>
          <w:i/>
        </w:rPr>
        <w:t xml:space="preserve"> </w:t>
      </w:r>
      <w:r>
        <w:t>mujeres de organizaciones populares , especialistas en el área de la mujer y</w:t>
      </w:r>
      <w:r>
        <w:rPr>
          <w:i/>
        </w:rPr>
        <w:t xml:space="preserve"> </w:t>
      </w:r>
      <w:r>
        <w:t>entes ministeriales.</w:t>
      </w:r>
    </w:p>
    <w:p w:rsidR="00000000" w:rsidRDefault="00000000">
      <w:pPr>
        <w:pStyle w:val="SingleTxt"/>
      </w:pPr>
      <w:r>
        <w:tab/>
        <w:t>En su revisión han participado asesores y asesoras del Fondo de Población de las Naciones Unidas (UNFPA).</w:t>
      </w:r>
      <w:r>
        <w:rPr>
          <w:i/>
        </w:rPr>
        <w:t xml:space="preserve"> </w:t>
      </w:r>
      <w:r>
        <w:t>Se prevé implementar el Plan a partir del segundo semestre del 2004 y establecer, formalmente,</w:t>
      </w:r>
      <w:r>
        <w:rPr>
          <w:i/>
        </w:rPr>
        <w:t xml:space="preserve"> </w:t>
      </w:r>
      <w:r>
        <w:t>la inclusión del enfoque de género en todas las instancias gubernamentales del país con la finalidad de garantizar el acceso a la igualdad de oportunidades de las mujeres y</w:t>
      </w:r>
      <w:r>
        <w:rPr>
          <w:i/>
        </w:rPr>
        <w:t xml:space="preserve"> </w:t>
      </w:r>
      <w:r>
        <w:t>la d</w:t>
      </w:r>
      <w:r>
        <w:t>e</w:t>
      </w:r>
      <w:r>
        <w:t>fensa de sus derechos.</w:t>
      </w:r>
    </w:p>
    <w:p w:rsidR="00000000" w:rsidRDefault="00000000">
      <w:pPr>
        <w:pStyle w:val="SingleTxt"/>
      </w:pPr>
      <w:r>
        <w:tab/>
        <w:t>La Defensoría Nacional de los Derechos de la Mujer es la instancia jurídica del Inamujer que apoya y asiste a las mujeres en la defensa de sus derechos, creada por mandato de la Ley de Igualdad de Oportunidades para la mujer, en el año 2000.Entre sus fun</w:t>
      </w:r>
      <w:r>
        <w:softHyphen/>
        <w:t>ciones tiene la defensa de los derechos humanos de las mujeres, consagrados en la Constitución de la República Bolivariana de Venezuela y los est</w:t>
      </w:r>
      <w:r>
        <w:t>a</w:t>
      </w:r>
      <w:r>
        <w:t>blecidos en nuestras leyes y los convenios Internacionales suscritos y ratificados por el Estado Venezolano. Desde el 2000 hasta el 2003 la Defensoría ha atendido a 11.456 mujeres con casos relativos a violencia contra la mujer y orientación legal.</w:t>
      </w:r>
    </w:p>
    <w:p w:rsidR="00000000" w:rsidRDefault="00000000">
      <w:pPr>
        <w:pStyle w:val="SingleTxt"/>
      </w:pPr>
      <w:r>
        <w:tab/>
        <w:t>En relación con la asistencia jurídica otorgada por la Defensoría Nacional de los Derechos de la Mujer; en el año 2003 esta instancia ejecutó el programa sobre Derechos de la Mujer y Acceso a la Justicia con la finalidad de v</w:t>
      </w:r>
      <w:r>
        <w:rPr>
          <w:snapToGrid w:val="0"/>
        </w:rPr>
        <w:t>elar por el cumpl</w:t>
      </w:r>
      <w:r>
        <w:rPr>
          <w:snapToGrid w:val="0"/>
        </w:rPr>
        <w:t>i</w:t>
      </w:r>
      <w:r>
        <w:rPr>
          <w:snapToGrid w:val="0"/>
        </w:rPr>
        <w:t xml:space="preserve">miento de las leyes, declaraciones, convenciones, reglamentos y disposiciones que guarden relación con los derechos de las mujeres. En el marco de este programa se brindó </w:t>
      </w:r>
      <w:r>
        <w:t xml:space="preserve">atención a las mujeres que vieron vulnerados sus derechos humanos , a las que se les brindó asesoría legal, acción que constituye el objetivo fundamental de este servicio. </w:t>
      </w:r>
    </w:p>
    <w:p w:rsidR="00000000" w:rsidRDefault="00000000">
      <w:pPr>
        <w:pStyle w:val="SingleTxt"/>
      </w:pPr>
      <w:r>
        <w:tab/>
        <w:t>Recientemente, en la Gaceta Oficial No. 37.928, de fecha 30 de Abril de 2004, según la resolución No. DP-2004049 , se crea la Defensoría Especial de la Mujer, adscrita a la Defensoría del Pueblo, con competencia a Nivel Nacional sobre los d</w:t>
      </w:r>
      <w:r>
        <w:t>e</w:t>
      </w:r>
      <w:r>
        <w:t>rechos de las mujeres.</w:t>
      </w:r>
    </w:p>
    <w:p w:rsidR="00000000" w:rsidRDefault="00000000">
      <w:pPr>
        <w:pStyle w:val="SingleTxt"/>
      </w:pPr>
      <w:r>
        <w:rPr>
          <w:b/>
        </w:rPr>
        <w:tab/>
        <w:t>b)</w:t>
      </w:r>
      <w:r>
        <w:rPr>
          <w:b/>
        </w:rPr>
        <w:tab/>
        <w:t xml:space="preserve">En la esfera social: </w:t>
      </w:r>
      <w:r>
        <w:t>El Ministerio de Salud y Desarrollo Social - MSDS, creado en 1999, define a la salud como un derecho social que garantiza el Estado, bajo los principios de universalidad, equidad, solidaridad, integralidad de las acci</w:t>
      </w:r>
      <w:r>
        <w:t>o</w:t>
      </w:r>
      <w:r>
        <w:t>nes, gratuidad, integración social y participación. Como una de sus prioridades en este proceso de reforma, el MSDS plantea el desarrollo del Modelo de Atención I</w:t>
      </w:r>
      <w:r>
        <w:t>n</w:t>
      </w:r>
      <w:r>
        <w:t>tegral que fortalece el primer nivel de atención, incrementando la capacidad resol</w:t>
      </w:r>
      <w:r>
        <w:t>u</w:t>
      </w:r>
      <w:r>
        <w:t>tiva y po</w:t>
      </w:r>
      <w:r>
        <w:softHyphen/>
        <w:t>niendo énfasis en las acciones de promoción y prevención, con la particip</w:t>
      </w:r>
      <w:r>
        <w:t>a</w:t>
      </w:r>
      <w:r>
        <w:t>ción de la sociedad civil como herramienta esencial. La oferta básica de servicios incluye una serie de acciones donde se integran los programas hacia los grupos p</w:t>
      </w:r>
      <w:r>
        <w:t>o</w:t>
      </w:r>
      <w:r>
        <w:t>blacionales por edad y grupos familiares. Uno de los principales desafíos es lograr que el fortalecimiento de la red ambulatoria signifique un profundo cambio en el modelo de atención, en el que los ambulatorios sean espacios de producción de s</w:t>
      </w:r>
      <w:r>
        <w:t>a</w:t>
      </w:r>
      <w:r>
        <w:t>lud y no sólo centros de atención a la enfermedad. Durante el año 2004, el MSDS avanza aceleradamente en la construcción de un Sistema Único de Salud que pr</w:t>
      </w:r>
      <w:r>
        <w:t>e</w:t>
      </w:r>
      <w:r>
        <w:t>tende dar respuesta al fraccionamiento que ha vivido el sector por muchos años y que responderá a las nuevas necesidades de seguridad en salud tanto de los hombres como de las mujeres que habitan en el país.</w:t>
      </w:r>
    </w:p>
    <w:p w:rsidR="00000000" w:rsidRDefault="00000000">
      <w:pPr>
        <w:pStyle w:val="SingleTxt"/>
        <w:rPr>
          <w:spacing w:val="2"/>
          <w:w w:val="102"/>
        </w:rPr>
      </w:pPr>
      <w:r>
        <w:rPr>
          <w:spacing w:val="2"/>
          <w:w w:val="102"/>
        </w:rPr>
        <w:tab/>
        <w:t>El marco legal establecido por la Carta Magna ha permitido la formulación de una propuesta de Ley Orgánica de Salud (actualmente en discusión) que tiene por o</w:t>
      </w:r>
      <w:r>
        <w:rPr>
          <w:spacing w:val="2"/>
          <w:w w:val="102"/>
        </w:rPr>
        <w:t>b</w:t>
      </w:r>
      <w:r>
        <w:rPr>
          <w:spacing w:val="2"/>
          <w:w w:val="102"/>
        </w:rPr>
        <w:t>jeto desarrollar y hacer efectivo el derecho constitucional a la salud como derecho s</w:t>
      </w:r>
      <w:r>
        <w:rPr>
          <w:spacing w:val="2"/>
          <w:w w:val="102"/>
        </w:rPr>
        <w:t>o</w:t>
      </w:r>
      <w:r>
        <w:rPr>
          <w:spacing w:val="2"/>
          <w:w w:val="102"/>
        </w:rPr>
        <w:t>cial fundamental. En dicha propuesta de Ley se contempla, en el artículo 63, lo ref</w:t>
      </w:r>
      <w:r>
        <w:rPr>
          <w:spacing w:val="2"/>
          <w:w w:val="102"/>
        </w:rPr>
        <w:t>e</w:t>
      </w:r>
      <w:r>
        <w:rPr>
          <w:spacing w:val="2"/>
          <w:w w:val="102"/>
        </w:rPr>
        <w:t xml:space="preserve">rente a la Violencia y Salud .Por lo que reza lo siguiente: </w:t>
      </w:r>
      <w:r>
        <w:rPr>
          <w:i/>
          <w:spacing w:val="2"/>
          <w:w w:val="102"/>
        </w:rPr>
        <w:t>“El Sistema Público Naci</w:t>
      </w:r>
      <w:r>
        <w:rPr>
          <w:i/>
          <w:spacing w:val="2"/>
          <w:w w:val="102"/>
        </w:rPr>
        <w:t>o</w:t>
      </w:r>
      <w:r>
        <w:rPr>
          <w:i/>
          <w:spacing w:val="2"/>
          <w:w w:val="102"/>
        </w:rPr>
        <w:t>nal de Salud promoverá a través de acciones intersectoriales, las medidas necesarias para la prevención de los distintos tipos de violencia y de su apología, en virtud del impacto que estas ejercen sobre la salud. Todas las formas de abuso y violencia, incl</w:t>
      </w:r>
      <w:r>
        <w:rPr>
          <w:i/>
          <w:spacing w:val="2"/>
          <w:w w:val="102"/>
        </w:rPr>
        <w:t>u</w:t>
      </w:r>
      <w:r>
        <w:rPr>
          <w:i/>
          <w:spacing w:val="2"/>
          <w:w w:val="102"/>
        </w:rPr>
        <w:t xml:space="preserve">yendo la sexual y doméstica, se considerarán contrarias a la salud integral”. </w:t>
      </w:r>
      <w:r>
        <w:rPr>
          <w:spacing w:val="2"/>
          <w:w w:val="102"/>
        </w:rPr>
        <w:t>Igua</w:t>
      </w:r>
      <w:r>
        <w:rPr>
          <w:spacing w:val="2"/>
          <w:w w:val="102"/>
        </w:rPr>
        <w:t>l</w:t>
      </w:r>
      <w:r>
        <w:rPr>
          <w:spacing w:val="2"/>
          <w:w w:val="102"/>
        </w:rPr>
        <w:t>mente, en el artículo 124, referente a la Creación del Sistema</w:t>
      </w:r>
      <w:r>
        <w:rPr>
          <w:i/>
          <w:spacing w:val="2"/>
          <w:w w:val="102"/>
        </w:rPr>
        <w:t xml:space="preserve"> </w:t>
      </w:r>
      <w:r>
        <w:rPr>
          <w:spacing w:val="2"/>
          <w:w w:val="102"/>
        </w:rPr>
        <w:t>Nacional de Información en Salud incluye el registro y análisis de los grupos más afectados por la violencia. Con la finalidad de dar cumplimiento a lo establecido en la Constitución de la Repúbl</w:t>
      </w:r>
      <w:r>
        <w:rPr>
          <w:spacing w:val="2"/>
          <w:w w:val="102"/>
        </w:rPr>
        <w:t>i</w:t>
      </w:r>
      <w:r>
        <w:rPr>
          <w:spacing w:val="2"/>
          <w:w w:val="102"/>
        </w:rPr>
        <w:t>ca Bolivariana de Venezuela ,a la Ley de Salud, y a los acuerdos internacionales,</w:t>
      </w:r>
      <w:r>
        <w:rPr>
          <w:i/>
          <w:spacing w:val="2"/>
          <w:w w:val="102"/>
        </w:rPr>
        <w:t xml:space="preserve"> </w:t>
      </w:r>
      <w:r>
        <w:rPr>
          <w:spacing w:val="2"/>
          <w:w w:val="102"/>
        </w:rPr>
        <w:t>el Ministerio de Salud y Desarrollo Social se ha planteado como acciones inmediatas, la</w:t>
      </w:r>
      <w:r>
        <w:rPr>
          <w:i/>
          <w:spacing w:val="2"/>
          <w:w w:val="102"/>
        </w:rPr>
        <w:t xml:space="preserve"> </w:t>
      </w:r>
      <w:r>
        <w:rPr>
          <w:spacing w:val="2"/>
          <w:w w:val="102"/>
        </w:rPr>
        <w:t>Transversalización de la Perspectiva de Género en las políticas y acciones que viene desarrollando. Para ello, se está realizando un plan de capacitación en enfoque de gén</w:t>
      </w:r>
      <w:r>
        <w:rPr>
          <w:spacing w:val="2"/>
          <w:w w:val="102"/>
        </w:rPr>
        <w:t>e</w:t>
      </w:r>
      <w:r>
        <w:rPr>
          <w:spacing w:val="2"/>
          <w:w w:val="102"/>
        </w:rPr>
        <w:t>ro y salud que permita visualizar los mecanismos que subyacen en el proceso de salud-enfermedad y que demandan acciones específ</w:t>
      </w:r>
      <w:r>
        <w:rPr>
          <w:spacing w:val="2"/>
          <w:w w:val="102"/>
        </w:rPr>
        <w:t>i</w:t>
      </w:r>
      <w:r>
        <w:rPr>
          <w:spacing w:val="2"/>
          <w:w w:val="102"/>
        </w:rPr>
        <w:t xml:space="preserve">cas del hombre y la mujer en la atención. </w:t>
      </w:r>
    </w:p>
    <w:p w:rsidR="00000000" w:rsidRDefault="00000000">
      <w:pPr>
        <w:pStyle w:val="SingleTxt"/>
      </w:pPr>
      <w:r>
        <w:tab/>
        <w:t xml:space="preserve">En relación a la obligación del Estado de promover, proteger y garantizar los derechos humanos de las mujeres, se aprobó en la </w:t>
      </w:r>
      <w:r>
        <w:rPr>
          <w:b/>
        </w:rPr>
        <w:t>Gaceta Oficial Número 37.705</w:t>
      </w:r>
      <w:r>
        <w:t xml:space="preserve"> , de fecha 05/06/03 , decreto Número</w:t>
      </w:r>
      <w:r>
        <w:rPr>
          <w:i/>
        </w:rPr>
        <w:t xml:space="preserve"> </w:t>
      </w:r>
      <w:r>
        <w:t>364, la norma Oficial del Sistema Sanitario N</w:t>
      </w:r>
      <w:r>
        <w:t>a</w:t>
      </w:r>
      <w:r>
        <w:t>cional en materia de Salud</w:t>
      </w:r>
      <w:r>
        <w:rPr>
          <w:i/>
        </w:rPr>
        <w:t xml:space="preserve"> </w:t>
      </w:r>
      <w:r>
        <w:t>Sexual y Reproductiva en los establecimientos públicos y privados.</w:t>
      </w:r>
    </w:p>
    <w:p w:rsidR="00000000" w:rsidRDefault="00000000">
      <w:pPr>
        <w:pStyle w:val="SingleTxt"/>
      </w:pPr>
      <w:r>
        <w:tab/>
        <w:t>Las</w:t>
      </w:r>
      <w:r>
        <w:rPr>
          <w:i/>
        </w:rPr>
        <w:t xml:space="preserve"> </w:t>
      </w:r>
      <w:r>
        <w:t>políticas de salud implantadas</w:t>
      </w:r>
      <w:r>
        <w:rPr>
          <w:i/>
        </w:rPr>
        <w:t xml:space="preserve"> </w:t>
      </w:r>
      <w:r>
        <w:t>desde 1999, dan</w:t>
      </w:r>
      <w:r>
        <w:rPr>
          <w:i/>
        </w:rPr>
        <w:t xml:space="preserve"> </w:t>
      </w:r>
      <w:r>
        <w:t>prioridad a las madres</w:t>
      </w:r>
      <w:r>
        <w:rPr>
          <w:i/>
        </w:rPr>
        <w:t xml:space="preserve"> </w:t>
      </w:r>
      <w:r>
        <w:t xml:space="preserve">y padres en tanto ejerzan la jefatura familiar a fin de proteger a la familia , según lo establecido en la Constitución. , Art. 75: </w:t>
      </w:r>
      <w:r>
        <w:rPr>
          <w:i/>
        </w:rPr>
        <w:t>“El Estado protegerá a las familias como asociación natural de la sociedad...el Estado garantizará la protección a la madre, al p</w:t>
      </w:r>
      <w:r>
        <w:rPr>
          <w:i/>
        </w:rPr>
        <w:t>a</w:t>
      </w:r>
      <w:r>
        <w:rPr>
          <w:i/>
        </w:rPr>
        <w:t>dre o a quienes ejerzan la jefatura de la familia”</w:t>
      </w:r>
      <w:r>
        <w:t xml:space="preserve">. </w:t>
      </w:r>
    </w:p>
    <w:p w:rsidR="00000000" w:rsidRDefault="00000000">
      <w:pPr>
        <w:pStyle w:val="SingleTxt"/>
      </w:pPr>
      <w:r>
        <w:tab/>
        <w:t>Para la protección de los derechos humanos de las mujeres, el Estado Venez</w:t>
      </w:r>
      <w:r>
        <w:t>o</w:t>
      </w:r>
      <w:r>
        <w:t>lano a través de Inamujer formuló y ejecuta el Plan Nacional de Prevención y Ate</w:t>
      </w:r>
      <w:r>
        <w:t>n</w:t>
      </w:r>
      <w:r>
        <w:t>ción de la Violencia hacia la Mujer</w:t>
      </w:r>
      <w:r>
        <w:rPr>
          <w:i/>
        </w:rPr>
        <w:t xml:space="preserve"> </w:t>
      </w:r>
      <w:r>
        <w:t>que tiene como objetivo general crear un sistema de intervención interinstitucional e intersectorial, que permita al Estado venezolano, atender, sancionar e investigar</w:t>
      </w:r>
      <w:r>
        <w:rPr>
          <w:i/>
        </w:rPr>
        <w:t xml:space="preserve"> </w:t>
      </w:r>
      <w:r>
        <w:t>la violencia hacia la mujer.</w:t>
      </w:r>
    </w:p>
    <w:p w:rsidR="00000000" w:rsidRDefault="00000000">
      <w:pPr>
        <w:pStyle w:val="SingleTxt"/>
        <w:rPr>
          <w:snapToGrid w:val="0"/>
        </w:rPr>
      </w:pPr>
      <w:r>
        <w:rPr>
          <w:snapToGrid w:val="0"/>
        </w:rPr>
        <w:tab/>
        <w:t>Este plan tiene entre otros programas la línea telefónica gratuita y de cobertura nacional 0-800-Mujeres (0-800-6853737) que brinda atención psicológica primaria a víctimas de violencia e información sobre donde acudir. El servicio es atendido por psicólogas y abogadas, entre otras profesionales, especialistas en brindar atención a muj</w:t>
      </w:r>
      <w:r>
        <w:rPr>
          <w:snapToGrid w:val="0"/>
        </w:rPr>
        <w:t>e</w:t>
      </w:r>
      <w:r>
        <w:rPr>
          <w:snapToGrid w:val="0"/>
        </w:rPr>
        <w:t>res maltratadas.</w:t>
      </w:r>
    </w:p>
    <w:p w:rsidR="00000000" w:rsidRDefault="00000000">
      <w:pPr>
        <w:pStyle w:val="SingleTxt"/>
        <w:rPr>
          <w:b/>
          <w:snapToGrid w:val="0"/>
        </w:rPr>
      </w:pPr>
      <w:r>
        <w:rPr>
          <w:snapToGrid w:val="0"/>
        </w:rPr>
        <w:tab/>
        <w:t>Desde el año 1999 hasta el 2003 hubo un total de 12.430 llamadas atendidas por el servicio. El tipo de violencia manifestado por las mujeres atendidas en el año 2003 a través de la línea 0800 Mujeres se presenta a continuación: 74,74% violencia física, 12,86% violencia patrimonial, y 8,69% violencia sexual. violencia financiera 1,64% violencia patrimonial , 1,25% privación de libertad) y 0,93% violencia lab</w:t>
      </w:r>
      <w:r>
        <w:rPr>
          <w:snapToGrid w:val="0"/>
        </w:rPr>
        <w:t>o</w:t>
      </w:r>
      <w:r>
        <w:rPr>
          <w:snapToGrid w:val="0"/>
        </w:rPr>
        <w:t>ral. Para el primer trimestre de 2004, la línea atendió 762 llamadas.</w:t>
      </w:r>
    </w:p>
    <w:p w:rsidR="00000000" w:rsidRDefault="00000000">
      <w:pPr>
        <w:pStyle w:val="SingleTxt"/>
      </w:pPr>
      <w:r>
        <w:rPr>
          <w:snapToGrid w:val="0"/>
          <w:color w:val="000000"/>
        </w:rPr>
        <w:tab/>
        <w:t xml:space="preserve">En el referido Plan de Violencia, se </w:t>
      </w:r>
      <w:r>
        <w:t>contempla, dentro de sus actividades, a</w:t>
      </w:r>
      <w:r>
        <w:t>c</w:t>
      </w:r>
      <w:r>
        <w:t>ciones de abrigo y protección a la mujer y su familia víctimas de violencia a través de la creación de Casas de Abrigo para Mujeres en Peligro Inminente sobre su Int</w:t>
      </w:r>
      <w:r>
        <w:t>e</w:t>
      </w:r>
      <w:r>
        <w:t>gridad Física por Violencia Familiar.</w:t>
      </w:r>
    </w:p>
    <w:p w:rsidR="00000000" w:rsidRDefault="00000000">
      <w:pPr>
        <w:pStyle w:val="SingleTxt"/>
      </w:pPr>
      <w:r>
        <w:tab/>
        <w:t>Las casas de abrigo, trabajan con el apoyo de servicios de salud y judiciales de la comunidad, fortaleciendo de esta manera una red de atención en las localidades de ubicación; de igual forma, las casas de abrigo se constituyen como infraestruct</w:t>
      </w:r>
      <w:r>
        <w:t>u</w:t>
      </w:r>
      <w:r>
        <w:t>ra de servicio comunitario para un grupo poblacional con un perfil determinado por la violencia familiar.</w:t>
      </w:r>
    </w:p>
    <w:p w:rsidR="00000000" w:rsidRDefault="00000000">
      <w:pPr>
        <w:pStyle w:val="SingleTxt"/>
      </w:pPr>
      <w:r>
        <w:tab/>
        <w:t>En el año 2002, el programa Casa de Abrigo en su sede de Aragua, que se e</w:t>
      </w:r>
      <w:r>
        <w:t>n</w:t>
      </w:r>
      <w:r>
        <w:t>cuentra habilitada para el hospedaje, brindó atención a 34 mujeres y 77 niños / as. En el año 2003, se atendieron 45 mujeres y 82 niñas y niños .La atención se basa en orientación psicológica, atención legal, referencias y acompañamiento a servicios brindados por otras instituciones: , atenciones médicas, oficinas de Fiscalía, de ce</w:t>
      </w:r>
      <w:r>
        <w:t>n</w:t>
      </w:r>
      <w:r>
        <w:t>tros policiales, capacitación a las mujeres y seguimiento a los casos egresados.</w:t>
      </w:r>
    </w:p>
    <w:p w:rsidR="00000000" w:rsidRDefault="00000000">
      <w:pPr>
        <w:pStyle w:val="SingleTxt"/>
        <w:suppressAutoHyphens/>
      </w:pPr>
      <w:r>
        <w:rPr>
          <w:b/>
        </w:rPr>
        <w:tab/>
        <w:t>c)</w:t>
      </w:r>
      <w:r>
        <w:rPr>
          <w:b/>
        </w:rPr>
        <w:tab/>
        <w:t>En la esfera económica:</w:t>
      </w:r>
      <w:r>
        <w:t xml:space="preserve"> el Gobierno Nacional ha implementado una serie de políticas para la promoción del empleo, el acceso al crédito y la construcción de una mejor calidad de vida. A los efectos impulsa la articulación de las instancias promotoras de una economía social con los organismos financiadores y los de capacit</w:t>
      </w:r>
      <w:r>
        <w:t>a</w:t>
      </w:r>
      <w:r>
        <w:t>ción .</w:t>
      </w:r>
    </w:p>
    <w:p w:rsidR="00000000" w:rsidRDefault="00000000">
      <w:pPr>
        <w:pStyle w:val="SingleTxt"/>
        <w:rPr>
          <w:b/>
        </w:rPr>
      </w:pPr>
      <w:r>
        <w:tab/>
        <w:t>El Estado Venezolano asume, así, el compromiso adquirido en la cumbre del milenio en relación a la disminución de la pobreza (a corto y mediano plazo) m</w:t>
      </w:r>
      <w:r>
        <w:t>e</w:t>
      </w:r>
      <w:r>
        <w:t>diante estrategias sociales y económicas que no solo estén orientadas a la satisfa</w:t>
      </w:r>
      <w:r>
        <w:t>c</w:t>
      </w:r>
      <w:r>
        <w:t>ción de las necesidades básicas materiales en salud, nutrición, educación y trabajo, sino también en la defensa de los derechos humanos, de hombres y mujeres y la distribución cada vez más equitativa la riqueza creada</w:t>
      </w:r>
      <w:r>
        <w:rPr>
          <w:b/>
        </w:rPr>
        <w:t xml:space="preserve">. </w:t>
      </w:r>
    </w:p>
    <w:p w:rsidR="00000000" w:rsidRDefault="00000000">
      <w:pPr>
        <w:pStyle w:val="SingleTxt"/>
      </w:pPr>
      <w:r>
        <w:tab/>
        <w:t>En esta esfera, tiene especial consideración la seguridad alimentaría de la p</w:t>
      </w:r>
      <w:r>
        <w:t>o</w:t>
      </w:r>
      <w:r>
        <w:t>blación. A los efectos se creo una Misión denominada Mercal en la cual el “Progr</w:t>
      </w:r>
      <w:r>
        <w:t>a</w:t>
      </w:r>
      <w:r>
        <w:t>ma Especial de Seguridad Alimentaria” PESA en zonas urbanas y periurbanas, a</w:t>
      </w:r>
      <w:r>
        <w:t>d</w:t>
      </w:r>
      <w:r>
        <w:t>quiere una particular relevancia. Los criterios a tomar en cuenta para la selección de los beneficiarios y beneficiarias serán relacionados con la información básica pobl</w:t>
      </w:r>
      <w:r>
        <w:t>a</w:t>
      </w:r>
      <w:r>
        <w:t>cional, sus características socioeconómicas y su disposición para la organización. Igualmente, se considerara una equitativa distribución por género para la incorpor</w:t>
      </w:r>
      <w:r>
        <w:t>a</w:t>
      </w:r>
      <w:r>
        <w:t>ción de las personas al pr</w:t>
      </w:r>
      <w:r>
        <w:t>o</w:t>
      </w:r>
      <w:r>
        <w:t>grama, tomando en consideración los siguientes criterios:</w:t>
      </w:r>
    </w:p>
    <w:p w:rsidR="00000000" w:rsidRDefault="00000000">
      <w:pPr>
        <w:pStyle w:val="SingleTxt"/>
        <w:tabs>
          <w:tab w:val="right" w:pos="1685"/>
        </w:tabs>
        <w:ind w:left="1742" w:hanging="475"/>
      </w:pPr>
      <w:r>
        <w:tab/>
        <w:t>•</w:t>
      </w:r>
      <w:r>
        <w:tab/>
        <w:t>Hogares en situación de pobreza</w:t>
      </w:r>
    </w:p>
    <w:p w:rsidR="00000000" w:rsidRDefault="00000000">
      <w:pPr>
        <w:pStyle w:val="SingleTxt"/>
        <w:tabs>
          <w:tab w:val="right" w:pos="1685"/>
        </w:tabs>
        <w:ind w:left="1742" w:hanging="475"/>
      </w:pPr>
      <w:r>
        <w:tab/>
        <w:t>•</w:t>
      </w:r>
      <w:r>
        <w:tab/>
        <w:t>Hogares dirigidos por mujeres solas</w:t>
      </w:r>
    </w:p>
    <w:p w:rsidR="00000000" w:rsidRDefault="00000000">
      <w:pPr>
        <w:pStyle w:val="SingleTxt"/>
        <w:tabs>
          <w:tab w:val="right" w:pos="1685"/>
        </w:tabs>
        <w:ind w:left="1742" w:hanging="475"/>
      </w:pPr>
      <w:r>
        <w:tab/>
        <w:t>•</w:t>
      </w:r>
      <w:r>
        <w:tab/>
        <w:t>Hogares con jefas o jefes cuya escolaridad es menor a tres años o tres grados de educación formal.</w:t>
      </w:r>
    </w:p>
    <w:p w:rsidR="00000000" w:rsidRDefault="00000000">
      <w:pPr>
        <w:pStyle w:val="SingleTxt"/>
        <w:tabs>
          <w:tab w:val="right" w:pos="1685"/>
        </w:tabs>
        <w:ind w:left="1742" w:hanging="475"/>
      </w:pPr>
      <w:r>
        <w:tab/>
        <w:t>•</w:t>
      </w:r>
      <w:r>
        <w:tab/>
        <w:t>Familias e individuos con bajo nivel de organización para la producción, y en co</w:t>
      </w:r>
      <w:r>
        <w:t>n</w:t>
      </w:r>
      <w:r>
        <w:t>secuencia limitado acceso a fuentes de financiamiento.</w:t>
      </w:r>
    </w:p>
    <w:p w:rsidR="00000000" w:rsidRDefault="00000000">
      <w:pPr>
        <w:pStyle w:val="SingleTxt"/>
      </w:pPr>
      <w:r>
        <w:tab/>
        <w:t>Así mismo se tomarán en cuenta condiciones particulares tales como: en el c</w:t>
      </w:r>
      <w:r>
        <w:t>a</w:t>
      </w:r>
      <w:r>
        <w:t>so de que se registren embarazos entre las mujeres que participan en las unidades asociativas, estas deberán gozar de las consideraciones necesarias y pertinentes que demandan su condición. Estas mujeres deberán remitirse a los servicios sociales y de salud para su seguimiento.</w:t>
      </w:r>
    </w:p>
    <w:p w:rsidR="00000000" w:rsidRDefault="00000000">
      <w:pPr>
        <w:pStyle w:val="SingleTxt"/>
      </w:pPr>
      <w:r>
        <w:tab/>
        <w:t>Con el apoyo del Fondo de Población de las Naciones Unidas UNFPA, en el año 2002, se estableció una alianza estratégica con el Ministerio del Trabajo, el Banco de Desarrollo de la Mujer e Inamujer, con la finalidad de ejecutar un plan denominado Promoción y Educación en Salud Sexual y Reproductiva y Equidad de Género en el ámbito del Empleo . El objetivo fundamental de este plan es el de mejorar la calidad de vida de las mujeres en busca de la inserción laboral, relaci</w:t>
      </w:r>
      <w:r>
        <w:t>o</w:t>
      </w:r>
      <w:r>
        <w:t>nando la salud sexual y reproductiva con la situación de pobreza, la equidad entre hombres y mujeres, la violencia y la soberanía de las mujeres. Las beneficiarias fu</w:t>
      </w:r>
      <w:r>
        <w:t>e</w:t>
      </w:r>
      <w:r>
        <w:t>ron 128.500 mujeres pertenecientes a Inamujer, promotoras y usuarias del Banco de Desarrollo de la Mujer e integrantes de las Agencias de Empleo del Ministerio del Tr</w:t>
      </w:r>
      <w:r>
        <w:t>a</w:t>
      </w:r>
      <w:r>
        <w:t>bajo.</w:t>
      </w:r>
    </w:p>
    <w:p w:rsidR="00000000" w:rsidRDefault="00000000">
      <w:pPr>
        <w:pStyle w:val="SingleTxt"/>
      </w:pPr>
      <w:r>
        <w:tab/>
        <w:t>El Banco de Desarrollo de la Mujer, se crea, a solicitud del Instituto Nacional de la Mujer, mediante decreto No.1243 de fecha 8 de marzo de 2001, publicado en Gaceta oficial de la República Bolivariana No.31.154 de igual fecha). El mismo se establece como una institución microfinanciera pública, proveedora de microcréd</w:t>
      </w:r>
      <w:r>
        <w:t>i</w:t>
      </w:r>
      <w:r>
        <w:t>tos y demás productos financieros y no financieros , para el desarrollo de las muj</w:t>
      </w:r>
      <w:r>
        <w:t>e</w:t>
      </w:r>
      <w:r>
        <w:t>res de bajos ingresos, en situación de pobreza que realizan iniciativas de producción de bienes y servicios, así como de comercialización, de carácter microempresarial, en los sectores populares, sirviendo de facilitador de actividades de capacitación, transferencia tecnológica adaptada a las unidades económicas de pequeña escala, asistencia técnica y acompañamiento con equidad de género, para que estas puedan ejercer sus derechos humanos: económicos, culturales y sociales.</w:t>
      </w:r>
    </w:p>
    <w:p w:rsidR="00000000" w:rsidRDefault="00000000">
      <w:pPr>
        <w:pStyle w:val="SingleTxt"/>
      </w:pPr>
      <w:r>
        <w:tab/>
        <w:t>El Banco de Desarrollo de la Mujer facilita el acceso a los recursos financieros y no financieros atinentes a la microempresas dirigidas por mujeres, en condiciones de pobrezas o en proceso de empobrecimiento, en forma individual u organizada en unidades asociativas diversas, con el fin último de crear fuentes de trabajo dignos e ingresos para el grupo familiar que conduzcan a la eliminación de la pobreza y la inequitativa distribución del ingreso nacional. Atiende a población indígena, afr</w:t>
      </w:r>
      <w:r>
        <w:t>o</w:t>
      </w:r>
      <w:r>
        <w:t>descendiente y de barrios urbanos. Los Servicios no financieros incorporan la Salud Sexual y Reproductiva , la capacitación para el trabajo y la vida, motivación al l</w:t>
      </w:r>
      <w:r>
        <w:t>o</w:t>
      </w:r>
      <w:r>
        <w:t>gro, ciudadanía y desarrollo de microcadenas productivas. Desde septiembre de 2001 (cuando comienza sus labores operativas) hasta el año 2004 el Banco de la Mujer ha aprobado unos 40.000 créditos con tasas de interés subsidiada, se han creado aproximadamente, 120.000 empleos potenciales en dos años y medio, ben</w:t>
      </w:r>
      <w:r>
        <w:t>e</w:t>
      </w:r>
      <w:r>
        <w:t>ficiando a 600.000 personas en todo el país. Además, se han capacitado 30.000 m</w:t>
      </w:r>
      <w:r>
        <w:t>u</w:t>
      </w:r>
      <w:r>
        <w:t>jeres en las áreas de economía popular, formulación de proyectos, diagnósticos c</w:t>
      </w:r>
      <w:r>
        <w:t>o</w:t>
      </w:r>
      <w:r>
        <w:t>munitarios- participativos, cooperativas, manejo de microempresas, liderazgo y t</w:t>
      </w:r>
      <w:r>
        <w:t>e</w:t>
      </w:r>
      <w:r>
        <w:t>mas de desarrollo humano como: salud integral, salud sexual, salud reproductiva y prevención de la violencia intrafamiliar. Se ha facilitado la creación de 18 Redes Populares de usuarios del Banco de Desarrollo la Mujer y 22 Acuerdos de Cooper</w:t>
      </w:r>
      <w:r>
        <w:t>a</w:t>
      </w:r>
      <w:r>
        <w:t>ción estratégicas con Instituciones Nacionales e Internaci</w:t>
      </w:r>
      <w:r>
        <w:t>o</w:t>
      </w:r>
      <w:r>
        <w:t>nales .</w:t>
      </w:r>
    </w:p>
    <w:p w:rsidR="00000000" w:rsidRDefault="00000000">
      <w:pPr>
        <w:pStyle w:val="SingleTxt"/>
      </w:pPr>
      <w:r>
        <w:tab/>
        <w:t>Otra institución que promueve el acceso a empleos y créditos es el Fondo de Desarrollo del Sistema Microfinanciero (FONDEMI) , según Decreto con fuerza de Ley de Creación, Estímulo, Promoción y Desarrollo del Sistema Microfinanciero Capitulo IV Art. 8, publicado en Gaceta Oficial No. 37.164, de fecha 22-03-2001 . Fondemi apoya las políticas de fomento, desarrollo y fortalecimiento del sistema microfinanciero, mediante el otorgamiento de créditos dirigidos a las personas a</w:t>
      </w:r>
      <w:r>
        <w:t>u</w:t>
      </w:r>
      <w:r>
        <w:t>toempleadas o desempleadas y asociaciones comunitarias para el trabajo, todo ello para contribuir al bienestar del país. Desde el año 2001 hasta el 2003 se han otorg</w:t>
      </w:r>
      <w:r>
        <w:t>a</w:t>
      </w:r>
      <w:r>
        <w:t>do 3.235 créditos a mujeres. Generándose 5.775 empleos directos y 10.895 empleos i</w:t>
      </w:r>
      <w:r>
        <w:t>n</w:t>
      </w:r>
      <w:r>
        <w:t xml:space="preserve">directos. </w:t>
      </w:r>
    </w:p>
    <w:p w:rsidR="00000000" w:rsidRDefault="00000000">
      <w:pPr>
        <w:pStyle w:val="SingleTxt"/>
        <w:numPr>
          <w:ilvl w:val="0"/>
          <w:numId w:val="214"/>
        </w:numPr>
        <w:rPr>
          <w:spacing w:val="2"/>
        </w:rPr>
      </w:pPr>
      <w:r>
        <w:rPr>
          <w:spacing w:val="2"/>
        </w:rPr>
        <w:t>Por otra parte Inamujer, desde el año 2003 viene ejecutando el Programa de D</w:t>
      </w:r>
      <w:r>
        <w:rPr>
          <w:spacing w:val="2"/>
        </w:rPr>
        <w:t>e</w:t>
      </w:r>
      <w:r>
        <w:rPr>
          <w:spacing w:val="2"/>
        </w:rPr>
        <w:t>rechos Económicos para las Mujeres cuyo objetivo principal es promover apoyar y g</w:t>
      </w:r>
      <w:r>
        <w:rPr>
          <w:spacing w:val="2"/>
        </w:rPr>
        <w:t>a</w:t>
      </w:r>
      <w:r>
        <w:rPr>
          <w:spacing w:val="2"/>
        </w:rPr>
        <w:t>rantizar la participación de la mujer, con equidad de género, en el modelo productivo de la nación, fortaleciendo aquellas áreas en las cuales ha sido tradicionalmente di</w:t>
      </w:r>
      <w:r>
        <w:rPr>
          <w:spacing w:val="2"/>
        </w:rPr>
        <w:t>s</w:t>
      </w:r>
      <w:r>
        <w:rPr>
          <w:spacing w:val="2"/>
        </w:rPr>
        <w:t>criminada como en la valoración de su rol productivo, la capacitación, la formación tecnológica y el acceso a recursos financieros y a políticas de empleo. Este programa esta dirigido a mujeres de escasos recursos económicos, mujeres indígenas, afrode</w:t>
      </w:r>
      <w:r>
        <w:rPr>
          <w:spacing w:val="2"/>
        </w:rPr>
        <w:t>s</w:t>
      </w:r>
      <w:r>
        <w:rPr>
          <w:spacing w:val="2"/>
        </w:rPr>
        <w:t>cendientes , artesanas, desertoras escolares y de bajo nivel educativo, jóvenes, jefas de hogar, campesinas, adultas mayores en situación productiva pero desocupadas. Para la ejecución del programa se cuenta con el apoyo interinstitucional de Fondemi, Ince, Ministerio de Trabajo, Banco de Desarrollo la Mujer , Ministerio de Planificación y Desarrollo y la Escuela de Mujeres Eumelia Hernández. En este programa Inamujer ejecutó, en el 2003, 10 Jornadas divulgativas para 300 mujeres. Hasta Abril de 2004, se han realizado 45 Jornadas divulgativas con la participación de 120 mujeres y se han otorgado 60 créditos como ente de ejecución de Fondemi. El monto total en Bolívares de los Créditos otorgados es de Bs. 44.544.616,00  ($22.726,84). Todos los financi</w:t>
      </w:r>
      <w:r>
        <w:rPr>
          <w:spacing w:val="2"/>
        </w:rPr>
        <w:t>a</w:t>
      </w:r>
      <w:r>
        <w:rPr>
          <w:spacing w:val="2"/>
        </w:rPr>
        <w:t>mientos otorgados son con tasas de interés cero.</w:t>
      </w:r>
    </w:p>
    <w:p w:rsidR="00000000" w:rsidRDefault="00000000">
      <w:pPr>
        <w:pStyle w:val="SingleTxt"/>
        <w:numPr>
          <w:ilvl w:val="0"/>
          <w:numId w:val="214"/>
        </w:numPr>
      </w:pPr>
      <w:r>
        <w:t>La Constitución de la República Bolivariana de Venezuela establece la modif</w:t>
      </w:r>
      <w:r>
        <w:t>i</w:t>
      </w:r>
      <w:r>
        <w:t>cación y la formulación de leyes acordes con los principios de igualdad, equidad, paz y justicia. En este sentido han sido relevantes las acciones realizadas en la Asamblea Nacional, a fin de desarrollar el marco legal específico del articulo 88 de la Constitución.</w:t>
      </w:r>
    </w:p>
    <w:p w:rsidR="00000000" w:rsidRDefault="00000000">
      <w:pPr>
        <w:pStyle w:val="SingleTxt"/>
        <w:numPr>
          <w:ilvl w:val="0"/>
          <w:numId w:val="214"/>
        </w:numPr>
      </w:pPr>
      <w:r>
        <w:t>El artículo 19 de la Constitución de la República de Venezuela plantea que el Estado garantizara “</w:t>
      </w:r>
      <w:r>
        <w:rPr>
          <w:i/>
        </w:rPr>
        <w:t>a toda persona, conforme al principio de progresividad y sin discriminación alguna, el goce y ejercicio irrenunciable, indivisible e interd</w:t>
      </w:r>
      <w:r>
        <w:rPr>
          <w:i/>
        </w:rPr>
        <w:t>e</w:t>
      </w:r>
      <w:r>
        <w:rPr>
          <w:i/>
        </w:rPr>
        <w:t>pendiente de los derechos humanos... Su respeto y garantía son obligatorios para los órganos del poder público de conformidad con la Constitución, los tratados s</w:t>
      </w:r>
      <w:r>
        <w:rPr>
          <w:i/>
        </w:rPr>
        <w:t>o</w:t>
      </w:r>
      <w:r>
        <w:rPr>
          <w:i/>
        </w:rPr>
        <w:t>bre derechos humanos suscritos y ratificados por la República y las leyes que los des</w:t>
      </w:r>
      <w:r>
        <w:rPr>
          <w:i/>
        </w:rPr>
        <w:t>a</w:t>
      </w:r>
      <w:r>
        <w:rPr>
          <w:i/>
        </w:rPr>
        <w:t>rrollen</w:t>
      </w:r>
      <w:r>
        <w:t>”.</w:t>
      </w:r>
    </w:p>
    <w:p w:rsidR="00000000" w:rsidRDefault="00000000">
      <w:pPr>
        <w:pStyle w:val="SingleTxt"/>
        <w:numPr>
          <w:ilvl w:val="0"/>
          <w:numId w:val="214"/>
        </w:numPr>
      </w:pPr>
      <w:r>
        <w:t>Así mismo el Art. 21 de la Constitución establece la igualdad de las personas ante la ley y especifica claramente que: “</w:t>
      </w:r>
      <w:r>
        <w:rPr>
          <w:i/>
        </w:rPr>
        <w:t>No se permitirán discriminaciones fund</w:t>
      </w:r>
      <w:r>
        <w:rPr>
          <w:i/>
        </w:rPr>
        <w:t>a</w:t>
      </w:r>
      <w:r>
        <w:rPr>
          <w:i/>
        </w:rPr>
        <w:t>das en la raza, el sexo, el credo, la condición social o aquellas que, en general, te</w:t>
      </w:r>
      <w:r>
        <w:rPr>
          <w:i/>
        </w:rPr>
        <w:t>n</w:t>
      </w:r>
      <w:r>
        <w:rPr>
          <w:i/>
        </w:rPr>
        <w:t>gan por objeto o por resultado anular o menoscabar el reconocimiento, goce o eje</w:t>
      </w:r>
      <w:r>
        <w:rPr>
          <w:i/>
        </w:rPr>
        <w:t>r</w:t>
      </w:r>
      <w:r>
        <w:rPr>
          <w:i/>
        </w:rPr>
        <w:t>cicio en condiciones de igualdad, de los derechos y libertades de toda pers</w:t>
      </w:r>
      <w:r>
        <w:rPr>
          <w:i/>
        </w:rPr>
        <w:t>o</w:t>
      </w:r>
      <w:r>
        <w:rPr>
          <w:i/>
        </w:rPr>
        <w:t>na</w:t>
      </w:r>
      <w:r>
        <w: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4</w:t>
      </w:r>
    </w:p>
    <w:p w:rsidR="00000000" w:rsidRDefault="00000000">
      <w:pPr>
        <w:pStyle w:val="SingleTxt"/>
        <w:tabs>
          <w:tab w:val="clear" w:pos="1742"/>
        </w:tabs>
        <w:spacing w:after="0" w:line="120" w:lineRule="exact"/>
        <w:ind w:left="0"/>
        <w:rPr>
          <w:i/>
          <w:sz w:val="10"/>
        </w:rPr>
      </w:pPr>
    </w:p>
    <w:p w:rsidR="00000000" w:rsidRDefault="00000000">
      <w:pPr>
        <w:pStyle w:val="SingleTxt"/>
        <w:numPr>
          <w:ilvl w:val="0"/>
          <w:numId w:val="214"/>
        </w:numPr>
      </w:pPr>
      <w:r>
        <w:t>La Constitución de la República Bolivariana de Venezuela plantea en su art</w:t>
      </w:r>
      <w:r>
        <w:t>í</w:t>
      </w:r>
      <w:r>
        <w:t xml:space="preserve">culo </w:t>
      </w:r>
      <w:r>
        <w:rPr>
          <w:b/>
        </w:rPr>
        <w:t xml:space="preserve">Art. 21, ordinal 2 </w:t>
      </w:r>
      <w:r>
        <w:t xml:space="preserve">que </w:t>
      </w:r>
      <w:r>
        <w:rPr>
          <w:b/>
        </w:rPr>
        <w:t>Todas las personas son iguales ante la Ley, y en co</w:t>
      </w:r>
      <w:r>
        <w:rPr>
          <w:b/>
        </w:rPr>
        <w:t>n</w:t>
      </w:r>
      <w:r>
        <w:rPr>
          <w:b/>
        </w:rPr>
        <w:t>secuencia: “</w:t>
      </w:r>
      <w:r>
        <w:rPr>
          <w:i/>
        </w:rPr>
        <w:t>La ley garantizará las condiciones jurídicas y administrativas para que la igualdad ante la ley sea real y efectiva; adoptará medidas positivas a favor de personas o grupos que puedan ser discriminados, marginados o vulnerables; prot</w:t>
      </w:r>
      <w:r>
        <w:rPr>
          <w:i/>
        </w:rPr>
        <w:t>e</w:t>
      </w:r>
      <w:r>
        <w:rPr>
          <w:i/>
        </w:rPr>
        <w:t>gerá especialmente a aquellas personas que por alguna de las condiciones antes e</w:t>
      </w:r>
      <w:r>
        <w:rPr>
          <w:i/>
        </w:rPr>
        <w:t>s</w:t>
      </w:r>
      <w:r>
        <w:rPr>
          <w:i/>
        </w:rPr>
        <w:t>pecificadas, se encuentren en circunstancia de debilidad manifiesta y sancionará los ab</w:t>
      </w:r>
      <w:r>
        <w:rPr>
          <w:i/>
        </w:rPr>
        <w:t>u</w:t>
      </w:r>
      <w:r>
        <w:rPr>
          <w:i/>
        </w:rPr>
        <w:t>sos o maltratos que contra ellas se cometan</w:t>
      </w:r>
      <w:r>
        <w:t>”.</w:t>
      </w:r>
    </w:p>
    <w:p w:rsidR="00000000" w:rsidRDefault="00000000">
      <w:pPr>
        <w:pStyle w:val="SingleTxt"/>
        <w:numPr>
          <w:ilvl w:val="0"/>
          <w:numId w:val="214"/>
        </w:numPr>
      </w:pPr>
      <w:r>
        <w:t>El Estado venezolano ha adoptado medidas administrativas y legales, como el otorgamiento de viviendas rurales a las madres y la prioridad concedida a las muj</w:t>
      </w:r>
      <w:r>
        <w:t>e</w:t>
      </w:r>
      <w:r>
        <w:t>res en la solicitud de préstamos ante los organismos crediticios, así como el trat</w:t>
      </w:r>
      <w:r>
        <w:t>a</w:t>
      </w:r>
      <w:r>
        <w:t>miento especial que se le da a las mujeres en la adjudicación de tierras (establecida en la Ley de Tierras), en el Programa de otorgamientos de tierras urbanas, de micro créditos (Ley de Microfinanzas) y de atención y ayuda financiera (Ley de Pesca, etc). También se han creado entes financieros específicos para atender la situación de la Mujer y su desarrollo, así lo evidencia la creación del Banco de Desarrollo de la Mujer, Ba</w:t>
      </w:r>
      <w:r>
        <w:t>n</w:t>
      </w:r>
      <w:r>
        <w:t>mujer.</w:t>
      </w:r>
      <w:r>
        <w:rPr>
          <w:b/>
        </w:rPr>
        <w:t xml:space="preserve"> </w:t>
      </w:r>
    </w:p>
    <w:p w:rsidR="00000000" w:rsidRDefault="00000000">
      <w:pPr>
        <w:pStyle w:val="SingleTxt"/>
        <w:tabs>
          <w:tab w:val="clear" w:pos="1742"/>
        </w:tabs>
        <w:spacing w:after="0" w:line="120" w:lineRule="exact"/>
        <w:ind w:left="0"/>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5</w:t>
      </w:r>
    </w:p>
    <w:p w:rsidR="00000000" w:rsidRDefault="00000000">
      <w:pPr>
        <w:pStyle w:val="SingleTxt"/>
        <w:keepNext/>
        <w:spacing w:after="0" w:line="120" w:lineRule="exact"/>
        <w:rPr>
          <w:sz w:val="10"/>
        </w:rPr>
      </w:pPr>
    </w:p>
    <w:p w:rsidR="00000000" w:rsidRDefault="00000000">
      <w:pPr>
        <w:pStyle w:val="SingleTxt"/>
        <w:keepNext/>
        <w:numPr>
          <w:ilvl w:val="0"/>
          <w:numId w:val="214"/>
        </w:numPr>
      </w:pPr>
      <w:r>
        <w:t>La Constitución Bolivariana introduce un cambio fundamental en el uso de un lenguaje no sexista desde el preámbulo hasta las disposiciones transitorias, señala</w:t>
      </w:r>
      <w:r>
        <w:t>n</w:t>
      </w:r>
      <w:r>
        <w:t>do hombres y mujeres, ciudadanos y ciudadanas, ancianos y ancianas, presidente y presidenta, niños y niñas, etc. lo que incidirá en los patrones socioculturales de la sociedad venezolana ya que visibiliza a la mujer a través del lenguaje.</w:t>
      </w:r>
    </w:p>
    <w:p w:rsidR="00000000" w:rsidRDefault="00000000">
      <w:pPr>
        <w:pStyle w:val="SingleTxt"/>
        <w:numPr>
          <w:ilvl w:val="0"/>
          <w:numId w:val="214"/>
        </w:numPr>
      </w:pPr>
      <w:r>
        <w:t>El Presidente de la República ha incorporado en su discurso el lenguaje no s</w:t>
      </w:r>
      <w:r>
        <w:t>e</w:t>
      </w:r>
      <w:r>
        <w:t>xista en escenarios, tantos nacionales como internacionales; transmitiendo los pri</w:t>
      </w:r>
      <w:r>
        <w:t>n</w:t>
      </w:r>
      <w:r>
        <w:t>cipios democráticos y de plena igualdad contenidos en la Constitución y la defensa de los derechos humanos de las mujeres, en su sentido amplio.</w:t>
      </w:r>
    </w:p>
    <w:p w:rsidR="00000000" w:rsidRDefault="00000000">
      <w:pPr>
        <w:pStyle w:val="SingleTxt"/>
        <w:numPr>
          <w:ilvl w:val="0"/>
          <w:numId w:val="214"/>
        </w:numPr>
      </w:pPr>
      <w:r>
        <w:t>El gobierno, a través de Inamujer, ha propiciado la divulgación y el uso del lenguaje de género, con la finalidad de lograr cambios en los estereotipos culturales que perpetúan la discriminación contra la mujer. Para ello, en el 2002, se firmó un convenio con el Fondo de Población de las Naciones Unidas denominado “Ven 01 y P02 de Salud Sexual y Reproductiva en el ámbito del Empleo”, se diseñaron y p</w:t>
      </w:r>
      <w:r>
        <w:t>u</w:t>
      </w:r>
      <w:r>
        <w:t>blicaron un juego de dípticos ( “Por un lenguaje que nos tome en cuenta” y “Habl</w:t>
      </w:r>
      <w:r>
        <w:t>e</w:t>
      </w:r>
      <w:r>
        <w:t xml:space="preserve">mos de Género”) de difusión masiva, con un tiraje de 10.000 ejemplares. </w:t>
      </w:r>
    </w:p>
    <w:p w:rsidR="00000000" w:rsidRDefault="00000000">
      <w:pPr>
        <w:pStyle w:val="SingleTxt"/>
        <w:numPr>
          <w:ilvl w:val="0"/>
          <w:numId w:val="214"/>
        </w:numPr>
      </w:pPr>
      <w:r>
        <w:t>La Constitución de la República Bolivariana de Venezuela en su artículo 76 reconoce la responsabilidad común entre hombres y mujeres con respecto a la ed</w:t>
      </w:r>
      <w:r>
        <w:t>u</w:t>
      </w:r>
      <w:r>
        <w:t>cación y el desarrollo de los hijos e hijas. Con lo cual se evidencia un cambio sign</w:t>
      </w:r>
      <w:r>
        <w:t>i</w:t>
      </w:r>
      <w:r>
        <w:t>ficativo en la concepción de la familia venezolana en donde el hombre debe asumir , por Ley, roles que han sido considerados tradiciona</w:t>
      </w:r>
      <w:r>
        <w:t>l</w:t>
      </w:r>
      <w:r>
        <w:t>mente de la mujer.</w:t>
      </w:r>
    </w:p>
    <w:p w:rsidR="00000000" w:rsidRDefault="00000000">
      <w:pPr>
        <w:pStyle w:val="SingleTxt"/>
        <w:numPr>
          <w:ilvl w:val="0"/>
          <w:numId w:val="214"/>
        </w:numPr>
      </w:pPr>
      <w:r>
        <w:t>En los medios de comunicación privados en nuestro país, existen los estereot</w:t>
      </w:r>
      <w:r>
        <w:t>i</w:t>
      </w:r>
      <w:r>
        <w:t>pos discriminatorios y sexista en relación a la mujer. Hecho que se demuestra en las telenovelas, reportajes, comerciales publicitarios y programas de opinión.</w:t>
      </w:r>
    </w:p>
    <w:p w:rsidR="00000000" w:rsidRDefault="00000000">
      <w:pPr>
        <w:pStyle w:val="SingleTxt"/>
        <w:numPr>
          <w:ilvl w:val="0"/>
          <w:numId w:val="214"/>
        </w:numPr>
        <w:suppressAutoHyphens/>
      </w:pPr>
      <w:r>
        <w:t>Desde el año 2002, en la Televisora del Estado, canal 8, hay un espacio dedicado al Instituto Nacional de la Mujer, cada 15 días, donde se tratan los temas referidos a la equidad de género, no discriminación de la mujer y prevención de violencia contra la mujer. Así mismo, desde el año 2004 en la Radio del Estado (Radio Nacional de Venezuela) hay un espacio semanal, llamado “Enfoque Femenino”, destinado al tema de género y promoción de los derechos de la mujer (banda corta, canal internacional). En esta misma radio también hay un Programa Semanal de una hora por la frecuencia 630 AM , para combatir los prejuicios raciales y promover valores no discriminatorios que favorezcan el desarrollo de la tolerancia y el respeto por las diferencias étnicas y de género. El espacio lleva por nombre “Afrodesce</w:t>
      </w:r>
      <w:r>
        <w:t>n</w:t>
      </w:r>
      <w:r>
        <w:t>dientes”.</w:t>
      </w:r>
    </w:p>
    <w:p w:rsidR="00000000" w:rsidRDefault="00000000">
      <w:pPr>
        <w:pStyle w:val="SingleTxt"/>
        <w:numPr>
          <w:ilvl w:val="0"/>
          <w:numId w:val="214"/>
        </w:numPr>
      </w:pPr>
      <w:r>
        <w:t>El centimetraje por columna de las informaciones de INAMUJER publicadas en los diferentes diarios , tanto de Caracas como del Interior de la República, d</w:t>
      </w:r>
      <w:r>
        <w:t>u</w:t>
      </w:r>
      <w:r>
        <w:t>rante los años 2001, 2002 y 2003, se situó en 43.006 cm x col.</w:t>
      </w:r>
    </w:p>
    <w:p w:rsidR="00000000" w:rsidRDefault="00000000">
      <w:pPr>
        <w:pStyle w:val="SingleTxt"/>
        <w:numPr>
          <w:ilvl w:val="0"/>
          <w:numId w:val="214"/>
        </w:numPr>
      </w:pPr>
      <w:r>
        <w:t>El centimetraje por columna ha ido en aumento, en el 2001 se situó en 12.398 cmx col. En el 2002 en 13.164 cm x col y en el 2003 en 17.444 cm x col, lo que r</w:t>
      </w:r>
      <w:r>
        <w:t>e</w:t>
      </w:r>
      <w:r>
        <w:t>fleja la importancia que tienen las not</w:t>
      </w:r>
      <w:r>
        <w:t>i</w:t>
      </w:r>
      <w:r>
        <w:t>cias referidas a la fuente mujer.</w:t>
      </w:r>
    </w:p>
    <w:p w:rsidR="00000000" w:rsidRDefault="00000000">
      <w:pPr>
        <w:pStyle w:val="SingleTxt"/>
        <w:numPr>
          <w:ilvl w:val="0"/>
          <w:numId w:val="214"/>
        </w:numPr>
      </w:pPr>
      <w:r>
        <w:t>Con la finalidad de introducir cambios en la actitud de la población, con rel</w:t>
      </w:r>
      <w:r>
        <w:t>a</w:t>
      </w:r>
      <w:r>
        <w:t>ción a la discriminación hacia la mujer, el Inamujer durante los últimos años, realizó 131 programas de radio para divulgar los derechos de las mujeres y el enfoque de género. En el año 2000 , 27 programas; en el 2001, 30 programas; en el 2002 , 46 pr</w:t>
      </w:r>
      <w:r>
        <w:t>o</w:t>
      </w:r>
      <w:r>
        <w:t>gramas; en el 2003 ,55 programas.</w:t>
      </w:r>
    </w:p>
    <w:p w:rsidR="00000000" w:rsidRDefault="00000000">
      <w:pPr>
        <w:pStyle w:val="SingleTxt"/>
        <w:numPr>
          <w:ilvl w:val="0"/>
          <w:numId w:val="214"/>
        </w:numPr>
        <w:suppressAutoHyphens/>
      </w:pPr>
      <w:r>
        <w:t>En relación a los programas de televisión con énfasis en prevención y atención de violencia contra la mujer, derechos sexuales y reproductivos y género , en los últimos cuatro años encontramos que en el año 2000 se efectuaron 23 programas; en el 2001, 24 programas; en el 2002 ,29 programas; en el 2003 ,51 pr</w:t>
      </w:r>
      <w:r>
        <w:t>o</w:t>
      </w:r>
      <w:r>
        <w:t>gramas.</w:t>
      </w:r>
    </w:p>
    <w:p w:rsidR="00000000" w:rsidRDefault="00000000">
      <w:pPr>
        <w:pStyle w:val="SingleTxt"/>
        <w:numPr>
          <w:ilvl w:val="0"/>
          <w:numId w:val="214"/>
        </w:numPr>
      </w:pPr>
      <w:r>
        <w:t>Entre otras medidas para modificar los estereotipos y prejuicios discriminat</w:t>
      </w:r>
      <w:r>
        <w:t>o</w:t>
      </w:r>
      <w:r>
        <w:t>rios, en el año 2004, Inamujer, ha capacitado a 200 personas, entre ellas, periodistas y trabajadores (as) de los medios de com</w:t>
      </w:r>
      <w:r>
        <w:t>u</w:t>
      </w:r>
      <w:r>
        <w:t>nicación en el uso del lenguaje no sexista.</w:t>
      </w:r>
    </w:p>
    <w:p w:rsidR="00000000" w:rsidRDefault="00000000">
      <w:pPr>
        <w:pStyle w:val="SingleTxt"/>
        <w:numPr>
          <w:ilvl w:val="0"/>
          <w:numId w:val="214"/>
        </w:numPr>
      </w:pPr>
      <w:r>
        <w:t>En el año 2002, para conmemorar el 8 de Marzo, el movimiento de mujeres realizó una marcha hasta la sede de la Asamblea Nacional para hacer entrega del Anteproyecto de Ley de Paternidad Responsable, elaborado por la Defensoría de los D</w:t>
      </w:r>
      <w:r>
        <w:t>e</w:t>
      </w:r>
      <w:r>
        <w:t>rechos de la Mujer. A la fecha, dicho proyecto de Ley no ha sido discutido.</w:t>
      </w:r>
    </w:p>
    <w:p w:rsidR="00000000" w:rsidRDefault="00000000">
      <w:pPr>
        <w:pStyle w:val="SingleTxt"/>
        <w:numPr>
          <w:ilvl w:val="0"/>
          <w:numId w:val="214"/>
        </w:numPr>
      </w:pPr>
      <w:r>
        <w:t>En relación con las políticas educativas, se vienen adelantando mecanismos para promover la igualdad de género y la eliminación de todo tipo de discrimin</w:t>
      </w:r>
      <w:r>
        <w:t>a</w:t>
      </w:r>
      <w:r>
        <w:t>ción. El Ministerio de Educación, Cultura y Deportes ha puesto en marcha la rev</w:t>
      </w:r>
      <w:r>
        <w:t>i</w:t>
      </w:r>
      <w:r>
        <w:t>sión del diseño curricular para integrar, a los contenidos curriculares y a la metod</w:t>
      </w:r>
      <w:r>
        <w:t>o</w:t>
      </w:r>
      <w:r>
        <w:t>logía de estudio, la perspectiva de género; visibilizando la diversidad cultural de los y las aborígenes y las y los afrodescendientes y a las mujeres en todo el sistema educativo. Para ello se han convocado talleres con la participación de sectores g</w:t>
      </w:r>
      <w:r>
        <w:t>u</w:t>
      </w:r>
      <w:r>
        <w:t>bernamentales y no gubernamentales, en tanto organizaciones de base y expertas y e</w:t>
      </w:r>
      <w:r>
        <w:t>x</w:t>
      </w:r>
      <w:r>
        <w:t>pertos en el tema.</w:t>
      </w:r>
    </w:p>
    <w:p w:rsidR="00000000" w:rsidRDefault="00000000">
      <w:pPr>
        <w:pStyle w:val="SingleTxt"/>
        <w:numPr>
          <w:ilvl w:val="0"/>
          <w:numId w:val="214"/>
        </w:numPr>
      </w:pPr>
      <w:r>
        <w:t>En la actualidad se viene desarrollando un proyecto de Educación la Sexual</w:t>
      </w:r>
      <w:r>
        <w:t>i</w:t>
      </w:r>
      <w:r>
        <w:t>dad, Salud Reproductiva y Equidad de Género con el Fondo de Población de las N</w:t>
      </w:r>
      <w:r>
        <w:t>a</w:t>
      </w:r>
      <w:r>
        <w:t>ciones Unidas cuya duración es de tres años. El propósito de este proyecto es co</w:t>
      </w:r>
      <w:r>
        <w:t>n</w:t>
      </w:r>
      <w:r>
        <w:t xml:space="preserve">tribuir a la formación integral de los y las alumnas de las unidades educativas, para el ejercicio pleno y responsable de los derechos sexuales y reproductivos a lo largo de su vida. </w:t>
      </w:r>
    </w:p>
    <w:p w:rsidR="00000000" w:rsidRDefault="00000000">
      <w:pPr>
        <w:pStyle w:val="SingleTxt"/>
        <w:numPr>
          <w:ilvl w:val="0"/>
          <w:numId w:val="214"/>
        </w:numPr>
      </w:pPr>
      <w:r>
        <w:t>En el marco de este proyecto, en los primeros 10 meses, se han  realizado 8 t</w:t>
      </w:r>
      <w:r>
        <w:t>a</w:t>
      </w:r>
      <w:r>
        <w:t>lleres de actualización en Educación Sexual para el Equipo Técnico Central y R</w:t>
      </w:r>
      <w:r>
        <w:t>e</w:t>
      </w:r>
      <w:r>
        <w:t xml:space="preserve">gional del Ministerio de Educación, Cultura y Deportes. Así como, también, talleres de Educación para la sexualidad y equidad de género en el rediseño curricular. </w:t>
      </w:r>
    </w:p>
    <w:p w:rsidR="00000000" w:rsidRDefault="00000000">
      <w:pPr>
        <w:pStyle w:val="SingleTxt"/>
        <w:numPr>
          <w:ilvl w:val="0"/>
          <w:numId w:val="214"/>
        </w:numPr>
      </w:pPr>
      <w:r>
        <w:t xml:space="preserve">En materia de acoso sexual, en el ámbito laboral, la Ley sobre la Violencia contra la Mujer y la Familia, en su </w:t>
      </w:r>
      <w:r>
        <w:rPr>
          <w:b/>
        </w:rPr>
        <w:t>Art. 19</w:t>
      </w:r>
      <w:r>
        <w:t xml:space="preserve"> establece la penalización del acoso s</w:t>
      </w:r>
      <w:r>
        <w:t>e</w:t>
      </w:r>
      <w:r>
        <w:t>xual como delito contra la mujer y la familia.</w:t>
      </w:r>
    </w:p>
    <w:p w:rsidR="00000000" w:rsidRDefault="00000000">
      <w:pPr>
        <w:pStyle w:val="SingleTxt"/>
        <w:numPr>
          <w:ilvl w:val="0"/>
          <w:numId w:val="214"/>
        </w:numPr>
      </w:pPr>
      <w:r>
        <w:t>En el Sistema Judicial, hay un precedente de sentencia condenatoria, declarada con lugar por demanda de acoso sexual. Es la primera y única (hasta ahora) sente</w:t>
      </w:r>
      <w:r>
        <w:t>n</w:t>
      </w:r>
      <w:r>
        <w:t>cia de acoso sexual dictada en Venezuela por un Tribunal Penal del Estado Táchira en fecha 21 de Junio de 2001, mediante la cual se condenó a un gerente bancario acusado de hostigamiento y acoso sexual por varias empleadas ,secretarias, emple</w:t>
      </w:r>
      <w:r>
        <w:t>a</w:t>
      </w:r>
      <w:r>
        <w:t>das subalternas del banco. La condena fue la de cumplir servicio comunitario en un hospital del estado en el área de contabilidad durante el lapso de 7 meses y 15 días. También el agresor tuvo que participar en programas de educación y prevención y cancelar a cada una de las víctimas ( 8 mujeres) la cantidad de 100 unidades tribut</w:t>
      </w:r>
      <w:r>
        <w:t>a</w:t>
      </w:r>
      <w:r>
        <w:t xml:space="preserve">rias de conformidad con lo dispuesto en los artículos 25,26,19 y 30 ordinal 2 de la Ley sobre la Violencia contra la Mujer y la Familia. </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6</w:t>
      </w:r>
    </w:p>
    <w:p w:rsidR="00000000" w:rsidRDefault="00000000">
      <w:pPr>
        <w:pStyle w:val="SingleTxt"/>
        <w:spacing w:after="0" w:line="120" w:lineRule="exact"/>
        <w:rPr>
          <w:sz w:val="10"/>
        </w:rPr>
      </w:pPr>
    </w:p>
    <w:p w:rsidR="00000000" w:rsidRDefault="00000000">
      <w:pPr>
        <w:pStyle w:val="SingleTxt"/>
        <w:numPr>
          <w:ilvl w:val="0"/>
          <w:numId w:val="214"/>
        </w:numPr>
        <w:suppressAutoHyphens/>
      </w:pPr>
      <w:r>
        <w:t xml:space="preserve"> En la Constitución de la República Bolivariana de Venezuela en su </w:t>
      </w:r>
      <w:r>
        <w:rPr>
          <w:b/>
        </w:rPr>
        <w:t xml:space="preserve">Art. 54. </w:t>
      </w:r>
      <w:r>
        <w:t>De los Deberes, Derechos Humanos y Garantías – Capítulo III – De los Derechos Civiles) se establece que: “</w:t>
      </w:r>
      <w:r>
        <w:rPr>
          <w:i/>
        </w:rPr>
        <w:t>Ninguna persona podrá ser sometida a esclavitud o servidumbre. La trata de personas y, en particular, la de mujeres, niños, niñas y adolescentes en todas sus formas, estará sujeta a las penas previstas en la ley”.</w:t>
      </w:r>
    </w:p>
    <w:p w:rsidR="00000000" w:rsidRDefault="00000000">
      <w:pPr>
        <w:pStyle w:val="SingleTxt"/>
        <w:numPr>
          <w:ilvl w:val="0"/>
          <w:numId w:val="214"/>
        </w:numPr>
      </w:pPr>
      <w:r>
        <w:t xml:space="preserve">Por otra parte el </w:t>
      </w:r>
      <w:r>
        <w:rPr>
          <w:b/>
        </w:rPr>
        <w:t xml:space="preserve">Artículo 78 </w:t>
      </w:r>
      <w:r>
        <w:t>de la Constitución</w:t>
      </w:r>
      <w:r>
        <w:rPr>
          <w:b/>
        </w:rPr>
        <w:t xml:space="preserve"> </w:t>
      </w:r>
      <w:r>
        <w:t>consagra</w:t>
      </w:r>
      <w:r>
        <w:rPr>
          <w:b/>
        </w:rPr>
        <w:t xml:space="preserve"> </w:t>
      </w:r>
      <w:r>
        <w:t>que</w:t>
      </w:r>
      <w:r>
        <w:rPr>
          <w:b/>
        </w:rPr>
        <w:t>:</w:t>
      </w:r>
      <w:r>
        <w:t xml:space="preserve"> “</w:t>
      </w:r>
      <w:r>
        <w:rPr>
          <w:i/>
        </w:rPr>
        <w:t>Los niños, n</w:t>
      </w:r>
      <w:r>
        <w:rPr>
          <w:i/>
        </w:rPr>
        <w:t>i</w:t>
      </w:r>
      <w:r>
        <w:rPr>
          <w:i/>
        </w:rPr>
        <w:t>ñas y adolescentes son sujetos plenos de derechos y estarán protegidos por la l</w:t>
      </w:r>
      <w:r>
        <w:rPr>
          <w:i/>
        </w:rPr>
        <w:t>e</w:t>
      </w:r>
      <w:r>
        <w:rPr>
          <w:i/>
        </w:rPr>
        <w:t>gislación, órganos y tribunales especializados los cuales, respetarán, garantizarán y desarrollarán los contenidos de esta Constitución, La Convención sobre los Der</w:t>
      </w:r>
      <w:r>
        <w:rPr>
          <w:i/>
        </w:rPr>
        <w:t>e</w:t>
      </w:r>
      <w:r>
        <w:rPr>
          <w:i/>
        </w:rPr>
        <w:t>chos del Niño y demás tratados Internacionales que en esta materia haya suscrito y ratificado la República. El Estado, las familias y la sociedad asegurarán, con pri</w:t>
      </w:r>
      <w:r>
        <w:rPr>
          <w:i/>
        </w:rPr>
        <w:t>o</w:t>
      </w:r>
      <w:r>
        <w:rPr>
          <w:i/>
        </w:rPr>
        <w:t>ridad absoluta, protección integral, para lo cual se tomará en cuenta su interés s</w:t>
      </w:r>
      <w:r>
        <w:rPr>
          <w:i/>
        </w:rPr>
        <w:t>u</w:t>
      </w:r>
      <w:r>
        <w:rPr>
          <w:i/>
        </w:rPr>
        <w:t>perior en las decisiones y acciones que les conciernan. El estado promoverá  su i</w:t>
      </w:r>
      <w:r>
        <w:rPr>
          <w:i/>
        </w:rPr>
        <w:t>n</w:t>
      </w:r>
      <w:r>
        <w:rPr>
          <w:i/>
        </w:rPr>
        <w:t>corporación progresiva a la ciudadanía activa y creará un sistema rector nacional para la protección integral de los niños, las niñas y los adolescentes”.</w:t>
      </w:r>
    </w:p>
    <w:p w:rsidR="00000000" w:rsidRDefault="00000000">
      <w:pPr>
        <w:pStyle w:val="SingleTxt"/>
        <w:numPr>
          <w:ilvl w:val="0"/>
          <w:numId w:val="214"/>
        </w:numPr>
      </w:pPr>
      <w:r>
        <w:t>Ley de Igualdad de Oportunidades, en su Titulo IV , De la Defensoría Naci</w:t>
      </w:r>
      <w:r>
        <w:t>o</w:t>
      </w:r>
      <w:r>
        <w:t xml:space="preserve">nal de los Derechos de la Mujer. Plantea en su </w:t>
      </w:r>
      <w:r>
        <w:rPr>
          <w:b/>
        </w:rPr>
        <w:t>Art. 54 Ordinal g</w:t>
      </w:r>
      <w:r>
        <w:t>: “</w:t>
      </w:r>
      <w:r>
        <w:rPr>
          <w:i/>
        </w:rPr>
        <w:t>Extremar la v</w:t>
      </w:r>
      <w:r>
        <w:rPr>
          <w:i/>
        </w:rPr>
        <w:t>i</w:t>
      </w:r>
      <w:r>
        <w:rPr>
          <w:i/>
        </w:rPr>
        <w:t>gilancia</w:t>
      </w:r>
      <w:r>
        <w:rPr>
          <w:b/>
        </w:rPr>
        <w:t xml:space="preserve"> </w:t>
      </w:r>
      <w:r>
        <w:rPr>
          <w:i/>
        </w:rPr>
        <w:t>en los casos de la mujer</w:t>
      </w:r>
      <w:r>
        <w:rPr>
          <w:b/>
        </w:rPr>
        <w:t xml:space="preserve"> </w:t>
      </w:r>
      <w:r>
        <w:rPr>
          <w:i/>
        </w:rPr>
        <w:t>que presta servicio doméstico, a los fines de evitar el tráfico de indocumentados o de menores, así como prevenir y eliminar la explot</w:t>
      </w:r>
      <w:r>
        <w:rPr>
          <w:i/>
        </w:rPr>
        <w:t>a</w:t>
      </w:r>
      <w:r>
        <w:rPr>
          <w:i/>
        </w:rPr>
        <w:t>ción y las diversas expresiones de esclavitud a las que son sometidas las mujeres bajo circunstancias seudo laborales”.</w:t>
      </w:r>
    </w:p>
    <w:p w:rsidR="00000000" w:rsidRDefault="00000000">
      <w:pPr>
        <w:pStyle w:val="SingleTxt"/>
        <w:numPr>
          <w:ilvl w:val="0"/>
          <w:numId w:val="214"/>
        </w:numPr>
        <w:rPr>
          <w:w w:val="102"/>
        </w:rPr>
      </w:pPr>
      <w:r>
        <w:rPr>
          <w:w w:val="102"/>
        </w:rPr>
        <w:t>Por otro lado, la</w:t>
      </w:r>
      <w:r>
        <w:rPr>
          <w:i/>
          <w:w w:val="102"/>
        </w:rPr>
        <w:t xml:space="preserve"> Ley Orgánica de Protección</w:t>
      </w:r>
      <w:r>
        <w:rPr>
          <w:w w:val="102"/>
        </w:rPr>
        <w:t xml:space="preserve"> </w:t>
      </w:r>
      <w:r>
        <w:rPr>
          <w:i/>
          <w:w w:val="102"/>
        </w:rPr>
        <w:t>al Niño y al Adolescente</w:t>
      </w:r>
      <w:r>
        <w:rPr>
          <w:rStyle w:val="FootnoteReference"/>
          <w:rFonts w:ascii="Arial" w:hAnsi="Arial"/>
          <w:i/>
          <w:w w:val="102"/>
        </w:rPr>
        <w:footnoteReference w:id="5"/>
      </w:r>
      <w:r>
        <w:rPr>
          <w:i/>
          <w:w w:val="102"/>
        </w:rPr>
        <w:t xml:space="preserve"> (LOPNA)</w:t>
      </w:r>
      <w:r>
        <w:rPr>
          <w:w w:val="102"/>
        </w:rPr>
        <w:t>, aprobada el 02 de octubre del 1998, que entró en vigencia el 01 de abril de 2000, establece la creación del Consejo Nacional de Derecho del niño y del Adole</w:t>
      </w:r>
      <w:r>
        <w:rPr>
          <w:w w:val="102"/>
        </w:rPr>
        <w:t>s</w:t>
      </w:r>
      <w:r>
        <w:rPr>
          <w:w w:val="102"/>
        </w:rPr>
        <w:t>cente. Dicha ley otorga ciudadanía plena a la infancia y a la adolescencia y obliga a generar una plataforma de programas y servicios para garantizar los derechos cons</w:t>
      </w:r>
      <w:r>
        <w:rPr>
          <w:w w:val="102"/>
        </w:rPr>
        <w:t>a</w:t>
      </w:r>
      <w:r>
        <w:rPr>
          <w:w w:val="102"/>
        </w:rPr>
        <w:t>grados a ellos y ellas, entre otros el derecho a vivir una vida sin viole</w:t>
      </w:r>
      <w:r>
        <w:rPr>
          <w:w w:val="102"/>
        </w:rPr>
        <w:t>n</w:t>
      </w:r>
      <w:r>
        <w:rPr>
          <w:w w:val="102"/>
        </w:rPr>
        <w:t>cia.</w:t>
      </w:r>
    </w:p>
    <w:p w:rsidR="00000000" w:rsidRDefault="00000000">
      <w:pPr>
        <w:pStyle w:val="SingleTxt"/>
      </w:pPr>
      <w:r>
        <w:tab/>
        <w:t>Esta Ley establece el derecho de niñas, niños y adolescentes a ser informados y educados en salud sexual y reproductiva para una conducta sexual y una matern</w:t>
      </w:r>
      <w:r>
        <w:t>i</w:t>
      </w:r>
      <w:r>
        <w:t>dad y paternidad responsable, sana, voluntaria y sin riesgo. Los órganos de ejec</w:t>
      </w:r>
      <w:r>
        <w:t>u</w:t>
      </w:r>
      <w:r>
        <w:t>ción de la LOPNA en cada entidad participan en el cumplimiento de esta Ley.</w:t>
      </w:r>
    </w:p>
    <w:p w:rsidR="00000000" w:rsidRDefault="00000000">
      <w:pPr>
        <w:pStyle w:val="SingleTxt"/>
        <w:numPr>
          <w:ilvl w:val="0"/>
          <w:numId w:val="214"/>
        </w:numPr>
      </w:pPr>
      <w:r>
        <w:t>El Plan Nacional para la Protección Integral de Niños, Niñas y Adolescentes, Período 2000-2006, elaborado por el Consejo de Derecho del Niño y del Adole</w:t>
      </w:r>
      <w:r>
        <w:t>s</w:t>
      </w:r>
      <w:r>
        <w:t>cente, como guía para el control y seguimiento de las garantías contenidas en los d</w:t>
      </w:r>
      <w:r>
        <w:t>e</w:t>
      </w:r>
      <w:r>
        <w:t>rechos y desarrollo humano e integral del niño, la niña y el adolescente, orienta la acción en cuanto a:</w:t>
      </w:r>
    </w:p>
    <w:p w:rsidR="00000000" w:rsidRDefault="00000000">
      <w:pPr>
        <w:pStyle w:val="SingleTxt"/>
        <w:tabs>
          <w:tab w:val="right" w:pos="1685"/>
        </w:tabs>
        <w:ind w:left="1742" w:hanging="475"/>
      </w:pPr>
      <w:r>
        <w:tab/>
        <w:t>•</w:t>
      </w:r>
      <w:r>
        <w:tab/>
        <w:t>El papel del Estado en su gestión pública y en las transformaciones instituci</w:t>
      </w:r>
      <w:r>
        <w:t>o</w:t>
      </w:r>
      <w:r>
        <w:t>nales requeridas por el nuevo marco normativo.</w:t>
      </w:r>
    </w:p>
    <w:p w:rsidR="00000000" w:rsidRDefault="00000000">
      <w:pPr>
        <w:pStyle w:val="SingleTxt"/>
        <w:tabs>
          <w:tab w:val="right" w:pos="1685"/>
        </w:tabs>
        <w:ind w:left="1742" w:hanging="475"/>
      </w:pPr>
      <w:r>
        <w:tab/>
        <w:t>•</w:t>
      </w:r>
      <w:r>
        <w:tab/>
        <w:t>El rol de los ciudadanos y las ciudadanas en su acción protagónica para dete</w:t>
      </w:r>
      <w:r>
        <w:t>r</w:t>
      </w:r>
      <w:r>
        <w:t>minar, exigir y velar con enfoques de corresponsabilidad por los derechos de los niños, n</w:t>
      </w:r>
      <w:r>
        <w:t>i</w:t>
      </w:r>
      <w:r>
        <w:t>ñas y adolescentes.</w:t>
      </w:r>
    </w:p>
    <w:p w:rsidR="00000000" w:rsidRDefault="00000000">
      <w:pPr>
        <w:pStyle w:val="SingleTxt"/>
        <w:tabs>
          <w:tab w:val="right" w:pos="1685"/>
        </w:tabs>
        <w:ind w:left="1742" w:hanging="475"/>
      </w:pPr>
      <w:r>
        <w:tab/>
        <w:t>•</w:t>
      </w:r>
      <w:r>
        <w:tab/>
        <w:t>El rol de las familias como espacio natural para el crecimiento y el desarrollo hum</w:t>
      </w:r>
      <w:r>
        <w:t>a</w:t>
      </w:r>
      <w:r>
        <w:t>no.</w:t>
      </w:r>
    </w:p>
    <w:p w:rsidR="00000000" w:rsidRDefault="00000000">
      <w:pPr>
        <w:pStyle w:val="SingleTxt"/>
        <w:tabs>
          <w:tab w:val="right" w:pos="1685"/>
        </w:tabs>
        <w:ind w:left="1742" w:hanging="475"/>
      </w:pPr>
      <w:r>
        <w:tab/>
        <w:t>•</w:t>
      </w:r>
      <w:r>
        <w:tab/>
        <w:t>La direccionalidad de la inversión física y financiera para garantizar d</w:t>
      </w:r>
      <w:r>
        <w:t>e</w:t>
      </w:r>
      <w:r>
        <w:t>rechos.</w:t>
      </w:r>
    </w:p>
    <w:p w:rsidR="00000000" w:rsidRDefault="00000000">
      <w:pPr>
        <w:pStyle w:val="SingleTxt"/>
        <w:tabs>
          <w:tab w:val="right" w:pos="1685"/>
        </w:tabs>
        <w:ind w:left="1742" w:hanging="475"/>
      </w:pPr>
      <w:r>
        <w:tab/>
        <w:t>•</w:t>
      </w:r>
      <w:r>
        <w:tab/>
        <w:t>Las regiones de protección como instrumento de desarrollo favorable al trab</w:t>
      </w:r>
      <w:r>
        <w:t>a</w:t>
      </w:r>
      <w:r>
        <w:t>jo, la educación, ciencia y tecnología para el nuevo equilibrio territorial fo</w:t>
      </w:r>
      <w:r>
        <w:t>r</w:t>
      </w:r>
      <w:r>
        <w:t>mulado como política del desarrollo del País.</w:t>
      </w:r>
    </w:p>
    <w:p w:rsidR="00000000" w:rsidRDefault="00000000">
      <w:pPr>
        <w:pStyle w:val="SingleTxt"/>
        <w:numPr>
          <w:ilvl w:val="0"/>
          <w:numId w:val="214"/>
        </w:numPr>
      </w:pPr>
      <w:r>
        <w:t>Desde hace varios años, en el país existe una ONG, de nombre AMBAR, cuyo trabajo está centrado en la atención a la prostitución de la mujer. Dicha ONG ma</w:t>
      </w:r>
      <w:r>
        <w:t>n</w:t>
      </w:r>
      <w:r>
        <w:t>tiene un convenio con el MSDS, a través del Programa ITS-SIDA para la atención en la salud integral de las mujeres prostitutas. Es importante señalar que el Gobierno de la República Bolivariana de Venezuela esta desarrollando una serie de políticas sociales dirigidas directamente a las comunidades para mejorar las condiciones de vida de toda la población, incluida las mujeres, y por tanto crear condiciones para disminuir sustantivamente la explotación vía prostitución de las mujeres en cond</w:t>
      </w:r>
      <w:r>
        <w:t>i</w:t>
      </w:r>
      <w:r>
        <w:t>ciones de pobr</w:t>
      </w:r>
      <w:r>
        <w:t>e</w:t>
      </w:r>
      <w:r>
        <w:t xml:space="preserve">za.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7</w:t>
      </w:r>
    </w:p>
    <w:p w:rsidR="00000000" w:rsidRDefault="00000000">
      <w:pPr>
        <w:pStyle w:val="SingleTxt"/>
        <w:spacing w:after="0" w:line="120" w:lineRule="exact"/>
        <w:rPr>
          <w:sz w:val="10"/>
        </w:rPr>
      </w:pPr>
    </w:p>
    <w:p w:rsidR="00000000" w:rsidRDefault="00000000">
      <w:pPr>
        <w:pStyle w:val="SingleTxt"/>
        <w:numPr>
          <w:ilvl w:val="0"/>
          <w:numId w:val="214"/>
        </w:numPr>
      </w:pPr>
      <w:r>
        <w:t>En Venezuela las mujeres tienen los mismos derechos que los hombres a s</w:t>
      </w:r>
      <w:r>
        <w:t>u</w:t>
      </w:r>
      <w:r>
        <w:t>fragar en todas las elecciones, a ser elegidas y a participar en la vida política y p</w:t>
      </w:r>
      <w:r>
        <w:t>ú</w:t>
      </w:r>
      <w:r>
        <w:t>blica del país. En la práctica el índice de mujeres en altos cargos de gobierno ha aumentado significativamente. Conforme a los datos suministrados por el Consejo Nacional Electoral, en el año 1998, hubo un ascenso considerable tanto en la Cám</w:t>
      </w:r>
      <w:r>
        <w:t>a</w:t>
      </w:r>
      <w:r>
        <w:t>ra de Diputados de 12,56% y en la Cámara de Senadores de un 8,77%. A partir del proceso de la Asamblea Nacional Constituyente, en 1999, se mantuvo el porcentaje de mujeres electas, con respecto a los comicios del año 98, para elegir los cuerpos deliberantes. Y aumentó la participación en la Comisión Legislativa Nacional, d</w:t>
      </w:r>
      <w:r>
        <w:t>e</w:t>
      </w:r>
      <w:r>
        <w:t>signada en enero de 2000 a un 28,57%. Para el año 1995, de 22 Ministerios sólo dos 2 mujeres eran ministras, una en la Cartera de Familia y otra como Ministra de E</w:t>
      </w:r>
      <w:r>
        <w:t>s</w:t>
      </w:r>
      <w:r>
        <w:t>tado para la Juventud; para 1998: dos (2) ministras de un total de veintiún (21) m</w:t>
      </w:r>
      <w:r>
        <w:t>i</w:t>
      </w:r>
      <w:r>
        <w:t>nisterios, las dos ministras señaladas ocupaban los cargos de Ministra de Hacienda y Ministra del Trabajo. En 1999, dos (2) Ministras de un total de dieciocho (18) M</w:t>
      </w:r>
      <w:r>
        <w:t>i</w:t>
      </w:r>
      <w:r>
        <w:t>nisterios ocupaban los cargos de Hacienda y de Ambiente. En la actualidad como r</w:t>
      </w:r>
      <w:r>
        <w:t>e</w:t>
      </w:r>
      <w:r>
        <w:t>sultado del apoyo del Gobierno a la campaña que promueve el Instituto Nacional de la Mujer (Inamujer), del “50% y 50%” contamos con tres (03) Ministras, en las ca</w:t>
      </w:r>
      <w:r>
        <w:t>r</w:t>
      </w:r>
      <w:r>
        <w:t>teras de Trabajo, de Ambiente y Ciencia y Tecnología, cinco Vice Ministras, una Presidenta de la Comisión Nacional de Valores, una Tesorera Nacional, una Proc</w:t>
      </w:r>
      <w:r>
        <w:t>u</w:t>
      </w:r>
      <w:r>
        <w:t>radora General de la República, una Vice Fiscal General de la República, una Sub Contralora, dos Magistradas, cinco rectoras de universidades y nueve mujeres al frente de Institutos autónomos. En relación con los cargos de elección popular, t</w:t>
      </w:r>
      <w:r>
        <w:t>e</w:t>
      </w:r>
      <w:r>
        <w:t>nemos en la actualidad dos Gobernadoras, dieciocho Parlamentarias y veintisiete Alcaldesas.</w:t>
      </w:r>
    </w:p>
    <w:p w:rsidR="00000000" w:rsidRDefault="00000000">
      <w:pPr>
        <w:pStyle w:val="SingleTxt"/>
        <w:numPr>
          <w:ilvl w:val="0"/>
          <w:numId w:val="214"/>
        </w:numPr>
      </w:pPr>
      <w:r>
        <w:t>Desde 1999, el Ejecutivo Nacional ha designado a un grupo de mujeres a la cabeza de algunos cargos ministeriales: en la Vicepresidenta de la República , M</w:t>
      </w:r>
      <w:r>
        <w:t>i</w:t>
      </w:r>
      <w:r>
        <w:t>nisterio de Producción y Comercio, Ministerio de Salud y Desarrollo Social, Mini</w:t>
      </w:r>
      <w:r>
        <w:t>s</w:t>
      </w:r>
      <w:r>
        <w:t>terio del Trabajo , Ministerio del Ambiente, Ministerio de Ciencia y Tecnología, Ministerio de Comunicación e Información. Desde el 2002, en promedio hubo cu</w:t>
      </w:r>
      <w:r>
        <w:t>a</w:t>
      </w:r>
      <w:r>
        <w:t>tro (4) Ministras de un total de 15 Ministerios, por tanto el número de mujeres en cargos ministeriales se duplicó en la actual gestión del Presidente de la República Bolivariana de Venezuela Hugo Chávez Frías. Así mismo, el Banco de Desarrollo de la Mujer , creado en el año 2001, es presidido por una mujer.</w:t>
      </w:r>
    </w:p>
    <w:p w:rsidR="00000000" w:rsidRDefault="00000000">
      <w:pPr>
        <w:pStyle w:val="SingleTxt"/>
        <w:numPr>
          <w:ilvl w:val="0"/>
          <w:numId w:val="214"/>
        </w:numPr>
      </w:pPr>
      <w:r>
        <w:t>En el 2004, hay 8.062 mujeres que laboran en la Fuerzas Armadas Nacionales, distribu</w:t>
      </w:r>
      <w:r>
        <w:t>i</w:t>
      </w:r>
      <w:r>
        <w:t xml:space="preserve">das en las siguientes dependencias: </w:t>
      </w:r>
    </w:p>
    <w:p w:rsidR="00000000" w:rsidRDefault="00000000">
      <w:pPr>
        <w:pStyle w:val="SingleTxt"/>
        <w:tabs>
          <w:tab w:val="right" w:pos="1685"/>
        </w:tabs>
        <w:ind w:left="1742" w:hanging="475"/>
      </w:pPr>
      <w:r>
        <w:tab/>
        <w:t>•</w:t>
      </w:r>
      <w:r>
        <w:tab/>
        <w:t>Dirección General del Ministerio de la Defensa: 53</w:t>
      </w:r>
    </w:p>
    <w:p w:rsidR="00000000" w:rsidRDefault="00000000">
      <w:pPr>
        <w:pStyle w:val="SingleTxt"/>
        <w:tabs>
          <w:tab w:val="right" w:pos="1685"/>
        </w:tabs>
        <w:ind w:left="1742" w:hanging="475"/>
      </w:pPr>
      <w:r>
        <w:tab/>
        <w:t>•</w:t>
      </w:r>
      <w:r>
        <w:tab/>
        <w:t xml:space="preserve">Dirección Sectorial del Ministerio de la Defensa:87 </w:t>
      </w:r>
    </w:p>
    <w:p w:rsidR="00000000" w:rsidRDefault="00000000">
      <w:pPr>
        <w:pStyle w:val="SingleTxt"/>
        <w:tabs>
          <w:tab w:val="right" w:pos="1685"/>
        </w:tabs>
        <w:ind w:left="1742" w:hanging="475"/>
      </w:pPr>
      <w:r>
        <w:tab/>
        <w:t>•</w:t>
      </w:r>
      <w:r>
        <w:tab/>
        <w:t>Comando Unificado No.1 de las FAN: 23</w:t>
      </w:r>
    </w:p>
    <w:p w:rsidR="00000000" w:rsidRDefault="00000000">
      <w:pPr>
        <w:pStyle w:val="SingleTxt"/>
        <w:tabs>
          <w:tab w:val="right" w:pos="1685"/>
        </w:tabs>
        <w:ind w:left="1742" w:hanging="475"/>
      </w:pPr>
      <w:r>
        <w:tab/>
        <w:t>•</w:t>
      </w:r>
      <w:r>
        <w:tab/>
        <w:t>Comando de la Guarnición de Caracas:41</w:t>
      </w:r>
    </w:p>
    <w:p w:rsidR="00000000" w:rsidRDefault="00000000">
      <w:pPr>
        <w:pStyle w:val="SingleTxt"/>
        <w:tabs>
          <w:tab w:val="right" w:pos="1685"/>
        </w:tabs>
        <w:ind w:left="1742" w:hanging="475"/>
      </w:pPr>
      <w:r>
        <w:tab/>
        <w:t>•</w:t>
      </w:r>
      <w:r>
        <w:tab/>
        <w:t xml:space="preserve">Escuela Básica de la Fuerza Armadas Nacional:114 </w:t>
      </w:r>
    </w:p>
    <w:p w:rsidR="00000000" w:rsidRDefault="00000000">
      <w:pPr>
        <w:pStyle w:val="SingleTxt"/>
        <w:tabs>
          <w:tab w:val="right" w:pos="1685"/>
        </w:tabs>
        <w:ind w:left="1742" w:hanging="475"/>
      </w:pPr>
      <w:r>
        <w:tab/>
        <w:t>•</w:t>
      </w:r>
      <w:r>
        <w:tab/>
        <w:t>Estado Mayor Conjunto: 7</w:t>
      </w:r>
    </w:p>
    <w:p w:rsidR="00000000" w:rsidRDefault="00000000">
      <w:pPr>
        <w:pStyle w:val="SingleTxt"/>
        <w:tabs>
          <w:tab w:val="right" w:pos="1685"/>
        </w:tabs>
        <w:ind w:left="1742" w:hanging="475"/>
      </w:pPr>
      <w:r>
        <w:tab/>
        <w:t>•</w:t>
      </w:r>
      <w:r>
        <w:tab/>
        <w:t>Cuartel General del Ministerio de la Defensa:51</w:t>
      </w:r>
    </w:p>
    <w:p w:rsidR="00000000" w:rsidRDefault="00000000">
      <w:pPr>
        <w:pStyle w:val="SingleTxt"/>
        <w:tabs>
          <w:tab w:val="right" w:pos="1685"/>
        </w:tabs>
        <w:ind w:left="1742" w:hanging="475"/>
      </w:pPr>
      <w:r>
        <w:tab/>
        <w:t>•</w:t>
      </w:r>
      <w:r>
        <w:tab/>
        <w:t>Dirección sectorial de Alistamiento: 539</w:t>
      </w:r>
    </w:p>
    <w:p w:rsidR="00000000" w:rsidRDefault="00000000">
      <w:pPr>
        <w:pStyle w:val="SingleTxt"/>
        <w:tabs>
          <w:tab w:val="right" w:pos="1685"/>
        </w:tabs>
        <w:ind w:left="1742" w:hanging="475"/>
        <w:rPr>
          <w:sz w:val="16"/>
        </w:rPr>
      </w:pPr>
      <w:r>
        <w:tab/>
        <w:t>•</w:t>
      </w:r>
      <w:r>
        <w:tab/>
        <w:t>Dirección de Inteligencia Militar:110</w:t>
      </w:r>
    </w:p>
    <w:p w:rsidR="00000000" w:rsidRDefault="00000000">
      <w:pPr>
        <w:pStyle w:val="SingleTxt"/>
        <w:tabs>
          <w:tab w:val="right" w:pos="1685"/>
        </w:tabs>
        <w:ind w:left="1742" w:hanging="475"/>
      </w:pPr>
      <w:r>
        <w:tab/>
        <w:t>•</w:t>
      </w:r>
      <w:r>
        <w:tab/>
        <w:t>Componente Ejercito: 2.153</w:t>
      </w:r>
    </w:p>
    <w:p w:rsidR="00000000" w:rsidRDefault="00000000">
      <w:pPr>
        <w:pStyle w:val="SingleTxt"/>
        <w:tabs>
          <w:tab w:val="right" w:pos="1685"/>
        </w:tabs>
        <w:ind w:left="1742" w:hanging="475"/>
      </w:pPr>
      <w:r>
        <w:tab/>
        <w:t>•</w:t>
      </w:r>
      <w:r>
        <w:tab/>
        <w:t>Componente Armada: 1.238</w:t>
      </w:r>
    </w:p>
    <w:p w:rsidR="00000000" w:rsidRDefault="00000000">
      <w:pPr>
        <w:pStyle w:val="SingleTxt"/>
        <w:tabs>
          <w:tab w:val="right" w:pos="1685"/>
        </w:tabs>
        <w:ind w:left="1742" w:hanging="475"/>
      </w:pPr>
      <w:r>
        <w:tab/>
        <w:t>•</w:t>
      </w:r>
      <w:r>
        <w:tab/>
        <w:t>Componente Guardia Nacional:1.920</w:t>
      </w:r>
    </w:p>
    <w:p w:rsidR="00000000" w:rsidRDefault="00000000">
      <w:pPr>
        <w:pStyle w:val="SingleTxt"/>
        <w:tabs>
          <w:tab w:val="right" w:pos="1685"/>
        </w:tabs>
        <w:ind w:left="1742" w:hanging="475"/>
      </w:pPr>
      <w:r>
        <w:tab/>
        <w:t>•</w:t>
      </w:r>
      <w:r>
        <w:tab/>
        <w:t>Regimiento de Guardia de Honor:23</w:t>
      </w:r>
    </w:p>
    <w:p w:rsidR="00000000" w:rsidRDefault="00000000">
      <w:pPr>
        <w:pStyle w:val="SingleTxt"/>
        <w:tabs>
          <w:tab w:val="right" w:pos="1685"/>
        </w:tabs>
        <w:ind w:left="1742" w:hanging="475"/>
      </w:pPr>
      <w:r>
        <w:tab/>
        <w:t>•</w:t>
      </w:r>
      <w:r>
        <w:tab/>
        <w:t>Dirección de Justicia Militar: 37</w:t>
      </w:r>
    </w:p>
    <w:p w:rsidR="00000000" w:rsidRDefault="00000000">
      <w:pPr>
        <w:pStyle w:val="SingleTxt"/>
        <w:tabs>
          <w:tab w:val="right" w:pos="1685"/>
        </w:tabs>
        <w:ind w:left="1742" w:hanging="475"/>
      </w:pPr>
      <w:r>
        <w:tab/>
        <w:t>•</w:t>
      </w:r>
      <w:r>
        <w:tab/>
        <w:t>Corte Marcial:23</w:t>
      </w:r>
    </w:p>
    <w:p w:rsidR="00000000" w:rsidRDefault="00000000">
      <w:pPr>
        <w:pStyle w:val="SingleTxt"/>
        <w:tabs>
          <w:tab w:val="right" w:pos="1685"/>
        </w:tabs>
        <w:ind w:left="1742" w:hanging="475"/>
      </w:pPr>
      <w:r>
        <w:tab/>
        <w:t>•</w:t>
      </w:r>
      <w:r>
        <w:tab/>
        <w:t>Dirección General Sectorial de Servicios: 346</w:t>
      </w:r>
    </w:p>
    <w:p w:rsidR="00000000" w:rsidRDefault="00000000">
      <w:pPr>
        <w:pStyle w:val="SingleTxt"/>
        <w:tabs>
          <w:tab w:val="right" w:pos="1685"/>
        </w:tabs>
        <w:ind w:left="1742" w:hanging="475"/>
      </w:pPr>
      <w:r>
        <w:tab/>
        <w:t>•</w:t>
      </w:r>
      <w:r>
        <w:tab/>
        <w:t>Hospital Militar(Silverio Castillo): 157</w:t>
      </w:r>
    </w:p>
    <w:p w:rsidR="00000000" w:rsidRDefault="00000000">
      <w:pPr>
        <w:pStyle w:val="SingleTxt"/>
        <w:tabs>
          <w:tab w:val="right" w:pos="1685"/>
        </w:tabs>
        <w:ind w:left="1742" w:hanging="475"/>
      </w:pPr>
      <w:r>
        <w:tab/>
        <w:t>•</w:t>
      </w:r>
      <w:r>
        <w:tab/>
        <w:t>Hospital Militar (Elbano Paredes Vivas): 731</w:t>
      </w:r>
    </w:p>
    <w:p w:rsidR="00000000" w:rsidRDefault="00000000">
      <w:pPr>
        <w:pStyle w:val="SingleTxt"/>
        <w:tabs>
          <w:tab w:val="right" w:pos="1685"/>
        </w:tabs>
        <w:ind w:left="1742" w:hanging="475"/>
      </w:pPr>
      <w:r>
        <w:tab/>
        <w:t>•</w:t>
      </w:r>
      <w:r>
        <w:tab/>
        <w:t>Hospital Militar(Francisco Balbuena): 231</w:t>
      </w:r>
    </w:p>
    <w:p w:rsidR="00000000" w:rsidRDefault="00000000">
      <w:pPr>
        <w:pStyle w:val="SingleTxt"/>
        <w:tabs>
          <w:tab w:val="right" w:pos="1685"/>
        </w:tabs>
        <w:ind w:left="1742" w:hanging="475"/>
      </w:pPr>
      <w:r>
        <w:tab/>
        <w:t>•</w:t>
      </w:r>
      <w:r>
        <w:tab/>
        <w:t>Contraloría General de la Fuerza Armada Nacional: 102</w:t>
      </w:r>
    </w:p>
    <w:p w:rsidR="00000000" w:rsidRDefault="00000000">
      <w:pPr>
        <w:pStyle w:val="SingleTxt"/>
        <w:tabs>
          <w:tab w:val="right" w:pos="1685"/>
        </w:tabs>
        <w:ind w:left="1742" w:hanging="475"/>
      </w:pPr>
      <w:r>
        <w:tab/>
        <w:t>•</w:t>
      </w:r>
      <w:r>
        <w:tab/>
        <w:t>Dirección general Sectorial de Personal:76</w:t>
      </w:r>
    </w:p>
    <w:p w:rsidR="00000000" w:rsidRDefault="00000000">
      <w:pPr>
        <w:pStyle w:val="SingleTxt"/>
        <w:numPr>
          <w:ilvl w:val="0"/>
          <w:numId w:val="214"/>
        </w:numPr>
      </w:pPr>
      <w:r>
        <w:t xml:space="preserve">El compromiso del Instituto Nacional de la Mujer está orientado a potenciar el ejercicio de la ciudadanía y estimular la participación de la mujer en los distintos niveles y espacios del poder del Estado, en la gerencia y toma de decisiones en el sector privado, gremial, sindical, partidos políticos y sociedad civil, como garantía de democratización y equidad social. </w:t>
      </w:r>
    </w:p>
    <w:p w:rsidR="00000000" w:rsidRDefault="00000000">
      <w:pPr>
        <w:pStyle w:val="SingleTxt"/>
        <w:numPr>
          <w:ilvl w:val="0"/>
          <w:numId w:val="214"/>
        </w:numPr>
      </w:pPr>
      <w:r>
        <w:t>Desde el año 1995 y hasta 1999, se desarrollaron una serie de programas dir</w:t>
      </w:r>
      <w:r>
        <w:t>i</w:t>
      </w:r>
      <w:r>
        <w:t>gidos a promover la participación política de la mujer. Entre ellos podemos menci</w:t>
      </w:r>
      <w:r>
        <w:t>o</w:t>
      </w:r>
      <w:r>
        <w:t xml:space="preserve">nar el </w:t>
      </w:r>
      <w:r>
        <w:rPr>
          <w:b/>
        </w:rPr>
        <w:t xml:space="preserve">Programa de Gerencia Municipal para Mujeres, ejecutado a través de la Fundación para la Promoción de la Mujer </w:t>
      </w:r>
      <w:r>
        <w:t>(año 1996)</w:t>
      </w:r>
      <w:r>
        <w:rPr>
          <w:b/>
        </w:rPr>
        <w:t xml:space="preserve">, </w:t>
      </w:r>
      <w:r>
        <w:t>con una cobertura de 130 mujeres;</w:t>
      </w:r>
      <w:r>
        <w:rPr>
          <w:b/>
        </w:rPr>
        <w:t xml:space="preserve"> </w:t>
      </w:r>
      <w:r>
        <w:t>el cual consistió en la realización de talleres de capacitación en Admini</w:t>
      </w:r>
      <w:r>
        <w:t>s</w:t>
      </w:r>
      <w:r>
        <w:t>tración y Recursos Municipales, incluyendo el análisis de los principales instr</w:t>
      </w:r>
      <w:r>
        <w:t>u</w:t>
      </w:r>
      <w:r>
        <w:t>mentos legales que les sirven de soporte fundamental, así como el desarrollo urbano y ord</w:t>
      </w:r>
      <w:r>
        <w:t>e</w:t>
      </w:r>
      <w:r>
        <w:t>nación territorial del Estado.</w:t>
      </w:r>
    </w:p>
    <w:p w:rsidR="00000000" w:rsidRDefault="00000000">
      <w:pPr>
        <w:pStyle w:val="SingleTxt"/>
        <w:numPr>
          <w:ilvl w:val="0"/>
          <w:numId w:val="214"/>
        </w:numPr>
      </w:pPr>
      <w:r>
        <w:t>Atendiendo al llamado que hiciera el Presidente de la República, para que el pueblo venezolano participe en la discusión del Plan de Desarrollo Económico y Social 2001-2007. el Instituto Nacional de la Mujer, como ente rector de las polít</w:t>
      </w:r>
      <w:r>
        <w:t>i</w:t>
      </w:r>
      <w:r>
        <w:t>cas públicas en lo referido a las mujeres y comprometido, como está, con el proceso de transversalización del enfoque de género en los cinco Poderes Públicos (Ejecut</w:t>
      </w:r>
      <w:r>
        <w:t>i</w:t>
      </w:r>
      <w:r>
        <w:t>vo, Legislativo, Judicial, Electoral y Ciudadano), realizó varias reuniones de co</w:t>
      </w:r>
      <w:r>
        <w:t>n</w:t>
      </w:r>
      <w:r>
        <w:t>sulta a lo largo de todo el territorio nacional, las que contaron con la participación de representantes de Institutos Regionales de la Mujer, Consejos Estadales y Casas de la Mujer, de cada uno de los estados del país. El resultado de esta iniciativa, fue un conjunto de propuestas elevadas, por el movimiento de mujeres, al Ministro de Planificación y Desarrollo, a objeto de que fuesen consideradas para ser incluidas en el Plan de Desarrollo Económico y Social 2001-2007.</w:t>
      </w:r>
    </w:p>
    <w:p w:rsidR="00000000" w:rsidRDefault="00000000">
      <w:pPr>
        <w:pStyle w:val="SingleTxt"/>
        <w:numPr>
          <w:ilvl w:val="0"/>
          <w:numId w:val="214"/>
        </w:numPr>
      </w:pPr>
      <w:r>
        <w:t>Inamujer, para fortalecer el trabajo de las organizaciones de mujeres, desarr</w:t>
      </w:r>
      <w:r>
        <w:t>o</w:t>
      </w:r>
      <w:r>
        <w:t>lla programas que promueven la organización de las mujeres desde el espacio c</w:t>
      </w:r>
      <w:r>
        <w:t>o</w:t>
      </w:r>
      <w:r>
        <w:t xml:space="preserve">munitario y, para ello, ejecuta el </w:t>
      </w:r>
      <w:r>
        <w:rPr>
          <w:b/>
        </w:rPr>
        <w:t>Programa de fortalecimiento Protagónico y Pa</w:t>
      </w:r>
      <w:r>
        <w:rPr>
          <w:b/>
        </w:rPr>
        <w:t>r</w:t>
      </w:r>
      <w:r>
        <w:rPr>
          <w:b/>
        </w:rPr>
        <w:t>ticipación sociopolítica de la Mujer</w:t>
      </w:r>
      <w:r>
        <w:rPr>
          <w:i/>
        </w:rPr>
        <w:t>.</w:t>
      </w:r>
      <w:r>
        <w:rPr>
          <w:b/>
          <w:i/>
        </w:rPr>
        <w:t xml:space="preserve"> </w:t>
      </w:r>
      <w:r>
        <w:rPr>
          <w:i/>
        </w:rPr>
        <w:t xml:space="preserve">Uno de los componentes de este plan son </w:t>
      </w:r>
      <w:r>
        <w:rPr>
          <w:b/>
        </w:rPr>
        <w:t>los Puntos de Encuentro con Inamujer</w:t>
      </w:r>
      <w:r>
        <w:t>, que constituyen una instancia para que las mujeres se organicen y puedan desarrollar actividades para su progreso individual y colectivo, articuladas con los programas gubernamentales, cuyo resultado es el r</w:t>
      </w:r>
      <w:r>
        <w:t>e</w:t>
      </w:r>
      <w:r>
        <w:t xml:space="preserve">gistro de 11.937 Puntos de Encuentro en todo el país. </w:t>
      </w:r>
    </w:p>
    <w:p w:rsidR="00000000" w:rsidRDefault="00000000">
      <w:pPr>
        <w:pStyle w:val="SingleTxt"/>
        <w:numPr>
          <w:ilvl w:val="0"/>
          <w:numId w:val="214"/>
        </w:numPr>
      </w:pPr>
      <w:r>
        <w:t>La creación de los</w:t>
      </w:r>
      <w:r>
        <w:rPr>
          <w:b/>
        </w:rPr>
        <w:t xml:space="preserve"> Puntos de Encuentro con INAMUJER </w:t>
      </w:r>
      <w:r>
        <w:t>han servido para rescatar la memoria histórica de la mujer venezolana, discutir los problemas y bu</w:t>
      </w:r>
      <w:r>
        <w:t>s</w:t>
      </w:r>
      <w:r>
        <w:t>car las soluciones a las necesidades más sentidas de su comunidad. Tejer redes de solidaridad contra la violencia doméstica y desarrollar proyectos económicos para el combate a la pobreza. Así:</w:t>
      </w:r>
    </w:p>
    <w:p w:rsidR="00000000" w:rsidRDefault="00000000">
      <w:pPr>
        <w:pStyle w:val="SingleTxt"/>
        <w:tabs>
          <w:tab w:val="right" w:pos="1685"/>
        </w:tabs>
        <w:ind w:left="1742" w:hanging="475"/>
      </w:pPr>
      <w:r>
        <w:tab/>
        <w:t>•</w:t>
      </w:r>
      <w:r>
        <w:tab/>
        <w:t>Se difunde el texto constitucional para su discusión e interpretación en todos los niveles sociales y de esta manera contar con la participación de todas las ciudadanas y los ciudadanos en las comunidades vecinales, municipios, est</w:t>
      </w:r>
      <w:r>
        <w:t>a</w:t>
      </w:r>
      <w:r>
        <w:t>dos y nacional. A fin de que las mujeres conozcan sus derechos, sus leyes y exijan su cumplimiento como protagonistas que son de este proceso de ca</w:t>
      </w:r>
      <w:r>
        <w:t>m</w:t>
      </w:r>
      <w:r>
        <w:t>bio.</w:t>
      </w:r>
    </w:p>
    <w:p w:rsidR="00000000" w:rsidRDefault="00000000">
      <w:pPr>
        <w:pStyle w:val="SingleTxt"/>
        <w:tabs>
          <w:tab w:val="right" w:pos="1685"/>
        </w:tabs>
        <w:ind w:left="1742" w:hanging="475"/>
        <w:rPr>
          <w:spacing w:val="-4"/>
        </w:rPr>
      </w:pPr>
      <w:r>
        <w:tab/>
        <w:t>•</w:t>
      </w:r>
      <w:r>
        <w:tab/>
        <w:t>Se promueve la unidad en la diversidad del movimiento de mujeres: Acepta</w:t>
      </w:r>
      <w:r>
        <w:t>n</w:t>
      </w:r>
      <w:r>
        <w:t>do nuestras diferencia, juntas en el objetivo de lograr la equ</w:t>
      </w:r>
      <w:r>
        <w:t>i</w:t>
      </w:r>
      <w:r>
        <w:t xml:space="preserve">dad social. </w:t>
      </w:r>
    </w:p>
    <w:p w:rsidR="00000000" w:rsidRDefault="00000000">
      <w:pPr>
        <w:pStyle w:val="SingleTxt"/>
        <w:tabs>
          <w:tab w:val="right" w:pos="1685"/>
        </w:tabs>
        <w:ind w:left="1742" w:hanging="475"/>
      </w:pPr>
      <w:r>
        <w:tab/>
        <w:t>•</w:t>
      </w:r>
      <w:r>
        <w:tab/>
        <w:t>Se promueve la participación de las mujeres en los debates nacionales, en to</w:t>
      </w:r>
      <w:r>
        <w:t>r</w:t>
      </w:r>
      <w:r>
        <w:t>no a los temas de la seguridad social: los derechos sexuales y reproductivos, la violencia de género, el trabajo doméstico y que estos temas se aborden como debates nacionales. No solo por los miembros y miembras de la Asamblea N</w:t>
      </w:r>
      <w:r>
        <w:t>a</w:t>
      </w:r>
      <w:r>
        <w:t xml:space="preserve">cional sino como colectividad social. </w:t>
      </w:r>
    </w:p>
    <w:p w:rsidR="00000000" w:rsidRDefault="00000000">
      <w:pPr>
        <w:pStyle w:val="SingleTxt"/>
        <w:numPr>
          <w:ilvl w:val="0"/>
          <w:numId w:val="214"/>
        </w:numPr>
      </w:pPr>
      <w:r>
        <w:t>El artículo 8, numeral 7, de la Ley sobre la Violencia contra la Mujer y Fam</w:t>
      </w:r>
      <w:r>
        <w:t>i</w:t>
      </w:r>
      <w:r>
        <w:t>lia, tiene como mandato “</w:t>
      </w:r>
      <w:r>
        <w:rPr>
          <w:i/>
        </w:rPr>
        <w:t>registrar las organizaciones no Gubernamentales esp</w:t>
      </w:r>
      <w:r>
        <w:rPr>
          <w:i/>
        </w:rPr>
        <w:t>e</w:t>
      </w:r>
      <w:r>
        <w:rPr>
          <w:i/>
        </w:rPr>
        <w:t>cializadas ... de labores preventivas , de control y ejecución de medidas de apoyo y tratamiento a las víctimas</w:t>
      </w:r>
      <w:r>
        <w:t xml:space="preserve"> ...”. Así mismo el Art. 135 , Segundo Párrafo, de la Ley Orgánica de la Administración Pública (Gaceta Oficial Nro. 37.305, 17-10-2001) se refiere a “... </w:t>
      </w:r>
      <w:r>
        <w:rPr>
          <w:i/>
        </w:rPr>
        <w:t>los órganos y entes de la Administración Pública promoverán la part</w:t>
      </w:r>
      <w:r>
        <w:rPr>
          <w:i/>
        </w:rPr>
        <w:t>i</w:t>
      </w:r>
      <w:r>
        <w:rPr>
          <w:i/>
        </w:rPr>
        <w:t>cipación ciudadana en la gestión públ</w:t>
      </w:r>
      <w:r>
        <w:rPr>
          <w:i/>
        </w:rPr>
        <w:t>i</w:t>
      </w:r>
      <w:r>
        <w:rPr>
          <w:i/>
        </w:rPr>
        <w:t>ca</w:t>
      </w:r>
      <w:r>
        <w:t>”.</w:t>
      </w:r>
    </w:p>
    <w:p w:rsidR="00000000" w:rsidRDefault="00000000">
      <w:pPr>
        <w:pStyle w:val="SingleTxt"/>
        <w:numPr>
          <w:ilvl w:val="0"/>
          <w:numId w:val="214"/>
        </w:numPr>
      </w:pPr>
      <w:r>
        <w:t>A los efectos de su participación en la consulta sobre políticas y normas para la regulación del sector respectivo, cada órgano o ente público llevará un registro de las comunidades organizadas y las organizaciones públicas no estatales cuyo objeto se refiere al sector y que soliciten libremente su in</w:t>
      </w:r>
      <w:r>
        <w:t>s</w:t>
      </w:r>
      <w:r>
        <w:t>cripción .</w:t>
      </w:r>
    </w:p>
    <w:p w:rsidR="00000000" w:rsidRDefault="00000000">
      <w:pPr>
        <w:pStyle w:val="SingleTxt"/>
        <w:numPr>
          <w:ilvl w:val="0"/>
          <w:numId w:val="214"/>
        </w:numPr>
      </w:pPr>
      <w:r>
        <w:t>Es por ello que desde julio de 2000, hasta la fecha, se han registrado en la base de datos de INAMUJER 72 organizaciones no Gubernamentales de Mujeres para la d</w:t>
      </w:r>
      <w:r>
        <w:t>e</w:t>
      </w:r>
      <w:r>
        <w:t xml:space="preserve">fensa de sus derechos .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08</w:t>
      </w:r>
    </w:p>
    <w:p w:rsidR="00000000" w:rsidRDefault="00000000">
      <w:pPr>
        <w:pStyle w:val="SingleTxt"/>
        <w:spacing w:after="0" w:line="120" w:lineRule="exact"/>
        <w:rPr>
          <w:sz w:val="10"/>
        </w:rPr>
      </w:pPr>
    </w:p>
    <w:p w:rsidR="00000000" w:rsidRDefault="00000000">
      <w:pPr>
        <w:pStyle w:val="SingleTxt"/>
        <w:numPr>
          <w:ilvl w:val="0"/>
          <w:numId w:val="214"/>
        </w:numPr>
      </w:pPr>
      <w:r>
        <w:t>La Presencia de la mujer en el servicio exterior se rige para cualquier traslado o designación de personal diplomático, por la Ley de Servicio Exterior que entró en vigencia el 06 de agosto de 2001. Esa Ley recoge los valores fundamentales establ</w:t>
      </w:r>
      <w:r>
        <w:t>e</w:t>
      </w:r>
      <w:r>
        <w:t>cidos en la Constitución Bolivariana y en ella se destaca la igualdad de género y la no discriminación, para los traslados y designaciones, se evalúan los méritos y exp</w:t>
      </w:r>
      <w:r>
        <w:t>e</w:t>
      </w:r>
      <w:r>
        <w:t>riencia de los funcionarios y funcionarias, independientemente de su sexo, raza, c</w:t>
      </w:r>
      <w:r>
        <w:t>o</w:t>
      </w:r>
      <w:r>
        <w:t>lor de piel, posición social, etc.</w:t>
      </w:r>
    </w:p>
    <w:p w:rsidR="00000000" w:rsidRDefault="00000000">
      <w:pPr>
        <w:pStyle w:val="SingleTxt"/>
        <w:numPr>
          <w:ilvl w:val="0"/>
          <w:numId w:val="214"/>
        </w:numPr>
      </w:pPr>
      <w:r>
        <w:t>La nueva Ley del Servicio Exterior trata de preservar, tal y como lo ordena la Constitución Bolivariana, la unión familiar, por tanto permite que los funcionarios y funcionarias diplomáticos unidos en matrimonio, puedan ser destinados a un mismo país.</w:t>
      </w:r>
    </w:p>
    <w:p w:rsidR="00000000" w:rsidRDefault="00000000">
      <w:pPr>
        <w:pStyle w:val="SingleTxt"/>
        <w:numPr>
          <w:ilvl w:val="0"/>
          <w:numId w:val="214"/>
        </w:numPr>
      </w:pPr>
      <w:r>
        <w:t>El 46,4% de los cargos diplomáticos en el exterior, están ocupados por muj</w:t>
      </w:r>
      <w:r>
        <w:t>e</w:t>
      </w:r>
      <w:r>
        <w:t>res. En el 2002 ,una mujer fue designada como Embajadora permanente de Ven</w:t>
      </w:r>
      <w:r>
        <w:t>e</w:t>
      </w:r>
      <w:r>
        <w:t>zuela ante las Oficina de las Naciones Unidas y la Organización Mundial del C</w:t>
      </w:r>
      <w:r>
        <w:t>o</w:t>
      </w:r>
      <w:r>
        <w:t>mercio. En las representaciones diplomáticas de Venezuela en el exterior para el 2004 ten</w:t>
      </w:r>
      <w:r>
        <w:t>e</w:t>
      </w:r>
      <w:r>
        <w:t xml:space="preserve">mos: </w:t>
      </w:r>
    </w:p>
    <w:p w:rsidR="00000000" w:rsidRDefault="00000000">
      <w:pPr>
        <w:pStyle w:val="SingleTxt"/>
        <w:tabs>
          <w:tab w:val="right" w:pos="1685"/>
        </w:tabs>
        <w:ind w:left="1742" w:hanging="475"/>
      </w:pPr>
      <w:r>
        <w:tab/>
        <w:t>•</w:t>
      </w:r>
      <w:r>
        <w:tab/>
        <w:t>Embajadoras y encargadas de Negocios A.I., 25 mujeres.</w:t>
      </w:r>
    </w:p>
    <w:p w:rsidR="00000000" w:rsidRDefault="00000000">
      <w:pPr>
        <w:pStyle w:val="SingleTxt"/>
        <w:tabs>
          <w:tab w:val="right" w:pos="1685"/>
        </w:tabs>
        <w:ind w:left="1742" w:hanging="475"/>
      </w:pPr>
      <w:r>
        <w:tab/>
        <w:t>•</w:t>
      </w:r>
      <w:r>
        <w:tab/>
        <w:t>Embajadores en UNESCO, ONU, FAO, 4 mujeres.</w:t>
      </w:r>
    </w:p>
    <w:p w:rsidR="00000000" w:rsidRDefault="00000000">
      <w:pPr>
        <w:pStyle w:val="SingleTxt"/>
        <w:tabs>
          <w:tab w:val="right" w:pos="1685"/>
        </w:tabs>
        <w:ind w:left="1742" w:hanging="475"/>
      </w:pPr>
      <w:r>
        <w:tab/>
        <w:t>•</w:t>
      </w:r>
      <w:r>
        <w:tab/>
        <w:t>Cónsules y Encargadas de Negocios A.I, 16 mujeres .</w:t>
      </w:r>
    </w:p>
    <w:p w:rsidR="00000000" w:rsidRDefault="00000000">
      <w:pPr>
        <w:pStyle w:val="SingleTxt"/>
        <w:numPr>
          <w:ilvl w:val="0"/>
          <w:numId w:val="214"/>
        </w:numPr>
      </w:pPr>
      <w:r>
        <w:t>Las 25 Embajadoras y Encargadas de Negocios A.I. de las representaciones diplomáticas de Venezuela en el exterior, prestan sus servicios en : Barbados, Bélg</w:t>
      </w:r>
      <w:r>
        <w:t>i</w:t>
      </w:r>
      <w:r>
        <w:t xml:space="preserve">ca, Belice, Bolivia. Brasil, Costa Rica, Dominica, El Salvador, España, Filipinas, Francia, Grecia, Grenada, Honduras, Hungría, India, Italia, Jamaica, Marruecos, Polonia, República Checa, San Kitts, Santa Lucia, San Vicente y las Granadinas y Uruguay. </w:t>
      </w:r>
    </w:p>
    <w:p w:rsidR="00000000" w:rsidRDefault="00000000">
      <w:pPr>
        <w:pStyle w:val="SingleTxt"/>
        <w:numPr>
          <w:ilvl w:val="0"/>
          <w:numId w:val="214"/>
        </w:numPr>
      </w:pPr>
      <w:r>
        <w:t>Las 16 Cónsules y Encargadas de Negocios A.I de las Representaciones Co</w:t>
      </w:r>
      <w:r>
        <w:t>n</w:t>
      </w:r>
      <w:r>
        <w:t>sulares de la República Bolivariana de Venezuela se encuentran en : Sao Paulo, Montreal, Bucaramanga, Cartagena, Medellín, Hong Kong, Madrid, Chicago, Houston, Nueva Orleáns, Nueva York, Milán, Nápoles, Aruba, Bonaire y Funchal.</w:t>
      </w:r>
    </w:p>
    <w:p w:rsidR="00000000" w:rsidRDefault="00000000">
      <w:pPr>
        <w:pStyle w:val="SingleTxt"/>
        <w:numPr>
          <w:ilvl w:val="0"/>
          <w:numId w:val="214"/>
        </w:numPr>
        <w:rPr>
          <w:color w:val="000000"/>
        </w:rPr>
      </w:pPr>
      <w:r>
        <w:rPr>
          <w:color w:val="000000"/>
        </w:rPr>
        <w:t>Desde el año 2000 hasta la fecha, Venezuela ha participado en 25 reuniones a nivel internacional, todas referidas a asuntos concernientes a las mujeres. En org</w:t>
      </w:r>
      <w:r>
        <w:rPr>
          <w:color w:val="000000"/>
        </w:rPr>
        <w:t>a</w:t>
      </w:r>
      <w:r>
        <w:rPr>
          <w:color w:val="000000"/>
        </w:rPr>
        <w:t>nismos tales como la CEPAL, la CIM, la Comisión de la Condición Jurídica de la Mujer, entre otros.</w:t>
      </w:r>
    </w:p>
    <w:p w:rsidR="00000000" w:rsidRDefault="00000000">
      <w:pPr>
        <w:pStyle w:val="SingleTxt"/>
        <w:spacing w:after="0" w:line="120" w:lineRule="exact"/>
        <w:rPr>
          <w:b/>
          <w:sz w:val="10"/>
          <w:u w:val="single"/>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09</w:t>
      </w:r>
    </w:p>
    <w:p w:rsidR="00000000" w:rsidRDefault="00000000">
      <w:pPr>
        <w:pStyle w:val="SingleTxt"/>
        <w:spacing w:after="0" w:line="120" w:lineRule="exact"/>
        <w:rPr>
          <w:sz w:val="10"/>
        </w:rPr>
      </w:pPr>
    </w:p>
    <w:p w:rsidR="00000000" w:rsidRDefault="00000000">
      <w:pPr>
        <w:pStyle w:val="SingleTxt"/>
        <w:numPr>
          <w:ilvl w:val="0"/>
          <w:numId w:val="214"/>
        </w:numPr>
      </w:pPr>
      <w:r>
        <w:t>En la Constitución queda expresa la plena igualdad de derechos entre hombres y mujeres en todos los campos e igualmente en lo relativo a la nacionalidad de los hijos e hijas (Art.32). En cuanto a la adquisición de la nacionalidad no se dispone mayor limitación que la establecida en el artículo 33 de la Constitución de la Rep</w:t>
      </w:r>
      <w:r>
        <w:t>ú</w:t>
      </w:r>
      <w:r>
        <w:t xml:space="preserve">blica Bolivariana de Venezuela, referido al lapso de cinco (05) años o más, a partir de la fecha del matrimonio entre extranjeros (as) y venezolanos (as), para hacer uso de este derecho. </w:t>
      </w:r>
    </w:p>
    <w:p w:rsidR="00000000" w:rsidRDefault="00000000">
      <w:pPr>
        <w:pStyle w:val="SingleTxt"/>
        <w:rPr>
          <w:i/>
        </w:rPr>
      </w:pPr>
      <w:r>
        <w:rPr>
          <w:b/>
          <w:i/>
        </w:rPr>
        <w:t>Art. 33</w:t>
      </w:r>
      <w:r>
        <w:rPr>
          <w:i/>
        </w:rPr>
        <w:t>. Son Venezolanos y Venezolanas por naturalización:</w:t>
      </w:r>
    </w:p>
    <w:p w:rsidR="00000000" w:rsidRDefault="00000000">
      <w:pPr>
        <w:pStyle w:val="SingleTxt"/>
        <w:rPr>
          <w:i/>
        </w:rPr>
      </w:pPr>
      <w:r>
        <w:rPr>
          <w:i/>
        </w:rPr>
        <w:tab/>
      </w:r>
      <w:r>
        <w:t>1.</w:t>
      </w:r>
      <w:r>
        <w:tab/>
      </w:r>
      <w:r>
        <w:rPr>
          <w:i/>
        </w:rPr>
        <w:t>Los extranjeros o extranjeras que obtengan carta de naturaleza. A tal fin deberán tener domicilio en Venezuela con residencia ininterrumpida de por lo m</w:t>
      </w:r>
      <w:r>
        <w:rPr>
          <w:i/>
        </w:rPr>
        <w:t>e</w:t>
      </w:r>
      <w:r>
        <w:rPr>
          <w:i/>
        </w:rPr>
        <w:t>nos diez años, inmediatamente anteriores a la fecha de la respectiva solicitud.</w:t>
      </w:r>
    </w:p>
    <w:p w:rsidR="00000000" w:rsidRDefault="00000000">
      <w:pPr>
        <w:pStyle w:val="SingleTxt"/>
        <w:rPr>
          <w:i/>
        </w:rPr>
      </w:pPr>
      <w:r>
        <w:rPr>
          <w:i/>
        </w:rPr>
        <w:tab/>
      </w:r>
      <w:r>
        <w:t>2.</w:t>
      </w:r>
      <w:r>
        <w:rPr>
          <w:i/>
        </w:rPr>
        <w:tab/>
        <w:t>El tiempo de residencia se reducirá a cinco años en el caso de aquellos y aquellas que tuvieran nacionalidad originaria de España, Portugal, Italia, países Latino</w:t>
      </w:r>
      <w:r>
        <w:rPr>
          <w:i/>
        </w:rPr>
        <w:t>a</w:t>
      </w:r>
      <w:r>
        <w:rPr>
          <w:i/>
        </w:rPr>
        <w:t>mericanos y del Caribe.</w:t>
      </w:r>
    </w:p>
    <w:p w:rsidR="00000000" w:rsidRDefault="00000000">
      <w:pPr>
        <w:pStyle w:val="SingleTxt"/>
        <w:rPr>
          <w:b/>
        </w:rPr>
      </w:pPr>
      <w:r>
        <w:rPr>
          <w:b/>
        </w:rPr>
        <w:tab/>
        <w:t>3.</w:t>
      </w:r>
      <w:r>
        <w:rPr>
          <w:b/>
        </w:rPr>
        <w:tab/>
        <w:t>Los extranjeros o extranjeras que contraigan matrimonio con ven</w:t>
      </w:r>
      <w:r>
        <w:rPr>
          <w:b/>
        </w:rPr>
        <w:t>e</w:t>
      </w:r>
      <w:r>
        <w:rPr>
          <w:b/>
        </w:rPr>
        <w:t>zolano o venezolana desde que declaren su voluntad de serlo, transcurridos, por lo menos, cinco años a partir de la fecha de matrimonio.</w:t>
      </w:r>
    </w:p>
    <w:p w:rsidR="00000000" w:rsidRDefault="00000000">
      <w:pPr>
        <w:pStyle w:val="SingleTxt"/>
      </w:pPr>
      <w:r>
        <w:rPr>
          <w:i/>
        </w:rPr>
        <w:tab/>
      </w:r>
      <w:r>
        <w:t>4.</w:t>
      </w:r>
      <w:r>
        <w:tab/>
      </w:r>
      <w:r>
        <w:rPr>
          <w:i/>
        </w:rPr>
        <w:t>Los extranjeros o extranjeras menores de edad para la fecha de natural</w:t>
      </w:r>
      <w:r>
        <w:rPr>
          <w:i/>
        </w:rPr>
        <w:t>i</w:t>
      </w:r>
      <w:r>
        <w:rPr>
          <w:i/>
        </w:rPr>
        <w:t>zación del padre o de la madre que ejerza sobre ellos la patria potestad, siempre que declaren su voluntad de ser venezolanos o venezolanas antes de cumplir los veintiún años de edad y hayan residido en Venezuela, ininterrumpidamente, durante los ci</w:t>
      </w:r>
      <w:r>
        <w:rPr>
          <w:i/>
        </w:rPr>
        <w:t>n</w:t>
      </w:r>
      <w:r>
        <w:rPr>
          <w:i/>
        </w:rPr>
        <w:t>co años anteriores a dicha declaración.</w:t>
      </w:r>
    </w:p>
    <w:p w:rsidR="00000000" w:rsidRDefault="00000000">
      <w:pPr>
        <w:pStyle w:val="SingleTxt"/>
        <w:numPr>
          <w:ilvl w:val="0"/>
          <w:numId w:val="214"/>
        </w:numPr>
        <w:rPr>
          <w:w w:val="102"/>
        </w:rPr>
      </w:pPr>
      <w:r>
        <w:rPr>
          <w:w w:val="102"/>
        </w:rPr>
        <w:t xml:space="preserve">En cuanto al derecho que tienen los niños y niñas de viajar con el pasaporte de la madre o el padre, queda claramente estipulado en el </w:t>
      </w:r>
      <w:r>
        <w:rPr>
          <w:b/>
          <w:w w:val="102"/>
        </w:rPr>
        <w:t>Artículo 392</w:t>
      </w:r>
      <w:r>
        <w:rPr>
          <w:w w:val="102"/>
        </w:rPr>
        <w:t xml:space="preserve"> de la LOPNA que no existe discriminación en este sentido . A continuación citamos dicho artículo: </w:t>
      </w:r>
      <w:r>
        <w:rPr>
          <w:i/>
          <w:w w:val="102"/>
        </w:rPr>
        <w:t>“Los niños y adolescentes pueden viajar fuera del país acompañados por ambos p</w:t>
      </w:r>
      <w:r>
        <w:rPr>
          <w:i/>
          <w:w w:val="102"/>
        </w:rPr>
        <w:t>a</w:t>
      </w:r>
      <w:r>
        <w:rPr>
          <w:i/>
          <w:w w:val="102"/>
        </w:rPr>
        <w:t>dres o por uno sólo de ellos, pero con autorización del otro expedida en documento autenticado, o cuando tienen un solo representante legal y viajan en compañía de este...”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10</w:t>
      </w:r>
    </w:p>
    <w:p w:rsidR="00000000" w:rsidRDefault="00000000">
      <w:pPr>
        <w:pStyle w:val="SingleTxt"/>
        <w:spacing w:after="0" w:line="120" w:lineRule="exact"/>
        <w:rPr>
          <w:sz w:val="10"/>
        </w:rPr>
      </w:pPr>
    </w:p>
    <w:p w:rsidR="00000000" w:rsidRDefault="00000000">
      <w:pPr>
        <w:pStyle w:val="SingleTxt"/>
        <w:numPr>
          <w:ilvl w:val="0"/>
          <w:numId w:val="214"/>
        </w:numPr>
      </w:pPr>
      <w:r>
        <w:t>En Venezuela está garantizada la educación gratuita en todos los niveles, hasta alcanzar el grado universitario y en condiciones de igualdad para mujeres y ho</w:t>
      </w:r>
      <w:r>
        <w:t>m</w:t>
      </w:r>
      <w:r>
        <w:t xml:space="preserve">bres. Con carácter obligatorio, desde la educación básica hasta el 9no grado. </w:t>
      </w:r>
    </w:p>
    <w:p w:rsidR="00000000" w:rsidRDefault="00000000">
      <w:pPr>
        <w:pStyle w:val="SingleTxt"/>
        <w:numPr>
          <w:ilvl w:val="0"/>
          <w:numId w:val="214"/>
        </w:numPr>
      </w:pPr>
      <w:r>
        <w:t>En el sistema educativo venezolano, se evidencia que la matrícula escolar, es equitativa. Aunque la proporción de niños es ligeramente superior en la Educación Inicial hasta Básica, pero se revierte en la Educación Media Diversificada y Prof</w:t>
      </w:r>
      <w:r>
        <w:t>e</w:t>
      </w:r>
      <w:r>
        <w:t xml:space="preserve">sional, donde el porcentaje de mujeres es superior a la del hombre. </w:t>
      </w:r>
    </w:p>
    <w:p w:rsidR="00000000" w:rsidRDefault="00000000">
      <w:pPr>
        <w:pStyle w:val="SingleTxt"/>
        <w:numPr>
          <w:ilvl w:val="0"/>
          <w:numId w:val="214"/>
        </w:numPr>
      </w:pPr>
      <w:r>
        <w:t>En la Educación Primaria y Secundaria, casi el 80% de la matrícula correspo</w:t>
      </w:r>
      <w:r>
        <w:t>n</w:t>
      </w:r>
      <w:r>
        <w:t xml:space="preserve">de a Educación Básica; 14% a Preescolar y el resto a Diversificada y Profesional, en este nivel, 57% de la matrícula corresponde a población femenina. En Educación Básica, la matrícula es ligeramente superior en niños que en niñas. </w:t>
      </w:r>
    </w:p>
    <w:p w:rsidR="00000000" w:rsidRDefault="00000000">
      <w:pPr>
        <w:pStyle w:val="SingleTxt"/>
        <w:numPr>
          <w:ilvl w:val="0"/>
          <w:numId w:val="214"/>
        </w:numPr>
      </w:pPr>
      <w:r>
        <w:t>La tasa de variación interanual, en Educación Básica, muestra un crecimiento mayor para niños que para niñas. Igualmente, destaca el hecho de que el ritmo de crecimiento en los dos últimos años, es superior al de los años 1996-1998 (Gráfico Nº1). Por último, el descenso de la matrícula en el año1998-1999, aunque no se ju</w:t>
      </w:r>
      <w:r>
        <w:t>s</w:t>
      </w:r>
      <w:r>
        <w:t>tifica, es característico de los años electorales.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keepNext/>
        <w:jc w:val="left"/>
      </w:pPr>
      <w:r>
        <w:t>Gráfico 1</w:t>
      </w:r>
      <w:r>
        <w:br/>
      </w:r>
      <w:r>
        <w:rPr>
          <w:b/>
        </w:rPr>
        <w:t>Tasa en Educación Básica</w:t>
      </w:r>
    </w:p>
    <w:p w:rsidR="00000000" w:rsidRDefault="00000000">
      <w:pPr>
        <w:pStyle w:val="SingleTxt"/>
        <w:keepNext/>
        <w:jc w:val="center"/>
        <w:rPr>
          <w:b/>
        </w:rPr>
      </w:pPr>
      <w:r>
        <w:rPr>
          <w:b/>
        </w:rPr>
        <w:t>2000-2001</w:t>
      </w:r>
    </w:p>
    <w:p w:rsidR="00000000" w:rsidRDefault="00000000">
      <w:pPr>
        <w:keepNext/>
        <w:tabs>
          <w:tab w:val="left" w:pos="360"/>
          <w:tab w:val="left" w:pos="2340"/>
        </w:tabs>
        <w:spacing w:before="120" w:after="120" w:line="360" w:lineRule="auto"/>
        <w:ind w:firstLine="540"/>
        <w:jc w:val="both"/>
        <w:rPr>
          <w:rFonts w:ascii="Arial" w:hAnsi="Arial"/>
        </w:rPr>
      </w:pPr>
      <w:r>
        <w:rPr>
          <w:rFonts w:ascii="Arial" w:hAnsi="Arial"/>
          <w:b/>
          <w:w w:val="1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left:0;text-align:left;margin-left:54pt;margin-top:8.35pt;width:324pt;height:234.45pt;z-index:-2;visibility:visible;mso-wrap-edited:f;mso-position-horizontal:absolute;mso-position-horizontal-relative:text;mso-position-vertical:absolute;mso-position-vertical-relative:text" wrapcoords="1800 897 1800 1380 2450 2001 2950 2001 1900 3105 1800 3381 2300 3865 2950 4210 1850 5176 700 5452 600 5521 650 8557 800 8626 2950 8626 900 8971 600 9109 600 11870 700 11939 1800 12008 2900 13043 1700 13940 1950 14147 1950 14216 2900 15251 1850 15872 1550 16217 1800 16355 3350 17459 3400 17666 10200 18633 10200 19254 10800 19668 8900 20013 8600 20151 8600 21255 15600 21255 15700 20151 15000 20013 10800 19668 14000 19185 14000 18633 10800 18564 15100 18288 20850 17666 20750 17459 21000 17045 2550 16355 21450 16217 21450 1173 2500 897 1800 897" o:allowincell="f">
            <v:imagedata r:id="rId14" o:title=""/>
          </v:shape>
          <o:OLEObject Type="Embed" ProgID="Word.Picture.8" ShapeID="_x0000_s2052" DrawAspect="Content" ObjectID="_1395256280" r:id="rId15"/>
        </w:pict>
      </w:r>
    </w:p>
    <w:p w:rsidR="00000000" w:rsidRDefault="00000000">
      <w:pPr>
        <w:tabs>
          <w:tab w:val="left" w:pos="360"/>
          <w:tab w:val="left" w:pos="2340"/>
        </w:tabs>
        <w:spacing w:before="120" w:after="120" w:line="360" w:lineRule="auto"/>
        <w:ind w:firstLine="540"/>
        <w:jc w:val="both"/>
        <w:rPr>
          <w:rFonts w:ascii="Arial" w:hAnsi="Arial"/>
        </w:rPr>
      </w:pPr>
    </w:p>
    <w:p w:rsidR="00000000" w:rsidRDefault="00000000">
      <w:pPr>
        <w:tabs>
          <w:tab w:val="left" w:pos="360"/>
          <w:tab w:val="left" w:pos="2340"/>
        </w:tabs>
        <w:spacing w:before="120" w:after="120" w:line="360" w:lineRule="auto"/>
        <w:ind w:firstLine="540"/>
        <w:jc w:val="both"/>
        <w:rPr>
          <w:rFonts w:ascii="Arial" w:hAnsi="Arial"/>
        </w:rPr>
      </w:pPr>
    </w:p>
    <w:p w:rsidR="00000000" w:rsidRDefault="00000000">
      <w:pPr>
        <w:tabs>
          <w:tab w:val="left" w:pos="360"/>
          <w:tab w:val="left" w:pos="2340"/>
        </w:tabs>
        <w:spacing w:before="120" w:after="120" w:line="360" w:lineRule="auto"/>
        <w:ind w:firstLine="540"/>
        <w:jc w:val="both"/>
        <w:rPr>
          <w:rFonts w:ascii="Arial" w:hAnsi="Arial"/>
        </w:rPr>
      </w:pPr>
    </w:p>
    <w:p w:rsidR="00000000" w:rsidRDefault="00000000">
      <w:pPr>
        <w:tabs>
          <w:tab w:val="left" w:pos="360"/>
          <w:tab w:val="left" w:pos="2340"/>
        </w:tabs>
        <w:spacing w:before="120" w:after="120" w:line="360" w:lineRule="auto"/>
        <w:ind w:firstLine="540"/>
        <w:jc w:val="both"/>
        <w:rPr>
          <w:rFonts w:ascii="Arial" w:hAnsi="Arial"/>
        </w:rPr>
      </w:pPr>
    </w:p>
    <w:p w:rsidR="00000000" w:rsidRDefault="00000000">
      <w:pPr>
        <w:tabs>
          <w:tab w:val="left" w:pos="360"/>
          <w:tab w:val="left" w:pos="2340"/>
        </w:tabs>
        <w:spacing w:before="120" w:after="120" w:line="360" w:lineRule="auto"/>
        <w:ind w:firstLine="540"/>
        <w:jc w:val="both"/>
        <w:rPr>
          <w:rFonts w:ascii="Arial" w:hAnsi="Arial"/>
        </w:rPr>
      </w:pPr>
    </w:p>
    <w:p w:rsidR="00000000" w:rsidRDefault="00000000">
      <w:pPr>
        <w:tabs>
          <w:tab w:val="left" w:pos="360"/>
          <w:tab w:val="left" w:pos="2340"/>
        </w:tabs>
        <w:spacing w:before="120" w:after="120" w:line="360" w:lineRule="auto"/>
        <w:ind w:firstLine="540"/>
        <w:jc w:val="both"/>
        <w:rPr>
          <w:rFonts w:ascii="Arial" w:hAnsi="Arial"/>
        </w:rPr>
      </w:pPr>
    </w:p>
    <w:p w:rsidR="00000000" w:rsidRDefault="00000000">
      <w:pPr>
        <w:tabs>
          <w:tab w:val="left" w:pos="360"/>
          <w:tab w:val="left" w:pos="2340"/>
        </w:tabs>
        <w:spacing w:before="120" w:after="120" w:line="360" w:lineRule="auto"/>
        <w:ind w:firstLine="539"/>
        <w:jc w:val="both"/>
        <w:rPr>
          <w:rFonts w:ascii="Arial" w:hAnsi="Arial"/>
        </w:rPr>
      </w:pPr>
    </w:p>
    <w:p w:rsidR="00000000" w:rsidRDefault="00000000">
      <w:pPr>
        <w:tabs>
          <w:tab w:val="left" w:pos="360"/>
          <w:tab w:val="left" w:pos="2340"/>
        </w:tabs>
        <w:spacing w:line="120" w:lineRule="exact"/>
        <w:ind w:firstLine="539"/>
        <w:jc w:val="both"/>
        <w:rPr>
          <w:rFonts w:ascii="Arial" w:hAnsi="Arial"/>
          <w:sz w:val="10"/>
        </w:rPr>
      </w:pPr>
    </w:p>
    <w:p w:rsidR="00000000" w:rsidRDefault="00000000">
      <w:pPr>
        <w:tabs>
          <w:tab w:val="left" w:pos="360"/>
          <w:tab w:val="left" w:pos="2340"/>
        </w:tabs>
        <w:spacing w:line="120" w:lineRule="exact"/>
        <w:ind w:firstLine="539"/>
        <w:jc w:val="both"/>
        <w:rPr>
          <w:rFonts w:ascii="Arial" w:hAnsi="Arial"/>
          <w:sz w:val="10"/>
        </w:rPr>
      </w:pPr>
    </w:p>
    <w:p w:rsidR="00000000" w:rsidRDefault="00000000">
      <w:pPr>
        <w:tabs>
          <w:tab w:val="left" w:pos="360"/>
          <w:tab w:val="left" w:pos="2340"/>
        </w:tabs>
        <w:spacing w:line="120" w:lineRule="exact"/>
        <w:ind w:firstLine="539"/>
        <w:jc w:val="both"/>
        <w:rPr>
          <w:rFonts w:ascii="Arial" w:hAnsi="Arial"/>
          <w:sz w:val="10"/>
        </w:rPr>
      </w:pPr>
    </w:p>
    <w:p w:rsidR="00000000" w:rsidRDefault="00000000">
      <w:pPr>
        <w:pStyle w:val="SingleTxt"/>
        <w:numPr>
          <w:ilvl w:val="0"/>
          <w:numId w:val="214"/>
        </w:numPr>
      </w:pPr>
      <w:r>
        <w:t>Se puede señalar que la matrícula escolar, proporcionalmente hablando, se e</w:t>
      </w:r>
      <w:r>
        <w:t>n</w:t>
      </w:r>
      <w:r>
        <w:t>cuentra en igualdad de condiciones entre niñas y niños. Un aspecto positivo, refiere al significativo aumento de la matrícula escolar desde el año 1999.</w:t>
      </w:r>
    </w:p>
    <w:p w:rsidR="00000000" w:rsidRDefault="00000000">
      <w:pPr>
        <w:pStyle w:val="SingleTxt"/>
        <w:numPr>
          <w:ilvl w:val="0"/>
          <w:numId w:val="214"/>
        </w:numPr>
      </w:pPr>
      <w:r>
        <w:t xml:space="preserve">La matrícula en la Educación Preescolar, muestra un comportamiento similar al anterior, aunque con variaciones más acentuadas. El descenso en la matrícula, en el año 1998, es de 2,6%, pero el ritmo de crecimiento en los años siguientes, supera el 8% y 4% respectivamente. </w:t>
      </w:r>
    </w:p>
    <w:p w:rsidR="00000000" w:rsidRDefault="00000000">
      <w:pPr>
        <w:pStyle w:val="SingleTxt"/>
        <w:numPr>
          <w:ilvl w:val="0"/>
          <w:numId w:val="214"/>
        </w:numPr>
      </w:pPr>
      <w:r>
        <w:t>A diferencia de los Niveles Preescolar y Básica, en el ciclo Diversificado, la matrícula de las niñas supera a la de los niños (aproximadamente 57% de las est</w:t>
      </w:r>
      <w:r>
        <w:t>u</w:t>
      </w:r>
      <w:r>
        <w:t>diantes son mujeres). El ritmo de crecimiento en el ciclo diversificado, es mayor que en los otros niveles educativos. El número de las adolescentes es superior, en 50.000, a las de los adolescentes (Ver: Gráfico No. 2).</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Fuente: Min. Educación [2000-2001]</w:t>
      </w:r>
    </w:p>
    <w:p w:rsidR="00000000" w:rsidRDefault="00000000">
      <w:pPr>
        <w:pStyle w:val="SingleTxt"/>
        <w:keepNext/>
        <w:spacing w:after="0" w:line="120" w:lineRule="exact"/>
        <w:rPr>
          <w:sz w:val="10"/>
        </w:rPr>
      </w:pPr>
    </w:p>
    <w:p w:rsidR="00000000" w:rsidRDefault="00000000">
      <w:pPr>
        <w:pStyle w:val="SingleTxt"/>
        <w:keepNext/>
        <w:jc w:val="left"/>
      </w:pPr>
      <w:r>
        <w:t>Gráfico 2</w:t>
      </w:r>
      <w:r>
        <w:br/>
      </w:r>
      <w:r>
        <w:rPr>
          <w:b/>
        </w:rPr>
        <w:t>Tasa de crecimiento en el Ciclo Diversificado</w:t>
      </w:r>
    </w:p>
    <w:p w:rsidR="00000000" w:rsidRDefault="00000000">
      <w:pPr>
        <w:keepNext/>
        <w:tabs>
          <w:tab w:val="left" w:pos="1000"/>
          <w:tab w:val="left" w:pos="2340"/>
        </w:tabs>
        <w:jc w:val="both"/>
      </w:pPr>
      <w:r>
        <w:rPr>
          <w:rFonts w:ascii="Arial" w:hAnsi="Arial"/>
        </w:rPr>
        <w:pict>
          <v:shape id="_x0000_s2051" type="#_x0000_t75" style="position:absolute;left:0;text-align:left;margin-left:27pt;margin-top:19.95pt;width:397.3pt;height:261pt;z-index:2;mso-position-horizontal:absolute;mso-position-horizontal-relative:text;mso-position-vertical:absolute;mso-position-vertical-relative:text" o:allowincell="f">
            <v:imagedata r:id="rId16" o:title=""/>
            <w10:wrap type="topAndBottom"/>
          </v:shape>
        </w:pict>
      </w:r>
    </w:p>
    <w:p w:rsidR="00000000" w:rsidRDefault="00000000">
      <w:pPr>
        <w:pStyle w:val="SingleTxt"/>
        <w:spacing w:after="0" w:line="120" w:lineRule="exact"/>
        <w:rPr>
          <w:sz w:val="10"/>
        </w:rPr>
      </w:pPr>
    </w:p>
    <w:p w:rsidR="00000000" w:rsidRDefault="00000000">
      <w:pPr>
        <w:pStyle w:val="SingleTxt"/>
        <w:tabs>
          <w:tab w:val="clear" w:pos="1742"/>
        </w:tabs>
        <w:spacing w:after="0" w:line="120" w:lineRule="exact"/>
        <w:ind w:left="0"/>
        <w:rPr>
          <w:sz w:val="10"/>
        </w:rPr>
      </w:pPr>
    </w:p>
    <w:p w:rsidR="00000000" w:rsidRDefault="00000000">
      <w:pPr>
        <w:pStyle w:val="SingleTxt"/>
        <w:tabs>
          <w:tab w:val="clear" w:pos="1742"/>
        </w:tabs>
        <w:spacing w:after="0" w:line="120" w:lineRule="exact"/>
        <w:ind w:left="0"/>
        <w:rPr>
          <w:sz w:val="10"/>
        </w:rPr>
      </w:pPr>
    </w:p>
    <w:p w:rsidR="00000000" w:rsidRDefault="00000000">
      <w:pPr>
        <w:pStyle w:val="SingleTxt"/>
        <w:numPr>
          <w:ilvl w:val="0"/>
          <w:numId w:val="214"/>
        </w:numPr>
      </w:pPr>
      <w:r>
        <w:t>En el Ciclo Diversificado, se observa un aumento de la permanencia de las mujeres con relación a los hombres, esta situación pareciera tener relación con el ingreso del hombre al campo laboral.</w:t>
      </w:r>
    </w:p>
    <w:p w:rsidR="00000000" w:rsidRDefault="00000000">
      <w:pPr>
        <w:pStyle w:val="SingleTxt"/>
        <w:numPr>
          <w:ilvl w:val="0"/>
          <w:numId w:val="214"/>
        </w:numPr>
      </w:pPr>
      <w:r>
        <w:t>En la Educación Especial en los años (1999-2000), de un total de 67.883 pe</w:t>
      </w:r>
      <w:r>
        <w:t>r</w:t>
      </w:r>
      <w:r>
        <w:t xml:space="preserve">sonas; 40.841 son del sexo masculino y 27.042 del sexo femenino. </w:t>
      </w:r>
    </w:p>
    <w:p w:rsidR="00000000" w:rsidRDefault="00000000">
      <w:pPr>
        <w:pStyle w:val="SingleTxt"/>
        <w:numPr>
          <w:ilvl w:val="0"/>
          <w:numId w:val="214"/>
        </w:numPr>
        <w:rPr>
          <w:spacing w:val="2"/>
          <w:w w:val="101"/>
        </w:rPr>
      </w:pPr>
      <w:r>
        <w:rPr>
          <w:spacing w:val="2"/>
          <w:w w:val="101"/>
        </w:rPr>
        <w:t>En la referente a las Especialidades y Carreras, considerando lo establecido en la Constitución, la orientación y las condiciones para entrar en la Educación Media Dive</w:t>
      </w:r>
      <w:r>
        <w:rPr>
          <w:spacing w:val="2"/>
          <w:w w:val="101"/>
        </w:rPr>
        <w:t>r</w:t>
      </w:r>
      <w:r>
        <w:rPr>
          <w:spacing w:val="2"/>
          <w:w w:val="101"/>
        </w:rPr>
        <w:t>sificada y en la formación Profesional, se da en igualdad de condiciones para hombres y mujeres. Sin embargo, la participación de las adolescentes depende de los estereotipos familiares, aptitudes y oportunidades de estudio en el ámbito local, regional y nacional.</w:t>
      </w:r>
    </w:p>
    <w:p w:rsidR="00000000" w:rsidRDefault="00000000">
      <w:pPr>
        <w:pStyle w:val="SingleTxt"/>
        <w:numPr>
          <w:ilvl w:val="0"/>
          <w:numId w:val="214"/>
        </w:numPr>
      </w:pPr>
      <w:r>
        <w:t>Las estadísticas, señalan que las jóvenes adolescentes, entre los años 1989-1990 al 1998-1999, se van por carreras humanísticas y comerciales, es poca la part</w:t>
      </w:r>
      <w:r>
        <w:t>i</w:t>
      </w:r>
      <w:r>
        <w:t>cip</w:t>
      </w:r>
      <w:r>
        <w:t>a</w:t>
      </w:r>
      <w:r>
        <w:t>ción en especialidades industriales. Aunque se incrementó en los años 1998-1999, con 159.678 mujeres por 114.819 hombres. En el nivel universitario se ma</w:t>
      </w:r>
      <w:r>
        <w:t>n</w:t>
      </w:r>
      <w:r>
        <w:t>tiene la tendencia, pero cada día se incrementa más la participación de mujeres en carreras militares, técnicas e ingenierías.</w:t>
      </w:r>
    </w:p>
    <w:p w:rsidR="00000000" w:rsidRDefault="00000000">
      <w:pPr>
        <w:pStyle w:val="SingleTxt"/>
        <w:numPr>
          <w:ilvl w:val="0"/>
          <w:numId w:val="214"/>
        </w:numPr>
      </w:pPr>
      <w:r>
        <w:t xml:space="preserve">Las experiencias del Instituto de Nacional de Cooperación Educativa (INCE), muestra un incremento en la participación de las mujeres, jóvenes y adultas, en sus programas de capacitación y formación profesional. En el 2001 fue de 53%, en el 2000 de 51,3% y en 1999 de 51,8% </w:t>
      </w:r>
    </w:p>
    <w:p w:rsidR="00000000" w:rsidRDefault="00000000">
      <w:pPr>
        <w:pStyle w:val="SingleTxt"/>
        <w:spacing w:after="0" w:line="120" w:lineRule="exact"/>
        <w:rPr>
          <w:sz w:val="10"/>
        </w:rPr>
      </w:pPr>
    </w:p>
    <w:p w:rsidR="00000000" w:rsidRDefault="00000000">
      <w:pPr>
        <w:pStyle w:val="Footer"/>
        <w:tabs>
          <w:tab w:val="clear" w:pos="4320"/>
          <w:tab w:val="clear" w:pos="8640"/>
          <w:tab w:val="left" w:pos="2340"/>
        </w:tabs>
        <w:spacing w:line="480" w:lineRule="auto"/>
        <w:jc w:val="center"/>
        <w:rPr>
          <w:rFonts w:ascii="Arial" w:hAnsi="Arial"/>
          <w:b w:val="0"/>
          <w:noProof w:val="0"/>
          <w:lang w:val="es-ES"/>
        </w:rPr>
      </w:pPr>
      <w:r>
        <w:rPr>
          <w:rFonts w:ascii="Arial" w:hAnsi="Arial"/>
          <w:b w:val="0"/>
          <w:noProof w:val="0"/>
          <w:lang w:val="es-ES"/>
        </w:rPr>
        <w:t>Participación de la Mujer en la Formación Técnica</w:t>
      </w:r>
    </w:p>
    <w:p w:rsidR="00000000" w:rsidRDefault="00000000">
      <w:pPr>
        <w:pStyle w:val="Footer"/>
        <w:tabs>
          <w:tab w:val="left" w:pos="2340"/>
        </w:tabs>
        <w:spacing w:line="480" w:lineRule="auto"/>
        <w:jc w:val="center"/>
        <w:rPr>
          <w:rFonts w:ascii="Arial" w:hAnsi="Arial"/>
          <w:b w:val="0"/>
          <w:noProof w:val="0"/>
          <w:lang w:val="es-ES"/>
        </w:rPr>
      </w:pPr>
      <w:r>
        <w:rPr>
          <w:rFonts w:ascii="Arial" w:hAnsi="Arial"/>
          <w:b w:val="0"/>
          <w:noProof w:val="0"/>
          <w:lang w:val="es-ES"/>
        </w:rPr>
        <w:t>2001</w:t>
      </w:r>
    </w:p>
    <w:tbl>
      <w:tblPr>
        <w:tblW w:w="0" w:type="auto"/>
        <w:tblInd w:w="2020" w:type="dxa"/>
        <w:tblBorders>
          <w:top w:val="single" w:sz="24" w:space="0" w:color="808080"/>
          <w:left w:val="single" w:sz="24" w:space="0" w:color="808080"/>
          <w:bottom w:val="single" w:sz="24" w:space="0" w:color="808080"/>
          <w:right w:val="single" w:sz="24" w:space="0" w:color="808080"/>
        </w:tblBorders>
        <w:tblLayout w:type="fixed"/>
        <w:tblCellMar>
          <w:left w:w="70" w:type="dxa"/>
          <w:right w:w="70" w:type="dxa"/>
        </w:tblCellMar>
        <w:tblLook w:val="00BF" w:firstRow="1" w:lastRow="0" w:firstColumn="1" w:lastColumn="0" w:noHBand="0" w:noVBand="0"/>
      </w:tblPr>
      <w:tblGrid>
        <w:gridCol w:w="1977"/>
        <w:gridCol w:w="603"/>
        <w:gridCol w:w="603"/>
        <w:gridCol w:w="597"/>
        <w:gridCol w:w="603"/>
        <w:gridCol w:w="629"/>
        <w:gridCol w:w="603"/>
      </w:tblGrid>
      <w:tr w:rsidR="00000000">
        <w:tblPrEx>
          <w:tblCellMar>
            <w:top w:w="0" w:type="dxa"/>
            <w:bottom w:w="0" w:type="dxa"/>
          </w:tblCellMar>
        </w:tblPrEx>
        <w:tc>
          <w:tcPr>
            <w:tcW w:w="1977" w:type="dxa"/>
            <w:tcBorders>
              <w:top w:val="single" w:sz="24" w:space="0" w:color="808080"/>
              <w:bottom w:val="single" w:sz="24" w:space="0" w:color="808080"/>
            </w:tcBorders>
            <w:shd w:val="pct25" w:color="000000" w:fill="FFFFFF"/>
          </w:tcPr>
          <w:p w:rsidR="00000000" w:rsidRDefault="00000000">
            <w:pPr>
              <w:pStyle w:val="Footer"/>
              <w:tabs>
                <w:tab w:val="left" w:pos="2340"/>
              </w:tabs>
              <w:suppressAutoHyphens/>
              <w:spacing w:before="120" w:after="120" w:line="360" w:lineRule="auto"/>
              <w:rPr>
                <w:rFonts w:ascii="Arial" w:hAnsi="Arial"/>
                <w:noProof w:val="0"/>
                <w:lang w:val="es-ES"/>
              </w:rPr>
            </w:pPr>
            <w:r>
              <w:rPr>
                <w:rFonts w:ascii="Arial" w:hAnsi="Arial"/>
                <w:noProof w:val="0"/>
                <w:lang w:val="es-ES"/>
              </w:rPr>
              <w:t>Programas</w:t>
            </w:r>
          </w:p>
        </w:tc>
        <w:tc>
          <w:tcPr>
            <w:tcW w:w="603" w:type="dxa"/>
            <w:tcBorders>
              <w:top w:val="single" w:sz="24" w:space="0" w:color="808080"/>
              <w:bottom w:val="single" w:sz="24" w:space="0" w:color="808080"/>
            </w:tcBorders>
            <w:shd w:val="pct25" w:color="FFFF00" w:fill="FFFFFF"/>
          </w:tcPr>
          <w:p w:rsidR="00000000" w:rsidRDefault="00000000">
            <w:pPr>
              <w:pStyle w:val="Footer"/>
              <w:tabs>
                <w:tab w:val="left" w:pos="2340"/>
              </w:tabs>
              <w:spacing w:before="120" w:after="120" w:line="360" w:lineRule="auto"/>
              <w:jc w:val="both"/>
              <w:rPr>
                <w:rFonts w:ascii="Arial" w:hAnsi="Arial"/>
                <w:noProof w:val="0"/>
                <w:lang w:val="es-ES"/>
              </w:rPr>
            </w:pPr>
            <w:r>
              <w:rPr>
                <w:rFonts w:ascii="Arial" w:hAnsi="Arial"/>
                <w:noProof w:val="0"/>
                <w:lang w:val="es-ES"/>
              </w:rPr>
              <w:t>1996</w:t>
            </w:r>
          </w:p>
        </w:tc>
        <w:tc>
          <w:tcPr>
            <w:tcW w:w="603" w:type="dxa"/>
            <w:tcBorders>
              <w:top w:val="single" w:sz="24" w:space="0" w:color="808080"/>
              <w:bottom w:val="single" w:sz="24" w:space="0" w:color="808080"/>
            </w:tcBorders>
            <w:shd w:val="pct25" w:color="000000" w:fill="FFFFFF"/>
          </w:tcPr>
          <w:p w:rsidR="00000000" w:rsidRDefault="00000000">
            <w:pPr>
              <w:pStyle w:val="Footer"/>
              <w:tabs>
                <w:tab w:val="left" w:pos="2340"/>
              </w:tabs>
              <w:spacing w:before="120" w:after="120" w:line="360" w:lineRule="auto"/>
              <w:jc w:val="both"/>
              <w:rPr>
                <w:rFonts w:ascii="Arial" w:hAnsi="Arial"/>
                <w:noProof w:val="0"/>
                <w:lang w:val="es-ES"/>
              </w:rPr>
            </w:pPr>
            <w:r>
              <w:rPr>
                <w:rFonts w:ascii="Arial" w:hAnsi="Arial"/>
                <w:noProof w:val="0"/>
                <w:lang w:val="es-ES"/>
              </w:rPr>
              <w:t>1997</w:t>
            </w:r>
          </w:p>
        </w:tc>
        <w:tc>
          <w:tcPr>
            <w:tcW w:w="597" w:type="dxa"/>
            <w:tcBorders>
              <w:top w:val="single" w:sz="24" w:space="0" w:color="808080"/>
              <w:bottom w:val="single" w:sz="24" w:space="0" w:color="808080"/>
            </w:tcBorders>
            <w:shd w:val="pct25" w:color="FFFF00" w:fill="FFFFFF"/>
          </w:tcPr>
          <w:p w:rsidR="00000000" w:rsidRDefault="00000000">
            <w:pPr>
              <w:pStyle w:val="Footer"/>
              <w:tabs>
                <w:tab w:val="left" w:pos="2340"/>
              </w:tabs>
              <w:spacing w:before="120" w:after="120" w:line="360" w:lineRule="auto"/>
              <w:jc w:val="both"/>
              <w:rPr>
                <w:rFonts w:ascii="Arial" w:hAnsi="Arial"/>
                <w:noProof w:val="0"/>
                <w:lang w:val="es-ES"/>
              </w:rPr>
            </w:pPr>
            <w:r>
              <w:rPr>
                <w:rFonts w:ascii="Arial" w:hAnsi="Arial"/>
                <w:noProof w:val="0"/>
                <w:lang w:val="es-ES"/>
              </w:rPr>
              <w:t>1998</w:t>
            </w:r>
          </w:p>
        </w:tc>
        <w:tc>
          <w:tcPr>
            <w:tcW w:w="603" w:type="dxa"/>
            <w:tcBorders>
              <w:top w:val="single" w:sz="24" w:space="0" w:color="808080"/>
              <w:bottom w:val="single" w:sz="24" w:space="0" w:color="808080"/>
            </w:tcBorders>
            <w:shd w:val="pct25" w:color="000000" w:fill="FFFFFF"/>
          </w:tcPr>
          <w:p w:rsidR="00000000" w:rsidRDefault="00000000">
            <w:pPr>
              <w:pStyle w:val="Footer"/>
              <w:tabs>
                <w:tab w:val="left" w:pos="2340"/>
              </w:tabs>
              <w:spacing w:before="120" w:after="120" w:line="360" w:lineRule="auto"/>
              <w:jc w:val="both"/>
              <w:rPr>
                <w:rFonts w:ascii="Arial" w:hAnsi="Arial"/>
                <w:noProof w:val="0"/>
                <w:lang w:val="es-ES"/>
              </w:rPr>
            </w:pPr>
            <w:r>
              <w:rPr>
                <w:rFonts w:ascii="Arial" w:hAnsi="Arial"/>
                <w:noProof w:val="0"/>
                <w:lang w:val="es-ES"/>
              </w:rPr>
              <w:t>1999</w:t>
            </w:r>
          </w:p>
        </w:tc>
        <w:tc>
          <w:tcPr>
            <w:tcW w:w="629" w:type="dxa"/>
            <w:tcBorders>
              <w:top w:val="single" w:sz="24" w:space="0" w:color="808080"/>
              <w:bottom w:val="single" w:sz="24" w:space="0" w:color="808080"/>
            </w:tcBorders>
            <w:shd w:val="pct25" w:color="FFFF00" w:fill="FFFFFF"/>
          </w:tcPr>
          <w:p w:rsidR="00000000" w:rsidRDefault="00000000">
            <w:pPr>
              <w:pStyle w:val="Footer"/>
              <w:tabs>
                <w:tab w:val="left" w:pos="2340"/>
              </w:tabs>
              <w:spacing w:before="120" w:after="120" w:line="360" w:lineRule="auto"/>
              <w:jc w:val="both"/>
              <w:rPr>
                <w:rFonts w:ascii="Arial" w:hAnsi="Arial"/>
                <w:noProof w:val="0"/>
                <w:lang w:val="es-ES"/>
              </w:rPr>
            </w:pPr>
            <w:r>
              <w:rPr>
                <w:rFonts w:ascii="Arial" w:hAnsi="Arial"/>
                <w:noProof w:val="0"/>
                <w:lang w:val="es-ES"/>
              </w:rPr>
              <w:t>2000</w:t>
            </w:r>
          </w:p>
        </w:tc>
        <w:tc>
          <w:tcPr>
            <w:tcW w:w="603" w:type="dxa"/>
            <w:tcBorders>
              <w:top w:val="single" w:sz="24" w:space="0" w:color="808080"/>
              <w:bottom w:val="single" w:sz="24" w:space="0" w:color="808080"/>
            </w:tcBorders>
            <w:shd w:val="pct25" w:color="000000" w:fill="FFFFFF"/>
          </w:tcPr>
          <w:p w:rsidR="00000000" w:rsidRDefault="00000000">
            <w:pPr>
              <w:pStyle w:val="Footer"/>
              <w:tabs>
                <w:tab w:val="left" w:pos="2340"/>
              </w:tabs>
              <w:spacing w:before="120" w:after="120" w:line="360" w:lineRule="auto"/>
              <w:jc w:val="both"/>
              <w:rPr>
                <w:rFonts w:ascii="Arial" w:hAnsi="Arial"/>
                <w:noProof w:val="0"/>
                <w:lang w:val="es-ES"/>
              </w:rPr>
            </w:pPr>
            <w:r>
              <w:rPr>
                <w:rFonts w:ascii="Arial" w:hAnsi="Arial"/>
                <w:noProof w:val="0"/>
                <w:lang w:val="es-ES"/>
              </w:rPr>
              <w:t>2001</w:t>
            </w:r>
          </w:p>
        </w:tc>
      </w:tr>
      <w:tr w:rsidR="00000000">
        <w:tblPrEx>
          <w:tblCellMar>
            <w:top w:w="0" w:type="dxa"/>
            <w:bottom w:w="0" w:type="dxa"/>
          </w:tblCellMar>
        </w:tblPrEx>
        <w:tc>
          <w:tcPr>
            <w:tcW w:w="1977" w:type="dxa"/>
            <w:tcBorders>
              <w:top w:val="nil"/>
            </w:tcBorders>
            <w:shd w:val="pct25" w:color="000000" w:fill="FFFFFF"/>
          </w:tcPr>
          <w:p w:rsidR="00000000" w:rsidRDefault="00000000">
            <w:pPr>
              <w:pStyle w:val="Footer"/>
              <w:tabs>
                <w:tab w:val="left" w:pos="2340"/>
              </w:tabs>
              <w:suppressAutoHyphens/>
              <w:spacing w:before="120" w:after="120" w:line="360" w:lineRule="auto"/>
              <w:rPr>
                <w:rFonts w:ascii="Arial" w:hAnsi="Arial"/>
                <w:noProof w:val="0"/>
                <w:lang w:val="es-ES"/>
              </w:rPr>
            </w:pPr>
            <w:r>
              <w:rPr>
                <w:rFonts w:ascii="Arial" w:hAnsi="Arial"/>
                <w:noProof w:val="0"/>
                <w:lang w:val="es-ES"/>
              </w:rPr>
              <w:t>Industrial Y Artesanal</w:t>
            </w:r>
          </w:p>
        </w:tc>
        <w:tc>
          <w:tcPr>
            <w:tcW w:w="603" w:type="dxa"/>
            <w:tcBorders>
              <w:top w:val="nil"/>
            </w:tcBorders>
            <w:shd w:val="pct25" w:color="FFFF00" w:fill="FFFFFF"/>
          </w:tcPr>
          <w:p w:rsidR="00000000" w:rsidRDefault="00000000">
            <w:pPr>
              <w:pStyle w:val="Footer"/>
              <w:tabs>
                <w:tab w:val="left" w:pos="2340"/>
              </w:tabs>
              <w:spacing w:before="120" w:after="120" w:line="360" w:lineRule="auto"/>
              <w:jc w:val="both"/>
              <w:rPr>
                <w:rFonts w:ascii="Arial" w:hAnsi="Arial"/>
                <w:b w:val="0"/>
                <w:noProof w:val="0"/>
                <w:lang w:val="es-ES"/>
              </w:rPr>
            </w:pPr>
            <w:r>
              <w:rPr>
                <w:rFonts w:ascii="Arial" w:hAnsi="Arial"/>
                <w:b w:val="0"/>
                <w:noProof w:val="0"/>
                <w:lang w:val="es-ES"/>
              </w:rPr>
              <w:t>17%</w:t>
            </w:r>
          </w:p>
        </w:tc>
        <w:tc>
          <w:tcPr>
            <w:tcW w:w="603" w:type="dxa"/>
            <w:tcBorders>
              <w:top w:val="nil"/>
            </w:tcBorders>
            <w:shd w:val="pct25" w:color="000000" w:fill="FFFFFF"/>
          </w:tcPr>
          <w:p w:rsidR="00000000" w:rsidRDefault="00000000">
            <w:pPr>
              <w:pStyle w:val="Footer"/>
              <w:tabs>
                <w:tab w:val="left" w:pos="2340"/>
              </w:tabs>
              <w:spacing w:before="120" w:after="120" w:line="360" w:lineRule="auto"/>
              <w:jc w:val="both"/>
              <w:rPr>
                <w:rFonts w:ascii="Arial" w:hAnsi="Arial"/>
                <w:b w:val="0"/>
                <w:noProof w:val="0"/>
                <w:lang w:val="es-ES"/>
              </w:rPr>
            </w:pPr>
            <w:r>
              <w:rPr>
                <w:rFonts w:ascii="Arial" w:hAnsi="Arial"/>
                <w:b w:val="0"/>
                <w:noProof w:val="0"/>
                <w:lang w:val="es-ES"/>
              </w:rPr>
              <w:t>18%</w:t>
            </w:r>
          </w:p>
        </w:tc>
        <w:tc>
          <w:tcPr>
            <w:tcW w:w="597" w:type="dxa"/>
            <w:tcBorders>
              <w:top w:val="nil"/>
            </w:tcBorders>
            <w:shd w:val="pct25" w:color="FFFF00" w:fill="FFFFFF"/>
          </w:tcPr>
          <w:p w:rsidR="00000000" w:rsidRDefault="00000000">
            <w:pPr>
              <w:pStyle w:val="Footer"/>
              <w:tabs>
                <w:tab w:val="left" w:pos="2340"/>
              </w:tabs>
              <w:spacing w:before="120" w:after="120" w:line="360" w:lineRule="auto"/>
              <w:jc w:val="both"/>
              <w:rPr>
                <w:rFonts w:ascii="Arial" w:hAnsi="Arial"/>
                <w:b w:val="0"/>
                <w:noProof w:val="0"/>
                <w:lang w:val="es-ES"/>
              </w:rPr>
            </w:pPr>
            <w:r>
              <w:rPr>
                <w:rFonts w:ascii="Arial" w:hAnsi="Arial"/>
                <w:b w:val="0"/>
                <w:noProof w:val="0"/>
                <w:lang w:val="es-ES"/>
              </w:rPr>
              <w:t>19%</w:t>
            </w:r>
          </w:p>
        </w:tc>
        <w:tc>
          <w:tcPr>
            <w:tcW w:w="603" w:type="dxa"/>
            <w:tcBorders>
              <w:top w:val="nil"/>
            </w:tcBorders>
            <w:shd w:val="pct25" w:color="000000" w:fill="FFFFFF"/>
          </w:tcPr>
          <w:p w:rsidR="00000000" w:rsidRDefault="00000000">
            <w:pPr>
              <w:pStyle w:val="Footer"/>
              <w:tabs>
                <w:tab w:val="left" w:pos="2340"/>
              </w:tabs>
              <w:spacing w:before="120" w:after="120" w:line="360" w:lineRule="auto"/>
              <w:jc w:val="both"/>
              <w:rPr>
                <w:rFonts w:ascii="Arial" w:hAnsi="Arial"/>
                <w:b w:val="0"/>
                <w:noProof w:val="0"/>
                <w:lang w:val="es-ES"/>
              </w:rPr>
            </w:pPr>
            <w:r>
              <w:rPr>
                <w:rFonts w:ascii="Arial" w:hAnsi="Arial"/>
                <w:b w:val="0"/>
                <w:noProof w:val="0"/>
                <w:lang w:val="es-ES"/>
              </w:rPr>
              <w:t>22%</w:t>
            </w:r>
          </w:p>
        </w:tc>
        <w:tc>
          <w:tcPr>
            <w:tcW w:w="629" w:type="dxa"/>
            <w:tcBorders>
              <w:top w:val="nil"/>
            </w:tcBorders>
            <w:shd w:val="pct25" w:color="FFFF00" w:fill="FFFFFF"/>
          </w:tcPr>
          <w:p w:rsidR="00000000" w:rsidRDefault="00000000">
            <w:pPr>
              <w:pStyle w:val="Footer"/>
              <w:tabs>
                <w:tab w:val="left" w:pos="2340"/>
              </w:tabs>
              <w:spacing w:before="120" w:after="120" w:line="360" w:lineRule="auto"/>
              <w:jc w:val="both"/>
              <w:rPr>
                <w:rFonts w:ascii="Arial" w:hAnsi="Arial"/>
                <w:b w:val="0"/>
                <w:noProof w:val="0"/>
                <w:lang w:val="es-ES"/>
              </w:rPr>
            </w:pPr>
            <w:r>
              <w:rPr>
                <w:rFonts w:ascii="Arial" w:hAnsi="Arial"/>
                <w:b w:val="0"/>
                <w:noProof w:val="0"/>
                <w:lang w:val="es-ES"/>
              </w:rPr>
              <w:t>21%</w:t>
            </w:r>
          </w:p>
        </w:tc>
        <w:tc>
          <w:tcPr>
            <w:tcW w:w="603" w:type="dxa"/>
            <w:tcBorders>
              <w:top w:val="nil"/>
            </w:tcBorders>
            <w:shd w:val="pct25" w:color="000000" w:fill="FFFFFF"/>
          </w:tcPr>
          <w:p w:rsidR="00000000" w:rsidRDefault="00000000">
            <w:pPr>
              <w:pStyle w:val="Footer"/>
              <w:tabs>
                <w:tab w:val="left" w:pos="2340"/>
              </w:tabs>
              <w:spacing w:before="120" w:after="120" w:line="360" w:lineRule="auto"/>
              <w:jc w:val="both"/>
              <w:rPr>
                <w:rFonts w:ascii="Arial" w:hAnsi="Arial"/>
                <w:b w:val="0"/>
                <w:noProof w:val="0"/>
                <w:lang w:val="es-ES"/>
              </w:rPr>
            </w:pPr>
            <w:r>
              <w:rPr>
                <w:rFonts w:ascii="Arial" w:hAnsi="Arial"/>
                <w:b w:val="0"/>
                <w:noProof w:val="0"/>
                <w:lang w:val="es-ES"/>
              </w:rPr>
              <w:t>25%</w:t>
            </w:r>
          </w:p>
        </w:tc>
      </w:tr>
      <w:tr w:rsidR="00000000">
        <w:tblPrEx>
          <w:tblCellMar>
            <w:top w:w="0" w:type="dxa"/>
            <w:bottom w:w="0" w:type="dxa"/>
          </w:tblCellMar>
        </w:tblPrEx>
        <w:tc>
          <w:tcPr>
            <w:tcW w:w="1977" w:type="dxa"/>
            <w:shd w:val="pct25" w:color="000000" w:fill="FFFFFF"/>
          </w:tcPr>
          <w:p w:rsidR="00000000" w:rsidRDefault="00000000">
            <w:pPr>
              <w:pStyle w:val="Footer"/>
              <w:tabs>
                <w:tab w:val="left" w:pos="2340"/>
              </w:tabs>
              <w:suppressAutoHyphens/>
              <w:spacing w:before="120" w:after="120" w:line="360" w:lineRule="auto"/>
              <w:rPr>
                <w:rFonts w:ascii="Arial" w:hAnsi="Arial"/>
                <w:noProof w:val="0"/>
                <w:lang w:val="es-ES"/>
              </w:rPr>
            </w:pPr>
            <w:r>
              <w:rPr>
                <w:rFonts w:ascii="Arial" w:hAnsi="Arial"/>
                <w:noProof w:val="0"/>
                <w:lang w:val="es-ES"/>
              </w:rPr>
              <w:t>Comercial Y icios</w:t>
            </w:r>
            <w:r>
              <w:rPr>
                <w:rFonts w:ascii="Arial" w:hAnsi="Arial"/>
                <w:b w:val="0"/>
                <w:noProof w:val="0"/>
                <w:lang w:val="es-ES"/>
              </w:rPr>
              <w:t>%</w:t>
            </w:r>
          </w:p>
        </w:tc>
        <w:tc>
          <w:tcPr>
            <w:tcW w:w="603" w:type="dxa"/>
            <w:shd w:val="pct25" w:color="FFFF00" w:fill="FFFFFF"/>
          </w:tcPr>
          <w:p w:rsidR="00000000" w:rsidRDefault="00000000">
            <w:pPr>
              <w:pStyle w:val="Footer"/>
              <w:tabs>
                <w:tab w:val="left" w:pos="2340"/>
              </w:tabs>
              <w:spacing w:before="120" w:after="120" w:line="360" w:lineRule="auto"/>
              <w:jc w:val="both"/>
              <w:rPr>
                <w:rFonts w:ascii="Arial" w:hAnsi="Arial"/>
                <w:b w:val="0"/>
                <w:noProof w:val="0"/>
                <w:lang w:val="es-ES"/>
              </w:rPr>
            </w:pPr>
            <w:r>
              <w:rPr>
                <w:rFonts w:ascii="Arial" w:hAnsi="Arial"/>
                <w:b w:val="0"/>
                <w:noProof w:val="0"/>
                <w:lang w:val="es-ES"/>
              </w:rPr>
              <w:t>73%</w:t>
            </w:r>
          </w:p>
        </w:tc>
        <w:tc>
          <w:tcPr>
            <w:tcW w:w="603" w:type="dxa"/>
            <w:shd w:val="pct25" w:color="000000" w:fill="FFFFFF"/>
          </w:tcPr>
          <w:p w:rsidR="00000000" w:rsidRDefault="00000000">
            <w:pPr>
              <w:pStyle w:val="Footer"/>
              <w:tabs>
                <w:tab w:val="left" w:pos="2340"/>
              </w:tabs>
              <w:spacing w:before="120" w:after="120" w:line="360" w:lineRule="auto"/>
              <w:jc w:val="both"/>
              <w:rPr>
                <w:rFonts w:ascii="Arial" w:hAnsi="Arial"/>
                <w:b w:val="0"/>
                <w:noProof w:val="0"/>
                <w:lang w:val="es-ES"/>
              </w:rPr>
            </w:pPr>
            <w:r>
              <w:rPr>
                <w:rFonts w:ascii="Arial" w:hAnsi="Arial"/>
                <w:b w:val="0"/>
                <w:noProof w:val="0"/>
                <w:lang w:val="es-ES"/>
              </w:rPr>
              <w:t>72%</w:t>
            </w:r>
          </w:p>
        </w:tc>
        <w:tc>
          <w:tcPr>
            <w:tcW w:w="597" w:type="dxa"/>
            <w:shd w:val="pct25" w:color="FFFF00" w:fill="FFFFFF"/>
          </w:tcPr>
          <w:p w:rsidR="00000000" w:rsidRDefault="00000000">
            <w:pPr>
              <w:pStyle w:val="Footer"/>
              <w:tabs>
                <w:tab w:val="left" w:pos="2340"/>
              </w:tabs>
              <w:spacing w:before="120" w:after="120" w:line="360" w:lineRule="auto"/>
              <w:jc w:val="both"/>
              <w:rPr>
                <w:rFonts w:ascii="Arial" w:hAnsi="Arial"/>
                <w:b w:val="0"/>
                <w:noProof w:val="0"/>
                <w:lang w:val="es-ES"/>
              </w:rPr>
            </w:pPr>
            <w:r>
              <w:rPr>
                <w:rFonts w:ascii="Arial" w:hAnsi="Arial"/>
                <w:b w:val="0"/>
                <w:noProof w:val="0"/>
                <w:lang w:val="es-ES"/>
              </w:rPr>
              <w:t>73%</w:t>
            </w:r>
          </w:p>
        </w:tc>
        <w:tc>
          <w:tcPr>
            <w:tcW w:w="603" w:type="dxa"/>
            <w:shd w:val="pct25" w:color="000000" w:fill="FFFFFF"/>
          </w:tcPr>
          <w:p w:rsidR="00000000" w:rsidRDefault="00000000">
            <w:pPr>
              <w:pStyle w:val="Footer"/>
              <w:tabs>
                <w:tab w:val="left" w:pos="2340"/>
              </w:tabs>
              <w:spacing w:before="120" w:after="120" w:line="360" w:lineRule="auto"/>
              <w:jc w:val="both"/>
              <w:rPr>
                <w:rFonts w:ascii="Arial" w:hAnsi="Arial"/>
                <w:b w:val="0"/>
                <w:noProof w:val="0"/>
                <w:lang w:val="es-ES"/>
              </w:rPr>
            </w:pPr>
            <w:r>
              <w:rPr>
                <w:rFonts w:ascii="Arial" w:hAnsi="Arial"/>
                <w:b w:val="0"/>
                <w:noProof w:val="0"/>
                <w:lang w:val="es-ES"/>
              </w:rPr>
              <w:t>73%</w:t>
            </w:r>
          </w:p>
        </w:tc>
        <w:tc>
          <w:tcPr>
            <w:tcW w:w="629" w:type="dxa"/>
            <w:shd w:val="pct25" w:color="FFFF00" w:fill="FFFFFF"/>
          </w:tcPr>
          <w:p w:rsidR="00000000" w:rsidRDefault="00000000">
            <w:pPr>
              <w:pStyle w:val="Footer"/>
              <w:tabs>
                <w:tab w:val="left" w:pos="2340"/>
              </w:tabs>
              <w:spacing w:before="120" w:after="120" w:line="360" w:lineRule="auto"/>
              <w:jc w:val="both"/>
              <w:rPr>
                <w:rFonts w:ascii="Arial" w:hAnsi="Arial"/>
                <w:b w:val="0"/>
                <w:noProof w:val="0"/>
                <w:lang w:val="es-ES"/>
              </w:rPr>
            </w:pPr>
            <w:r>
              <w:rPr>
                <w:rFonts w:ascii="Arial" w:hAnsi="Arial"/>
                <w:b w:val="0"/>
                <w:noProof w:val="0"/>
                <w:lang w:val="es-ES"/>
              </w:rPr>
              <w:t>73%</w:t>
            </w:r>
          </w:p>
        </w:tc>
        <w:tc>
          <w:tcPr>
            <w:tcW w:w="603" w:type="dxa"/>
            <w:shd w:val="pct25" w:color="000000" w:fill="FFFFFF"/>
          </w:tcPr>
          <w:p w:rsidR="00000000" w:rsidRDefault="00000000">
            <w:pPr>
              <w:pStyle w:val="Footer"/>
              <w:tabs>
                <w:tab w:val="left" w:pos="2340"/>
              </w:tabs>
              <w:spacing w:before="120" w:after="120" w:line="360" w:lineRule="auto"/>
              <w:jc w:val="both"/>
              <w:rPr>
                <w:rFonts w:ascii="Arial" w:hAnsi="Arial"/>
                <w:b w:val="0"/>
                <w:noProof w:val="0"/>
                <w:lang w:val="es-ES"/>
              </w:rPr>
            </w:pPr>
            <w:r>
              <w:rPr>
                <w:rFonts w:ascii="Arial" w:hAnsi="Arial"/>
                <w:b w:val="0"/>
                <w:noProof w:val="0"/>
                <w:lang w:val="es-ES"/>
              </w:rPr>
              <w:t>-</w:t>
            </w:r>
          </w:p>
        </w:tc>
      </w:tr>
      <w:tr w:rsidR="00000000">
        <w:tblPrEx>
          <w:tblCellMar>
            <w:top w:w="0" w:type="dxa"/>
            <w:bottom w:w="0" w:type="dxa"/>
          </w:tblCellMar>
        </w:tblPrEx>
        <w:tc>
          <w:tcPr>
            <w:tcW w:w="1977" w:type="dxa"/>
            <w:shd w:val="pct25" w:color="000000" w:fill="FFFFFF"/>
          </w:tcPr>
          <w:p w:rsidR="00000000" w:rsidRDefault="00000000">
            <w:pPr>
              <w:pStyle w:val="Footer"/>
              <w:tabs>
                <w:tab w:val="left" w:pos="2340"/>
              </w:tabs>
              <w:suppressAutoHyphens/>
              <w:spacing w:before="120" w:after="120" w:line="360" w:lineRule="auto"/>
              <w:rPr>
                <w:rFonts w:ascii="Arial" w:hAnsi="Arial"/>
                <w:noProof w:val="0"/>
                <w:lang w:val="es-ES"/>
              </w:rPr>
            </w:pPr>
            <w:r>
              <w:rPr>
                <w:rFonts w:ascii="Arial" w:hAnsi="Arial"/>
                <w:noProof w:val="0"/>
                <w:lang w:val="es-ES"/>
              </w:rPr>
              <w:t>Agrícola Serv</w:t>
            </w:r>
          </w:p>
        </w:tc>
        <w:tc>
          <w:tcPr>
            <w:tcW w:w="603" w:type="dxa"/>
            <w:shd w:val="pct25" w:color="FFFF00" w:fill="FFFFFF"/>
          </w:tcPr>
          <w:p w:rsidR="00000000" w:rsidRDefault="00000000">
            <w:pPr>
              <w:pStyle w:val="Footer"/>
              <w:tabs>
                <w:tab w:val="left" w:pos="2340"/>
              </w:tabs>
              <w:spacing w:before="120" w:after="120" w:line="360" w:lineRule="auto"/>
              <w:jc w:val="both"/>
              <w:rPr>
                <w:rFonts w:ascii="Arial" w:hAnsi="Arial"/>
                <w:b w:val="0"/>
                <w:noProof w:val="0"/>
                <w:lang w:val="es-ES"/>
              </w:rPr>
            </w:pPr>
            <w:r>
              <w:rPr>
                <w:rFonts w:ascii="Arial" w:hAnsi="Arial"/>
                <w:b w:val="0"/>
                <w:noProof w:val="0"/>
                <w:lang w:val="es-ES"/>
              </w:rPr>
              <w:t>43</w:t>
            </w:r>
          </w:p>
        </w:tc>
        <w:tc>
          <w:tcPr>
            <w:tcW w:w="603" w:type="dxa"/>
            <w:shd w:val="pct25" w:color="000000" w:fill="FFFFFF"/>
          </w:tcPr>
          <w:p w:rsidR="00000000" w:rsidRDefault="00000000">
            <w:pPr>
              <w:pStyle w:val="Footer"/>
              <w:tabs>
                <w:tab w:val="left" w:pos="2340"/>
              </w:tabs>
              <w:spacing w:before="120" w:after="120" w:line="360" w:lineRule="auto"/>
              <w:jc w:val="both"/>
              <w:rPr>
                <w:rFonts w:ascii="Arial" w:hAnsi="Arial"/>
                <w:b w:val="0"/>
                <w:noProof w:val="0"/>
                <w:lang w:val="es-ES"/>
              </w:rPr>
            </w:pPr>
            <w:r>
              <w:rPr>
                <w:rFonts w:ascii="Arial" w:hAnsi="Arial"/>
                <w:b w:val="0"/>
                <w:noProof w:val="0"/>
                <w:lang w:val="es-ES"/>
              </w:rPr>
              <w:t>35%</w:t>
            </w:r>
          </w:p>
        </w:tc>
        <w:tc>
          <w:tcPr>
            <w:tcW w:w="597" w:type="dxa"/>
            <w:shd w:val="pct25" w:color="FFFF00" w:fill="FFFFFF"/>
          </w:tcPr>
          <w:p w:rsidR="00000000" w:rsidRDefault="00000000">
            <w:pPr>
              <w:pStyle w:val="Footer"/>
              <w:tabs>
                <w:tab w:val="left" w:pos="2340"/>
              </w:tabs>
              <w:spacing w:before="120" w:after="120" w:line="360" w:lineRule="auto"/>
              <w:jc w:val="both"/>
              <w:rPr>
                <w:rFonts w:ascii="Arial" w:hAnsi="Arial"/>
                <w:b w:val="0"/>
                <w:noProof w:val="0"/>
                <w:lang w:val="es-ES"/>
              </w:rPr>
            </w:pPr>
            <w:r>
              <w:rPr>
                <w:rFonts w:ascii="Arial" w:hAnsi="Arial"/>
                <w:b w:val="0"/>
                <w:noProof w:val="0"/>
                <w:lang w:val="es-ES"/>
              </w:rPr>
              <w:t>39%</w:t>
            </w:r>
          </w:p>
        </w:tc>
        <w:tc>
          <w:tcPr>
            <w:tcW w:w="603" w:type="dxa"/>
            <w:shd w:val="pct25" w:color="000000" w:fill="FFFFFF"/>
          </w:tcPr>
          <w:p w:rsidR="00000000" w:rsidRDefault="00000000">
            <w:pPr>
              <w:pStyle w:val="Footer"/>
              <w:tabs>
                <w:tab w:val="left" w:pos="2340"/>
              </w:tabs>
              <w:spacing w:before="120" w:after="120" w:line="360" w:lineRule="auto"/>
              <w:jc w:val="both"/>
              <w:rPr>
                <w:rFonts w:ascii="Arial" w:hAnsi="Arial"/>
                <w:b w:val="0"/>
                <w:noProof w:val="0"/>
                <w:lang w:val="es-ES"/>
              </w:rPr>
            </w:pPr>
            <w:r>
              <w:rPr>
                <w:rFonts w:ascii="Arial" w:hAnsi="Arial"/>
                <w:b w:val="0"/>
                <w:noProof w:val="0"/>
                <w:lang w:val="es-ES"/>
              </w:rPr>
              <w:t>39%</w:t>
            </w:r>
          </w:p>
        </w:tc>
        <w:tc>
          <w:tcPr>
            <w:tcW w:w="629" w:type="dxa"/>
            <w:shd w:val="pct25" w:color="FFFF00" w:fill="FFFFFF"/>
          </w:tcPr>
          <w:p w:rsidR="00000000" w:rsidRDefault="00000000">
            <w:pPr>
              <w:pStyle w:val="Footer"/>
              <w:tabs>
                <w:tab w:val="left" w:pos="2340"/>
              </w:tabs>
              <w:spacing w:before="120" w:after="120" w:line="360" w:lineRule="auto"/>
              <w:jc w:val="both"/>
              <w:rPr>
                <w:rFonts w:ascii="Arial" w:hAnsi="Arial"/>
                <w:b w:val="0"/>
                <w:noProof w:val="0"/>
                <w:lang w:val="es-ES"/>
              </w:rPr>
            </w:pPr>
            <w:r>
              <w:rPr>
                <w:rFonts w:ascii="Arial" w:hAnsi="Arial"/>
                <w:b w:val="0"/>
                <w:noProof w:val="0"/>
                <w:lang w:val="es-ES"/>
              </w:rPr>
              <w:t>44%</w:t>
            </w:r>
          </w:p>
        </w:tc>
        <w:tc>
          <w:tcPr>
            <w:tcW w:w="603" w:type="dxa"/>
            <w:shd w:val="pct25" w:color="000000" w:fill="FFFFFF"/>
          </w:tcPr>
          <w:p w:rsidR="00000000" w:rsidRDefault="00000000">
            <w:pPr>
              <w:pStyle w:val="Footer"/>
              <w:tabs>
                <w:tab w:val="left" w:pos="2340"/>
              </w:tabs>
              <w:spacing w:before="120" w:after="120" w:line="360" w:lineRule="auto"/>
              <w:jc w:val="both"/>
              <w:rPr>
                <w:rFonts w:ascii="Arial" w:hAnsi="Arial"/>
                <w:b w:val="0"/>
                <w:noProof w:val="0"/>
                <w:lang w:val="es-ES"/>
              </w:rPr>
            </w:pPr>
            <w:r>
              <w:rPr>
                <w:rFonts w:ascii="Arial" w:hAnsi="Arial"/>
                <w:b w:val="0"/>
                <w:noProof w:val="0"/>
                <w:lang w:val="es-ES"/>
              </w:rPr>
              <w:t>-</w:t>
            </w:r>
          </w:p>
        </w:tc>
      </w:tr>
      <w:tr w:rsidR="00000000">
        <w:tblPrEx>
          <w:tblCellMar>
            <w:top w:w="0" w:type="dxa"/>
            <w:bottom w:w="0" w:type="dxa"/>
          </w:tblCellMar>
        </w:tblPrEx>
        <w:tc>
          <w:tcPr>
            <w:tcW w:w="1977" w:type="dxa"/>
            <w:shd w:val="pct25" w:color="000000" w:fill="FFFFFF"/>
          </w:tcPr>
          <w:p w:rsidR="00000000" w:rsidRDefault="00000000">
            <w:pPr>
              <w:pStyle w:val="Footer"/>
              <w:tabs>
                <w:tab w:val="left" w:pos="2340"/>
              </w:tabs>
              <w:suppressAutoHyphens/>
              <w:spacing w:before="120" w:after="120" w:line="360" w:lineRule="auto"/>
              <w:rPr>
                <w:rFonts w:ascii="Arial" w:hAnsi="Arial"/>
                <w:noProof w:val="0"/>
                <w:lang w:val="es-ES"/>
              </w:rPr>
            </w:pPr>
            <w:r>
              <w:rPr>
                <w:rFonts w:ascii="Arial" w:hAnsi="Arial"/>
                <w:noProof w:val="0"/>
                <w:lang w:val="es-ES"/>
              </w:rPr>
              <w:t>Formación Seguros</w:t>
            </w:r>
          </w:p>
        </w:tc>
        <w:tc>
          <w:tcPr>
            <w:tcW w:w="603" w:type="dxa"/>
            <w:shd w:val="pct25" w:color="FFFF00" w:fill="FFFFFF"/>
          </w:tcPr>
          <w:p w:rsidR="00000000" w:rsidRDefault="00000000">
            <w:pPr>
              <w:pStyle w:val="Footer"/>
              <w:tabs>
                <w:tab w:val="left" w:pos="2340"/>
              </w:tabs>
              <w:spacing w:before="120" w:after="120" w:line="360" w:lineRule="auto"/>
              <w:jc w:val="both"/>
              <w:rPr>
                <w:rFonts w:ascii="Arial" w:hAnsi="Arial"/>
                <w:b w:val="0"/>
                <w:noProof w:val="0"/>
                <w:lang w:val="es-ES"/>
              </w:rPr>
            </w:pPr>
            <w:r>
              <w:rPr>
                <w:rFonts w:ascii="Arial" w:hAnsi="Arial"/>
                <w:b w:val="0"/>
                <w:noProof w:val="0"/>
                <w:lang w:val="es-ES"/>
              </w:rPr>
              <w:t>67%</w:t>
            </w:r>
          </w:p>
        </w:tc>
        <w:tc>
          <w:tcPr>
            <w:tcW w:w="603" w:type="dxa"/>
            <w:shd w:val="pct25" w:color="000000" w:fill="FFFFFF"/>
          </w:tcPr>
          <w:p w:rsidR="00000000" w:rsidRDefault="00000000">
            <w:pPr>
              <w:pStyle w:val="Footer"/>
              <w:tabs>
                <w:tab w:val="left" w:pos="2340"/>
              </w:tabs>
              <w:spacing w:before="120" w:after="120" w:line="360" w:lineRule="auto"/>
              <w:jc w:val="both"/>
              <w:rPr>
                <w:rFonts w:ascii="Arial" w:hAnsi="Arial"/>
                <w:b w:val="0"/>
                <w:noProof w:val="0"/>
                <w:lang w:val="es-ES"/>
              </w:rPr>
            </w:pPr>
            <w:r>
              <w:rPr>
                <w:rFonts w:ascii="Arial" w:hAnsi="Arial"/>
                <w:b w:val="0"/>
                <w:noProof w:val="0"/>
                <w:lang w:val="es-ES"/>
              </w:rPr>
              <w:t>64%</w:t>
            </w:r>
          </w:p>
        </w:tc>
        <w:tc>
          <w:tcPr>
            <w:tcW w:w="597" w:type="dxa"/>
            <w:shd w:val="pct25" w:color="FFFF00" w:fill="FFFFFF"/>
          </w:tcPr>
          <w:p w:rsidR="00000000" w:rsidRDefault="00000000">
            <w:pPr>
              <w:pStyle w:val="Footer"/>
              <w:tabs>
                <w:tab w:val="left" w:pos="2340"/>
              </w:tabs>
              <w:spacing w:before="120" w:after="120" w:line="360" w:lineRule="auto"/>
              <w:jc w:val="both"/>
              <w:rPr>
                <w:rFonts w:ascii="Arial" w:hAnsi="Arial"/>
                <w:b w:val="0"/>
                <w:noProof w:val="0"/>
                <w:lang w:val="es-ES"/>
              </w:rPr>
            </w:pPr>
            <w:r>
              <w:rPr>
                <w:rFonts w:ascii="Arial" w:hAnsi="Arial"/>
                <w:b w:val="0"/>
                <w:noProof w:val="0"/>
                <w:lang w:val="es-ES"/>
              </w:rPr>
              <w:t>64%</w:t>
            </w:r>
          </w:p>
        </w:tc>
        <w:tc>
          <w:tcPr>
            <w:tcW w:w="603" w:type="dxa"/>
            <w:shd w:val="pct25" w:color="000000" w:fill="FFFFFF"/>
          </w:tcPr>
          <w:p w:rsidR="00000000" w:rsidRDefault="00000000">
            <w:pPr>
              <w:pStyle w:val="Footer"/>
              <w:tabs>
                <w:tab w:val="left" w:pos="2340"/>
              </w:tabs>
              <w:spacing w:before="120" w:after="120" w:line="360" w:lineRule="auto"/>
              <w:jc w:val="both"/>
              <w:rPr>
                <w:rFonts w:ascii="Arial" w:hAnsi="Arial"/>
                <w:b w:val="0"/>
                <w:noProof w:val="0"/>
                <w:lang w:val="es-ES"/>
              </w:rPr>
            </w:pPr>
            <w:r>
              <w:rPr>
                <w:rFonts w:ascii="Arial" w:hAnsi="Arial"/>
                <w:b w:val="0"/>
                <w:noProof w:val="0"/>
                <w:lang w:val="es-ES"/>
              </w:rPr>
              <w:t>63%</w:t>
            </w:r>
          </w:p>
        </w:tc>
        <w:tc>
          <w:tcPr>
            <w:tcW w:w="629" w:type="dxa"/>
            <w:shd w:val="pct25" w:color="FFFF00" w:fill="FFFFFF"/>
          </w:tcPr>
          <w:p w:rsidR="00000000" w:rsidRDefault="00000000">
            <w:pPr>
              <w:pStyle w:val="Footer"/>
              <w:tabs>
                <w:tab w:val="left" w:pos="2340"/>
              </w:tabs>
              <w:spacing w:before="120" w:after="120" w:line="360" w:lineRule="auto"/>
              <w:jc w:val="both"/>
              <w:rPr>
                <w:rFonts w:ascii="Arial" w:hAnsi="Arial"/>
                <w:b w:val="0"/>
                <w:noProof w:val="0"/>
                <w:lang w:val="es-ES"/>
              </w:rPr>
            </w:pPr>
            <w:r>
              <w:rPr>
                <w:rFonts w:ascii="Arial" w:hAnsi="Arial"/>
                <w:b w:val="0"/>
                <w:noProof w:val="0"/>
                <w:lang w:val="es-ES"/>
              </w:rPr>
              <w:t>66%</w:t>
            </w:r>
          </w:p>
        </w:tc>
        <w:tc>
          <w:tcPr>
            <w:tcW w:w="603" w:type="dxa"/>
            <w:shd w:val="pct25" w:color="000000" w:fill="FFFFFF"/>
          </w:tcPr>
          <w:p w:rsidR="00000000" w:rsidRDefault="00000000">
            <w:pPr>
              <w:pStyle w:val="Footer"/>
              <w:tabs>
                <w:tab w:val="left" w:pos="2340"/>
              </w:tabs>
              <w:spacing w:before="120" w:after="120" w:line="360" w:lineRule="auto"/>
              <w:jc w:val="both"/>
              <w:rPr>
                <w:rFonts w:ascii="Arial" w:hAnsi="Arial"/>
                <w:b w:val="0"/>
                <w:noProof w:val="0"/>
                <w:lang w:val="es-ES"/>
              </w:rPr>
            </w:pPr>
            <w:r>
              <w:rPr>
                <w:rFonts w:ascii="Arial" w:hAnsi="Arial"/>
                <w:b w:val="0"/>
                <w:noProof w:val="0"/>
                <w:lang w:val="es-ES"/>
              </w:rPr>
              <w:t>67%</w:t>
            </w:r>
          </w:p>
        </w:tc>
      </w:tr>
      <w:tr w:rsidR="00000000">
        <w:tblPrEx>
          <w:tblCellMar>
            <w:top w:w="0" w:type="dxa"/>
            <w:bottom w:w="0" w:type="dxa"/>
          </w:tblCellMar>
        </w:tblPrEx>
        <w:tc>
          <w:tcPr>
            <w:tcW w:w="1977" w:type="dxa"/>
            <w:shd w:val="pct25" w:color="000000" w:fill="FFFFFF"/>
          </w:tcPr>
          <w:p w:rsidR="00000000" w:rsidRDefault="00000000">
            <w:pPr>
              <w:pStyle w:val="Footer"/>
              <w:tabs>
                <w:tab w:val="left" w:pos="2340"/>
              </w:tabs>
              <w:suppressAutoHyphens/>
              <w:spacing w:before="120" w:after="120" w:line="360" w:lineRule="auto"/>
              <w:rPr>
                <w:rFonts w:ascii="Arial" w:hAnsi="Arial"/>
                <w:noProof w:val="0"/>
                <w:lang w:val="es-ES"/>
              </w:rPr>
            </w:pPr>
            <w:r>
              <w:rPr>
                <w:rFonts w:ascii="Arial" w:hAnsi="Arial"/>
                <w:noProof w:val="0"/>
                <w:lang w:val="es-ES"/>
              </w:rPr>
              <w:t>Formación Salud</w:t>
            </w:r>
          </w:p>
        </w:tc>
        <w:tc>
          <w:tcPr>
            <w:tcW w:w="603" w:type="dxa"/>
            <w:shd w:val="pct25" w:color="FFFF00" w:fill="FFFFFF"/>
          </w:tcPr>
          <w:p w:rsidR="00000000" w:rsidRDefault="00000000">
            <w:pPr>
              <w:pStyle w:val="Footer"/>
              <w:tabs>
                <w:tab w:val="left" w:pos="2340"/>
              </w:tabs>
              <w:spacing w:before="120" w:after="120" w:line="360" w:lineRule="auto"/>
              <w:jc w:val="both"/>
              <w:rPr>
                <w:rFonts w:ascii="Arial" w:hAnsi="Arial"/>
                <w:b w:val="0"/>
                <w:noProof w:val="0"/>
                <w:lang w:val="es-ES"/>
              </w:rPr>
            </w:pPr>
            <w:r>
              <w:rPr>
                <w:rFonts w:ascii="Arial" w:hAnsi="Arial"/>
                <w:b w:val="0"/>
                <w:noProof w:val="0"/>
                <w:lang w:val="es-ES"/>
              </w:rPr>
              <w:t>77%</w:t>
            </w:r>
          </w:p>
        </w:tc>
        <w:tc>
          <w:tcPr>
            <w:tcW w:w="603" w:type="dxa"/>
            <w:shd w:val="pct25" w:color="000000" w:fill="FFFFFF"/>
          </w:tcPr>
          <w:p w:rsidR="00000000" w:rsidRDefault="00000000">
            <w:pPr>
              <w:pStyle w:val="Footer"/>
              <w:tabs>
                <w:tab w:val="left" w:pos="2340"/>
              </w:tabs>
              <w:spacing w:before="120" w:after="120" w:line="360" w:lineRule="auto"/>
              <w:jc w:val="both"/>
              <w:rPr>
                <w:rFonts w:ascii="Arial" w:hAnsi="Arial"/>
                <w:b w:val="0"/>
                <w:noProof w:val="0"/>
                <w:lang w:val="es-ES"/>
              </w:rPr>
            </w:pPr>
            <w:r>
              <w:rPr>
                <w:rFonts w:ascii="Arial" w:hAnsi="Arial"/>
                <w:b w:val="0"/>
                <w:noProof w:val="0"/>
                <w:lang w:val="es-ES"/>
              </w:rPr>
              <w:t>81%</w:t>
            </w:r>
          </w:p>
        </w:tc>
        <w:tc>
          <w:tcPr>
            <w:tcW w:w="597" w:type="dxa"/>
            <w:shd w:val="pct25" w:color="FFFF00" w:fill="FFFFFF"/>
          </w:tcPr>
          <w:p w:rsidR="00000000" w:rsidRDefault="00000000">
            <w:pPr>
              <w:pStyle w:val="Footer"/>
              <w:tabs>
                <w:tab w:val="left" w:pos="2340"/>
              </w:tabs>
              <w:spacing w:before="120" w:after="120" w:line="360" w:lineRule="auto"/>
              <w:jc w:val="both"/>
              <w:rPr>
                <w:rFonts w:ascii="Arial" w:hAnsi="Arial"/>
                <w:b w:val="0"/>
                <w:noProof w:val="0"/>
                <w:lang w:val="es-ES"/>
              </w:rPr>
            </w:pPr>
            <w:r>
              <w:rPr>
                <w:rFonts w:ascii="Arial" w:hAnsi="Arial"/>
                <w:b w:val="0"/>
                <w:noProof w:val="0"/>
                <w:lang w:val="es-ES"/>
              </w:rPr>
              <w:t>71%</w:t>
            </w:r>
          </w:p>
        </w:tc>
        <w:tc>
          <w:tcPr>
            <w:tcW w:w="603" w:type="dxa"/>
            <w:shd w:val="pct25" w:color="000000" w:fill="FFFFFF"/>
          </w:tcPr>
          <w:p w:rsidR="00000000" w:rsidRDefault="00000000">
            <w:pPr>
              <w:pStyle w:val="Footer"/>
              <w:tabs>
                <w:tab w:val="left" w:pos="2340"/>
              </w:tabs>
              <w:spacing w:before="120" w:after="120" w:line="360" w:lineRule="auto"/>
              <w:jc w:val="both"/>
              <w:rPr>
                <w:rFonts w:ascii="Arial" w:hAnsi="Arial"/>
                <w:b w:val="0"/>
                <w:noProof w:val="0"/>
                <w:lang w:val="es-ES"/>
              </w:rPr>
            </w:pPr>
            <w:r>
              <w:rPr>
                <w:rFonts w:ascii="Arial" w:hAnsi="Arial"/>
                <w:b w:val="0"/>
                <w:noProof w:val="0"/>
                <w:lang w:val="es-ES"/>
              </w:rPr>
              <w:t>72%</w:t>
            </w:r>
          </w:p>
        </w:tc>
        <w:tc>
          <w:tcPr>
            <w:tcW w:w="629" w:type="dxa"/>
            <w:shd w:val="pct25" w:color="FFFF00" w:fill="FFFFFF"/>
          </w:tcPr>
          <w:p w:rsidR="00000000" w:rsidRDefault="00000000">
            <w:pPr>
              <w:pStyle w:val="Footer"/>
              <w:tabs>
                <w:tab w:val="left" w:pos="2340"/>
              </w:tabs>
              <w:spacing w:before="120" w:after="120" w:line="360" w:lineRule="auto"/>
              <w:jc w:val="both"/>
              <w:rPr>
                <w:rFonts w:ascii="Arial" w:hAnsi="Arial"/>
                <w:b w:val="0"/>
                <w:noProof w:val="0"/>
                <w:lang w:val="es-ES"/>
              </w:rPr>
            </w:pPr>
            <w:r>
              <w:rPr>
                <w:rFonts w:ascii="Arial" w:hAnsi="Arial"/>
                <w:b w:val="0"/>
                <w:noProof w:val="0"/>
                <w:lang w:val="es-ES"/>
              </w:rPr>
              <w:t>70%</w:t>
            </w:r>
          </w:p>
        </w:tc>
        <w:tc>
          <w:tcPr>
            <w:tcW w:w="603" w:type="dxa"/>
            <w:shd w:val="pct25" w:color="000000" w:fill="FFFFFF"/>
          </w:tcPr>
          <w:p w:rsidR="00000000" w:rsidRDefault="00000000">
            <w:pPr>
              <w:pStyle w:val="Footer"/>
              <w:tabs>
                <w:tab w:val="left" w:pos="2340"/>
              </w:tabs>
              <w:spacing w:before="120" w:after="120" w:line="360" w:lineRule="auto"/>
              <w:jc w:val="both"/>
              <w:rPr>
                <w:rFonts w:ascii="Arial" w:hAnsi="Arial"/>
                <w:b w:val="0"/>
                <w:noProof w:val="0"/>
                <w:lang w:val="es-ES"/>
              </w:rPr>
            </w:pPr>
            <w:r>
              <w:rPr>
                <w:rFonts w:ascii="Arial" w:hAnsi="Arial"/>
                <w:b w:val="0"/>
                <w:noProof w:val="0"/>
                <w:lang w:val="es-ES"/>
              </w:rPr>
              <w:t>72%</w:t>
            </w:r>
          </w:p>
        </w:tc>
      </w:tr>
      <w:tr w:rsidR="00000000">
        <w:tblPrEx>
          <w:tblCellMar>
            <w:top w:w="0" w:type="dxa"/>
            <w:bottom w:w="0" w:type="dxa"/>
          </w:tblCellMar>
        </w:tblPrEx>
        <w:tc>
          <w:tcPr>
            <w:tcW w:w="1977" w:type="dxa"/>
            <w:shd w:val="pct25" w:color="000000" w:fill="FFFFFF"/>
          </w:tcPr>
          <w:p w:rsidR="00000000" w:rsidRDefault="00000000">
            <w:pPr>
              <w:pStyle w:val="Footer"/>
              <w:tabs>
                <w:tab w:val="left" w:pos="2340"/>
              </w:tabs>
              <w:suppressAutoHyphens/>
              <w:spacing w:before="120" w:after="120" w:line="360" w:lineRule="auto"/>
              <w:rPr>
                <w:rFonts w:ascii="Arial" w:hAnsi="Arial"/>
                <w:noProof w:val="0"/>
                <w:lang w:val="es-ES"/>
              </w:rPr>
            </w:pPr>
            <w:r>
              <w:rPr>
                <w:rFonts w:ascii="Arial" w:hAnsi="Arial"/>
                <w:noProof w:val="0"/>
                <w:lang w:val="es-ES"/>
              </w:rPr>
              <w:t>Formación en Empresas</w:t>
            </w:r>
          </w:p>
        </w:tc>
        <w:tc>
          <w:tcPr>
            <w:tcW w:w="603" w:type="dxa"/>
            <w:shd w:val="pct25" w:color="FFFF00" w:fill="FFFFFF"/>
          </w:tcPr>
          <w:p w:rsidR="00000000" w:rsidRDefault="00000000">
            <w:pPr>
              <w:pStyle w:val="Footer"/>
              <w:tabs>
                <w:tab w:val="left" w:pos="2340"/>
              </w:tabs>
              <w:spacing w:before="120" w:after="120" w:line="360" w:lineRule="auto"/>
              <w:jc w:val="both"/>
              <w:rPr>
                <w:rFonts w:ascii="Arial" w:hAnsi="Arial"/>
                <w:b w:val="0"/>
                <w:noProof w:val="0"/>
                <w:lang w:val="es-ES"/>
              </w:rPr>
            </w:pPr>
            <w:r>
              <w:rPr>
                <w:rFonts w:ascii="Arial" w:hAnsi="Arial"/>
                <w:b w:val="0"/>
                <w:noProof w:val="0"/>
                <w:lang w:val="es-ES"/>
              </w:rPr>
              <w:t>43%</w:t>
            </w:r>
          </w:p>
        </w:tc>
        <w:tc>
          <w:tcPr>
            <w:tcW w:w="603" w:type="dxa"/>
            <w:shd w:val="pct25" w:color="000000" w:fill="FFFFFF"/>
          </w:tcPr>
          <w:p w:rsidR="00000000" w:rsidRDefault="00000000">
            <w:pPr>
              <w:pStyle w:val="Footer"/>
              <w:tabs>
                <w:tab w:val="left" w:pos="2340"/>
              </w:tabs>
              <w:spacing w:before="120" w:after="120" w:line="360" w:lineRule="auto"/>
              <w:jc w:val="both"/>
              <w:rPr>
                <w:rFonts w:ascii="Arial" w:hAnsi="Arial"/>
                <w:b w:val="0"/>
                <w:noProof w:val="0"/>
                <w:lang w:val="es-ES"/>
              </w:rPr>
            </w:pPr>
            <w:r>
              <w:rPr>
                <w:rFonts w:ascii="Arial" w:hAnsi="Arial"/>
                <w:b w:val="0"/>
                <w:noProof w:val="0"/>
                <w:lang w:val="es-ES"/>
              </w:rPr>
              <w:t>44%</w:t>
            </w:r>
          </w:p>
        </w:tc>
        <w:tc>
          <w:tcPr>
            <w:tcW w:w="597" w:type="dxa"/>
            <w:shd w:val="pct25" w:color="FFFF00" w:fill="FFFFFF"/>
          </w:tcPr>
          <w:p w:rsidR="00000000" w:rsidRDefault="00000000">
            <w:pPr>
              <w:pStyle w:val="Footer"/>
              <w:tabs>
                <w:tab w:val="left" w:pos="2340"/>
              </w:tabs>
              <w:spacing w:before="120" w:after="120" w:line="360" w:lineRule="auto"/>
              <w:jc w:val="both"/>
              <w:rPr>
                <w:rFonts w:ascii="Arial" w:hAnsi="Arial"/>
                <w:b w:val="0"/>
                <w:noProof w:val="0"/>
                <w:lang w:val="es-ES"/>
              </w:rPr>
            </w:pPr>
            <w:r>
              <w:rPr>
                <w:rFonts w:ascii="Arial" w:hAnsi="Arial"/>
                <w:b w:val="0"/>
                <w:noProof w:val="0"/>
                <w:lang w:val="es-ES"/>
              </w:rPr>
              <w:t>45%</w:t>
            </w:r>
          </w:p>
        </w:tc>
        <w:tc>
          <w:tcPr>
            <w:tcW w:w="603" w:type="dxa"/>
            <w:shd w:val="pct25" w:color="000000" w:fill="FFFFFF"/>
          </w:tcPr>
          <w:p w:rsidR="00000000" w:rsidRDefault="00000000">
            <w:pPr>
              <w:pStyle w:val="Footer"/>
              <w:tabs>
                <w:tab w:val="left" w:pos="2340"/>
              </w:tabs>
              <w:spacing w:before="120" w:after="120" w:line="360" w:lineRule="auto"/>
              <w:jc w:val="both"/>
              <w:rPr>
                <w:rFonts w:ascii="Arial" w:hAnsi="Arial"/>
                <w:b w:val="0"/>
                <w:noProof w:val="0"/>
                <w:lang w:val="es-ES"/>
              </w:rPr>
            </w:pPr>
            <w:r>
              <w:rPr>
                <w:rFonts w:ascii="Arial" w:hAnsi="Arial"/>
                <w:b w:val="0"/>
                <w:noProof w:val="0"/>
                <w:lang w:val="es-ES"/>
              </w:rPr>
              <w:t>47%</w:t>
            </w:r>
          </w:p>
        </w:tc>
        <w:tc>
          <w:tcPr>
            <w:tcW w:w="629" w:type="dxa"/>
            <w:shd w:val="pct25" w:color="FFFF00" w:fill="FFFFFF"/>
          </w:tcPr>
          <w:p w:rsidR="00000000" w:rsidRDefault="00000000">
            <w:pPr>
              <w:pStyle w:val="Footer"/>
              <w:tabs>
                <w:tab w:val="left" w:pos="2340"/>
              </w:tabs>
              <w:spacing w:before="120" w:after="120" w:line="360" w:lineRule="auto"/>
              <w:jc w:val="both"/>
              <w:rPr>
                <w:rFonts w:ascii="Arial" w:hAnsi="Arial"/>
                <w:b w:val="0"/>
                <w:noProof w:val="0"/>
                <w:lang w:val="es-ES"/>
              </w:rPr>
            </w:pPr>
            <w:r>
              <w:rPr>
                <w:rFonts w:ascii="Arial" w:hAnsi="Arial"/>
                <w:b w:val="0"/>
                <w:noProof w:val="0"/>
                <w:lang w:val="es-ES"/>
              </w:rPr>
              <w:t>48%</w:t>
            </w:r>
          </w:p>
        </w:tc>
        <w:tc>
          <w:tcPr>
            <w:tcW w:w="603" w:type="dxa"/>
            <w:shd w:val="pct25" w:color="000000" w:fill="FFFFFF"/>
          </w:tcPr>
          <w:p w:rsidR="00000000" w:rsidRDefault="00000000">
            <w:pPr>
              <w:pStyle w:val="Footer"/>
              <w:tabs>
                <w:tab w:val="left" w:pos="2340"/>
              </w:tabs>
              <w:spacing w:before="120" w:after="120" w:line="360" w:lineRule="auto"/>
              <w:jc w:val="both"/>
              <w:rPr>
                <w:rFonts w:ascii="Arial" w:hAnsi="Arial"/>
                <w:b w:val="0"/>
                <w:noProof w:val="0"/>
                <w:lang w:val="es-ES"/>
              </w:rPr>
            </w:pPr>
            <w:r>
              <w:rPr>
                <w:rFonts w:ascii="Arial" w:hAnsi="Arial"/>
                <w:b w:val="0"/>
                <w:noProof w:val="0"/>
                <w:lang w:val="es-ES"/>
              </w:rPr>
              <w:t>49%</w:t>
            </w:r>
          </w:p>
        </w:tc>
      </w:tr>
      <w:tr w:rsidR="00000000">
        <w:tblPrEx>
          <w:tblCellMar>
            <w:top w:w="0" w:type="dxa"/>
            <w:bottom w:w="0" w:type="dxa"/>
          </w:tblCellMar>
        </w:tblPrEx>
        <w:tc>
          <w:tcPr>
            <w:tcW w:w="1977" w:type="dxa"/>
            <w:shd w:val="pct25" w:color="000000" w:fill="FFFFFF"/>
          </w:tcPr>
          <w:p w:rsidR="00000000" w:rsidRDefault="00000000">
            <w:pPr>
              <w:pStyle w:val="Footer"/>
              <w:tabs>
                <w:tab w:val="left" w:pos="2340"/>
              </w:tabs>
              <w:suppressAutoHyphens/>
              <w:spacing w:before="120" w:after="120" w:line="360" w:lineRule="auto"/>
              <w:rPr>
                <w:rFonts w:ascii="Arial" w:hAnsi="Arial"/>
                <w:noProof w:val="0"/>
                <w:lang w:val="es-ES"/>
              </w:rPr>
            </w:pPr>
            <w:r>
              <w:rPr>
                <w:rFonts w:ascii="Arial" w:hAnsi="Arial"/>
                <w:noProof w:val="0"/>
                <w:lang w:val="es-ES"/>
              </w:rPr>
              <w:t>Habilitación Ocupación</w:t>
            </w:r>
          </w:p>
        </w:tc>
        <w:tc>
          <w:tcPr>
            <w:tcW w:w="603" w:type="dxa"/>
            <w:shd w:val="pct25" w:color="FFFF00" w:fill="FFFFFF"/>
          </w:tcPr>
          <w:p w:rsidR="00000000" w:rsidRDefault="00000000">
            <w:pPr>
              <w:pStyle w:val="Footer"/>
              <w:tabs>
                <w:tab w:val="left" w:pos="2340"/>
              </w:tabs>
              <w:spacing w:before="120" w:after="120" w:line="360" w:lineRule="auto"/>
              <w:jc w:val="both"/>
              <w:rPr>
                <w:rFonts w:ascii="Arial" w:hAnsi="Arial"/>
                <w:b w:val="0"/>
                <w:noProof w:val="0"/>
                <w:lang w:val="es-ES"/>
              </w:rPr>
            </w:pPr>
            <w:r>
              <w:rPr>
                <w:rFonts w:ascii="Arial" w:hAnsi="Arial"/>
                <w:b w:val="0"/>
                <w:noProof w:val="0"/>
                <w:lang w:val="es-ES"/>
              </w:rPr>
              <w:t>51%</w:t>
            </w:r>
          </w:p>
        </w:tc>
        <w:tc>
          <w:tcPr>
            <w:tcW w:w="603" w:type="dxa"/>
            <w:shd w:val="pct25" w:color="000000" w:fill="FFFFFF"/>
          </w:tcPr>
          <w:p w:rsidR="00000000" w:rsidRDefault="00000000">
            <w:pPr>
              <w:pStyle w:val="Footer"/>
              <w:tabs>
                <w:tab w:val="left" w:pos="2340"/>
              </w:tabs>
              <w:spacing w:before="120" w:after="120" w:line="360" w:lineRule="auto"/>
              <w:jc w:val="both"/>
              <w:rPr>
                <w:rFonts w:ascii="Arial" w:hAnsi="Arial"/>
                <w:b w:val="0"/>
                <w:noProof w:val="0"/>
                <w:lang w:val="es-ES"/>
              </w:rPr>
            </w:pPr>
            <w:r>
              <w:rPr>
                <w:rFonts w:ascii="Arial" w:hAnsi="Arial"/>
                <w:b w:val="0"/>
                <w:noProof w:val="0"/>
                <w:lang w:val="es-ES"/>
              </w:rPr>
              <w:t>58%</w:t>
            </w:r>
          </w:p>
        </w:tc>
        <w:tc>
          <w:tcPr>
            <w:tcW w:w="597" w:type="dxa"/>
            <w:shd w:val="pct25" w:color="FFFF00" w:fill="FFFFFF"/>
          </w:tcPr>
          <w:p w:rsidR="00000000" w:rsidRDefault="00000000">
            <w:pPr>
              <w:pStyle w:val="Footer"/>
              <w:tabs>
                <w:tab w:val="left" w:pos="2340"/>
              </w:tabs>
              <w:spacing w:before="120" w:after="120" w:line="360" w:lineRule="auto"/>
              <w:jc w:val="both"/>
              <w:rPr>
                <w:rFonts w:ascii="Arial" w:hAnsi="Arial"/>
                <w:b w:val="0"/>
                <w:noProof w:val="0"/>
                <w:lang w:val="es-ES"/>
              </w:rPr>
            </w:pPr>
            <w:r>
              <w:rPr>
                <w:rFonts w:ascii="Arial" w:hAnsi="Arial"/>
                <w:b w:val="0"/>
                <w:noProof w:val="0"/>
                <w:lang w:val="es-ES"/>
              </w:rPr>
              <w:t>57%</w:t>
            </w:r>
          </w:p>
        </w:tc>
        <w:tc>
          <w:tcPr>
            <w:tcW w:w="603" w:type="dxa"/>
            <w:shd w:val="pct25" w:color="000000" w:fill="FFFFFF"/>
          </w:tcPr>
          <w:p w:rsidR="00000000" w:rsidRDefault="00000000">
            <w:pPr>
              <w:pStyle w:val="Footer"/>
              <w:tabs>
                <w:tab w:val="left" w:pos="2340"/>
              </w:tabs>
              <w:spacing w:before="120" w:after="120" w:line="360" w:lineRule="auto"/>
              <w:jc w:val="both"/>
              <w:rPr>
                <w:rFonts w:ascii="Arial" w:hAnsi="Arial"/>
                <w:b w:val="0"/>
                <w:noProof w:val="0"/>
                <w:lang w:val="es-ES"/>
              </w:rPr>
            </w:pPr>
            <w:r>
              <w:rPr>
                <w:rFonts w:ascii="Arial" w:hAnsi="Arial"/>
                <w:b w:val="0"/>
                <w:noProof w:val="0"/>
                <w:lang w:val="es-ES"/>
              </w:rPr>
              <w:t>61%</w:t>
            </w:r>
          </w:p>
        </w:tc>
        <w:tc>
          <w:tcPr>
            <w:tcW w:w="629" w:type="dxa"/>
            <w:shd w:val="pct25" w:color="FFFF00" w:fill="FFFFFF"/>
          </w:tcPr>
          <w:p w:rsidR="00000000" w:rsidRDefault="00000000">
            <w:pPr>
              <w:pStyle w:val="Footer"/>
              <w:tabs>
                <w:tab w:val="left" w:pos="2340"/>
              </w:tabs>
              <w:spacing w:before="120" w:after="120" w:line="360" w:lineRule="auto"/>
              <w:jc w:val="both"/>
              <w:rPr>
                <w:rFonts w:ascii="Arial" w:hAnsi="Arial"/>
                <w:b w:val="0"/>
                <w:noProof w:val="0"/>
                <w:lang w:val="es-ES"/>
              </w:rPr>
            </w:pPr>
            <w:r>
              <w:rPr>
                <w:rFonts w:ascii="Arial" w:hAnsi="Arial"/>
                <w:b w:val="0"/>
                <w:noProof w:val="0"/>
                <w:lang w:val="es-ES"/>
              </w:rPr>
              <w:t>64%</w:t>
            </w:r>
          </w:p>
        </w:tc>
        <w:tc>
          <w:tcPr>
            <w:tcW w:w="603" w:type="dxa"/>
            <w:shd w:val="pct25" w:color="000000" w:fill="FFFFFF"/>
          </w:tcPr>
          <w:p w:rsidR="00000000" w:rsidRDefault="00000000">
            <w:pPr>
              <w:pStyle w:val="Footer"/>
              <w:tabs>
                <w:tab w:val="left" w:pos="2340"/>
              </w:tabs>
              <w:spacing w:before="120" w:after="120" w:line="360" w:lineRule="auto"/>
              <w:jc w:val="both"/>
              <w:rPr>
                <w:rFonts w:ascii="Arial" w:hAnsi="Arial"/>
                <w:b w:val="0"/>
                <w:noProof w:val="0"/>
                <w:lang w:val="es-ES"/>
              </w:rPr>
            </w:pPr>
            <w:r>
              <w:rPr>
                <w:rFonts w:ascii="Arial" w:hAnsi="Arial"/>
                <w:b w:val="0"/>
                <w:noProof w:val="0"/>
                <w:lang w:val="es-ES"/>
              </w:rPr>
              <w:t>62%</w:t>
            </w:r>
          </w:p>
        </w:tc>
      </w:tr>
      <w:tr w:rsidR="00000000">
        <w:tblPrEx>
          <w:tblCellMar>
            <w:top w:w="0" w:type="dxa"/>
            <w:bottom w:w="0" w:type="dxa"/>
          </w:tblCellMar>
        </w:tblPrEx>
        <w:tc>
          <w:tcPr>
            <w:tcW w:w="1977" w:type="dxa"/>
            <w:shd w:val="pct25" w:color="000000" w:fill="FFFFFF"/>
          </w:tcPr>
          <w:p w:rsidR="00000000" w:rsidRDefault="00000000">
            <w:pPr>
              <w:pStyle w:val="Footer"/>
              <w:tabs>
                <w:tab w:val="left" w:pos="2340"/>
              </w:tabs>
              <w:suppressAutoHyphens/>
              <w:spacing w:before="120" w:after="120" w:line="360" w:lineRule="auto"/>
              <w:rPr>
                <w:rFonts w:ascii="Arial" w:hAnsi="Arial"/>
                <w:b w:val="0"/>
                <w:noProof w:val="0"/>
                <w:lang w:val="es-ES"/>
              </w:rPr>
            </w:pPr>
            <w:r>
              <w:rPr>
                <w:rFonts w:ascii="Arial" w:hAnsi="Arial"/>
                <w:b w:val="0"/>
                <w:noProof w:val="0"/>
                <w:lang w:val="es-ES"/>
              </w:rPr>
              <w:t>Microempresas</w:t>
            </w:r>
          </w:p>
        </w:tc>
        <w:tc>
          <w:tcPr>
            <w:tcW w:w="603" w:type="dxa"/>
            <w:shd w:val="pct25" w:color="FFFF00" w:fill="FFFFFF"/>
          </w:tcPr>
          <w:p w:rsidR="00000000" w:rsidRDefault="00000000">
            <w:pPr>
              <w:pStyle w:val="Footer"/>
              <w:tabs>
                <w:tab w:val="left" w:pos="2340"/>
              </w:tabs>
              <w:spacing w:before="120" w:after="120" w:line="360" w:lineRule="auto"/>
              <w:jc w:val="both"/>
              <w:rPr>
                <w:rFonts w:ascii="Arial" w:hAnsi="Arial"/>
                <w:b w:val="0"/>
                <w:noProof w:val="0"/>
                <w:lang w:val="es-ES"/>
              </w:rPr>
            </w:pPr>
          </w:p>
        </w:tc>
        <w:tc>
          <w:tcPr>
            <w:tcW w:w="603" w:type="dxa"/>
            <w:shd w:val="pct25" w:color="000000" w:fill="FFFFFF"/>
          </w:tcPr>
          <w:p w:rsidR="00000000" w:rsidRDefault="00000000">
            <w:pPr>
              <w:pStyle w:val="Footer"/>
              <w:tabs>
                <w:tab w:val="left" w:pos="2340"/>
              </w:tabs>
              <w:spacing w:before="120" w:after="120" w:line="360" w:lineRule="auto"/>
              <w:jc w:val="both"/>
              <w:rPr>
                <w:rFonts w:ascii="Arial" w:hAnsi="Arial"/>
                <w:b w:val="0"/>
                <w:noProof w:val="0"/>
                <w:lang w:val="es-ES"/>
              </w:rPr>
            </w:pPr>
            <w:r>
              <w:rPr>
                <w:rFonts w:ascii="Arial" w:hAnsi="Arial"/>
                <w:b w:val="0"/>
                <w:noProof w:val="0"/>
                <w:lang w:val="es-ES"/>
              </w:rPr>
              <w:t>65%</w:t>
            </w:r>
          </w:p>
        </w:tc>
        <w:tc>
          <w:tcPr>
            <w:tcW w:w="597" w:type="dxa"/>
            <w:shd w:val="pct25" w:color="FFFF00" w:fill="FFFFFF"/>
          </w:tcPr>
          <w:p w:rsidR="00000000" w:rsidRDefault="00000000">
            <w:pPr>
              <w:pStyle w:val="Footer"/>
              <w:tabs>
                <w:tab w:val="left" w:pos="2340"/>
              </w:tabs>
              <w:spacing w:before="120" w:after="120" w:line="360" w:lineRule="auto"/>
              <w:jc w:val="both"/>
              <w:rPr>
                <w:rFonts w:ascii="Arial" w:hAnsi="Arial"/>
                <w:b w:val="0"/>
                <w:noProof w:val="0"/>
                <w:lang w:val="es-ES"/>
              </w:rPr>
            </w:pPr>
            <w:r>
              <w:rPr>
                <w:rFonts w:ascii="Arial" w:hAnsi="Arial"/>
                <w:b w:val="0"/>
                <w:noProof w:val="0"/>
                <w:lang w:val="es-ES"/>
              </w:rPr>
              <w:t>46%</w:t>
            </w:r>
          </w:p>
        </w:tc>
        <w:tc>
          <w:tcPr>
            <w:tcW w:w="603" w:type="dxa"/>
            <w:shd w:val="pct25" w:color="000000" w:fill="FFFFFF"/>
          </w:tcPr>
          <w:p w:rsidR="00000000" w:rsidRDefault="00000000">
            <w:pPr>
              <w:pStyle w:val="Footer"/>
              <w:tabs>
                <w:tab w:val="left" w:pos="2340"/>
              </w:tabs>
              <w:spacing w:before="120" w:after="120" w:line="360" w:lineRule="auto"/>
              <w:jc w:val="both"/>
              <w:rPr>
                <w:rFonts w:ascii="Arial" w:hAnsi="Arial"/>
                <w:b w:val="0"/>
                <w:noProof w:val="0"/>
                <w:lang w:val="es-ES"/>
              </w:rPr>
            </w:pPr>
            <w:r>
              <w:rPr>
                <w:rFonts w:ascii="Arial" w:hAnsi="Arial"/>
                <w:b w:val="0"/>
                <w:noProof w:val="0"/>
                <w:lang w:val="es-ES"/>
              </w:rPr>
              <w:t>43%</w:t>
            </w:r>
          </w:p>
        </w:tc>
        <w:tc>
          <w:tcPr>
            <w:tcW w:w="629" w:type="dxa"/>
            <w:shd w:val="pct25" w:color="FFFF00" w:fill="FFFFFF"/>
          </w:tcPr>
          <w:p w:rsidR="00000000" w:rsidRDefault="00000000">
            <w:pPr>
              <w:pStyle w:val="Footer"/>
              <w:tabs>
                <w:tab w:val="left" w:pos="2340"/>
              </w:tabs>
              <w:spacing w:before="120" w:after="120" w:line="360" w:lineRule="auto"/>
              <w:jc w:val="both"/>
              <w:rPr>
                <w:rFonts w:ascii="Arial" w:hAnsi="Arial"/>
                <w:b w:val="0"/>
                <w:noProof w:val="0"/>
                <w:lang w:val="es-ES"/>
              </w:rPr>
            </w:pPr>
            <w:r>
              <w:rPr>
                <w:rFonts w:ascii="Arial" w:hAnsi="Arial"/>
                <w:b w:val="0"/>
                <w:noProof w:val="0"/>
                <w:lang w:val="es-ES"/>
              </w:rPr>
              <w:t>47%</w:t>
            </w:r>
          </w:p>
        </w:tc>
        <w:tc>
          <w:tcPr>
            <w:tcW w:w="603" w:type="dxa"/>
            <w:shd w:val="pct25" w:color="000000" w:fill="FFFFFF"/>
          </w:tcPr>
          <w:p w:rsidR="00000000" w:rsidRDefault="00000000">
            <w:pPr>
              <w:pStyle w:val="Footer"/>
              <w:tabs>
                <w:tab w:val="left" w:pos="2340"/>
              </w:tabs>
              <w:spacing w:before="120" w:after="120" w:line="360" w:lineRule="auto"/>
              <w:jc w:val="both"/>
              <w:rPr>
                <w:rFonts w:ascii="Arial" w:hAnsi="Arial"/>
                <w:b w:val="0"/>
                <w:noProof w:val="0"/>
                <w:lang w:val="es-ES"/>
              </w:rPr>
            </w:pPr>
            <w:r>
              <w:rPr>
                <w:rFonts w:ascii="Arial" w:hAnsi="Arial"/>
                <w:b w:val="0"/>
                <w:noProof w:val="0"/>
                <w:lang w:val="es-ES"/>
              </w:rPr>
              <w:t>51%</w:t>
            </w:r>
          </w:p>
        </w:tc>
      </w:tr>
    </w:tbl>
    <w:p w:rsidR="00000000" w:rsidRDefault="00000000">
      <w:pPr>
        <w:pStyle w:val="Footer"/>
        <w:tabs>
          <w:tab w:val="left" w:pos="2340"/>
        </w:tabs>
        <w:spacing w:line="360" w:lineRule="auto"/>
        <w:ind w:left="1440"/>
        <w:jc w:val="center"/>
        <w:rPr>
          <w:rFonts w:ascii="Arial" w:hAnsi="Arial"/>
          <w:b w:val="0"/>
          <w:noProof w:val="0"/>
          <w:lang w:val="es-ES"/>
        </w:rPr>
      </w:pPr>
    </w:p>
    <w:p w:rsidR="00000000" w:rsidRDefault="00000000">
      <w:pPr>
        <w:pStyle w:val="Footer"/>
        <w:tabs>
          <w:tab w:val="clear" w:pos="4320"/>
          <w:tab w:val="left" w:pos="2340"/>
        </w:tabs>
        <w:spacing w:line="360" w:lineRule="auto"/>
        <w:jc w:val="center"/>
        <w:rPr>
          <w:rFonts w:ascii="Arial" w:hAnsi="Arial"/>
          <w:noProof w:val="0"/>
          <w:lang w:val="es-ES"/>
        </w:rPr>
      </w:pPr>
      <w:r>
        <w:rPr>
          <w:rFonts w:ascii="Arial" w:hAnsi="Arial"/>
          <w:b w:val="0"/>
          <w:noProof w:val="0"/>
          <w:lang w:val="es-ES"/>
        </w:rPr>
        <w:t>Fuente: Instituto Nacional de Cooperación Educativa (INCE): 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14"/>
        </w:numPr>
      </w:pPr>
      <w:r>
        <w:t>El cuadro muestra un incremento de la participación de las mujeres en la fo</w:t>
      </w:r>
      <w:r>
        <w:t>r</w:t>
      </w:r>
      <w:r>
        <w:t>mación técnica, en el área industrial y artesanal desde 1996 con 17% a 25% en el año 2001.</w:t>
      </w:r>
    </w:p>
    <w:p w:rsidR="00000000" w:rsidRDefault="00000000">
      <w:pPr>
        <w:pStyle w:val="SingleTxt"/>
        <w:numPr>
          <w:ilvl w:val="0"/>
          <w:numId w:val="214"/>
        </w:numPr>
      </w:pPr>
      <w:r>
        <w:t>En el país se vienen implementando los programas complementarios de Sum</w:t>
      </w:r>
      <w:r>
        <w:t>i</w:t>
      </w:r>
      <w:r>
        <w:t>nistro Alimentario y el de Multihogares, que son de gran apoyo para las mujeres que trabajan de manera remunerada, así como las que se encuentran en condiciones de extrema pobreza.</w:t>
      </w:r>
    </w:p>
    <w:p w:rsidR="00000000" w:rsidRDefault="00000000">
      <w:pPr>
        <w:pStyle w:val="SingleTxt"/>
        <w:numPr>
          <w:ilvl w:val="0"/>
          <w:numId w:val="214"/>
        </w:numPr>
      </w:pPr>
      <w:r>
        <w:t xml:space="preserve">El Suministro Alimentario en la población de niños y niñas de 0 a 14 años, en los programas de la Escuela Básica, Fondo Único Social y los Multihogares se han ido incrementando. Pasando de, 1.396.293 beneficiarios y beneficiarias para el lapso 1999-2000; a 2.051.933 en 2000-2001 y a 2.649.816 en el 2001-2002. </w:t>
      </w:r>
    </w:p>
    <w:p w:rsidR="00000000" w:rsidRDefault="00000000">
      <w:pPr>
        <w:pStyle w:val="SingleTxt"/>
        <w:numPr>
          <w:ilvl w:val="0"/>
          <w:numId w:val="214"/>
        </w:numPr>
      </w:pPr>
      <w:r>
        <w:t>Entre 1999 y 2002 se incrementó, de forma sustantiva, el presupuesto para los Hogares y Multihogares de Cuidado Diario. En 1999 el presupuesto fue de 53 m</w:t>
      </w:r>
      <w:r>
        <w:t>i</w:t>
      </w:r>
      <w:r>
        <w:t>llardos de bolívares ($27.604.160,67), para una cobertura de 150.000 beneficiarios y beneficiarias y la inversión en bolívares, por mes, para cada niño y niña, fue de 13.633 bolívares ($7,10). En el año 2000-2001, el presupuesto fue de 89,91 milla</w:t>
      </w:r>
      <w:r>
        <w:t>r</w:t>
      </w:r>
      <w:r>
        <w:t>dos ($46.354.166,67), para una cobertura de 200.000 y la inversión en bolívares por mes en cada niño y niña fue de 22.000 bolívares ($11,46). En el año 2002, el presupuesto fue de 214,30 millardos de bolívares($111.458.333,33), para una c</w:t>
      </w:r>
      <w:r>
        <w:t>o</w:t>
      </w:r>
      <w:r>
        <w:t xml:space="preserve">bertura de 600.000 beneficiarios y beneficiarias, y la inversión por mes en cada niño y niña fue de 28.000 bolívares ($14,58). </w:t>
      </w:r>
    </w:p>
    <w:p w:rsidR="00000000" w:rsidRDefault="00000000">
      <w:pPr>
        <w:pStyle w:val="SingleTxt"/>
        <w:numPr>
          <w:ilvl w:val="0"/>
          <w:numId w:val="214"/>
        </w:numPr>
      </w:pPr>
      <w:r>
        <w:t>Anotamos además, que, en el año 1995, se realizó una investigación sobre el contenido de 231 textos escolares, detectándose que el uso del lenguaje e imágenes y los valores que se transmiten, reflejan tratos discriminatorios hacia la mujer y r</w:t>
      </w:r>
      <w:r>
        <w:t>e</w:t>
      </w:r>
      <w:r>
        <w:t>fuerzan la subordinación en las relaciones sociales. Estos resultados se han divulg</w:t>
      </w:r>
      <w:r>
        <w:t>a</w:t>
      </w:r>
      <w:r>
        <w:t>do, a través de Conferencias y Foros dictados a los organismos gubernamentales responsables del área de Educación, con la finalidad de promover cambios en los textos educativos, en los pensum y en las prácticas de transmisión del conocimiento. Por lo que se ha incluido en los contenidos de la Educación Básica y Media Divers</w:t>
      </w:r>
      <w:r>
        <w:t>i</w:t>
      </w:r>
      <w:r>
        <w:t xml:space="preserve">ficada, de unidades curriculares la </w:t>
      </w:r>
      <w:r>
        <w:rPr>
          <w:b/>
        </w:rPr>
        <w:t xml:space="preserve">II Fase: Programa Educando para la Igualdad, </w:t>
      </w:r>
      <w:r>
        <w:t xml:space="preserve">estableciendo una línea de cooperación con el Ministerio de Educación, Cultura y Deporte (MECD), para la instrumentación del programa, con el fin de incorporar la equidad de género en los pensum y los textos escolares. </w:t>
      </w:r>
    </w:p>
    <w:p w:rsidR="00000000" w:rsidRDefault="00000000">
      <w:pPr>
        <w:pStyle w:val="SingleTxt"/>
        <w:numPr>
          <w:ilvl w:val="0"/>
          <w:numId w:val="214"/>
        </w:numPr>
      </w:pPr>
      <w:r>
        <w:t>En la actualidad se esta dando una discusión colectiva en torno a un nuevo d</w:t>
      </w:r>
      <w:r>
        <w:t>i</w:t>
      </w:r>
      <w:r>
        <w:t>seño curricular, sustentado legalmente y previsto en las estrategias de las Líneas Generales del Plan Nacional de Desarrollo Económico y Social de la Nación 2001-2007. En este proceso se vienen adelantando mecanismos para promover la igualdad entre los géneros, para integrar, a los contenidos curriculares y a la metodología de estudio, la perspectiva de género. Visibilizando, como señalamos con anterioridad, a las mujeres, los y las aborígenes y las y los afrodescendientes en todo el sistema educativo. Para ello se han convocado talleres con la participación de sectores g</w:t>
      </w:r>
      <w:r>
        <w:t>u</w:t>
      </w:r>
      <w:r>
        <w:t>bernamentales y no gubernamentales.</w:t>
      </w:r>
    </w:p>
    <w:p w:rsidR="00000000" w:rsidRDefault="00000000">
      <w:pPr>
        <w:pStyle w:val="SingleTxt"/>
        <w:numPr>
          <w:ilvl w:val="0"/>
          <w:numId w:val="214"/>
        </w:numPr>
      </w:pPr>
      <w:r>
        <w:t>La reforma curricular de Educación Inicial se sustenta en un documento pr</w:t>
      </w:r>
      <w:r>
        <w:t>o</w:t>
      </w:r>
      <w:r>
        <w:t>ducido en el año 2001, en el que se destaca la visión holística e integral que articula el proceso de aprendizaje en un todo coherente, partiendo para ello, de la integr</w:t>
      </w:r>
      <w:r>
        <w:t>a</w:t>
      </w:r>
      <w:r>
        <w:t>ción del ser, hacer, conocer y convivir.</w:t>
      </w:r>
    </w:p>
    <w:p w:rsidR="00000000" w:rsidRDefault="00000000">
      <w:pPr>
        <w:pStyle w:val="SingleTxt"/>
        <w:numPr>
          <w:ilvl w:val="0"/>
          <w:numId w:val="214"/>
        </w:numPr>
      </w:pPr>
      <w:r>
        <w:t>La Educación sexual ha sido incorporada como tema fundamental en está r</w:t>
      </w:r>
      <w:r>
        <w:t>e</w:t>
      </w:r>
      <w:r>
        <w:t>forma, elaborándose una guía dirigida al docente que contiene lo siguiente: Ident</w:t>
      </w:r>
      <w:r>
        <w:t>i</w:t>
      </w:r>
      <w:r>
        <w:t>dad Sexual , Manifestaciones Sexuales Infantiles, Preguntas que hacen los niños y niñas relacionadas con Anatomía Sexual Reproducción, Embarazo, Parto; Sugere</w:t>
      </w:r>
      <w:r>
        <w:t>n</w:t>
      </w:r>
      <w:r>
        <w:t>cias al Docente. Cómo son los niños y niñas, cómo son los hombres y Mujeres, Abuso sexual infantil, cómo prevenirlo. Orientaciones. Dónde reportarlo, Ley Org</w:t>
      </w:r>
      <w:r>
        <w:t>á</w:t>
      </w:r>
      <w:r>
        <w:t>nica de Protección del Niño y el Adolescente, Formas de Transmisión, Medidas de Prevención, Estrategias para incorporar a los niños y niñas afectadas por el VIH/SIDA, Respeto a los derechos de las personas que viven con VIH/SIDA. Re</w:t>
      </w:r>
      <w:r>
        <w:t>s</w:t>
      </w:r>
      <w:r>
        <w:t>peto entre hombres y mujeres, niños y niñas, Importancia del padre y la madre en los cuidados del recién nacido, roles del hombre y la mujer en la familia, relaciones de respeto y equidad en la familia.</w:t>
      </w:r>
    </w:p>
    <w:p w:rsidR="00000000" w:rsidRDefault="00000000">
      <w:pPr>
        <w:pStyle w:val="SingleTxt"/>
        <w:numPr>
          <w:ilvl w:val="0"/>
          <w:numId w:val="214"/>
        </w:numPr>
      </w:pPr>
      <w:r>
        <w:t>Para el 2004, el I.N.C.E en coordinación con el UNFPA se plantea la capacit</w:t>
      </w:r>
      <w:r>
        <w:t>a</w:t>
      </w:r>
      <w:r>
        <w:t>ción en salud sexual y reproductiva en las Misiones (Barrio Adentro, Robinsón, R</w:t>
      </w:r>
      <w:r>
        <w:t>i</w:t>
      </w:r>
      <w:r>
        <w:t>bas, Sucre y Vuelvan Caras). Esto reportará un millón de hombres y mujeres cap</w:t>
      </w:r>
      <w:r>
        <w:t>a</w:t>
      </w:r>
      <w:r>
        <w:t>citadas en Salud Sexual y Reproductiva.</w:t>
      </w:r>
    </w:p>
    <w:p w:rsidR="00000000" w:rsidRDefault="00000000">
      <w:pPr>
        <w:pStyle w:val="SingleTxt"/>
        <w:numPr>
          <w:ilvl w:val="0"/>
          <w:numId w:val="214"/>
        </w:numPr>
      </w:pPr>
      <w:r>
        <w:t>El UNFPA en su Primer Programa País, 2003-2007, viene ejecutando:</w:t>
      </w:r>
    </w:p>
    <w:p w:rsidR="00000000" w:rsidRDefault="00000000">
      <w:pPr>
        <w:pStyle w:val="SingleTxt"/>
        <w:tabs>
          <w:tab w:val="right" w:pos="1685"/>
        </w:tabs>
        <w:suppressAutoHyphens/>
        <w:ind w:left="1742" w:hanging="475"/>
      </w:pPr>
      <w:r>
        <w:tab/>
        <w:t>•</w:t>
      </w:r>
      <w:r>
        <w:tab/>
        <w:t>El Programa de Educación Sexual y Reproductiva para las Fuerzas Armadas Nacionales: con el objetivo de educar y promover la Salud Sexual y Reproductiva en los alumnos y alumnas de las diferentes escuelas e institutos, así como la tropa alistada en la FAN. Además, se están incluyendo los contenidos de SSR en los programas de formación de oficiales, centros de adiestramiento militar y capacitación del personal de los servicios de salud, comandos de las escuelas y sargentos de tr</w:t>
      </w:r>
      <w:r>
        <w:t>o</w:t>
      </w:r>
      <w:r>
        <w:t xml:space="preserve">pa. </w:t>
      </w:r>
    </w:p>
    <w:p w:rsidR="00000000" w:rsidRDefault="00000000">
      <w:pPr>
        <w:pStyle w:val="SingleTxt"/>
        <w:tabs>
          <w:tab w:val="right" w:pos="1685"/>
        </w:tabs>
        <w:ind w:left="1742" w:hanging="475"/>
      </w:pPr>
      <w:r>
        <w:tab/>
        <w:t>•</w:t>
      </w:r>
      <w:r>
        <w:tab/>
        <w:t>Educación de la Sexualidad y Salud Sexual y Reproductiva : desarrollado con el INCE, se capacita a los y a las instructoras de los cursos de larga duración en la prevención de ITS-VIH-SIDA y Violencia de Género</w:t>
      </w:r>
    </w:p>
    <w:p w:rsidR="00000000" w:rsidRDefault="00000000">
      <w:pPr>
        <w:pStyle w:val="SingleTxt"/>
        <w:tabs>
          <w:tab w:val="right" w:pos="1685"/>
        </w:tabs>
        <w:ind w:left="1742" w:hanging="475"/>
      </w:pPr>
      <w:r>
        <w:tab/>
        <w:t>•</w:t>
      </w:r>
      <w:r>
        <w:tab/>
        <w:t>Educación de la Sexualidad, Salud Reproductiva y Equidad de Género: pr</w:t>
      </w:r>
      <w:r>
        <w:t>o</w:t>
      </w:r>
      <w:r>
        <w:t>yecto que se desarrolla con el MECD con el objeto de fortalecer los programas y planes educativos de educación inicial y básica en contenidos de educación para la sexualidad y equidad de género, en todos los niveles y modalidades educativas.</w:t>
      </w:r>
    </w:p>
    <w:p w:rsidR="00000000" w:rsidRDefault="00000000">
      <w:pPr>
        <w:pStyle w:val="SingleTxt"/>
        <w:numPr>
          <w:ilvl w:val="0"/>
          <w:numId w:val="214"/>
        </w:numPr>
      </w:pPr>
      <w:r>
        <w:t>Es importante señalar que la protección Legal del derecho a la educación de las adolescentes que se embaracen durante el proceso escolar queda claramente e</w:t>
      </w:r>
      <w:r>
        <w:t>s</w:t>
      </w:r>
      <w:r>
        <w:t xml:space="preserve">tablecido en la </w:t>
      </w:r>
      <w:r>
        <w:rPr>
          <w:b/>
        </w:rPr>
        <w:t>Resolución No. 762, del 9 de Octubre de 1996</w:t>
      </w:r>
      <w:r>
        <w:t xml:space="preserve">, en su </w:t>
      </w:r>
      <w:r>
        <w:rPr>
          <w:b/>
        </w:rPr>
        <w:t xml:space="preserve">artículo 2, </w:t>
      </w:r>
      <w:r>
        <w:t>como se muestra a continuación...</w:t>
      </w:r>
      <w:r>
        <w:rPr>
          <w:b/>
        </w:rPr>
        <w:t xml:space="preserve"> </w:t>
      </w:r>
      <w:r>
        <w:rPr>
          <w:i/>
        </w:rPr>
        <w:t>“A los fines de permitir el ingreso o la perm</w:t>
      </w:r>
      <w:r>
        <w:rPr>
          <w:i/>
        </w:rPr>
        <w:t>a</w:t>
      </w:r>
      <w:r>
        <w:rPr>
          <w:i/>
        </w:rPr>
        <w:t>nencia de un alumno en un plantel educativo, no podrán establecerse como cond</w:t>
      </w:r>
      <w:r>
        <w:rPr>
          <w:i/>
        </w:rPr>
        <w:t>i</w:t>
      </w:r>
      <w:r>
        <w:rPr>
          <w:i/>
        </w:rPr>
        <w:t>cionantes, la situación de repitiente, embarazo, conducta o disciplina, credo, estado civil de los</w:t>
      </w:r>
      <w:r>
        <w:t xml:space="preserve"> </w:t>
      </w:r>
      <w:r>
        <w:rPr>
          <w:i/>
        </w:rPr>
        <w:t xml:space="preserve">padres, uniformes, útiles escolares, así como ninguna otra limitación que no esté legalmente establecida.” </w:t>
      </w:r>
    </w:p>
    <w:p w:rsidR="00000000" w:rsidRDefault="00000000">
      <w:pPr>
        <w:pStyle w:val="SingleTxt"/>
        <w:numPr>
          <w:ilvl w:val="0"/>
          <w:numId w:val="214"/>
        </w:numPr>
      </w:pPr>
      <w:r>
        <w:t>El actual gobierno para resolver el problema de la exclusión escolar de los sectores más desposeídos ha creado las Escuelas Bolivarianas, las cuales no requi</w:t>
      </w:r>
      <w:r>
        <w:t>e</w:t>
      </w:r>
      <w:r>
        <w:t xml:space="preserve">ren del pago de la matrícula escolar, lo que ha resultado en un aumento de la cifra de niños y niñas inscritas en el sistema educativo. </w:t>
      </w:r>
    </w:p>
    <w:p w:rsidR="00000000" w:rsidRDefault="00000000">
      <w:pPr>
        <w:pStyle w:val="SingleTxt"/>
        <w:numPr>
          <w:ilvl w:val="0"/>
          <w:numId w:val="214"/>
        </w:numPr>
      </w:pPr>
      <w:r>
        <w:t>Con el Proyecto de Construcción de las Escuelas Bolivarianas se ha logrado, desde el año 1999 hasta el 2004, la rehabilitación de más 3.000 escuelas y la con</w:t>
      </w:r>
      <w:r>
        <w:t>s</w:t>
      </w:r>
      <w:r>
        <w:t>trucción de 1.064 nuevos planteles en el año 2001, así como también el inicio de obras para construir 983 nuevas escuelas. La meta es concluir la construcción y rehabilitación de 22 mil planteles en todo el ámbito nacional, para el año 2007 . Ello se ha traducido en una reducción de la deserción escolar. La matrícula escolar se i</w:t>
      </w:r>
      <w:r>
        <w:t>n</w:t>
      </w:r>
      <w:r>
        <w:t xml:space="preserve">crementó en estos 3 años, en más de 1.300.000 alumnos y alumnas. </w:t>
      </w:r>
    </w:p>
    <w:p w:rsidR="00000000" w:rsidRDefault="00000000">
      <w:pPr>
        <w:pStyle w:val="SingleTxt"/>
        <w:numPr>
          <w:ilvl w:val="0"/>
          <w:numId w:val="214"/>
        </w:numPr>
        <w:rPr>
          <w:w w:val="102"/>
        </w:rPr>
      </w:pPr>
      <w:r>
        <w:rPr>
          <w:w w:val="102"/>
        </w:rPr>
        <w:t>La educación Integral que ofrecen las Escuelas Bolivarianas, es complementada con un programa permanente de Educación Sexual, con la participación del Minist</w:t>
      </w:r>
      <w:r>
        <w:rPr>
          <w:w w:val="102"/>
        </w:rPr>
        <w:t>e</w:t>
      </w:r>
      <w:r>
        <w:rPr>
          <w:w w:val="102"/>
        </w:rPr>
        <w:t>rio de Salud y Desarrollo Social, que enfatiza en la valoración de la sexualidad para la prevención de enfermedades como el VIH/SIDA, y las infecciones de Transmisión sexual (ITS), embarazo en adolescentes y violencia Intrafamiliar, con la finalidad de propiciar el ejercicio de una sexualidad responsable, saludable y pl</w:t>
      </w:r>
      <w:r>
        <w:rPr>
          <w:w w:val="102"/>
        </w:rPr>
        <w:t>e</w:t>
      </w:r>
      <w:r>
        <w:rPr>
          <w:w w:val="102"/>
        </w:rPr>
        <w:t>na.</w:t>
      </w:r>
    </w:p>
    <w:p w:rsidR="00000000" w:rsidRDefault="00000000">
      <w:pPr>
        <w:pStyle w:val="SingleTxt"/>
        <w:numPr>
          <w:ilvl w:val="0"/>
          <w:numId w:val="214"/>
        </w:numPr>
      </w:pPr>
      <w:r>
        <w:t>Para el año 2003 la meta fijada en cuanto a la participación de actores e Inst</w:t>
      </w:r>
      <w:r>
        <w:t>i</w:t>
      </w:r>
      <w:r>
        <w:t>tuciones educativas fue superada ampliamente, ya que de 500 escuelas y 207.763 actores y actoras (149.436 alumnos y alumnas de Preescolar, Primera y Segunda etapa de Educación Básica , 8.317 maestras y maestros y 50.000 representantes) previstos inicialmente, se logro la incorporación al programa de 1036 escuelas bol</w:t>
      </w:r>
      <w:r>
        <w:t>i</w:t>
      </w:r>
      <w:r>
        <w:t>variana y 221.342 actores y actores (12.653 maestras y maestros multiplicadores, 158.686 alumnos y alumnas de Preescolar, Primera y Segunda etapa de Educación Básica y 50.000 representantes). Adicionalmente, se difundió este programa a través de la edición de micros informativos para la TV. y la distribución de 40.000 folletos alusivos a la prevención del SIDA.</w:t>
      </w:r>
    </w:p>
    <w:p w:rsidR="00000000" w:rsidRDefault="00000000">
      <w:pPr>
        <w:pStyle w:val="SingleTxt"/>
        <w:numPr>
          <w:ilvl w:val="0"/>
          <w:numId w:val="214"/>
        </w:numPr>
      </w:pPr>
      <w:r>
        <w:t>Para extender los beneficios del Programa de Educación Sexual en las escuelas Bolivarianas, se firmó un convenio, en el año 2003, entre el Ministerio de Educ</w:t>
      </w:r>
      <w:r>
        <w:t>a</w:t>
      </w:r>
      <w:r>
        <w:t>ción, Cultura y Deporte y el Fondo de Población de las Naciones Unidas. Este pr</w:t>
      </w:r>
      <w:r>
        <w:t>o</w:t>
      </w:r>
      <w:r>
        <w:t>yecto llamado “Educación de la Sexualidad, Salud Reproductiva y Equidad de G</w:t>
      </w:r>
      <w:r>
        <w:t>é</w:t>
      </w:r>
      <w:r>
        <w:t>nero” tiene una duración de tres años. El propósito del proyecto es contribuir a la formación integral de las alumnas y los alumnos de las unidades educativas para el ejercicio pleno y responsable de los derechos sexuales y reproductivos. En el marco de este proyecto, en los primeros 10 meses, se han realizado 8 talleres de actualiz</w:t>
      </w:r>
      <w:r>
        <w:t>a</w:t>
      </w:r>
      <w:r>
        <w:t>ción en educación sexual para el equipo técnico central y regional del MECD, así como también talleres de educación para la sexualidad y la equidad de género.</w:t>
      </w:r>
    </w:p>
    <w:p w:rsidR="00000000" w:rsidRDefault="00000000">
      <w:pPr>
        <w:pStyle w:val="SingleTxt"/>
        <w:numPr>
          <w:ilvl w:val="0"/>
          <w:numId w:val="214"/>
        </w:numPr>
      </w:pPr>
      <w:r>
        <w:t>Según el Censo de Población y Vivienda de 2001, la tasa de analfabetismo en la población de 10 años y más, para 1990, fue de 9,3% y para el año 2001 esta tasa disminuyo a 6,4%.</w:t>
      </w:r>
    </w:p>
    <w:p w:rsidR="00000000" w:rsidRDefault="00000000">
      <w:pPr>
        <w:pStyle w:val="SingleTxt"/>
        <w:numPr>
          <w:ilvl w:val="0"/>
          <w:numId w:val="214"/>
        </w:numPr>
      </w:pPr>
      <w:r>
        <w:t>Desde 1990 a 1998 en Venezuela se alfabetizaron 73.649 personas a través del programa oficial del Ministerio de Educación y 3.299 con programas de Educación Privada. Ante este hecho, el Ministerio de Educación Cultura y Deporte diseñó el Plan de Alfabetización Nacional, comenzando en el 2000 con la campaña Bolivari</w:t>
      </w:r>
      <w:r>
        <w:t>a</w:t>
      </w:r>
      <w:r>
        <w:t>na de Alfabetización, que estimuló el interés hacia esta tarea, pero no cubrió las e</w:t>
      </w:r>
      <w:r>
        <w:t>x</w:t>
      </w:r>
      <w:r>
        <w:t>pectativas, logro alfabetizar sólo a 19.621 personas en dos años. En este mismo la</w:t>
      </w:r>
      <w:r>
        <w:t>p</w:t>
      </w:r>
      <w:r>
        <w:t>so la educación privada alfabetiza 1.621 personas. Entre las causas del poco éxito en los intentos de alfabetización se pueden mencionar  la lentitud de la estructura a</w:t>
      </w:r>
      <w:r>
        <w:t>d</w:t>
      </w:r>
      <w:r>
        <w:t>ministrativa y del aparato burocrático, así como la ausencia de participación masiva de la sociedad en estos programas.</w:t>
      </w:r>
    </w:p>
    <w:p w:rsidR="00000000" w:rsidRDefault="00000000">
      <w:pPr>
        <w:pStyle w:val="SingleTxt"/>
        <w:numPr>
          <w:ilvl w:val="0"/>
          <w:numId w:val="214"/>
        </w:numPr>
      </w:pPr>
      <w:r>
        <w:t>Ante esta perspectiva y de cara al millón y medio de analfabetas, el Estado V</w:t>
      </w:r>
      <w:r>
        <w:t>e</w:t>
      </w:r>
      <w:r>
        <w:t>nezolano se propuso erradicar el analfabetismo en el corto plazo. Para ello, en Julio del 2003, se pone en marcha la denominada Misión Robinsón .</w:t>
      </w:r>
    </w:p>
    <w:p w:rsidR="00000000" w:rsidRDefault="00000000">
      <w:pPr>
        <w:pStyle w:val="SingleTxt"/>
        <w:numPr>
          <w:ilvl w:val="0"/>
          <w:numId w:val="214"/>
        </w:numPr>
      </w:pPr>
      <w:r>
        <w:t xml:space="preserve">Esta Misión se propuso como meta alfabetizar </w:t>
      </w:r>
      <w:r>
        <w:rPr>
          <w:b/>
        </w:rPr>
        <w:t xml:space="preserve">un millón </w:t>
      </w:r>
      <w:r>
        <w:t>de personas en el lapso de Julio 2003 a Julio 2004, atendiendo a la población rural, indígena, penite</w:t>
      </w:r>
      <w:r>
        <w:t>n</w:t>
      </w:r>
      <w:r>
        <w:t>ciaria, discapacitada y urbana, con énfasis en la característica de género, con el fi</w:t>
      </w:r>
      <w:r>
        <w:t>r</w:t>
      </w:r>
      <w:r>
        <w:t>me propósito de erradicar la condición de exclusión asociada al analfabetismo y propiciando la incorporación de los ciudadanos y ciudadanas al disfrute pleno de los d</w:t>
      </w:r>
      <w:r>
        <w:t>e</w:t>
      </w:r>
      <w:r>
        <w:t>rechos consagrados en la Constitución Nacional.</w:t>
      </w:r>
    </w:p>
    <w:p w:rsidR="00000000" w:rsidRDefault="00000000">
      <w:pPr>
        <w:pStyle w:val="SingleTxt"/>
        <w:numPr>
          <w:ilvl w:val="0"/>
          <w:numId w:val="214"/>
        </w:numPr>
      </w:pPr>
      <w:r>
        <w:t>La Misión Robinsón logró cumplir la meta de alfabetizar un millón de pers</w:t>
      </w:r>
      <w:r>
        <w:t>o</w:t>
      </w:r>
      <w:r>
        <w:t>nas en seis meses (julio a Diciembre 2003) aun cuando la meta fue planteada para cumplirse en un año. Por ello se extendió la Misión con dos objetivos: lograr la erradicación del analfabetismo para julio de 2004 e implementar la prosecución al 6to grado de las personas alfabetizadas, a través de la Misión Robinsón II.</w:t>
      </w:r>
    </w:p>
    <w:p w:rsidR="00000000" w:rsidRDefault="00000000">
      <w:pPr>
        <w:pStyle w:val="SingleTxt"/>
        <w:numPr>
          <w:ilvl w:val="0"/>
          <w:numId w:val="214"/>
        </w:numPr>
      </w:pPr>
      <w:r>
        <w:t>El sustrato legal de la Misión Robinsón está en el artículo 103 de la Constit</w:t>
      </w:r>
      <w:r>
        <w:t>u</w:t>
      </w:r>
      <w:r>
        <w:t>ción que garantiza el derecho a la educación a todos y todas las ciudadanas venez</w:t>
      </w:r>
      <w:r>
        <w:t>o</w:t>
      </w:r>
      <w:r>
        <w:t xml:space="preserve">lanas, y en la </w:t>
      </w:r>
      <w:r>
        <w:rPr>
          <w:b/>
        </w:rPr>
        <w:t>“</w:t>
      </w:r>
      <w:r>
        <w:t xml:space="preserve">Declaración Mundial de Educación para Todos” (Jomtie 1990) y en las “Líneas Estratégicas del Foro Mundial de Educación para Todos” (Dacar 2000) donde como consenso se acuerda </w:t>
      </w:r>
      <w:r>
        <w:rPr>
          <w:i/>
        </w:rPr>
        <w:t>“aumentar de aquí al año 2015 el número de adultos alfabetizados en un 50%, en particular tratándose de mujeres y facilitar a todos los adultos un acceso equitativo a la Educación Básica y a la Educación Permanente”.</w:t>
      </w:r>
    </w:p>
    <w:p w:rsidR="00000000" w:rsidRDefault="00000000">
      <w:pPr>
        <w:pStyle w:val="SingleTxt"/>
        <w:numPr>
          <w:ilvl w:val="0"/>
          <w:numId w:val="214"/>
        </w:numPr>
      </w:pPr>
      <w:r>
        <w:t>La Misión Robinsón se ha llevado a cabo con acciones coordinadas entre El Ministerio de la Defensa, el Ministerio de Educación, Cultura y Deportes, el Inst</w:t>
      </w:r>
      <w:r>
        <w:t>i</w:t>
      </w:r>
      <w:r>
        <w:t>tuto Nacional de Cooperación Educativa (INCE), y el Instituto Nacional de la J</w:t>
      </w:r>
      <w:r>
        <w:t>u</w:t>
      </w:r>
      <w:r>
        <w:t>ventud .</w:t>
      </w:r>
    </w:p>
    <w:p w:rsidR="00000000" w:rsidRDefault="00000000">
      <w:pPr>
        <w:pStyle w:val="SingleTxt"/>
        <w:numPr>
          <w:ilvl w:val="0"/>
          <w:numId w:val="214"/>
        </w:numPr>
      </w:pPr>
      <w:r>
        <w:t>Debido al éxito de la Misión Robinsón , esta ha sido postulada ante la UNESCO , por la República Bolivariana de Venezuela, al premio de Alfabetización UNESCO 2004 que tiene como lema “Alfabet</w:t>
      </w:r>
      <w:r>
        <w:t>i</w:t>
      </w:r>
      <w:r>
        <w:t>zación e Igualdad de Género”.</w:t>
      </w:r>
    </w:p>
    <w:p w:rsidR="00000000" w:rsidRDefault="00000000">
      <w:pPr>
        <w:pStyle w:val="SingleTxt"/>
        <w:numPr>
          <w:ilvl w:val="0"/>
          <w:numId w:val="214"/>
        </w:numPr>
      </w:pPr>
      <w:r>
        <w:t>Según informe presentado por la Comisión Nacional de Alfabetización 2004, recientemente, de un total de 1.098.051 personas alfabetizadas el 55 % pertenece al sexo femenino y el 45% al masculino .</w:t>
      </w:r>
    </w:p>
    <w:p w:rsidR="00000000" w:rsidRDefault="00000000">
      <w:pPr>
        <w:pStyle w:val="SingleTxt"/>
        <w:numPr>
          <w:ilvl w:val="0"/>
          <w:numId w:val="214"/>
        </w:numPr>
      </w:pPr>
      <w:r>
        <w:t>De la población indígena alfabetizada el 55% fueron mujeres y 45% hombres y de la población Penitenciaria alfabetizada el 4% fu</w:t>
      </w:r>
      <w:r>
        <w:t>e</w:t>
      </w:r>
      <w:r>
        <w:t>ron mujeres y el 96% hombres.</w:t>
      </w:r>
    </w:p>
    <w:p w:rsidR="00000000" w:rsidRDefault="00000000">
      <w:pPr>
        <w:pStyle w:val="SingleTxt"/>
        <w:numPr>
          <w:ilvl w:val="0"/>
          <w:numId w:val="214"/>
        </w:numPr>
      </w:pPr>
      <w:r>
        <w:t>En lo que refiere a la Misión Ribas, fue creada en el 2003 por el Gobierno B</w:t>
      </w:r>
      <w:r>
        <w:t>o</w:t>
      </w:r>
      <w:r>
        <w:t>livariano de Venezuela, su objetivo es lograr que todos y todas las venezolanas cu</w:t>
      </w:r>
      <w:r>
        <w:t>l</w:t>
      </w:r>
      <w:r>
        <w:t>minen  la secundaria, impulsando, así, un nuevo proyecto educativo nacional, que en forma sistemática plantea democratizar la educación dentro de un marco de integr</w:t>
      </w:r>
      <w:r>
        <w:t>a</w:t>
      </w:r>
      <w:r>
        <w:t>ción nacional, garantizando el acceso a un sistema educativo de calidad para los y las venezolanas de cualquier edad. De la población beneficiada por esta Misión, el 55% son mujeres.</w:t>
      </w:r>
    </w:p>
    <w:p w:rsidR="00000000" w:rsidRDefault="00000000">
      <w:pPr>
        <w:pStyle w:val="SingleTxt"/>
        <w:numPr>
          <w:ilvl w:val="0"/>
          <w:numId w:val="214"/>
        </w:numPr>
      </w:pPr>
      <w:r>
        <w:t>El Ministerio de Educación, Cultura y Deportes, a través de la Dirección de Educación de Adultos, presenta una oferta educativa integral de calidad que abarca la Educación Básica, Media Diversificada, Profesional y Capacitación, con salidas a la Educación Superior para personas jóvenes y adultas, combinando estrategias fl</w:t>
      </w:r>
      <w:r>
        <w:t>e</w:t>
      </w:r>
      <w:r>
        <w:t>xibles de educación formal y no formal, de modo que se garantice el acceso de los(as) jóvenes y adultos(as) al desarrollo personal, laboral, comunitario y económ</w:t>
      </w:r>
      <w:r>
        <w:t>i</w:t>
      </w:r>
      <w:r>
        <w:t>co de la nación.</w:t>
      </w:r>
    </w:p>
    <w:p w:rsidR="00000000" w:rsidRDefault="00000000">
      <w:pPr>
        <w:pStyle w:val="SingleTxt"/>
        <w:numPr>
          <w:ilvl w:val="0"/>
          <w:numId w:val="214"/>
        </w:numPr>
      </w:pPr>
      <w:r>
        <w:t>Para el logro de los propósitos de la educación de adultos(as) se han establec</w:t>
      </w:r>
      <w:r>
        <w:t>i</w:t>
      </w:r>
      <w:r>
        <w:t>do las siguientes líneas de acción:</w:t>
      </w:r>
    </w:p>
    <w:p w:rsidR="00000000" w:rsidRDefault="00000000">
      <w:pPr>
        <w:pStyle w:val="SingleTxt"/>
        <w:tabs>
          <w:tab w:val="right" w:pos="1685"/>
        </w:tabs>
        <w:ind w:left="1742" w:hanging="475"/>
      </w:pPr>
      <w:r>
        <w:tab/>
        <w:t>•</w:t>
      </w:r>
      <w:r>
        <w:tab/>
        <w:t>Educación Básica vinculada a la alfabetización y a la capacitación laboral que se administra en Centros Educativos de Desarrollo Comunitario, en las áreas industrial, comercial y de servicios.</w:t>
      </w:r>
    </w:p>
    <w:p w:rsidR="00000000" w:rsidRDefault="00000000">
      <w:pPr>
        <w:pStyle w:val="SingleTxt"/>
        <w:tabs>
          <w:tab w:val="right" w:pos="1685"/>
        </w:tabs>
        <w:ind w:left="1742" w:hanging="475"/>
      </w:pPr>
      <w:r>
        <w:tab/>
        <w:t>•</w:t>
      </w:r>
      <w:r>
        <w:tab/>
        <w:t>Educación Media Diversificada, oferta que se brinda a la persona adulta para que realice estudios en las menciones de Ciencias y Humanidades en planteles de los sectores oficial y privado, así como a través de la opción de Educación a Dista</w:t>
      </w:r>
      <w:r>
        <w:t>n</w:t>
      </w:r>
      <w:r>
        <w:t>cia y la Estrategia de Evaluación de Libre Escolaridad.</w:t>
      </w:r>
    </w:p>
    <w:p w:rsidR="00000000" w:rsidRDefault="00000000">
      <w:pPr>
        <w:pStyle w:val="SingleTxt"/>
        <w:tabs>
          <w:tab w:val="right" w:pos="1685"/>
        </w:tabs>
        <w:ind w:left="1742" w:hanging="475"/>
      </w:pPr>
      <w:r>
        <w:tab/>
        <w:t>•</w:t>
      </w:r>
      <w:r>
        <w:tab/>
        <w:t>Educación Media Profesional que se dicta en planteles de acuerdo a la Norm</w:t>
      </w:r>
      <w:r>
        <w:t>a</w:t>
      </w:r>
      <w:r>
        <w:t>tiva Vigente para las especialidades de: Industrial, Comercial y Servicios; A</w:t>
      </w:r>
      <w:r>
        <w:t>d</w:t>
      </w:r>
      <w:r>
        <w:t>ministrativo; Seguridad y Defensa; Promoción Social y Servicio de Salud; Agropecuaria y Arte. En cada una de ellas se dictan diferentes menciones acordes con las necesidades planteadas por cada región y se otorga el título de Técnico Medio, equivalente a bachiller, que le permite a la persona adulta i</w:t>
      </w:r>
      <w:r>
        <w:t>n</w:t>
      </w:r>
      <w:r>
        <w:t>corporarse al campo laboral o cont</w:t>
      </w:r>
      <w:r>
        <w:t>i</w:t>
      </w:r>
      <w:r>
        <w:t>nuar estudios en Educación Superior.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11</w:t>
      </w:r>
    </w:p>
    <w:p w:rsidR="00000000" w:rsidRDefault="00000000">
      <w:pPr>
        <w:pStyle w:val="SingleTxt"/>
        <w:keepNext/>
        <w:spacing w:after="0" w:line="120" w:lineRule="exact"/>
        <w:rPr>
          <w:sz w:val="10"/>
        </w:rPr>
      </w:pPr>
    </w:p>
    <w:p w:rsidR="00000000" w:rsidRDefault="00000000">
      <w:pPr>
        <w:pStyle w:val="SingleTxt"/>
        <w:keepNext/>
        <w:numPr>
          <w:ilvl w:val="0"/>
          <w:numId w:val="214"/>
        </w:numPr>
      </w:pPr>
      <w:r>
        <w:t>El tema del acceso al empleo es uno de los puntos contemplados por el G</w:t>
      </w:r>
      <w:r>
        <w:t>o</w:t>
      </w:r>
      <w:r>
        <w:t>bierno de Venezuela dentro del Plan de Desarrollo Económico y Social de la Nación 2001-2007, en el polo dirigido a alcanzar la justicia social que considera a la lucha contra las desigualdades sociales y la pobreza un imperativo ético. Este modelo p</w:t>
      </w:r>
      <w:r>
        <w:t>o</w:t>
      </w:r>
      <w:r>
        <w:t xml:space="preserve">lítico social ha sido denominado Modelo de Desarrollo Sistémico de la Sociedad Venezolana, y obedece a una visión incluyente de toda la sociedad. Su puesta en práctica exige una participación </w:t>
      </w:r>
      <w:r>
        <w:rPr>
          <w:i/>
        </w:rPr>
        <w:t>corresponsable</w:t>
      </w:r>
      <w:r>
        <w:t xml:space="preserve"> y democrática, de todos los sectores en todos los ámbitos. Con la acción compartida y simultánea se pretende alcanzar la </w:t>
      </w:r>
      <w:r>
        <w:rPr>
          <w:i/>
        </w:rPr>
        <w:t>desconcentración y descentralización</w:t>
      </w:r>
      <w:r>
        <w:t xml:space="preserve"> de la toma de decisiones para llevar la din</w:t>
      </w:r>
      <w:r>
        <w:t>á</w:t>
      </w:r>
      <w:r>
        <w:t xml:space="preserve">mica del cambio a toda la Nación y todo el territorio. </w:t>
      </w:r>
    </w:p>
    <w:p w:rsidR="00000000" w:rsidRDefault="00000000">
      <w:pPr>
        <w:pStyle w:val="SingleTxt"/>
        <w:numPr>
          <w:ilvl w:val="0"/>
          <w:numId w:val="214"/>
        </w:numPr>
      </w:pPr>
      <w:r>
        <w:t>Este enfoque se encuentra sustentado en el marco jurídico expuesto en la Constitución de la República Bolivariana de Venezuela, la cual establece dispos</w:t>
      </w:r>
      <w:r>
        <w:t>i</w:t>
      </w:r>
      <w:r>
        <w:t>ciones para garantizar, a través de la acción concurrente de los entes públicos y la población, la atención igualitaria en aspectos tales como: salud, educación, segur</w:t>
      </w:r>
      <w:r>
        <w:t>i</w:t>
      </w:r>
      <w:r>
        <w:t>dad social y ciudadana, trabajo, vivienda, participación social, y otros. Con la fin</w:t>
      </w:r>
      <w:r>
        <w:t>a</w:t>
      </w:r>
      <w:r>
        <w:t>lidad de conducir al país hacia la maximización del bienestar colectivo, la ampli</w:t>
      </w:r>
      <w:r>
        <w:t>a</w:t>
      </w:r>
      <w:r>
        <w:t>ción de la democracia, una mayor seguridad social, crecientes fuentes de trabajo, alto valor agregado nacional, mejor nivel de vida para la población y mayor sober</w:t>
      </w:r>
      <w:r>
        <w:t>a</w:t>
      </w:r>
      <w:r>
        <w:t>nía del país. Entre el articulado constitucional que fundamenta esta política podemos mencionar:</w:t>
      </w:r>
    </w:p>
    <w:p w:rsidR="00000000" w:rsidRDefault="00000000">
      <w:pPr>
        <w:pStyle w:val="SingleTxt"/>
        <w:ind w:left="1742" w:hanging="475"/>
      </w:pPr>
      <w:r>
        <w:tab/>
      </w:r>
      <w:r>
        <w:rPr>
          <w:b/>
        </w:rPr>
        <w:t>Art. 86</w:t>
      </w:r>
      <w:r>
        <w:t xml:space="preserve">: </w:t>
      </w:r>
      <w:r>
        <w:rPr>
          <w:i/>
        </w:rPr>
        <w:t>Toda persona tiene derecho a la seguridad social como servicio p</w:t>
      </w:r>
      <w:r>
        <w:rPr>
          <w:i/>
        </w:rPr>
        <w:t>ú</w:t>
      </w:r>
      <w:r>
        <w:rPr>
          <w:i/>
        </w:rPr>
        <w:t>blico de carácter no lucrativo, que garantice la salud y asegure protección en contingencias de maternidad, paternidad, enfermedad ... El Estado tiene la obligación de asegurar la efectividad de este derecho, creando un sistema de seguridad social universal integral, de financi</w:t>
      </w:r>
      <w:r>
        <w:rPr>
          <w:i/>
        </w:rPr>
        <w:t>a</w:t>
      </w:r>
      <w:r>
        <w:rPr>
          <w:i/>
        </w:rPr>
        <w:t>miento solidario</w:t>
      </w:r>
      <w:r>
        <w:t>.</w:t>
      </w:r>
    </w:p>
    <w:p w:rsidR="00000000" w:rsidRDefault="00000000">
      <w:pPr>
        <w:pStyle w:val="SingleTxt"/>
        <w:ind w:left="1742" w:hanging="475"/>
      </w:pPr>
      <w:r>
        <w:tab/>
      </w:r>
      <w:r>
        <w:rPr>
          <w:b/>
        </w:rPr>
        <w:t>Art. 306</w:t>
      </w:r>
      <w:r>
        <w:t xml:space="preserve">: </w:t>
      </w:r>
      <w:r>
        <w:rPr>
          <w:i/>
        </w:rPr>
        <w:t>El Estado promoverá las condiciones para el desarrollo rural int</w:t>
      </w:r>
      <w:r>
        <w:rPr>
          <w:i/>
        </w:rPr>
        <w:t>e</w:t>
      </w:r>
      <w:r>
        <w:rPr>
          <w:i/>
        </w:rPr>
        <w:t>gral, con el propósito de generar empleo y garantizar a la población campes</w:t>
      </w:r>
      <w:r>
        <w:rPr>
          <w:i/>
        </w:rPr>
        <w:t>i</w:t>
      </w:r>
      <w:r>
        <w:rPr>
          <w:i/>
        </w:rPr>
        <w:t>na u nivel adecuado de bienestar, así como su incorporación al desarrollo n</w:t>
      </w:r>
      <w:r>
        <w:rPr>
          <w:i/>
        </w:rPr>
        <w:t>a</w:t>
      </w:r>
      <w:r>
        <w:rPr>
          <w:i/>
        </w:rPr>
        <w:t>cional. Igualmente fomentará la actividad agrícola y el uso óptimo de la tierra mediante la dotación de las obras de infraestructura, insumo, créditos, serv</w:t>
      </w:r>
      <w:r>
        <w:rPr>
          <w:i/>
        </w:rPr>
        <w:t>i</w:t>
      </w:r>
      <w:r>
        <w:rPr>
          <w:i/>
        </w:rPr>
        <w:t>cios de capacitación y asistencia técnica</w:t>
      </w:r>
      <w:r>
        <w:t>.</w:t>
      </w:r>
    </w:p>
    <w:p w:rsidR="00000000" w:rsidRDefault="00000000">
      <w:pPr>
        <w:pStyle w:val="SingleTxt"/>
        <w:numPr>
          <w:ilvl w:val="0"/>
          <w:numId w:val="214"/>
        </w:numPr>
      </w:pPr>
      <w:r>
        <w:rPr>
          <w:w w:val="101"/>
        </w:rPr>
        <w:t>El derecho al trabajo como derecho inalienable de todo ser humano está pla</w:t>
      </w:r>
      <w:r>
        <w:rPr>
          <w:w w:val="101"/>
        </w:rPr>
        <w:t>n</w:t>
      </w:r>
      <w:r>
        <w:rPr>
          <w:w w:val="101"/>
        </w:rPr>
        <w:t xml:space="preserve">teado en el artículo 87 de la Constitución de la República Bolivariana de Venezuela tal como se muestra a continuación </w:t>
      </w:r>
      <w:r>
        <w:rPr>
          <w:i/>
          <w:w w:val="101"/>
        </w:rPr>
        <w:t>“Toda persona tiene derecho al trabajo y el deber de trabajar. El Estado garantizará la adopción de las medidas necesarias a los fines de que toda persona pueda tener ocupación productiva que le proporcione una exi</w:t>
      </w:r>
      <w:r>
        <w:rPr>
          <w:i/>
          <w:w w:val="101"/>
        </w:rPr>
        <w:t>s</w:t>
      </w:r>
      <w:r>
        <w:rPr>
          <w:i/>
          <w:w w:val="101"/>
        </w:rPr>
        <w:t>tencia digna y decorosa y le garantice el pleno ejercicio de este derecho. Es fin del estado fomentar el empleo. La ley adoptará medidas tendentes a garantizar el ejerc</w:t>
      </w:r>
      <w:r>
        <w:rPr>
          <w:i/>
          <w:w w:val="101"/>
        </w:rPr>
        <w:t>i</w:t>
      </w:r>
      <w:r>
        <w:rPr>
          <w:i/>
          <w:w w:val="101"/>
        </w:rPr>
        <w:t>cio de los derechos laborales de trabajadoras y trabajadores no dependientes. La l</w:t>
      </w:r>
      <w:r>
        <w:rPr>
          <w:i/>
          <w:w w:val="101"/>
        </w:rPr>
        <w:t>i</w:t>
      </w:r>
      <w:r>
        <w:rPr>
          <w:i/>
          <w:w w:val="101"/>
        </w:rPr>
        <w:t>bertad de trabajo no será sometida a otra restricciones a lo que la ley estable</w:t>
      </w:r>
      <w:r>
        <w:rPr>
          <w:i/>
          <w:w w:val="101"/>
        </w:rPr>
        <w:t>z</w:t>
      </w:r>
      <w:r>
        <w:rPr>
          <w:i/>
          <w:w w:val="101"/>
        </w:rPr>
        <w:t>ca”</w:t>
      </w:r>
      <w:r>
        <w:rPr>
          <w:i/>
        </w:rPr>
        <w:t>.</w:t>
      </w:r>
    </w:p>
    <w:p w:rsidR="00000000" w:rsidRDefault="00000000">
      <w:pPr>
        <w:pStyle w:val="SingleTxt"/>
        <w:numPr>
          <w:ilvl w:val="0"/>
          <w:numId w:val="214"/>
        </w:numPr>
      </w:pPr>
      <w:r>
        <w:t>También citamos el artículo 88: “</w:t>
      </w:r>
      <w:r>
        <w:rPr>
          <w:i/>
        </w:rPr>
        <w:t>El estado garantizará la igualdad y equidad de hombres y mujeres en el ejercicio del derecho al trabajo. El Estado reconocerá el trabajo del hogar como actividad económica que crea valor agregado y produce r</w:t>
      </w:r>
      <w:r>
        <w:rPr>
          <w:i/>
        </w:rPr>
        <w:t>i</w:t>
      </w:r>
      <w:r>
        <w:rPr>
          <w:i/>
        </w:rPr>
        <w:t>queza y bienestar social. Las amas de casa tienen derecho a la seguridad social de conformidad con la ley</w:t>
      </w:r>
      <w:r>
        <w:t>”.</w:t>
      </w:r>
    </w:p>
    <w:p w:rsidR="00000000" w:rsidRDefault="00000000">
      <w:pPr>
        <w:pStyle w:val="SingleTxt"/>
        <w:numPr>
          <w:ilvl w:val="0"/>
          <w:numId w:val="214"/>
        </w:numPr>
      </w:pPr>
      <w:r>
        <w:t>En relación a las mismas oportunidades de empleo y a los criterios de sele</w:t>
      </w:r>
      <w:r>
        <w:t>c</w:t>
      </w:r>
      <w:r>
        <w:t>ción , los artículos 26, 632 y 381 de la Ley Orgánica del Trabajo prohíben el examen de embarazo precontractual y las sanciones para aquel que vulnere las disposiciones protectoras de la maternidad.</w:t>
      </w:r>
    </w:p>
    <w:p w:rsidR="00000000" w:rsidRDefault="00000000">
      <w:pPr>
        <w:pStyle w:val="SingleTxt"/>
        <w:numPr>
          <w:ilvl w:val="0"/>
          <w:numId w:val="214"/>
        </w:numPr>
      </w:pPr>
      <w:r>
        <w:t>La legislación venezolana garantiza el derecho a elegir profesión , empleo , el derecho a ascenso, a la estabilidad en el empleo, a las prestaciones y otras condici</w:t>
      </w:r>
      <w:r>
        <w:t>o</w:t>
      </w:r>
      <w:r>
        <w:t>nes de servicio que rigen las relaciones laborales del trabajo que son derechos con</w:t>
      </w:r>
      <w:r>
        <w:t>s</w:t>
      </w:r>
      <w:r>
        <w:t>titucionales consagrados en los artículos 87,88 y 89 y en el artículo 2 de la Ley O</w:t>
      </w:r>
      <w:r>
        <w:t>r</w:t>
      </w:r>
      <w:r>
        <w:t>gánica del Trabajo.</w:t>
      </w:r>
    </w:p>
    <w:p w:rsidR="00000000" w:rsidRDefault="00000000">
      <w:pPr>
        <w:pStyle w:val="SingleTxt"/>
        <w:numPr>
          <w:ilvl w:val="0"/>
          <w:numId w:val="214"/>
        </w:numPr>
      </w:pPr>
      <w:r>
        <w:t xml:space="preserve">El derecho a igual remuneración se encuentra desarrollado en el artículo 91 de la Constitución de la República Bolivariana de Venezuela. “... </w:t>
      </w:r>
      <w:r>
        <w:rPr>
          <w:i/>
        </w:rPr>
        <w:t>Se garantiza el pago de igual salario por igual trabajo”.</w:t>
      </w:r>
      <w:r>
        <w:t xml:space="preserve"> Planteado en el Convenio 111 de la Organiz</w:t>
      </w:r>
      <w:r>
        <w:t>a</w:t>
      </w:r>
      <w:r>
        <w:t>ción Internacional del Trabajo, ratificado por Ven</w:t>
      </w:r>
      <w:r>
        <w:t>e</w:t>
      </w:r>
      <w:r>
        <w:t>zuela el 03 de junio de 1971.</w:t>
      </w:r>
    </w:p>
    <w:p w:rsidR="00000000" w:rsidRDefault="00000000">
      <w:pPr>
        <w:pStyle w:val="SingleTxt"/>
        <w:numPr>
          <w:ilvl w:val="0"/>
          <w:numId w:val="214"/>
        </w:numPr>
      </w:pPr>
      <w:r>
        <w:t>En lo que respecta al derecho a la seguridad social y a la protección de la salud y a la seguridad en las condiciones de trabajo, constituyen un principio que rige las relaciones de trabajo, y se encuentra presente en la Constitución Venezolana como en las Leyes Laborales incluyendo convenios Internacionales ratificados por nuestra República. El derecho a la seguridad social como un derecho de todas las personas incluye a aquellas que no tienen capacidad contributiva, el sistema de seguridad s</w:t>
      </w:r>
      <w:r>
        <w:t>o</w:t>
      </w:r>
      <w:r>
        <w:t>cial no esta rel</w:t>
      </w:r>
      <w:r>
        <w:t>a</w:t>
      </w:r>
      <w:r>
        <w:t>cionada única y exclusivamente a la actividad laboral de la persona.</w:t>
      </w:r>
    </w:p>
    <w:p w:rsidR="00000000" w:rsidRDefault="00000000">
      <w:pPr>
        <w:pStyle w:val="SingleTxt"/>
        <w:numPr>
          <w:ilvl w:val="0"/>
          <w:numId w:val="214"/>
        </w:numPr>
      </w:pPr>
      <w:r>
        <w:t>Las mujeres embarazadas trabajadoras están amparadas por el fuero maternal de inamovilidad hasta por un año después del parto (Artículo 384 de la Ley Orgán</w:t>
      </w:r>
      <w:r>
        <w:t>i</w:t>
      </w:r>
      <w:r>
        <w:t>ca del Trabajo, Convenio Número 3 de la OIT, Artículo 4).</w:t>
      </w:r>
    </w:p>
    <w:p w:rsidR="00000000" w:rsidRDefault="00000000">
      <w:pPr>
        <w:pStyle w:val="SingleTxt"/>
        <w:numPr>
          <w:ilvl w:val="0"/>
          <w:numId w:val="214"/>
        </w:numPr>
      </w:pPr>
      <w:r>
        <w:t>Los artículos 97,103 y 385 de la Ley Orgánica del Trabajo y el Convenio N</w:t>
      </w:r>
      <w:r>
        <w:t>ú</w:t>
      </w:r>
      <w:r>
        <w:t>mero 3 de la Organización Internacional del Trabajo ratificado por la República el 20 de noviembre de 1944, tienen como principio la conservación de la relación del trabajo y la protección de la seguridad social. Actualmente se encuentra sometido a la consideración de la Asamblea Nacional el convenio Número 183 sobre la prote</w:t>
      </w:r>
      <w:r>
        <w:t>c</w:t>
      </w:r>
      <w:r>
        <w:t>ción de la maternidad.</w:t>
      </w:r>
    </w:p>
    <w:p w:rsidR="00000000" w:rsidRDefault="00000000">
      <w:pPr>
        <w:pStyle w:val="SingleTxt"/>
        <w:numPr>
          <w:ilvl w:val="0"/>
          <w:numId w:val="214"/>
        </w:numPr>
      </w:pPr>
      <w:r>
        <w:rPr>
          <w:spacing w:val="2"/>
          <w:w w:val="102"/>
        </w:rPr>
        <w:t>La maternidad y la paternidad son protegidas integralmente según el artículo 76 de la Constitución de la República Bolivariana de Venezuela, la legislación laboral presta protección a la mujer durante el embarazo, dispone que ante actividades riesg</w:t>
      </w:r>
      <w:r>
        <w:rPr>
          <w:spacing w:val="2"/>
          <w:w w:val="102"/>
        </w:rPr>
        <w:t>o</w:t>
      </w:r>
      <w:r>
        <w:rPr>
          <w:spacing w:val="2"/>
          <w:w w:val="102"/>
        </w:rPr>
        <w:t>sas para el embarazo, la trabajadora puede negarse a prestar servicios según lo plante</w:t>
      </w:r>
      <w:r>
        <w:rPr>
          <w:spacing w:val="2"/>
          <w:w w:val="102"/>
        </w:rPr>
        <w:t>a</w:t>
      </w:r>
      <w:r>
        <w:rPr>
          <w:spacing w:val="2"/>
          <w:w w:val="102"/>
        </w:rPr>
        <w:t>do en Ley del Trabajo, artículos de la 103, parágrafo único, literal b, del artículo 236 y en el artículo 384 . Y en el artículo 16, literal b y el artículo 18 de su reglame</w:t>
      </w:r>
      <w:r>
        <w:rPr>
          <w:spacing w:val="2"/>
          <w:w w:val="102"/>
        </w:rPr>
        <w:t>n</w:t>
      </w:r>
      <w:r>
        <w:rPr>
          <w:spacing w:val="2"/>
          <w:w w:val="102"/>
        </w:rPr>
        <w:t>to</w:t>
      </w:r>
      <w:r>
        <w:t>.</w:t>
      </w:r>
    </w:p>
    <w:p w:rsidR="00000000" w:rsidRDefault="00000000">
      <w:pPr>
        <w:pStyle w:val="SingleTxt"/>
        <w:numPr>
          <w:ilvl w:val="0"/>
          <w:numId w:val="214"/>
        </w:numPr>
      </w:pPr>
      <w:r>
        <w:t>En cuanto a las condiciones de protección a la mujer embarazada en los trab</w:t>
      </w:r>
      <w:r>
        <w:t>a</w:t>
      </w:r>
      <w:r>
        <w:t>jos formales, la Ley Orgánica del Trabajo, aprobada en diciembre de 1990, que e</w:t>
      </w:r>
      <w:r>
        <w:t>n</w:t>
      </w:r>
      <w:r>
        <w:t>tró en vigencia el 01 de mayo de 1991, en el Capítulo VI, sustituye la denominación anterior de “</w:t>
      </w:r>
      <w:r>
        <w:rPr>
          <w:i/>
        </w:rPr>
        <w:t>Protección a la Mujer y al Menor</w:t>
      </w:r>
      <w:r>
        <w:t>” por la de “</w:t>
      </w:r>
      <w:r>
        <w:rPr>
          <w:i/>
        </w:rPr>
        <w:t>Protección a la Matern</w:t>
      </w:r>
      <w:r>
        <w:rPr>
          <w:i/>
        </w:rPr>
        <w:t>i</w:t>
      </w:r>
      <w:r>
        <w:rPr>
          <w:i/>
        </w:rPr>
        <w:t>dad y a la Familia</w:t>
      </w:r>
      <w:r>
        <w:t>”, consagró los siguientes avances:</w:t>
      </w:r>
    </w:p>
    <w:p w:rsidR="00000000" w:rsidRDefault="00000000">
      <w:pPr>
        <w:pStyle w:val="SingleTxt"/>
        <w:tabs>
          <w:tab w:val="right" w:pos="1685"/>
        </w:tabs>
        <w:ind w:left="1742" w:hanging="475"/>
      </w:pPr>
      <w:r>
        <w:tab/>
        <w:t>•</w:t>
      </w:r>
      <w:r>
        <w:tab/>
        <w:t>Se extiende el período establecido por concepto de permiso de maternidad a 12 semanas para el post-natal.</w:t>
      </w:r>
    </w:p>
    <w:p w:rsidR="00000000" w:rsidRDefault="00000000">
      <w:pPr>
        <w:pStyle w:val="SingleTxt"/>
        <w:tabs>
          <w:tab w:val="right" w:pos="1685"/>
        </w:tabs>
        <w:ind w:left="1742" w:hanging="475"/>
      </w:pPr>
      <w:r>
        <w:tab/>
        <w:t>•</w:t>
      </w:r>
      <w:r>
        <w:tab/>
        <w:t>La Mujer trabajadora que adopte a un menor de tres años, tendrá  derecho a un descanso de maternidad durante un período de dos meses, contados a partir de la entrega del menor.</w:t>
      </w:r>
    </w:p>
    <w:p w:rsidR="00000000" w:rsidRDefault="00000000">
      <w:pPr>
        <w:pStyle w:val="SingleTxt"/>
        <w:tabs>
          <w:tab w:val="right" w:pos="1685"/>
        </w:tabs>
        <w:ind w:left="1742" w:hanging="475"/>
      </w:pPr>
      <w:r>
        <w:tab/>
        <w:t>•</w:t>
      </w:r>
      <w:r>
        <w:tab/>
        <w:t xml:space="preserve">Durante el período de la lactancia, la mujer tendrá derecho a dos descansos diarios de media hora cada uno para alimentar a su hijo o hija en la guardería de la empresa. </w:t>
      </w:r>
    </w:p>
    <w:p w:rsidR="00000000" w:rsidRDefault="00000000">
      <w:pPr>
        <w:pStyle w:val="SingleTxt"/>
        <w:numPr>
          <w:ilvl w:val="0"/>
          <w:numId w:val="214"/>
        </w:numPr>
      </w:pPr>
      <w:r>
        <w:rPr>
          <w:w w:val="102"/>
        </w:rPr>
        <w:t>La mujer embarazada no podrá ser trasladada de su lugar de trabajo y goza de inamovilidad no solamente durante el embarazo, sino hasta un año después del pa</w:t>
      </w:r>
      <w:r>
        <w:rPr>
          <w:w w:val="102"/>
        </w:rPr>
        <w:t>r</w:t>
      </w:r>
      <w:r>
        <w:rPr>
          <w:w w:val="102"/>
        </w:rPr>
        <w:t>to</w:t>
      </w:r>
      <w:r>
        <w:t>.</w:t>
      </w:r>
    </w:p>
    <w:p w:rsidR="00000000" w:rsidRDefault="00000000">
      <w:pPr>
        <w:pStyle w:val="SingleTxt"/>
        <w:numPr>
          <w:ilvl w:val="0"/>
          <w:numId w:val="214"/>
        </w:numPr>
      </w:pPr>
      <w:r>
        <w:t>Otros de los argumentos legales que amparan la situación laboral de la mujer en Venezuela, es el Decreto 2506 de fecha 27-08-92, que regula las formas de cu</w:t>
      </w:r>
      <w:r>
        <w:t>m</w:t>
      </w:r>
      <w:r>
        <w:t>plimiento de la obligación de los patronos(as) respecto al cuidado integral de los hijos (as) de los trabajadores (as), el Presidente de la República dictó, mediante D</w:t>
      </w:r>
      <w:r>
        <w:t>e</w:t>
      </w:r>
      <w:r>
        <w:t>creto, el Reglamento de la Ley Orgánica del Trabajo sobre el Cuidado Integral de los Hijos(as) de los Trabajadores (as), estableciendo que:</w:t>
      </w:r>
      <w:r>
        <w:rPr>
          <w:i/>
        </w:rPr>
        <w:t xml:space="preserve"> El patrono que ocupe a más de veinte (20) trabajadores, debe mantener una guardería infantil donde pu</w:t>
      </w:r>
      <w:r>
        <w:rPr>
          <w:i/>
        </w:rPr>
        <w:t>e</w:t>
      </w:r>
      <w:r>
        <w:rPr>
          <w:i/>
        </w:rPr>
        <w:t>dan dejar a sus hijos durante la jornada de trabajo. En la reglamentación de esta Ley por Resoluciones Especiales se determinarán las condiciones mínimas para el establecimiento de guarderías y se harán los señalamientos necesarios con el objeto de cumplir los fines para los cuales han sido creadas.</w:t>
      </w:r>
    </w:p>
    <w:p w:rsidR="00000000" w:rsidRDefault="00000000">
      <w:pPr>
        <w:pStyle w:val="SingleTxt"/>
        <w:numPr>
          <w:ilvl w:val="0"/>
          <w:numId w:val="214"/>
        </w:numPr>
      </w:pPr>
      <w:r>
        <w:t>En el censo del 2001 la tasa de actividad neta correspondió a 55,1; es decir, de cada 100 personas de 15 años o más, 55 se declararon activas (ocupadas o desoc</w:t>
      </w:r>
      <w:r>
        <w:t>u</w:t>
      </w:r>
      <w:r>
        <w:t>padas). En el censo de 1990 esta tasa fue de 55,4. Tomando en cuenta el sexo, se destaca el incremento de la participación de las mujeres dentro de la actividad ec</w:t>
      </w:r>
      <w:r>
        <w:t>o</w:t>
      </w:r>
      <w:r>
        <w:t>nómica. Su tasa de actividad pasa de 33,8 % en 1990 a 37,5% en el 2001, mientras que la tasa masculina desciende, pasando de 77,6% a 73,5%. Estos cambios, según el Instituto Nacional de Estadísticas (INE), ya han sido observados en sociedades donde se incrementa la incorporación de la población al sistema educativo y, en consecuencia, hay una mayor incorporación de las mujeres a la fuerza de trabajo.</w:t>
      </w:r>
    </w:p>
    <w:p w:rsidR="00000000" w:rsidRDefault="00000000">
      <w:pPr>
        <w:pStyle w:val="SingleTxt"/>
        <w:numPr>
          <w:ilvl w:val="0"/>
          <w:numId w:val="214"/>
        </w:numPr>
      </w:pPr>
      <w:r>
        <w:t>En febrero de 2002 se registró una Tasa de Desempleo</w:t>
      </w:r>
      <w:r>
        <w:rPr>
          <w:rStyle w:val="FootnoteReference"/>
          <w:rFonts w:ascii="Arial" w:hAnsi="Arial"/>
        </w:rPr>
        <w:footnoteReference w:customMarkFollows="1" w:id="6"/>
        <w:t>2</w:t>
      </w:r>
      <w:r>
        <w:t xml:space="preserve"> del 15%, es decir 1.710.643 personas. La tasa de desocupación por sexo, fue mayor en las mujeres, registrándose un 17,2%, mientras que en los hombres fue de 13,6%.</w:t>
      </w:r>
    </w:p>
    <w:p w:rsidR="00000000" w:rsidRDefault="00000000">
      <w:pPr>
        <w:pStyle w:val="SingleTxt"/>
        <w:numPr>
          <w:ilvl w:val="0"/>
          <w:numId w:val="214"/>
        </w:numPr>
      </w:pPr>
      <w:r>
        <w:t>Para este mismo período, del total de la población de mujeres de 15 años y más estimada en 8.313.152, el 53,7%, representado por 4.472.424, integraban la fuerza de trabajo; de éstas el 82.8% se encontraban ocupadas, mientras que 769.277 (17,2%) estaban desocupadas; como cesantes se registraron 691.709, (15,5%) y bu</w:t>
      </w:r>
      <w:r>
        <w:t>s</w:t>
      </w:r>
      <w:r>
        <w:t>cando trabajo por primera vez 77.568, (1,7%). El porcentaje de inactivas o no inco</w:t>
      </w:r>
      <w:r>
        <w:t>r</w:t>
      </w:r>
      <w:r>
        <w:t>poradas a la fuerza de trabajo, corresponde al 46,2% es decir a 3.840.728 mujeres, en el cual se destaca el sector correspondiente a las amas de casa 2.619.276 (más del 68,19%)</w:t>
      </w:r>
      <w:r>
        <w:rPr>
          <w:rStyle w:val="FootnoteReference"/>
          <w:sz w:val="24"/>
        </w:rPr>
        <w:footnoteReference w:id="7"/>
      </w:r>
      <w:r>
        <w:t>. En Venezuela, en los datos oficiales emitidos por el Instituto Nacional de Estadística, el trabajo doméstico no remunerado, realizado por las mujeres, no es considerado como una actividad económica a pesar del valor agregado que éste pr</w:t>
      </w:r>
      <w:r>
        <w:t>o</w:t>
      </w:r>
      <w:r>
        <w:t>duce dentro de la economía de los hogares venezolanos, y que es reconocido por el Art. 88 de la Constitución de la República Bolivariana de Venezuela.</w:t>
      </w:r>
    </w:p>
    <w:p w:rsidR="00000000" w:rsidRDefault="00000000">
      <w:pPr>
        <w:pStyle w:val="SingleTxt"/>
        <w:numPr>
          <w:ilvl w:val="0"/>
          <w:numId w:val="214"/>
        </w:numPr>
      </w:pPr>
      <w:r>
        <w:t>En el caso de los hombres, para el mismo período, del total de la población de 15 años y más 8.285.943, el 83,3%, es decir, 6.904.703 integraban la fuerza de tr</w:t>
      </w:r>
      <w:r>
        <w:t>a</w:t>
      </w:r>
      <w:r>
        <w:t>bajo, de éstos el 86.4%, 5.963.337, se encontraban ocupados, mientras que el 13,6%, 941.366, estaban desocupados; como cesantes el 12,9% ,891.505 y buscando trabajo por primera vez el 0,7%, 49.851. El porcentaje de inactivos corresponde al 16,7% es decir a 1.381.240 hombres.</w:t>
      </w:r>
    </w:p>
    <w:p w:rsidR="00000000" w:rsidRDefault="00000000">
      <w:pPr>
        <w:pStyle w:val="SingleTxt"/>
        <w:numPr>
          <w:ilvl w:val="0"/>
          <w:numId w:val="214"/>
        </w:numPr>
      </w:pPr>
      <w:r>
        <w:t>Algunos de los elementos que podríamos sustraer de lo anterior son los s</w:t>
      </w:r>
      <w:r>
        <w:t>i</w:t>
      </w:r>
      <w:r>
        <w:t>guientes:</w:t>
      </w:r>
    </w:p>
    <w:p w:rsidR="00000000" w:rsidRDefault="00000000">
      <w:pPr>
        <w:pStyle w:val="SingleTxt"/>
        <w:tabs>
          <w:tab w:val="right" w:pos="1685"/>
        </w:tabs>
        <w:ind w:left="1742" w:hanging="475"/>
      </w:pPr>
      <w:r>
        <w:tab/>
        <w:t>•</w:t>
      </w:r>
      <w:r>
        <w:tab/>
        <w:t>De la población de 15 años y más, el sector femenino supera al masculino en una cantidad de 27.209. Sin embargo, en la fuerza de trabajo, los hombres s</w:t>
      </w:r>
      <w:r>
        <w:t>u</w:t>
      </w:r>
      <w:r>
        <w:t>pera a las mujeres en un 29,6%. Esto indica que continúan existiendo cond</w:t>
      </w:r>
      <w:r>
        <w:t>i</w:t>
      </w:r>
      <w:r>
        <w:t>ciones sociales que favorecen el acceso de los hombres al trabajo más que el de las muj</w:t>
      </w:r>
      <w:r>
        <w:t>e</w:t>
      </w:r>
      <w:r>
        <w:t>res.</w:t>
      </w:r>
    </w:p>
    <w:p w:rsidR="00000000" w:rsidRDefault="00000000">
      <w:pPr>
        <w:pStyle w:val="SingleTxt"/>
        <w:tabs>
          <w:tab w:val="right" w:pos="1685"/>
        </w:tabs>
        <w:ind w:left="1742" w:hanging="475"/>
      </w:pPr>
      <w:r>
        <w:tab/>
        <w:t>•</w:t>
      </w:r>
      <w:r>
        <w:tab/>
        <w:t>Del total de la población en la fuerza de trabajo, el porcentaje de la población ocupada en el caso de los hombres, supera el porcentaje de la población oc</w:t>
      </w:r>
      <w:r>
        <w:t>u</w:t>
      </w:r>
      <w:r>
        <w:t xml:space="preserve">pada del sector femenino en un 3,6%. Así, en la clasificación buscando trabajo por primera vez, el sector femenino supera al masculino en 1%. </w:t>
      </w:r>
    </w:p>
    <w:p w:rsidR="00000000" w:rsidRDefault="00000000">
      <w:pPr>
        <w:pStyle w:val="SingleTxt"/>
        <w:tabs>
          <w:tab w:val="right" w:pos="1685"/>
        </w:tabs>
        <w:ind w:left="1742" w:hanging="475"/>
        <w:rPr>
          <w:w w:val="101"/>
        </w:rPr>
      </w:pPr>
      <w:r>
        <w:rPr>
          <w:w w:val="101"/>
        </w:rPr>
        <w:tab/>
        <w:t>•</w:t>
      </w:r>
      <w:r>
        <w:rPr>
          <w:w w:val="101"/>
        </w:rPr>
        <w:tab/>
        <w:t>El porcentaje de la clasificación población inactiva en las mujeres, supera a los hombres en un 29,5%, sin embargo el método de procesamiento de estos datos debe ser reconsiderado pues tal y como lo hemos señalado con anterioridad, en Venezuela, el Instituto Nacional de Estadísticas, toma como elemento de defin</w:t>
      </w:r>
      <w:r>
        <w:rPr>
          <w:w w:val="101"/>
        </w:rPr>
        <w:t>i</w:t>
      </w:r>
      <w:r>
        <w:rPr>
          <w:w w:val="101"/>
        </w:rPr>
        <w:t>ción de dicha clasificación los oficios del hogar y las trabajadoras domést</w:t>
      </w:r>
      <w:r>
        <w:rPr>
          <w:w w:val="101"/>
        </w:rPr>
        <w:t>i</w:t>
      </w:r>
      <w:r>
        <w:rPr>
          <w:w w:val="101"/>
        </w:rPr>
        <w:t xml:space="preserve">cas. </w:t>
      </w:r>
    </w:p>
    <w:p w:rsidR="00000000" w:rsidRDefault="00000000">
      <w:pPr>
        <w:pStyle w:val="SingleTxt"/>
        <w:numPr>
          <w:ilvl w:val="0"/>
          <w:numId w:val="214"/>
        </w:numPr>
      </w:pPr>
      <w:r>
        <w:t>La situación de crisis socioeconómica que ha vivido la sociedad venezolana durante las últimas décadas ha frenado la actividad productiva y aumentado signif</w:t>
      </w:r>
      <w:r>
        <w:t>i</w:t>
      </w:r>
      <w:r>
        <w:t>cativamente los niveles de desempleo. Uno de los grupos más perjudicado es la p</w:t>
      </w:r>
      <w:r>
        <w:t>o</w:t>
      </w:r>
      <w:r>
        <w:t>bl</w:t>
      </w:r>
      <w:r>
        <w:t>a</w:t>
      </w:r>
      <w:r>
        <w:t>ción femenina .</w:t>
      </w:r>
    </w:p>
    <w:p w:rsidR="00000000" w:rsidRDefault="00000000">
      <w:pPr>
        <w:pStyle w:val="SingleTxt"/>
        <w:numPr>
          <w:ilvl w:val="0"/>
          <w:numId w:val="214"/>
        </w:numPr>
      </w:pPr>
      <w:r>
        <w:t>Esta situación obliga al Estado venezolano a realizar esfuerzos para solventar los problemas de quienes no tienen empleo. Por lo que el Ejecutivo Nacional dete</w:t>
      </w:r>
      <w:r>
        <w:t>r</w:t>
      </w:r>
      <w:r>
        <w:t>mina como prioridad desarrollar la “Misión Vuelvan Caras”, en tanto herramienta estratégica que aporta directrices a fin de resolver esta problemática.</w:t>
      </w:r>
    </w:p>
    <w:p w:rsidR="00000000" w:rsidRDefault="00000000">
      <w:pPr>
        <w:pStyle w:val="SingleTxt"/>
        <w:numPr>
          <w:ilvl w:val="0"/>
          <w:numId w:val="214"/>
        </w:numPr>
      </w:pPr>
      <w:r>
        <w:t>La Misión Vuelvan Caras es un programa de desarrollo humano, sostenible y endógeno. Esta misión prepara a hombres y mujeres para que puedan reconocer los recursos de sus regiones y puedan aprovecharlos adecuadamente. Con esto, existen más fuentes de empleo dentro de las comunidades, que son aprovechadas por sus mismos integrantes. Su objetivo es incorporar a los ciudadanos y ciudadanas a la economía de cada región del país para:</w:t>
      </w:r>
    </w:p>
    <w:p w:rsidR="00000000" w:rsidRDefault="00000000">
      <w:pPr>
        <w:pStyle w:val="SingleTxt"/>
        <w:tabs>
          <w:tab w:val="right" w:pos="1685"/>
        </w:tabs>
        <w:ind w:left="1742" w:hanging="475"/>
      </w:pPr>
      <w:r>
        <w:tab/>
        <w:t>•</w:t>
      </w:r>
      <w:r>
        <w:tab/>
        <w:t>Alcanzar el desarrollo personal y comunitario</w:t>
      </w:r>
    </w:p>
    <w:p w:rsidR="00000000" w:rsidRDefault="00000000">
      <w:pPr>
        <w:pStyle w:val="SingleTxt"/>
        <w:tabs>
          <w:tab w:val="right" w:pos="1685"/>
        </w:tabs>
        <w:ind w:left="1742" w:hanging="475"/>
      </w:pPr>
      <w:r>
        <w:tab/>
        <w:t>•</w:t>
      </w:r>
      <w:r>
        <w:tab/>
        <w:t>Transformar sus propios recurso para producir nuevas fuentes de empleo</w:t>
      </w:r>
    </w:p>
    <w:p w:rsidR="00000000" w:rsidRDefault="00000000">
      <w:pPr>
        <w:pStyle w:val="SingleTxt"/>
        <w:tabs>
          <w:tab w:val="right" w:pos="1685"/>
        </w:tabs>
        <w:ind w:left="1742" w:hanging="475"/>
      </w:pPr>
      <w:r>
        <w:tab/>
        <w:t>•</w:t>
      </w:r>
      <w:r>
        <w:tab/>
        <w:t>Interactuar con la naturaleza y la tecnología</w:t>
      </w:r>
    </w:p>
    <w:p w:rsidR="00000000" w:rsidRDefault="00000000">
      <w:pPr>
        <w:pStyle w:val="SingleTxt"/>
        <w:tabs>
          <w:tab w:val="right" w:pos="1685"/>
        </w:tabs>
        <w:ind w:left="1742" w:hanging="475"/>
      </w:pPr>
      <w:r>
        <w:tab/>
        <w:t>•</w:t>
      </w:r>
      <w:r>
        <w:tab/>
        <w:t>Preservar el medio ambiente y aprovecharlo correctamente</w:t>
      </w:r>
    </w:p>
    <w:p w:rsidR="00000000" w:rsidRDefault="00000000">
      <w:pPr>
        <w:pStyle w:val="SingleTxt"/>
        <w:tabs>
          <w:tab w:val="right" w:pos="1685"/>
        </w:tabs>
        <w:ind w:left="1742" w:hanging="475"/>
      </w:pPr>
      <w:r>
        <w:tab/>
        <w:t>•</w:t>
      </w:r>
      <w:r>
        <w:tab/>
        <w:t>Desarrollar las regiones del País</w:t>
      </w:r>
    </w:p>
    <w:p w:rsidR="00000000" w:rsidRDefault="00000000">
      <w:pPr>
        <w:pStyle w:val="SingleTxt"/>
        <w:tabs>
          <w:tab w:val="right" w:pos="1685"/>
        </w:tabs>
        <w:ind w:left="1742" w:hanging="475"/>
      </w:pPr>
      <w:r>
        <w:tab/>
        <w:t>•</w:t>
      </w:r>
      <w:r>
        <w:tab/>
        <w:t>Elevar la calidad de vida.</w:t>
      </w:r>
    </w:p>
    <w:p w:rsidR="00000000" w:rsidRDefault="00000000">
      <w:pPr>
        <w:pStyle w:val="SingleTxt"/>
        <w:numPr>
          <w:ilvl w:val="0"/>
          <w:numId w:val="214"/>
        </w:numPr>
      </w:pPr>
      <w:r>
        <w:t>En 2004, en el país se han puesto en marcha más de 40 núcleos endógenos de desarrollo, dependiendo de las necesidades de cada región.</w:t>
      </w:r>
    </w:p>
    <w:p w:rsidR="00000000" w:rsidRDefault="00000000">
      <w:pPr>
        <w:pStyle w:val="SingleTxt"/>
        <w:numPr>
          <w:ilvl w:val="0"/>
          <w:numId w:val="214"/>
        </w:numPr>
      </w:pPr>
      <w:r>
        <w:t>Respecto a los hogares jefaturados por mujeres y su situación dentro de la fuerza de trabajo encontramos, según cifras oficiales, que en el Primer Semestre del año 1995, el total de hogares sin pareja es de 1.174.486. De esta cifra total se des</w:t>
      </w:r>
      <w:r>
        <w:t>a</w:t>
      </w:r>
      <w:r>
        <w:t>grega en 843.281 mujeres que fungían como jefas de hogar. Siete (7) años después , segundo semestre de 2002, el número de mujeres jefas de hogar, crece en un 14%, para situarse en 1.213.634. De este número de mujeres, 768.282 se encontraban i</w:t>
      </w:r>
      <w:r>
        <w:t>n</w:t>
      </w:r>
      <w:r>
        <w:t>mersas en la fuerza de trabajo ocupadas; 691.341 de las cuales 688.436 percibían remuneración por su trabajo, 2905 se desempeñaban como ayudantes familiares. Así mismo, de la cifra total de mujeres jefas de hogar (1.213.674), 76941 manifestaron estar desocupadas, desagregándose este dato de la siguiente manera: 74.540 cesantes y 2.041 buscando trabajo por primera vez.</w:t>
      </w:r>
    </w:p>
    <w:p w:rsidR="00000000" w:rsidRDefault="00000000">
      <w:pPr>
        <w:pStyle w:val="SingleTxt"/>
        <w:numPr>
          <w:ilvl w:val="0"/>
          <w:numId w:val="214"/>
        </w:numPr>
      </w:pPr>
      <w:r>
        <w:t>De igual manera para este mismo semestre de 2002, del total de jefas de hogar 445.392 se encontraban fuera de la fuerza de trabajo, subdividiéndose su situación como sigue: estudiantes 7.276, quehaceres del hogar 331.648, otra situación 82.819 e incapacitadas 23.649</w:t>
      </w:r>
    </w:p>
    <w:p w:rsidR="00000000" w:rsidRDefault="00000000">
      <w:pPr>
        <w:pStyle w:val="SingleTxt"/>
        <w:numPr>
          <w:ilvl w:val="0"/>
          <w:numId w:val="214"/>
        </w:numPr>
      </w:pPr>
      <w:r>
        <w:t xml:space="preserve">En los casos donde la mujer Jefa de Hogar se encuentra ubicada fuera de la fuerza de trabajo, se registra principalmente como dedicada a “Quehaceres del Hogar”. </w:t>
      </w:r>
    </w:p>
    <w:p w:rsidR="00000000" w:rsidRDefault="00000000">
      <w:pPr>
        <w:pStyle w:val="SingleTxt"/>
        <w:numPr>
          <w:ilvl w:val="0"/>
          <w:numId w:val="214"/>
        </w:numPr>
      </w:pPr>
      <w:r>
        <w:t>La presencia de mujeres Jefas de Hogar es frecuente en los segmentos más p</w:t>
      </w:r>
      <w:r>
        <w:t>o</w:t>
      </w:r>
      <w:r>
        <w:t>bres de la población, haciendo crítica la situación de la mujer de escasos recursos , ya que significan una sobrecarga del tiempo de trabajo para poder garantizar la d</w:t>
      </w:r>
      <w:r>
        <w:t>o</w:t>
      </w:r>
      <w:r>
        <w:t>tación mínima requerida para la manutención de los miembros de la familia. El cu</w:t>
      </w:r>
      <w:r>
        <w:t>i</w:t>
      </w:r>
      <w:r>
        <w:t xml:space="preserve">dado de los niños(as) es también un factor limitante de oportunidades para las Jefas de Hogares pobres, además la alta proporción de adolescentes y de niños(as) en esos hogares presiona su incorporación al trabajo. </w:t>
      </w:r>
    </w:p>
    <w:p w:rsidR="00000000" w:rsidRDefault="00000000">
      <w:pPr>
        <w:pStyle w:val="SingleTxt"/>
        <w:numPr>
          <w:ilvl w:val="0"/>
          <w:numId w:val="214"/>
        </w:numPr>
      </w:pPr>
      <w:r>
        <w:t>La Jefa de Hogar trabaje o no fuera del hogar, continúa desempeñando las l</w:t>
      </w:r>
      <w:r>
        <w:t>a</w:t>
      </w:r>
      <w:r>
        <w:t>bores domésticas no remuneradas, las cuales no son consideradas dentro de la cat</w:t>
      </w:r>
      <w:r>
        <w:t>e</w:t>
      </w:r>
      <w:r>
        <w:t xml:space="preserve">goría Fuerza de Trabajo. Como hemos señalado en párrafos anteriores, la nueva Constitución de la República Bolivariana de Venezuela reconoce el valor económico del trabajo doméstico en su </w:t>
      </w:r>
      <w:r>
        <w:rPr>
          <w:i/>
        </w:rPr>
        <w:t>artículo 88.</w:t>
      </w:r>
    </w:p>
    <w:p w:rsidR="00000000" w:rsidRDefault="00000000">
      <w:pPr>
        <w:pStyle w:val="SingleTxt"/>
        <w:numPr>
          <w:ilvl w:val="0"/>
          <w:numId w:val="214"/>
        </w:numPr>
      </w:pPr>
      <w:r>
        <w:t>Para frenar el empobrecimiento del sector femenino y de la población en gen</w:t>
      </w:r>
      <w:r>
        <w:t>e</w:t>
      </w:r>
      <w:r>
        <w:t>ral, debido a las condiciones anteriormente señaladas, el Estado venezolano, desde 1999, ha implementado una serie de medidas de equidad e igualdad social:</w:t>
      </w:r>
    </w:p>
    <w:p w:rsidR="00000000" w:rsidRDefault="00000000">
      <w:pPr>
        <w:pStyle w:val="SingleTxt"/>
        <w:tabs>
          <w:tab w:val="right" w:pos="1685"/>
        </w:tabs>
        <w:ind w:left="1742" w:hanging="475"/>
      </w:pPr>
      <w:r>
        <w:rPr>
          <w:b/>
        </w:rPr>
        <w:tab/>
        <w:t>•</w:t>
      </w:r>
      <w:r>
        <w:rPr>
          <w:b/>
        </w:rPr>
        <w:tab/>
        <w:t>Creación del Banco del Pueblo Soberano</w:t>
      </w:r>
      <w:r>
        <w:t>, entidad establecida para otorgar microcréditos solidarios a la población venezolana, para así contribuir con el desarrollo económico y productivo de los y las microempresarios(as).</w:t>
      </w:r>
      <w:r>
        <w:rPr>
          <w:b/>
        </w:rPr>
        <w:t xml:space="preserve"> </w:t>
      </w:r>
      <w:r>
        <w:t>Miles de familias que viven de la producción artesanal han sido beneficiados con los programas del Banco del Pueblo Soberano. En el período comprendido entre 1999 y 2001, se han otorgado 2.502.440.000 bolívares ($1.303.354,16), en un total de 10.111 créditos, de los cuales 5.816 créditos han beneficiado a muj</w:t>
      </w:r>
      <w:r>
        <w:t>e</w:t>
      </w:r>
      <w:r>
        <w:t xml:space="preserve">res, es decir el 57 %. </w:t>
      </w:r>
    </w:p>
    <w:p w:rsidR="00000000" w:rsidRDefault="00000000">
      <w:pPr>
        <w:pStyle w:val="SingleTxt"/>
        <w:tabs>
          <w:tab w:val="right" w:pos="1685"/>
        </w:tabs>
        <w:ind w:left="1742" w:hanging="475"/>
      </w:pPr>
      <w:r>
        <w:tab/>
        <w:t>•</w:t>
      </w:r>
      <w:r>
        <w:tab/>
      </w:r>
      <w:r>
        <w:rPr>
          <w:b/>
        </w:rPr>
        <w:t>Creación del Banco de Desarrollo de la Mujer</w:t>
      </w:r>
      <w:r>
        <w:t>.</w:t>
      </w:r>
    </w:p>
    <w:p w:rsidR="00000000" w:rsidRDefault="00000000">
      <w:pPr>
        <w:pStyle w:val="SingleTxt"/>
        <w:tabs>
          <w:tab w:val="right" w:pos="1685"/>
        </w:tabs>
        <w:ind w:left="1742" w:hanging="475"/>
      </w:pPr>
      <w:r>
        <w:tab/>
      </w:r>
      <w:r>
        <w:tab/>
        <w:t>Desde su creación, en el 2001, hasta el 2004, ha aprobado unos 40.000 créd</w:t>
      </w:r>
      <w:r>
        <w:t>i</w:t>
      </w:r>
      <w:r>
        <w:t>tos. 96% para mujeres y 4% hombres.</w:t>
      </w:r>
    </w:p>
    <w:p w:rsidR="00000000" w:rsidRDefault="00000000">
      <w:pPr>
        <w:pStyle w:val="SingleTxt"/>
        <w:tabs>
          <w:tab w:val="right" w:pos="1685"/>
        </w:tabs>
        <w:ind w:left="1742" w:hanging="475"/>
        <w:rPr>
          <w:b/>
        </w:rPr>
      </w:pPr>
      <w:r>
        <w:tab/>
        <w:t>•</w:t>
      </w:r>
      <w:r>
        <w:tab/>
      </w:r>
      <w:r>
        <w:rPr>
          <w:b/>
        </w:rPr>
        <w:t>Creación del Fondo Microfinanciero</w:t>
      </w:r>
    </w:p>
    <w:p w:rsidR="00000000" w:rsidRDefault="00000000">
      <w:pPr>
        <w:pStyle w:val="SingleTxt"/>
        <w:tabs>
          <w:tab w:val="right" w:pos="1685"/>
        </w:tabs>
        <w:ind w:left="1742" w:hanging="475"/>
      </w:pPr>
      <w:r>
        <w:tab/>
      </w:r>
      <w:r>
        <w:tab/>
        <w:t>Desde el año 2001 hasta el 2003, ha otorgado 3.235 créditos a mujeres. Gen</w:t>
      </w:r>
      <w:r>
        <w:t>e</w:t>
      </w:r>
      <w:r>
        <w:t xml:space="preserve">rándose 5.775 empleos directos y 10.895 empleos indirectos. </w:t>
      </w:r>
    </w:p>
    <w:p w:rsidR="00000000" w:rsidRDefault="00000000">
      <w:pPr>
        <w:pStyle w:val="SingleTxt"/>
        <w:tabs>
          <w:tab w:val="right" w:pos="1685"/>
        </w:tabs>
        <w:ind w:left="1742" w:hanging="475"/>
        <w:rPr>
          <w:b/>
        </w:rPr>
      </w:pPr>
      <w:r>
        <w:rPr>
          <w:b/>
        </w:rPr>
        <w:tab/>
        <w:t>•</w:t>
      </w:r>
      <w:r>
        <w:rPr>
          <w:b/>
        </w:rPr>
        <w:tab/>
        <w:t>Creación del Programa de Cocinas Comunitarias</w:t>
      </w:r>
      <w:r>
        <w:t>, del Instituto Nacional de Nutrición, para ayudar a aquellas mujeres que poseen poca capacitación, ub</w:t>
      </w:r>
      <w:r>
        <w:t>i</w:t>
      </w:r>
      <w:r>
        <w:t>cadas en las zonas geográficas más pobres. Este programa está dirigido a co</w:t>
      </w:r>
      <w:r>
        <w:t>m</w:t>
      </w:r>
      <w:r>
        <w:t>batir la desnutrición y en el futuro se convertirán en microempresas de muj</w:t>
      </w:r>
      <w:r>
        <w:t>e</w:t>
      </w:r>
      <w:r>
        <w:t>res. Hasta los momentos, ha beneficiado a 15.846 lactantes y mujeres embar</w:t>
      </w:r>
      <w:r>
        <w:t>a</w:t>
      </w:r>
      <w:r>
        <w:t>zadas en 10 entidades federales, según cifras del Ministerio de Sanidad y D</w:t>
      </w:r>
      <w:r>
        <w:t>e</w:t>
      </w:r>
      <w:r>
        <w:t>sarrollo Social.</w:t>
      </w:r>
      <w:r>
        <w:rPr>
          <w:b/>
        </w:rPr>
        <w:t xml:space="preserve"> </w:t>
      </w:r>
    </w:p>
    <w:p w:rsidR="00000000" w:rsidRDefault="00000000">
      <w:pPr>
        <w:pStyle w:val="SingleTxt"/>
        <w:tabs>
          <w:tab w:val="right" w:pos="1685"/>
        </w:tabs>
        <w:ind w:left="1742" w:hanging="475"/>
      </w:pPr>
      <w:r>
        <w:tab/>
        <w:t>•</w:t>
      </w:r>
      <w:r>
        <w:tab/>
      </w:r>
      <w:r>
        <w:rPr>
          <w:b/>
        </w:rPr>
        <w:t>Creación de Mercal</w:t>
      </w:r>
    </w:p>
    <w:p w:rsidR="00000000" w:rsidRDefault="00000000">
      <w:pPr>
        <w:pStyle w:val="SingleTxt"/>
        <w:ind w:left="1742" w:hanging="475"/>
      </w:pPr>
      <w:r>
        <w:tab/>
        <w:t>Enmarcado dentro del Plan Estratégico de Seguridad Alimentaria, la Misión Mercal es una red de abastecimiento, distribución y venta de alimentos de la cesta básica, a bajo costo, a nivel nacional en los sectores populares. Con esta misión se pretende que los consumidores adquieran los productos de primera necesidad, a precios justos, eliminando cadenas de distribución que los hacían sumamente costosos .Ha b</w:t>
      </w:r>
      <w:r>
        <w:t>e</w:t>
      </w:r>
      <w:r>
        <w:t>neficiado a 57% de mujeres.</w:t>
      </w:r>
    </w:p>
    <w:p w:rsidR="00000000" w:rsidRDefault="00000000">
      <w:pPr>
        <w:pStyle w:val="SingleTxt"/>
        <w:numPr>
          <w:ilvl w:val="0"/>
          <w:numId w:val="214"/>
        </w:numPr>
      </w:pPr>
      <w:r>
        <w:t xml:space="preserve">El Instituto Nacional de la Mujer, realizó el </w:t>
      </w:r>
      <w:r>
        <w:rPr>
          <w:b/>
        </w:rPr>
        <w:t>“Foro Interinstitucional Prom</w:t>
      </w:r>
      <w:r>
        <w:rPr>
          <w:b/>
        </w:rPr>
        <w:t>o</w:t>
      </w:r>
      <w:r>
        <w:rPr>
          <w:b/>
        </w:rPr>
        <w:t>ción de la Igualdad de Oportunidades para Hombres y Mujeres en el Trabajo”</w:t>
      </w:r>
      <w:r>
        <w:t>.</w:t>
      </w:r>
      <w:r>
        <w:rPr>
          <w:b/>
        </w:rPr>
        <w:t xml:space="preserve"> </w:t>
      </w:r>
      <w:r>
        <w:t xml:space="preserve">De esta actividad se desprendieron una serie de Talleres Interinstitucionales, donde participaron dirigentes(as) laborales y mujeres incorporadas a la economía informal, con la finalidad de motivar la toma de conciencia con relación a la problemática de la mujer trabajadora y masificar el conocimiento acerca de la normativa legal que las ampara. </w:t>
      </w:r>
    </w:p>
    <w:p w:rsidR="00000000" w:rsidRDefault="00000000">
      <w:pPr>
        <w:pStyle w:val="SingleTxt"/>
        <w:numPr>
          <w:ilvl w:val="0"/>
          <w:numId w:val="214"/>
        </w:numPr>
      </w:pPr>
      <w:r>
        <w:t>A fin de contribuir con la superación de la feminización de la pobreza, la E</w:t>
      </w:r>
      <w:r>
        <w:t>m</w:t>
      </w:r>
      <w:r>
        <w:t>bajada de Estados Unidos y la Fundación para la Promoción de la Mujer, en 1999, efectuaron 3 talleres de Microempresas , en Caracas y los estados Vargas y Miranda</w:t>
      </w:r>
      <w:r>
        <w:rPr>
          <w:b/>
        </w:rPr>
        <w:t xml:space="preserve">. </w:t>
      </w:r>
    </w:p>
    <w:p w:rsidR="00000000" w:rsidRDefault="00000000">
      <w:pPr>
        <w:pStyle w:val="SingleTxt"/>
        <w:numPr>
          <w:ilvl w:val="0"/>
          <w:numId w:val="214"/>
        </w:numPr>
      </w:pPr>
      <w:r>
        <w:t>Inamujer estableció una alianza estratégica con El Banco del Pueblo Soberano, a través de la línea CREDIMUJER, por medio de la cual ha otorgado 70% de créd</w:t>
      </w:r>
      <w:r>
        <w:t>i</w:t>
      </w:r>
      <w:r>
        <w:t>tos solidarios (150 créditos) a las mujeres para instalar sus propias iniciativas ec</w:t>
      </w:r>
      <w:r>
        <w:t>o</w:t>
      </w:r>
      <w:r>
        <w:t>nómicas con seguridad de éxito y sin endeudamiento. El 30% de estos créditos están de</w:t>
      </w:r>
      <w:r>
        <w:t>s</w:t>
      </w:r>
      <w:r>
        <w:t xml:space="preserve">tinados a la mujer rural e indígena. </w:t>
      </w:r>
    </w:p>
    <w:p w:rsidR="00000000" w:rsidRDefault="00000000">
      <w:pPr>
        <w:pStyle w:val="SingleTxt"/>
        <w:numPr>
          <w:ilvl w:val="0"/>
          <w:numId w:val="214"/>
        </w:numPr>
      </w:pPr>
      <w:r>
        <w:t>Además, Inamujer constituyó una Mesa Técnica de Trabajo, con la particip</w:t>
      </w:r>
      <w:r>
        <w:t>a</w:t>
      </w:r>
      <w:r>
        <w:t>ción de 8 representantes de instancias gubernamentales para la atención a la mujer rural, indígena y campesina, que desarrollan programas hacia ese sector de la pobl</w:t>
      </w:r>
      <w:r>
        <w:t>a</w:t>
      </w:r>
      <w:r>
        <w:t>ción con la finalidad de: a) Estimular la participación  de las mujeres del área rural b) Coordinar acciones con los organismos que desarrollan políticas hacia el área r</w:t>
      </w:r>
      <w:r>
        <w:t>u</w:t>
      </w:r>
      <w:r>
        <w:t xml:space="preserve">ral, para lograr un acercamiento significativo, así como mecanismos de interacción entre las campesinas e indígenas y los organismos gubernamentales </w:t>
      </w:r>
    </w:p>
    <w:p w:rsidR="00000000" w:rsidRDefault="00000000">
      <w:pPr>
        <w:pStyle w:val="SingleTxt"/>
        <w:numPr>
          <w:ilvl w:val="0"/>
          <w:numId w:val="214"/>
        </w:numPr>
      </w:pPr>
      <w:r>
        <w:t xml:space="preserve">Por otra parte, Inamujer canaliza las necesidades de empleo de las mujeres, a través de los Puntos de Encuentro, brindándoles asesoría para la elaboración de sus proyectos económicos de acuerdo con los lineamientos de los entes financiadores. El </w:t>
      </w:r>
      <w:r>
        <w:rPr>
          <w:b/>
        </w:rPr>
        <w:t>Plan de Empleo para Mujeres</w:t>
      </w:r>
      <w:r>
        <w:t xml:space="preserve"> contribuye a la superación de la pobreza, a través de la realización de actividades conexas tales como:</w:t>
      </w:r>
    </w:p>
    <w:p w:rsidR="00000000" w:rsidRDefault="00000000">
      <w:pPr>
        <w:pStyle w:val="SingleTxt"/>
      </w:pPr>
      <w:r>
        <w:tab/>
        <w:t>a)</w:t>
      </w:r>
      <w:r>
        <w:tab/>
        <w:t>La creación de una red de información de empleo para la mujer con los sectores gubernamentales y no gubernamentales, así como la empresa privada en conv</w:t>
      </w:r>
      <w:r>
        <w:t>e</w:t>
      </w:r>
      <w:r>
        <w:t>nio con el Ministerio de Ciencia y Tecnología.</w:t>
      </w:r>
    </w:p>
    <w:p w:rsidR="00000000" w:rsidRDefault="00000000">
      <w:pPr>
        <w:pStyle w:val="SingleTxt"/>
        <w:suppressAutoHyphens/>
        <w:rPr>
          <w:b/>
        </w:rPr>
      </w:pPr>
      <w:r>
        <w:tab/>
        <w:t>b)</w:t>
      </w:r>
      <w:r>
        <w:tab/>
        <w:t>Fomento de la Capacitación Laboral de las mujeres venezolanas con una estrategia de género, que contempla su preparación desde las motivaciones personales hasta la descodificación de la variable empleo para convertirla en una acción de empoderamiento y realización social. Así mismo esta capacitación está caracterizada por la oferta de empleo y considera los cambios que la estructura de la demanda de empleo ha sufrido a fin de prepararse en las habilidades laborales, tecnológ</w:t>
      </w:r>
      <w:r>
        <w:t>i</w:t>
      </w:r>
      <w:r>
        <w:t xml:space="preserve">cas más modernas. </w:t>
      </w:r>
    </w:p>
    <w:p w:rsidR="00000000" w:rsidRDefault="00000000">
      <w:pPr>
        <w:pStyle w:val="SingleTxt"/>
      </w:pPr>
      <w:r>
        <w:tab/>
        <w:t>c)</w:t>
      </w:r>
      <w:r>
        <w:tab/>
        <w:t>Formación de las mujeres en temas importantes de la salud sexual y r</w:t>
      </w:r>
      <w:r>
        <w:t>e</w:t>
      </w:r>
      <w:r>
        <w:t>productiva y los derechos reproductivos como una condición relevante para que puedan incorporarse al trabajo en condición de igualdad, a través de las siguientes acciones:</w:t>
      </w:r>
    </w:p>
    <w:p w:rsidR="00000000" w:rsidRDefault="00000000">
      <w:pPr>
        <w:pStyle w:val="SingleTxt"/>
        <w:tabs>
          <w:tab w:val="right" w:pos="1685"/>
        </w:tabs>
        <w:ind w:left="1742" w:hanging="475"/>
      </w:pPr>
      <w:r>
        <w:tab/>
        <w:t>•</w:t>
      </w:r>
      <w:r>
        <w:tab/>
        <w:t>Fortalecimiento del acceso de las mujeres a los recursos económicos, financi</w:t>
      </w:r>
      <w:r>
        <w:t>e</w:t>
      </w:r>
      <w:r>
        <w:t>ros y a la tecnología para una plena incorporación al mercado de trabajo.</w:t>
      </w:r>
    </w:p>
    <w:p w:rsidR="00000000" w:rsidRDefault="00000000">
      <w:pPr>
        <w:pStyle w:val="SingleTxt"/>
        <w:tabs>
          <w:tab w:val="right" w:pos="1685"/>
        </w:tabs>
        <w:ind w:left="1742" w:hanging="475"/>
      </w:pPr>
      <w:r>
        <w:tab/>
        <w:t>•</w:t>
      </w:r>
      <w:r>
        <w:tab/>
        <w:t>Desarrollo de programas de formación y capacitación dirigidos a orientar la fuerza de trabajo femenina hacia actividades no tradicionales.</w:t>
      </w:r>
    </w:p>
    <w:p w:rsidR="00000000" w:rsidRDefault="00000000">
      <w:pPr>
        <w:pStyle w:val="SingleTxt"/>
        <w:tabs>
          <w:tab w:val="right" w:pos="1685"/>
        </w:tabs>
        <w:ind w:left="1742" w:hanging="475"/>
      </w:pPr>
      <w:r>
        <w:tab/>
        <w:t>•</w:t>
      </w:r>
      <w:r>
        <w:tab/>
        <w:t>Difusión de la información sobre acceso a los créditos y su desempeño en act</w:t>
      </w:r>
      <w:r>
        <w:t>i</w:t>
      </w:r>
      <w:r>
        <w:t>vid</w:t>
      </w:r>
      <w:r>
        <w:t>a</w:t>
      </w:r>
      <w:r>
        <w:t>des productivas.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12</w:t>
      </w:r>
    </w:p>
    <w:p w:rsidR="00000000" w:rsidRDefault="00000000">
      <w:pPr>
        <w:pStyle w:val="SingleTxt"/>
        <w:spacing w:after="0" w:line="120" w:lineRule="exact"/>
        <w:rPr>
          <w:sz w:val="10"/>
        </w:rPr>
      </w:pPr>
    </w:p>
    <w:p w:rsidR="00000000" w:rsidRDefault="00000000">
      <w:pPr>
        <w:pStyle w:val="SingleTxt"/>
        <w:numPr>
          <w:ilvl w:val="0"/>
          <w:numId w:val="214"/>
        </w:numPr>
      </w:pPr>
      <w:r>
        <w:t>El Ministerio de Salud y Desarrollo (MSDS), en el marco del Plan Estratégico Social (2001-2007), asume el compromiso ético y político de enfrentar la deuda s</w:t>
      </w:r>
      <w:r>
        <w:t>o</w:t>
      </w:r>
      <w:r>
        <w:t>cial acumulada. La salud es concebida como un derecho ciudadano de todas y todos y como parte de las políticas sociales se genera conciencia sobre la defensa de la salud, se privilegian acciones en los espacios locales dirigidas a mejorar las cond</w:t>
      </w:r>
      <w:r>
        <w:t>i</w:t>
      </w:r>
      <w:r>
        <w:t>ciones de vida, el acceso universal a los servicios con calidad, haciendo énfasis en las niñas y niños, adolescentes, mujeres, indígenas, personas mayores y con disc</w:t>
      </w:r>
      <w:r>
        <w:t>a</w:t>
      </w:r>
      <w:r>
        <w:t>pacidad, para contribuir a disminuir las grandes brechas sociales, como lo establ</w:t>
      </w:r>
      <w:r>
        <w:t>e</w:t>
      </w:r>
      <w:r>
        <w:t>cen los principios de la Carta Magna.</w:t>
      </w:r>
    </w:p>
    <w:p w:rsidR="00000000" w:rsidRDefault="00000000">
      <w:pPr>
        <w:pStyle w:val="SingleTxt"/>
        <w:numPr>
          <w:ilvl w:val="0"/>
          <w:numId w:val="214"/>
        </w:numPr>
      </w:pPr>
      <w:r>
        <w:t xml:space="preserve">El planteamiento del </w:t>
      </w:r>
      <w:r>
        <w:rPr>
          <w:b/>
        </w:rPr>
        <w:t>Modelo de Atención Integral en Salud (MAI)</w:t>
      </w:r>
      <w:r>
        <w:t>, desde la red de servicios ambulatorios es el de transversalizar el enfoque de género, t</w:t>
      </w:r>
      <w:r>
        <w:t>o</w:t>
      </w:r>
      <w:r>
        <w:t>mando en cuenta el componente socio cultural en cada uno de los programas que se expresan en los espacios de la atención a la salud. Actualmente funciona en 20 ent</w:t>
      </w:r>
      <w:r>
        <w:t>i</w:t>
      </w:r>
      <w:r>
        <w:t>dades federales donde se integran estrategias de intervención: primaria , secundaria y te</w:t>
      </w:r>
      <w:r>
        <w:t>r</w:t>
      </w:r>
      <w:r>
        <w:t xml:space="preserve">ciaria. </w:t>
      </w:r>
    </w:p>
    <w:p w:rsidR="00000000" w:rsidRDefault="00000000">
      <w:pPr>
        <w:pStyle w:val="SingleTxt"/>
        <w:numPr>
          <w:ilvl w:val="0"/>
          <w:numId w:val="214"/>
        </w:numPr>
      </w:pPr>
      <w:r>
        <w:t>La estructuración del Modelo de Atención Integral en la Dirección de Invest</w:t>
      </w:r>
      <w:r>
        <w:t>i</w:t>
      </w:r>
      <w:r>
        <w:t>gación y Educación concibe “la interacción entre el equipo de salud, el paciente, su familia y su entorno, promocionando la salud, previniendo la enfermedad o lesión, donde se combina lo biológico y lo social, lo individual y lo colectivo. Por esta r</w:t>
      </w:r>
      <w:r>
        <w:t>a</w:t>
      </w:r>
      <w:r>
        <w:t>zón se hace un relanzamiento de los programas con enfoque de género, haciendo é</w:t>
      </w:r>
      <w:r>
        <w:t>n</w:t>
      </w:r>
      <w:r>
        <w:t>fasis en los factores de protección a la vida .Esta estrategia permite a la mujer adqu</w:t>
      </w:r>
      <w:r>
        <w:t>i</w:t>
      </w:r>
      <w:r>
        <w:t>rir conocimiento a través de la educación no formal, acción que se realiza en los e</w:t>
      </w:r>
      <w:r>
        <w:t>s</w:t>
      </w:r>
      <w:r>
        <w:t>tablecimientos de salud por medio de la formación de grupos comunitarios, entre ellos:</w:t>
      </w:r>
    </w:p>
    <w:p w:rsidR="00000000" w:rsidRDefault="00000000">
      <w:pPr>
        <w:pStyle w:val="SingleTxt"/>
        <w:tabs>
          <w:tab w:val="right" w:pos="1685"/>
        </w:tabs>
        <w:ind w:left="1742" w:hanging="475"/>
      </w:pPr>
      <w:r>
        <w:tab/>
        <w:t>•</w:t>
      </w:r>
      <w:r>
        <w:tab/>
        <w:t>Participación activa en la Junta Socio Sanitaria.</w:t>
      </w:r>
    </w:p>
    <w:p w:rsidR="00000000" w:rsidRDefault="00000000">
      <w:pPr>
        <w:pStyle w:val="SingleTxt"/>
        <w:tabs>
          <w:tab w:val="right" w:pos="1685"/>
        </w:tabs>
        <w:ind w:left="1742" w:hanging="475"/>
      </w:pPr>
      <w:r>
        <w:tab/>
        <w:t>•</w:t>
      </w:r>
      <w:r>
        <w:tab/>
        <w:t>Grupos de Mujeres por la vida (prevención del cáncer y de otras enfermed</w:t>
      </w:r>
      <w:r>
        <w:t>a</w:t>
      </w:r>
      <w:r>
        <w:t>des)</w:t>
      </w:r>
    </w:p>
    <w:p w:rsidR="00000000" w:rsidRDefault="00000000">
      <w:pPr>
        <w:pStyle w:val="SingleTxt"/>
        <w:tabs>
          <w:tab w:val="right" w:pos="1685"/>
        </w:tabs>
        <w:ind w:left="1742" w:hanging="475"/>
      </w:pPr>
      <w:r>
        <w:tab/>
        <w:t>•</w:t>
      </w:r>
      <w:r>
        <w:tab/>
        <w:t>Madres cuidadoras</w:t>
      </w:r>
    </w:p>
    <w:p w:rsidR="00000000" w:rsidRDefault="00000000">
      <w:pPr>
        <w:pStyle w:val="SingleTxt"/>
        <w:tabs>
          <w:tab w:val="right" w:pos="1685"/>
        </w:tabs>
        <w:ind w:left="1742" w:hanging="475"/>
      </w:pPr>
      <w:r>
        <w:tab/>
        <w:t>•</w:t>
      </w:r>
      <w:r>
        <w:tab/>
        <w:t>Madres UROC (Mujeres voluntarias, quienes con previa formación, atienden a niños y niñas con problemas de diarrea).</w:t>
      </w:r>
    </w:p>
    <w:p w:rsidR="00000000" w:rsidRDefault="00000000">
      <w:pPr>
        <w:pStyle w:val="SingleTxt"/>
        <w:tabs>
          <w:tab w:val="right" w:pos="1685"/>
        </w:tabs>
        <w:ind w:left="1742" w:hanging="475"/>
      </w:pPr>
      <w:r>
        <w:tab/>
        <w:t>•</w:t>
      </w:r>
      <w:r>
        <w:tab/>
        <w:t>Formación de grupos de adolescentes y talleres de sexualidad respons</w:t>
      </w:r>
      <w:r>
        <w:t>a</w:t>
      </w:r>
      <w:r>
        <w:t>ble.</w:t>
      </w:r>
    </w:p>
    <w:p w:rsidR="00000000" w:rsidRDefault="00000000">
      <w:pPr>
        <w:pStyle w:val="SingleTxt"/>
        <w:tabs>
          <w:tab w:val="right" w:pos="1685"/>
        </w:tabs>
        <w:ind w:left="1742" w:hanging="475"/>
      </w:pPr>
      <w:r>
        <w:tab/>
        <w:t>•</w:t>
      </w:r>
      <w:r>
        <w:tab/>
        <w:t>Posadas Maternas Saludables: Establecimientos donde la madre campesina puede ingresar, creadas para contribuir en la disminución de la morbi-mortalidad materno infantil, la incidencia de bajo peso al nacer, el número de emb</w:t>
      </w:r>
      <w:r>
        <w:t>a</w:t>
      </w:r>
      <w:r>
        <w:t>razos de alto riesgo y promoción de la lactancia materna.</w:t>
      </w:r>
    </w:p>
    <w:p w:rsidR="00000000" w:rsidRDefault="00000000">
      <w:pPr>
        <w:pStyle w:val="SingleTxt"/>
        <w:numPr>
          <w:ilvl w:val="0"/>
          <w:numId w:val="214"/>
        </w:numPr>
      </w:pPr>
      <w:r>
        <w:t>El MSDS con el fin de fortalecer la atención de primer y segundo nivel, react</w:t>
      </w:r>
      <w:r>
        <w:t>i</w:t>
      </w:r>
      <w:r>
        <w:t>va los programas de salud pública: vacunación, control prenatal, diagnóstico y pr</w:t>
      </w:r>
      <w:r>
        <w:t>e</w:t>
      </w:r>
      <w:r>
        <w:t>vención del cáncer, control de las enfermedades de transmisión sexual. La capacidad de servicio de los ambulatorios se diversificó, incluye ahora atención de emerge</w:t>
      </w:r>
      <w:r>
        <w:t>n</w:t>
      </w:r>
      <w:r>
        <w:t>cias pediátricas y de adultos y atención de partos, además de instaurar una estrategia de atención integral, especialmente para la mujer y el(la) niño(a), y atención mate</w:t>
      </w:r>
      <w:r>
        <w:t>r</w:t>
      </w:r>
      <w:r>
        <w:t>no-infantil, para reducir progresivamente las altas cifras de morbilidad y mortalidad materna y de los(as) niños(as)</w:t>
      </w:r>
      <w:r>
        <w:rPr>
          <w:rStyle w:val="FootnoteReference"/>
          <w:rFonts w:ascii="Arial" w:hAnsi="Arial"/>
        </w:rPr>
        <w:footnoteReference w:id="8"/>
      </w:r>
      <w:r>
        <w:t>.</w:t>
      </w:r>
    </w:p>
    <w:p w:rsidR="00000000" w:rsidRDefault="00000000">
      <w:pPr>
        <w:pStyle w:val="SingleTxt"/>
        <w:numPr>
          <w:ilvl w:val="0"/>
          <w:numId w:val="214"/>
        </w:numPr>
      </w:pPr>
      <w:r>
        <w:t>Desde el año 2003, el Gobierno Nacional en su política de fortalecer la ate</w:t>
      </w:r>
      <w:r>
        <w:t>n</w:t>
      </w:r>
      <w:r>
        <w:t xml:space="preserve">ción Primaria en salud, implementó la </w:t>
      </w:r>
      <w:r>
        <w:rPr>
          <w:b/>
        </w:rPr>
        <w:t xml:space="preserve">Misión Barrio Adentro </w:t>
      </w:r>
      <w:r>
        <w:t>como un conjunto de políticas transversales para elevar la calidad de vida de los sectores más excluidos promoviendo la organización social y comunitaria. A través de la construcción de redes sociales, salud, educación , alimentación, economía, social, deporte , recre</w:t>
      </w:r>
      <w:r>
        <w:t>a</w:t>
      </w:r>
      <w:r>
        <w:t>ción y cultura.  De la población beneficiada por esta misión, el 55% corresponde a mujeres de los sectores de menos recursos económicos. Teniendo esto un impacto positivo en el mejoramiento de la calidad de vida de estas mujeres y sus familias.</w:t>
      </w:r>
    </w:p>
    <w:p w:rsidR="00000000" w:rsidRDefault="00000000">
      <w:pPr>
        <w:pStyle w:val="SingleTxt"/>
        <w:numPr>
          <w:ilvl w:val="0"/>
          <w:numId w:val="214"/>
        </w:numPr>
      </w:pPr>
      <w:r>
        <w:t>Desde la Misión Barrio adentro se ejecutan el Proyecto Vida y el Proyecto Delta:</w:t>
      </w:r>
    </w:p>
    <w:p w:rsidR="00000000" w:rsidRDefault="00000000">
      <w:pPr>
        <w:pStyle w:val="SingleTxt"/>
      </w:pPr>
      <w:r>
        <w:rPr>
          <w:b/>
        </w:rPr>
        <w:tab/>
        <w:t xml:space="preserve">El Proyecto Vida </w:t>
      </w:r>
      <w:r>
        <w:t>surge de la reorganización y fortalecimiento del Comité de Prevención y control de la Mortalidad Materna e Infantil. Esta dirigido a las 16 E</w:t>
      </w:r>
      <w:r>
        <w:t>n</w:t>
      </w:r>
      <w:r>
        <w:t>tidades federales</w:t>
      </w:r>
      <w:r>
        <w:rPr>
          <w:b/>
        </w:rPr>
        <w:t xml:space="preserve">, </w:t>
      </w:r>
      <w:r>
        <w:t>ejecutado en 26 Municipios priorizados por las altas cifras de muertes maternas : Aragua, Apure, Anzoátegui, Barinas, Bolívar, Carabobo. Dtto.Capital, Delta Amacuro, Falcón, Miranda, Mérida, Monagas, Portuguesa, T</w:t>
      </w:r>
      <w:r>
        <w:t>á</w:t>
      </w:r>
      <w:r>
        <w:t>chira y Zulia. El propósito del Proyecto vida es reducir las muertes maternas e i</w:t>
      </w:r>
      <w:r>
        <w:t>n</w:t>
      </w:r>
      <w:r>
        <w:t>fantiles con una estrategia para mejorar la calidad de la atención y cobertura de la atención prenatal y perinatal, en el lapso de un año, para ello se han invertido 35 millardos de Bolívares. Este Proyecto ejecuta acciones concretas:</w:t>
      </w:r>
    </w:p>
    <w:p w:rsidR="00000000" w:rsidRDefault="00000000">
      <w:pPr>
        <w:tabs>
          <w:tab w:val="left" w:pos="2340"/>
        </w:tabs>
        <w:spacing w:line="120" w:lineRule="exact"/>
        <w:ind w:firstLine="708"/>
        <w:jc w:val="both"/>
        <w:rPr>
          <w:rFonts w:ascii="Arial" w:hAnsi="Arial"/>
          <w:sz w:val="10"/>
          <w:u w:val="single"/>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A Nivel Primario:</w:t>
      </w: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Suministro de Fe/ Ácido Fólico a la Mujer Embarazada</w:t>
      </w:r>
    </w:p>
    <w:p w:rsidR="00000000" w:rsidRDefault="00000000">
      <w:pPr>
        <w:pStyle w:val="SingleTxt"/>
        <w:tabs>
          <w:tab w:val="right" w:pos="1685"/>
        </w:tabs>
        <w:ind w:left="1742" w:hanging="475"/>
      </w:pPr>
      <w:r>
        <w:tab/>
        <w:t>•</w:t>
      </w:r>
      <w:r>
        <w:tab/>
        <w:t>Pesquisa de VIH y VDRL</w:t>
      </w:r>
    </w:p>
    <w:p w:rsidR="00000000" w:rsidRDefault="00000000">
      <w:pPr>
        <w:pStyle w:val="SingleTxt"/>
        <w:tabs>
          <w:tab w:val="right" w:pos="1685"/>
        </w:tabs>
        <w:ind w:left="1742" w:hanging="475"/>
      </w:pPr>
      <w:r>
        <w:tab/>
        <w:t>•</w:t>
      </w:r>
      <w:r>
        <w:tab/>
        <w:t>Tratamiento de ITS</w:t>
      </w:r>
    </w:p>
    <w:p w:rsidR="00000000" w:rsidRDefault="00000000">
      <w:pPr>
        <w:pStyle w:val="SingleTxt"/>
        <w:tabs>
          <w:tab w:val="right" w:pos="1685"/>
        </w:tabs>
        <w:ind w:left="1742" w:hanging="475"/>
      </w:pPr>
      <w:r>
        <w:tab/>
        <w:t>•</w:t>
      </w:r>
      <w:r>
        <w:tab/>
        <w:t>Aplicación del Toxoíde Tetánico</w:t>
      </w:r>
    </w:p>
    <w:p w:rsidR="00000000" w:rsidRDefault="00000000">
      <w:pPr>
        <w:pStyle w:val="SingleTxt"/>
        <w:tabs>
          <w:tab w:val="right" w:pos="1685"/>
        </w:tabs>
        <w:ind w:left="1742" w:hanging="475"/>
      </w:pPr>
      <w:r>
        <w:tab/>
        <w:t>•</w:t>
      </w:r>
      <w:r>
        <w:tab/>
        <w:t>Prevención de Embarazo adolescente e identificación de riesgos y signos de alarma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 Nivel Secundario:</w:t>
      </w:r>
    </w:p>
    <w:p w:rsidR="00000000" w:rsidRDefault="00000000">
      <w:pPr>
        <w:numPr>
          <w:ilvl w:val="0"/>
          <w:numId w:val="189"/>
        </w:numPr>
        <w:tabs>
          <w:tab w:val="left" w:pos="2340"/>
        </w:tabs>
        <w:spacing w:line="120" w:lineRule="exact"/>
        <w:ind w:left="1066"/>
        <w:jc w:val="both"/>
        <w:rPr>
          <w:rFonts w:ascii="Arial" w:hAnsi="Arial"/>
          <w:sz w:val="10"/>
        </w:rPr>
      </w:pPr>
    </w:p>
    <w:p w:rsidR="00000000" w:rsidRDefault="00000000">
      <w:pPr>
        <w:pStyle w:val="SingleTxt"/>
        <w:tabs>
          <w:tab w:val="right" w:pos="1685"/>
        </w:tabs>
        <w:ind w:left="1742" w:hanging="475"/>
      </w:pPr>
      <w:r>
        <w:tab/>
        <w:t>•</w:t>
      </w:r>
      <w:r>
        <w:tab/>
        <w:t>Exámenes de Laboratorio de Rutina en el embarazo</w:t>
      </w:r>
    </w:p>
    <w:p w:rsidR="00000000" w:rsidRDefault="00000000">
      <w:pPr>
        <w:pStyle w:val="SingleTxt"/>
        <w:tabs>
          <w:tab w:val="right" w:pos="1685"/>
        </w:tabs>
        <w:ind w:left="1742" w:hanging="475"/>
      </w:pPr>
      <w:r>
        <w:tab/>
        <w:t>•</w:t>
      </w:r>
      <w:r>
        <w:tab/>
        <w:t>Estudio de Bienestar y madurez Fetal</w:t>
      </w:r>
    </w:p>
    <w:p w:rsidR="00000000" w:rsidRDefault="00000000">
      <w:pPr>
        <w:pStyle w:val="SingleTxt"/>
        <w:tabs>
          <w:tab w:val="right" w:pos="1685"/>
        </w:tabs>
        <w:ind w:left="1742" w:hanging="475"/>
      </w:pPr>
      <w:r>
        <w:tab/>
        <w:t>•</w:t>
      </w:r>
      <w:r>
        <w:tab/>
        <w:t>Cumplimiento Interconsulta</w:t>
      </w:r>
    </w:p>
    <w:p w:rsidR="00000000" w:rsidRDefault="00000000">
      <w:pPr>
        <w:pStyle w:val="SingleTxt"/>
        <w:tabs>
          <w:tab w:val="right" w:pos="1685"/>
        </w:tabs>
        <w:ind w:left="1742" w:hanging="475"/>
      </w:pPr>
      <w:r>
        <w:tab/>
        <w:t>•</w:t>
      </w:r>
      <w:r>
        <w:tab/>
        <w:t>Suministro de Fe/ Ácido Fólico</w:t>
      </w:r>
    </w:p>
    <w:p w:rsidR="00000000" w:rsidRDefault="00000000">
      <w:pPr>
        <w:pStyle w:val="SingleTxt"/>
        <w:tabs>
          <w:tab w:val="right" w:pos="1685"/>
        </w:tabs>
        <w:ind w:left="1742" w:hanging="475"/>
      </w:pPr>
      <w:r>
        <w:tab/>
        <w:t>•</w:t>
      </w:r>
      <w:r>
        <w:tab/>
        <w:t>Medicina y atención materna</w:t>
      </w:r>
    </w:p>
    <w:p w:rsidR="00000000" w:rsidRDefault="00000000">
      <w:pPr>
        <w:pStyle w:val="SingleTxt"/>
        <w:tabs>
          <w:tab w:val="right" w:pos="1685"/>
        </w:tabs>
        <w:ind w:left="1742" w:hanging="475"/>
      </w:pPr>
      <w:r>
        <w:tab/>
        <w:t>•</w:t>
      </w:r>
      <w:r>
        <w:tab/>
        <w:t>Psicoprofilaxis Obstétrica</w:t>
      </w:r>
    </w:p>
    <w:p w:rsidR="00000000" w:rsidRDefault="00000000">
      <w:pPr>
        <w:pStyle w:val="SingleTxt"/>
        <w:tabs>
          <w:tab w:val="right" w:pos="1685"/>
        </w:tabs>
        <w:ind w:left="1742" w:hanging="475"/>
      </w:pPr>
      <w:r>
        <w:tab/>
        <w:t>•</w:t>
      </w:r>
      <w:r>
        <w:tab/>
        <w:t>Atención al Parto</w:t>
      </w:r>
    </w:p>
    <w:p w:rsidR="00000000" w:rsidRDefault="00000000">
      <w:pPr>
        <w:pStyle w:val="SingleTxt"/>
        <w:tabs>
          <w:tab w:val="right" w:pos="1685"/>
        </w:tabs>
        <w:ind w:left="1742" w:hanging="475"/>
      </w:pPr>
      <w:r>
        <w:tab/>
        <w:t>•</w:t>
      </w:r>
      <w:r>
        <w:tab/>
        <w:t>DIU post Parto</w:t>
      </w:r>
    </w:p>
    <w:p w:rsidR="00000000" w:rsidRDefault="00000000">
      <w:pPr>
        <w:pStyle w:val="SingleTxt"/>
        <w:tabs>
          <w:tab w:val="right" w:pos="1685"/>
        </w:tabs>
        <w:ind w:left="1742" w:hanging="475"/>
      </w:pPr>
      <w:r>
        <w:tab/>
        <w:t>•</w:t>
      </w:r>
      <w:r>
        <w:tab/>
        <w:t>Esterilización Quirúrgica Minilap o Lap.</w:t>
      </w:r>
    </w:p>
    <w:p w:rsidR="00000000" w:rsidRDefault="00000000">
      <w:pPr>
        <w:pStyle w:val="SingleTxt"/>
      </w:pPr>
      <w:r>
        <w:rPr>
          <w:b/>
        </w:rPr>
        <w:t>El Proyecto Delta</w:t>
      </w:r>
      <w:r>
        <w:t xml:space="preserve"> esta dirigido a 10 comunidades indígenas de Delta Amacuro con una situación de máxima exclusión social y vulnerabilidad. Es un Programa de Atención Integral que hace énfasis en acciones de prevención y control de la mort</w:t>
      </w:r>
      <w:r>
        <w:t>a</w:t>
      </w:r>
      <w:r>
        <w:t>lidad materna e infantil .</w:t>
      </w:r>
    </w:p>
    <w:p w:rsidR="00000000" w:rsidRDefault="00000000">
      <w:pPr>
        <w:pStyle w:val="SingleTxt"/>
        <w:numPr>
          <w:ilvl w:val="0"/>
          <w:numId w:val="214"/>
        </w:numPr>
      </w:pPr>
      <w:r>
        <w:t>La tasa de Mortalidad Materna ( por cada 100.000 nacidos vivos) en el año 1995 se situaba en 67,5 sufriendo esta un descenso progresivo hasta el 1999 de 1,57 puntos. A partir del año 2000 hasta el 2002 ha sufrido un incremento significativo de 7,9 puntos.</w:t>
      </w:r>
    </w:p>
    <w:p w:rsidR="00000000" w:rsidRDefault="00000000">
      <w:pPr>
        <w:pStyle w:val="SingleTxt"/>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Tasa de Mortalidad</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50"/>
        <w:gridCol w:w="3420"/>
      </w:tblGrid>
      <w:tr w:rsidR="00000000">
        <w:tblPrEx>
          <w:tblCellMar>
            <w:top w:w="0" w:type="dxa"/>
            <w:bottom w:w="0" w:type="dxa"/>
          </w:tblCellMar>
        </w:tblPrEx>
        <w:tc>
          <w:tcPr>
            <w:tcW w:w="1150" w:type="dxa"/>
          </w:tcPr>
          <w:p w:rsidR="00000000" w:rsidRDefault="00000000">
            <w:pPr>
              <w:pStyle w:val="BodyTextIndent3"/>
              <w:framePr w:hSpace="141" w:wrap="around" w:vAnchor="text" w:hAnchor="page" w:x="2712" w:y="326"/>
              <w:tabs>
                <w:tab w:val="clear" w:pos="360"/>
                <w:tab w:val="left" w:pos="2340"/>
              </w:tabs>
              <w:ind w:left="0"/>
              <w:rPr>
                <w:b/>
                <w:lang w:val="es-ES"/>
              </w:rPr>
            </w:pPr>
            <w:r>
              <w:rPr>
                <w:b/>
                <w:lang w:val="es-ES"/>
              </w:rPr>
              <w:t>Año</w:t>
            </w:r>
          </w:p>
        </w:tc>
        <w:tc>
          <w:tcPr>
            <w:tcW w:w="3420" w:type="dxa"/>
          </w:tcPr>
          <w:p w:rsidR="00000000" w:rsidRDefault="00000000">
            <w:pPr>
              <w:pStyle w:val="BodyTextIndent3"/>
              <w:framePr w:hSpace="141" w:wrap="around" w:vAnchor="text" w:hAnchor="page" w:x="2712" w:y="326"/>
              <w:tabs>
                <w:tab w:val="clear" w:pos="360"/>
                <w:tab w:val="left" w:pos="2340"/>
              </w:tabs>
              <w:ind w:left="0"/>
              <w:rPr>
                <w:b/>
                <w:lang w:val="es-ES"/>
              </w:rPr>
            </w:pPr>
            <w:r>
              <w:rPr>
                <w:b/>
                <w:lang w:val="es-ES"/>
              </w:rPr>
              <w:t>Tasa de Mortalidad Materna</w:t>
            </w:r>
          </w:p>
        </w:tc>
      </w:tr>
      <w:tr w:rsidR="00000000">
        <w:tblPrEx>
          <w:tblCellMar>
            <w:top w:w="0" w:type="dxa"/>
            <w:bottom w:w="0" w:type="dxa"/>
          </w:tblCellMar>
        </w:tblPrEx>
        <w:tc>
          <w:tcPr>
            <w:tcW w:w="1150" w:type="dxa"/>
          </w:tcPr>
          <w:p w:rsidR="00000000" w:rsidRDefault="00000000">
            <w:pPr>
              <w:pStyle w:val="BodyTextIndent3"/>
              <w:framePr w:hSpace="141" w:wrap="around" w:vAnchor="text" w:hAnchor="page" w:x="2712" w:y="326"/>
              <w:tabs>
                <w:tab w:val="clear" w:pos="360"/>
                <w:tab w:val="left" w:pos="2340"/>
              </w:tabs>
              <w:ind w:left="0"/>
              <w:rPr>
                <w:lang w:val="es-ES"/>
              </w:rPr>
            </w:pPr>
            <w:r>
              <w:rPr>
                <w:lang w:val="es-ES"/>
              </w:rPr>
              <w:t>1995</w:t>
            </w:r>
          </w:p>
        </w:tc>
        <w:tc>
          <w:tcPr>
            <w:tcW w:w="3420" w:type="dxa"/>
          </w:tcPr>
          <w:p w:rsidR="00000000" w:rsidRDefault="00000000">
            <w:pPr>
              <w:pStyle w:val="BodyTextIndent3"/>
              <w:framePr w:hSpace="141" w:wrap="around" w:vAnchor="text" w:hAnchor="page" w:x="2712" w:y="326"/>
              <w:tabs>
                <w:tab w:val="clear" w:pos="360"/>
                <w:tab w:val="left" w:pos="2340"/>
              </w:tabs>
              <w:ind w:left="0"/>
              <w:rPr>
                <w:lang w:val="es-ES"/>
              </w:rPr>
            </w:pPr>
            <w:r>
              <w:rPr>
                <w:lang w:val="es-ES"/>
              </w:rPr>
              <w:t>66,7</w:t>
            </w:r>
          </w:p>
        </w:tc>
      </w:tr>
      <w:tr w:rsidR="00000000">
        <w:tblPrEx>
          <w:tblCellMar>
            <w:top w:w="0" w:type="dxa"/>
            <w:bottom w:w="0" w:type="dxa"/>
          </w:tblCellMar>
        </w:tblPrEx>
        <w:tc>
          <w:tcPr>
            <w:tcW w:w="1150" w:type="dxa"/>
          </w:tcPr>
          <w:p w:rsidR="00000000" w:rsidRDefault="00000000">
            <w:pPr>
              <w:pStyle w:val="BodyTextIndent3"/>
              <w:framePr w:hSpace="141" w:wrap="around" w:vAnchor="text" w:hAnchor="page" w:x="2712" w:y="326"/>
              <w:tabs>
                <w:tab w:val="clear" w:pos="360"/>
                <w:tab w:val="left" w:pos="2340"/>
              </w:tabs>
              <w:ind w:left="0"/>
              <w:rPr>
                <w:lang w:val="es-ES"/>
              </w:rPr>
            </w:pPr>
            <w:r>
              <w:rPr>
                <w:lang w:val="es-ES"/>
              </w:rPr>
              <w:t>1996</w:t>
            </w:r>
          </w:p>
        </w:tc>
        <w:tc>
          <w:tcPr>
            <w:tcW w:w="3420" w:type="dxa"/>
          </w:tcPr>
          <w:p w:rsidR="00000000" w:rsidRDefault="00000000">
            <w:pPr>
              <w:pStyle w:val="BodyTextIndent3"/>
              <w:framePr w:hSpace="141" w:wrap="around" w:vAnchor="text" w:hAnchor="page" w:x="2712" w:y="326"/>
              <w:tabs>
                <w:tab w:val="clear" w:pos="360"/>
                <w:tab w:val="left" w:pos="2340"/>
              </w:tabs>
              <w:ind w:left="0"/>
              <w:rPr>
                <w:lang w:val="es-ES"/>
              </w:rPr>
            </w:pPr>
            <w:r>
              <w:rPr>
                <w:lang w:val="es-ES"/>
              </w:rPr>
              <w:t>60,4</w:t>
            </w:r>
          </w:p>
        </w:tc>
      </w:tr>
      <w:tr w:rsidR="00000000">
        <w:tblPrEx>
          <w:tblCellMar>
            <w:top w:w="0" w:type="dxa"/>
            <w:bottom w:w="0" w:type="dxa"/>
          </w:tblCellMar>
        </w:tblPrEx>
        <w:tc>
          <w:tcPr>
            <w:tcW w:w="1150" w:type="dxa"/>
          </w:tcPr>
          <w:p w:rsidR="00000000" w:rsidRDefault="00000000">
            <w:pPr>
              <w:pStyle w:val="BodyTextIndent3"/>
              <w:framePr w:hSpace="141" w:wrap="around" w:vAnchor="text" w:hAnchor="page" w:x="2712" w:y="326"/>
              <w:tabs>
                <w:tab w:val="clear" w:pos="360"/>
                <w:tab w:val="left" w:pos="2340"/>
              </w:tabs>
              <w:ind w:left="0"/>
              <w:rPr>
                <w:lang w:val="es-ES"/>
              </w:rPr>
            </w:pPr>
            <w:r>
              <w:rPr>
                <w:lang w:val="es-ES"/>
              </w:rPr>
              <w:t>1997</w:t>
            </w:r>
          </w:p>
        </w:tc>
        <w:tc>
          <w:tcPr>
            <w:tcW w:w="3420" w:type="dxa"/>
          </w:tcPr>
          <w:p w:rsidR="00000000" w:rsidRDefault="00000000">
            <w:pPr>
              <w:pStyle w:val="BodyTextIndent3"/>
              <w:framePr w:hSpace="141" w:wrap="around" w:vAnchor="text" w:hAnchor="page" w:x="2712" w:y="326"/>
              <w:tabs>
                <w:tab w:val="clear" w:pos="360"/>
                <w:tab w:val="left" w:pos="2340"/>
              </w:tabs>
              <w:ind w:left="0"/>
              <w:rPr>
                <w:lang w:val="es-ES"/>
              </w:rPr>
            </w:pPr>
            <w:r>
              <w:rPr>
                <w:lang w:val="es-ES"/>
              </w:rPr>
              <w:t>59,6</w:t>
            </w:r>
          </w:p>
        </w:tc>
      </w:tr>
      <w:tr w:rsidR="00000000">
        <w:tblPrEx>
          <w:tblCellMar>
            <w:top w:w="0" w:type="dxa"/>
            <w:bottom w:w="0" w:type="dxa"/>
          </w:tblCellMar>
        </w:tblPrEx>
        <w:tc>
          <w:tcPr>
            <w:tcW w:w="1150" w:type="dxa"/>
          </w:tcPr>
          <w:p w:rsidR="00000000" w:rsidRDefault="00000000">
            <w:pPr>
              <w:pStyle w:val="BodyTextIndent3"/>
              <w:framePr w:hSpace="141" w:wrap="around" w:vAnchor="text" w:hAnchor="page" w:x="2712" w:y="326"/>
              <w:tabs>
                <w:tab w:val="clear" w:pos="360"/>
                <w:tab w:val="left" w:pos="2340"/>
              </w:tabs>
              <w:ind w:left="0"/>
              <w:rPr>
                <w:lang w:val="es-ES"/>
              </w:rPr>
            </w:pPr>
            <w:r>
              <w:rPr>
                <w:lang w:val="es-ES"/>
              </w:rPr>
              <w:t>1998</w:t>
            </w:r>
          </w:p>
        </w:tc>
        <w:tc>
          <w:tcPr>
            <w:tcW w:w="3420" w:type="dxa"/>
          </w:tcPr>
          <w:p w:rsidR="00000000" w:rsidRDefault="00000000">
            <w:pPr>
              <w:pStyle w:val="BodyTextIndent3"/>
              <w:framePr w:hSpace="141" w:wrap="around" w:vAnchor="text" w:hAnchor="page" w:x="2712" w:y="326"/>
              <w:tabs>
                <w:tab w:val="clear" w:pos="360"/>
                <w:tab w:val="left" w:pos="2340"/>
              </w:tabs>
              <w:ind w:left="0"/>
              <w:rPr>
                <w:lang w:val="es-ES"/>
              </w:rPr>
            </w:pPr>
            <w:r>
              <w:rPr>
                <w:lang w:val="es-ES"/>
              </w:rPr>
              <w:t>51,0</w:t>
            </w:r>
          </w:p>
        </w:tc>
      </w:tr>
      <w:tr w:rsidR="00000000">
        <w:tblPrEx>
          <w:tblCellMar>
            <w:top w:w="0" w:type="dxa"/>
            <w:bottom w:w="0" w:type="dxa"/>
          </w:tblCellMar>
        </w:tblPrEx>
        <w:tc>
          <w:tcPr>
            <w:tcW w:w="1150" w:type="dxa"/>
          </w:tcPr>
          <w:p w:rsidR="00000000" w:rsidRDefault="00000000">
            <w:pPr>
              <w:pStyle w:val="BodyTextIndent3"/>
              <w:framePr w:hSpace="141" w:wrap="around" w:vAnchor="text" w:hAnchor="page" w:x="2712" w:y="326"/>
              <w:tabs>
                <w:tab w:val="clear" w:pos="360"/>
                <w:tab w:val="left" w:pos="2340"/>
              </w:tabs>
              <w:ind w:left="0"/>
              <w:rPr>
                <w:lang w:val="es-ES"/>
              </w:rPr>
            </w:pPr>
            <w:r>
              <w:rPr>
                <w:lang w:val="es-ES"/>
              </w:rPr>
              <w:t>1999</w:t>
            </w:r>
          </w:p>
        </w:tc>
        <w:tc>
          <w:tcPr>
            <w:tcW w:w="3420" w:type="dxa"/>
          </w:tcPr>
          <w:p w:rsidR="00000000" w:rsidRDefault="00000000">
            <w:pPr>
              <w:pStyle w:val="BodyTextIndent3"/>
              <w:framePr w:hSpace="141" w:wrap="around" w:vAnchor="text" w:hAnchor="page" w:x="2712" w:y="326"/>
              <w:tabs>
                <w:tab w:val="clear" w:pos="360"/>
                <w:tab w:val="left" w:pos="2340"/>
              </w:tabs>
              <w:ind w:left="0"/>
              <w:rPr>
                <w:lang w:val="es-ES"/>
              </w:rPr>
            </w:pPr>
            <w:r>
              <w:rPr>
                <w:lang w:val="es-ES"/>
              </w:rPr>
              <w:t>59,3</w:t>
            </w:r>
          </w:p>
        </w:tc>
      </w:tr>
      <w:tr w:rsidR="00000000">
        <w:tblPrEx>
          <w:tblCellMar>
            <w:top w:w="0" w:type="dxa"/>
            <w:bottom w:w="0" w:type="dxa"/>
          </w:tblCellMar>
        </w:tblPrEx>
        <w:tc>
          <w:tcPr>
            <w:tcW w:w="1150" w:type="dxa"/>
          </w:tcPr>
          <w:p w:rsidR="00000000" w:rsidRDefault="00000000">
            <w:pPr>
              <w:pStyle w:val="BodyTextIndent3"/>
              <w:framePr w:hSpace="141" w:wrap="around" w:vAnchor="text" w:hAnchor="page" w:x="2712" w:y="326"/>
              <w:tabs>
                <w:tab w:val="clear" w:pos="360"/>
                <w:tab w:val="left" w:pos="2340"/>
              </w:tabs>
              <w:ind w:left="0"/>
              <w:rPr>
                <w:lang w:val="es-ES"/>
              </w:rPr>
            </w:pPr>
            <w:r>
              <w:rPr>
                <w:lang w:val="es-ES"/>
              </w:rPr>
              <w:t>2000</w:t>
            </w:r>
          </w:p>
        </w:tc>
        <w:tc>
          <w:tcPr>
            <w:tcW w:w="3420" w:type="dxa"/>
          </w:tcPr>
          <w:p w:rsidR="00000000" w:rsidRDefault="00000000">
            <w:pPr>
              <w:pStyle w:val="BodyTextIndent3"/>
              <w:framePr w:hSpace="141" w:wrap="around" w:vAnchor="text" w:hAnchor="page" w:x="2712" w:y="326"/>
              <w:tabs>
                <w:tab w:val="clear" w:pos="360"/>
                <w:tab w:val="left" w:pos="2340"/>
              </w:tabs>
              <w:ind w:left="0"/>
              <w:rPr>
                <w:lang w:val="es-ES"/>
              </w:rPr>
            </w:pPr>
            <w:r>
              <w:rPr>
                <w:lang w:val="es-ES"/>
              </w:rPr>
              <w:t>60,1</w:t>
            </w:r>
          </w:p>
        </w:tc>
      </w:tr>
      <w:tr w:rsidR="00000000">
        <w:tblPrEx>
          <w:tblCellMar>
            <w:top w:w="0" w:type="dxa"/>
            <w:bottom w:w="0" w:type="dxa"/>
          </w:tblCellMar>
        </w:tblPrEx>
        <w:tc>
          <w:tcPr>
            <w:tcW w:w="1150" w:type="dxa"/>
          </w:tcPr>
          <w:p w:rsidR="00000000" w:rsidRDefault="00000000">
            <w:pPr>
              <w:pStyle w:val="BodyTextIndent3"/>
              <w:framePr w:hSpace="141" w:wrap="around" w:vAnchor="text" w:hAnchor="page" w:x="2712" w:y="326"/>
              <w:tabs>
                <w:tab w:val="clear" w:pos="360"/>
                <w:tab w:val="left" w:pos="2340"/>
              </w:tabs>
              <w:ind w:left="0"/>
              <w:rPr>
                <w:lang w:val="es-ES"/>
              </w:rPr>
            </w:pPr>
            <w:r>
              <w:rPr>
                <w:lang w:val="es-ES"/>
              </w:rPr>
              <w:t>2001</w:t>
            </w:r>
          </w:p>
        </w:tc>
        <w:tc>
          <w:tcPr>
            <w:tcW w:w="3420" w:type="dxa"/>
          </w:tcPr>
          <w:p w:rsidR="00000000" w:rsidRDefault="00000000">
            <w:pPr>
              <w:pStyle w:val="BodyTextIndent3"/>
              <w:framePr w:hSpace="141" w:wrap="around" w:vAnchor="text" w:hAnchor="page" w:x="2712" w:y="326"/>
              <w:tabs>
                <w:tab w:val="clear" w:pos="360"/>
                <w:tab w:val="left" w:pos="2340"/>
              </w:tabs>
              <w:ind w:left="0"/>
              <w:rPr>
                <w:lang w:val="es-ES"/>
              </w:rPr>
            </w:pPr>
            <w:r>
              <w:rPr>
                <w:lang w:val="es-ES"/>
              </w:rPr>
              <w:t>67,2</w:t>
            </w:r>
          </w:p>
        </w:tc>
      </w:tr>
      <w:tr w:rsidR="00000000">
        <w:tblPrEx>
          <w:tblCellMar>
            <w:top w:w="0" w:type="dxa"/>
            <w:bottom w:w="0" w:type="dxa"/>
          </w:tblCellMar>
        </w:tblPrEx>
        <w:tc>
          <w:tcPr>
            <w:tcW w:w="1150" w:type="dxa"/>
          </w:tcPr>
          <w:p w:rsidR="00000000" w:rsidRDefault="00000000">
            <w:pPr>
              <w:pStyle w:val="BodyTextIndent3"/>
              <w:framePr w:hSpace="141" w:wrap="around" w:vAnchor="text" w:hAnchor="page" w:x="2712" w:y="326"/>
              <w:tabs>
                <w:tab w:val="clear" w:pos="360"/>
                <w:tab w:val="left" w:pos="2340"/>
              </w:tabs>
              <w:ind w:left="0"/>
              <w:rPr>
                <w:lang w:val="es-ES"/>
              </w:rPr>
            </w:pPr>
            <w:r>
              <w:rPr>
                <w:lang w:val="es-ES"/>
              </w:rPr>
              <w:t>2002</w:t>
            </w:r>
          </w:p>
        </w:tc>
        <w:tc>
          <w:tcPr>
            <w:tcW w:w="3420" w:type="dxa"/>
          </w:tcPr>
          <w:p w:rsidR="00000000" w:rsidRDefault="00000000">
            <w:pPr>
              <w:pStyle w:val="BodyTextIndent3"/>
              <w:framePr w:hSpace="141" w:wrap="around" w:vAnchor="text" w:hAnchor="page" w:x="2712" w:y="326"/>
              <w:tabs>
                <w:tab w:val="clear" w:pos="360"/>
                <w:tab w:val="left" w:pos="2340"/>
              </w:tabs>
              <w:ind w:left="0"/>
              <w:rPr>
                <w:lang w:val="es-ES"/>
              </w:rPr>
            </w:pPr>
            <w:r>
              <w:rPr>
                <w:lang w:val="es-ES"/>
              </w:rPr>
              <w:t>68,0</w:t>
            </w:r>
          </w:p>
        </w:tc>
      </w:tr>
    </w:tbl>
    <w:p w:rsidR="00000000" w:rsidRDefault="00000000">
      <w:pPr>
        <w:pStyle w:val="BodyTextIndent3"/>
        <w:tabs>
          <w:tab w:val="clear" w:pos="360"/>
          <w:tab w:val="left" w:pos="2340"/>
        </w:tabs>
        <w:ind w:left="0"/>
        <w:rPr>
          <w:lang w:val="es-ES"/>
        </w:rPr>
      </w:pPr>
    </w:p>
    <w:p w:rsidR="00000000" w:rsidRDefault="00000000">
      <w:pPr>
        <w:tabs>
          <w:tab w:val="left" w:pos="2340"/>
        </w:tabs>
        <w:spacing w:line="360" w:lineRule="auto"/>
        <w:jc w:val="both"/>
        <w:rPr>
          <w:rFonts w:ascii="Arial" w:hAnsi="Arial"/>
          <w:color w:val="FF0000"/>
        </w:rPr>
      </w:pPr>
    </w:p>
    <w:p w:rsidR="00000000" w:rsidRDefault="00000000">
      <w:pPr>
        <w:tabs>
          <w:tab w:val="left" w:pos="2340"/>
        </w:tabs>
        <w:spacing w:line="360" w:lineRule="auto"/>
        <w:jc w:val="both"/>
        <w:rPr>
          <w:rFonts w:ascii="Arial" w:hAnsi="Arial"/>
        </w:rPr>
      </w:pPr>
    </w:p>
    <w:p w:rsidR="00000000" w:rsidRDefault="00000000">
      <w:pPr>
        <w:tabs>
          <w:tab w:val="left" w:pos="2340"/>
        </w:tabs>
        <w:spacing w:line="360" w:lineRule="auto"/>
        <w:jc w:val="both"/>
        <w:rPr>
          <w:rFonts w:ascii="Arial" w:hAnsi="Arial"/>
        </w:rPr>
      </w:pPr>
    </w:p>
    <w:p w:rsidR="00000000" w:rsidRDefault="00000000">
      <w:pPr>
        <w:tabs>
          <w:tab w:val="left" w:pos="2340"/>
        </w:tabs>
        <w:spacing w:line="360" w:lineRule="auto"/>
        <w:jc w:val="both"/>
        <w:rPr>
          <w:rFonts w:ascii="Arial" w:hAnsi="Arial"/>
        </w:rPr>
      </w:pPr>
    </w:p>
    <w:p w:rsidR="00000000" w:rsidRDefault="00000000">
      <w:pPr>
        <w:tabs>
          <w:tab w:val="left" w:pos="2340"/>
        </w:tabs>
        <w:spacing w:line="360" w:lineRule="auto"/>
        <w:jc w:val="both"/>
        <w:rPr>
          <w:rFonts w:ascii="Arial" w:hAnsi="Arial"/>
        </w:rPr>
      </w:pPr>
    </w:p>
    <w:p w:rsidR="00000000" w:rsidRDefault="00000000">
      <w:pPr>
        <w:tabs>
          <w:tab w:val="left" w:pos="2340"/>
        </w:tabs>
        <w:spacing w:line="360" w:lineRule="auto"/>
        <w:jc w:val="both"/>
        <w:rPr>
          <w:rFonts w:ascii="Arial" w:hAnsi="Arial"/>
        </w:rPr>
      </w:pPr>
    </w:p>
    <w:p w:rsidR="00000000" w:rsidRDefault="00000000">
      <w:pPr>
        <w:tabs>
          <w:tab w:val="left" w:pos="2340"/>
        </w:tabs>
        <w:spacing w:line="360" w:lineRule="auto"/>
        <w:jc w:val="both"/>
        <w:rPr>
          <w:rFonts w:ascii="Arial" w:hAnsi="Arial"/>
        </w:rPr>
      </w:pPr>
    </w:p>
    <w:p w:rsidR="00000000" w:rsidRDefault="00000000">
      <w:pPr>
        <w:tabs>
          <w:tab w:val="left" w:pos="2340"/>
        </w:tabs>
        <w:spacing w:line="360" w:lineRule="auto"/>
        <w:jc w:val="both"/>
        <w:rPr>
          <w:rFonts w:ascii="Arial" w:hAnsi="Arial"/>
        </w:rPr>
      </w:pPr>
    </w:p>
    <w:p w:rsidR="00000000" w:rsidRDefault="00000000">
      <w:pPr>
        <w:tabs>
          <w:tab w:val="left" w:pos="2340"/>
        </w:tabs>
        <w:spacing w:line="360" w:lineRule="auto"/>
        <w:jc w:val="both"/>
        <w:rPr>
          <w:rFonts w:ascii="Arial" w:hAnsi="Arial"/>
        </w:rPr>
      </w:pPr>
    </w:p>
    <w:p w:rsidR="00000000" w:rsidRDefault="00000000">
      <w:pPr>
        <w:tabs>
          <w:tab w:val="left" w:pos="2340"/>
        </w:tabs>
        <w:spacing w:line="360" w:lineRule="auto"/>
        <w:jc w:val="both"/>
        <w:rPr>
          <w:rFonts w:ascii="Arial" w:hAnsi="Arial"/>
        </w:rPr>
      </w:pPr>
    </w:p>
    <w:p w:rsidR="00000000" w:rsidRDefault="00000000">
      <w:pPr>
        <w:pStyle w:val="SingleTxt"/>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14"/>
        </w:numPr>
        <w:suppressAutoHyphens/>
      </w:pPr>
      <w:r>
        <w:t>Las cinco principales causas de muerte asociadas a la Mortalidad Materna , para el año 2002 se sitúan en: 34% Edema, Proteinuria y trastornos hipertensivos, embarazo, parto y puerperio, el 17 % otras afecciones obstétricas, el 13% complicaciones del trabajo de parto y parto, el 13% complicaciones relacionadas con el puerp</w:t>
      </w:r>
      <w:r>
        <w:t>e</w:t>
      </w:r>
      <w:r>
        <w:t>rio y el 11% embarazo terminado en aborto.</w:t>
      </w:r>
    </w:p>
    <w:p w:rsidR="00000000" w:rsidRDefault="00000000">
      <w:pPr>
        <w:pStyle w:val="SingleTxt"/>
        <w:numPr>
          <w:ilvl w:val="0"/>
          <w:numId w:val="214"/>
        </w:numPr>
      </w:pPr>
      <w:r>
        <w:t>Según los lineamientos para la promoción de la Salud Sexual y Reproductiva este incremento de la tasa de mortalidad responde a:</w:t>
      </w:r>
    </w:p>
    <w:p w:rsidR="00000000" w:rsidRDefault="00000000">
      <w:pPr>
        <w:pStyle w:val="SingleTxt"/>
        <w:tabs>
          <w:tab w:val="right" w:pos="1685"/>
        </w:tabs>
        <w:ind w:left="1742" w:hanging="475"/>
      </w:pPr>
      <w:r>
        <w:tab/>
        <w:t>•</w:t>
      </w:r>
      <w:r>
        <w:tab/>
        <w:t>Al debilitamiento de los servicios de planificación familiar en el país</w:t>
      </w:r>
    </w:p>
    <w:p w:rsidR="00000000" w:rsidRDefault="00000000">
      <w:pPr>
        <w:pStyle w:val="SingleTxt"/>
        <w:tabs>
          <w:tab w:val="right" w:pos="1685"/>
        </w:tabs>
        <w:ind w:left="1742" w:hanging="475"/>
      </w:pPr>
      <w:r>
        <w:tab/>
        <w:t>•</w:t>
      </w:r>
      <w:r>
        <w:tab/>
        <w:t>Falta de sensibilidad y calidad de los servicios</w:t>
      </w:r>
    </w:p>
    <w:p w:rsidR="00000000" w:rsidRDefault="00000000">
      <w:pPr>
        <w:pStyle w:val="SingleTxt"/>
        <w:tabs>
          <w:tab w:val="right" w:pos="1685"/>
        </w:tabs>
        <w:ind w:left="1742" w:hanging="475"/>
      </w:pPr>
      <w:r>
        <w:tab/>
        <w:t>•</w:t>
      </w:r>
      <w:r>
        <w:tab/>
        <w:t>Baja calidad de la atención y falta de capacidad resolutiva en las emergencias ob</w:t>
      </w:r>
      <w:r>
        <w:t>s</w:t>
      </w:r>
      <w:r>
        <w:t xml:space="preserve">tétricas </w:t>
      </w:r>
    </w:p>
    <w:p w:rsidR="00000000" w:rsidRDefault="00000000">
      <w:pPr>
        <w:pStyle w:val="SingleTxt"/>
      </w:pPr>
      <w:r>
        <w:t>Estos aspecto no pueden desvincularse de las condiciones de subordinación de las muj</w:t>
      </w:r>
      <w:r>
        <w:t>e</w:t>
      </w:r>
      <w:r>
        <w:t>res por razones de género en la atención del proceso reproductivo</w:t>
      </w:r>
    </w:p>
    <w:p w:rsidR="00000000" w:rsidRDefault="00000000">
      <w:pPr>
        <w:pStyle w:val="SingleTxt"/>
        <w:numPr>
          <w:ilvl w:val="0"/>
          <w:numId w:val="214"/>
        </w:numPr>
      </w:pPr>
      <w:r>
        <w:t>En el año 2002 se crea el Comité Nacional para la Prevención y Control de la Mortalidad materno Infantil con el objetivo de concertar esfuerzos Nacionales e I</w:t>
      </w:r>
      <w:r>
        <w:t>n</w:t>
      </w:r>
      <w:r>
        <w:t>tersectoriales para la prevención y control de las muertes maternas e infantiles por causas prevenibles y para elevar la calidad de la atención perinatal. Durante el pr</w:t>
      </w:r>
      <w:r>
        <w:t>i</w:t>
      </w:r>
      <w:r>
        <w:t>mer año de este programa se observo el descenso de la mortalidad infantil de 23x 1000 nvr a 17.3 x1000nvr.</w:t>
      </w:r>
    </w:p>
    <w:p w:rsidR="00000000" w:rsidRDefault="00000000">
      <w:pPr>
        <w:pStyle w:val="SingleTxt"/>
        <w:numPr>
          <w:ilvl w:val="0"/>
          <w:numId w:val="214"/>
        </w:numPr>
      </w:pPr>
      <w:r>
        <w:t>El Ministerio de Salud y Desarrollo Social contempla dentro de sus line</w:t>
      </w:r>
      <w:r>
        <w:t>a</w:t>
      </w:r>
      <w:r>
        <w:t>mientos estratégicos la reducción de la mortalidad materno infantil por enfermed</w:t>
      </w:r>
      <w:r>
        <w:t>a</w:t>
      </w:r>
      <w:r>
        <w:t>des prevenibles, logrando como resultado para el año 2000 una reducción en un promedio de dos puntos al pasar la mortalidad infantil de 19,0 por mil, en el año 1999 a 17,1 y la mortalidad materna de 59,3 en 1999 a 54,6 en el 2000.</w:t>
      </w:r>
      <w:r>
        <w:rPr>
          <w:rStyle w:val="FootnoteReference"/>
          <w:rFonts w:ascii="Arial" w:hAnsi="Arial"/>
        </w:rPr>
        <w:footnoteReference w:id="9"/>
      </w:r>
      <w:r>
        <w:t xml:space="preserve"> </w:t>
      </w:r>
    </w:p>
    <w:p w:rsidR="00000000" w:rsidRDefault="00000000">
      <w:pPr>
        <w:pStyle w:val="SingleTxt"/>
        <w:numPr>
          <w:ilvl w:val="0"/>
          <w:numId w:val="214"/>
        </w:numPr>
      </w:pPr>
      <w:r>
        <w:t>Para prevenir la mortalidad materno infantil se promueve:</w:t>
      </w:r>
    </w:p>
    <w:p w:rsidR="00000000" w:rsidRDefault="00000000">
      <w:pPr>
        <w:pStyle w:val="SingleTxt"/>
        <w:tabs>
          <w:tab w:val="right" w:pos="1685"/>
        </w:tabs>
        <w:ind w:left="1742" w:hanging="475"/>
      </w:pPr>
      <w:r>
        <w:tab/>
        <w:t>•</w:t>
      </w:r>
      <w:r>
        <w:tab/>
        <w:t>Lactancia Materna</w:t>
      </w:r>
    </w:p>
    <w:p w:rsidR="00000000" w:rsidRDefault="00000000">
      <w:pPr>
        <w:pStyle w:val="SingleTxt"/>
        <w:tabs>
          <w:tab w:val="right" w:pos="1685"/>
        </w:tabs>
        <w:ind w:left="1742" w:hanging="475"/>
      </w:pPr>
      <w:r>
        <w:tab/>
        <w:t>•</w:t>
      </w:r>
      <w:r>
        <w:tab/>
        <w:t>Control Prenatal</w:t>
      </w:r>
    </w:p>
    <w:p w:rsidR="00000000" w:rsidRDefault="00000000">
      <w:pPr>
        <w:pStyle w:val="SingleTxt"/>
        <w:tabs>
          <w:tab w:val="right" w:pos="1685"/>
        </w:tabs>
        <w:ind w:left="1742" w:hanging="475"/>
      </w:pPr>
      <w:r>
        <w:tab/>
        <w:t>•</w:t>
      </w:r>
      <w:r>
        <w:tab/>
        <w:t>Planificación Familiar</w:t>
      </w:r>
    </w:p>
    <w:p w:rsidR="00000000" w:rsidRDefault="00000000">
      <w:pPr>
        <w:pStyle w:val="SingleTxt"/>
        <w:tabs>
          <w:tab w:val="right" w:pos="1685"/>
        </w:tabs>
        <w:ind w:left="1742" w:hanging="475"/>
      </w:pPr>
      <w:r>
        <w:tab/>
        <w:t>•</w:t>
      </w:r>
      <w:r>
        <w:tab/>
        <w:t>Prevención del Embarazo Adolescente</w:t>
      </w:r>
    </w:p>
    <w:p w:rsidR="00000000" w:rsidRDefault="00000000">
      <w:pPr>
        <w:pStyle w:val="SingleTxt"/>
        <w:tabs>
          <w:tab w:val="right" w:pos="1685"/>
        </w:tabs>
        <w:ind w:left="1742" w:hanging="475"/>
      </w:pPr>
      <w:r>
        <w:tab/>
        <w:t>•</w:t>
      </w:r>
      <w:r>
        <w:tab/>
        <w:t xml:space="preserve">Atención al Recién Nacido </w:t>
      </w:r>
    </w:p>
    <w:p w:rsidR="00000000" w:rsidRDefault="00000000">
      <w:pPr>
        <w:pStyle w:val="SingleTxt"/>
        <w:tabs>
          <w:tab w:val="right" w:pos="1685"/>
        </w:tabs>
        <w:ind w:left="1742" w:hanging="475"/>
      </w:pPr>
      <w:r>
        <w:tab/>
        <w:t>•</w:t>
      </w:r>
      <w:r>
        <w:tab/>
        <w:t>Estrategias Comunitarias</w:t>
      </w:r>
    </w:p>
    <w:p w:rsidR="00000000" w:rsidRDefault="00000000">
      <w:pPr>
        <w:pStyle w:val="SingleTxt"/>
        <w:numPr>
          <w:ilvl w:val="0"/>
          <w:numId w:val="214"/>
        </w:numPr>
      </w:pPr>
      <w:r>
        <w:t>Como lineamientos generales para la prevención y control de la mortalidad materno infantil tenemos: La atención integral a las y a los adolescentes, los pr</w:t>
      </w:r>
      <w:r>
        <w:t>o</w:t>
      </w:r>
      <w:r>
        <w:t>gramas de salud sexual y reproductiva, especializados y diferenciados para adole</w:t>
      </w:r>
      <w:r>
        <w:t>s</w:t>
      </w:r>
      <w:r>
        <w:t>centes emb</w:t>
      </w:r>
      <w:r>
        <w:t>a</w:t>
      </w:r>
      <w:r>
        <w:t>razadas. De igual modo se prevé la atención preconcepcional, post-parto, prenatal y post natal, a través de actividades de prevención, establecimiento de protocolos de trabajo para cada caso, mejoramiento de la capacidad de los serv</w:t>
      </w:r>
      <w:r>
        <w:t>i</w:t>
      </w:r>
      <w:r>
        <w:t>cios, orientación en anticoncepción , pl</w:t>
      </w:r>
      <w:r>
        <w:t>a</w:t>
      </w:r>
      <w:r>
        <w:t>nificación familiar y post aborto.</w:t>
      </w:r>
    </w:p>
    <w:p w:rsidR="00000000" w:rsidRDefault="00000000">
      <w:pPr>
        <w:pStyle w:val="SingleTxt"/>
        <w:numPr>
          <w:ilvl w:val="0"/>
          <w:numId w:val="214"/>
        </w:numPr>
      </w:pPr>
      <w:r>
        <w:t>Actualmente, el Proyecto de Desarrollo de Autonomía en Salud Sexual y R</w:t>
      </w:r>
      <w:r>
        <w:t>e</w:t>
      </w:r>
      <w:r>
        <w:t>productiva, esta desarrollando el Programa de Lactancia Materna. Este programa tiene como fin promocionar la lactancia materna exclusiva hasta los seis meses de edad como estrat</w:t>
      </w:r>
      <w:r>
        <w:t>e</w:t>
      </w:r>
      <w:r>
        <w:t>gia de seguridad alimentaria.</w:t>
      </w:r>
    </w:p>
    <w:p w:rsidR="00000000" w:rsidRDefault="00000000">
      <w:pPr>
        <w:pStyle w:val="SingleTxt"/>
        <w:numPr>
          <w:ilvl w:val="0"/>
          <w:numId w:val="214"/>
        </w:numPr>
      </w:pPr>
      <w:r>
        <w:t xml:space="preserve">En el marco de este programa de Lactancia Materna, se están creando los </w:t>
      </w:r>
      <w:r>
        <w:rPr>
          <w:b/>
        </w:rPr>
        <w:t>Ba</w:t>
      </w:r>
      <w:r>
        <w:rPr>
          <w:b/>
        </w:rPr>
        <w:t>n</w:t>
      </w:r>
      <w:r>
        <w:rPr>
          <w:b/>
        </w:rPr>
        <w:t xml:space="preserve">cos de Leche Materna </w:t>
      </w:r>
      <w:r>
        <w:t>con la debida capacitación de su personal. Hay tres Bancos de leche materna que ya están funcionando . Además de eso se asegura dentro del Programa Nacional de ITS/SIDA la provisión de leche humana a los hijos e hijas de madres seropositivas.</w:t>
      </w:r>
    </w:p>
    <w:p w:rsidR="00000000" w:rsidRDefault="00000000">
      <w:pPr>
        <w:pStyle w:val="SingleTxt"/>
        <w:numPr>
          <w:ilvl w:val="0"/>
          <w:numId w:val="214"/>
        </w:numPr>
      </w:pPr>
      <w:r>
        <w:t>Para el periodo de 1992 a 1999 de un total de 4.573 Casos infectados de Sida 89,5 correspondieron a hombres y solo el 10,5 a mujeres</w:t>
      </w:r>
    </w:p>
    <w:p w:rsidR="00000000" w:rsidRDefault="00000000">
      <w:pPr>
        <w:pStyle w:val="SingleTxt"/>
        <w:numPr>
          <w:ilvl w:val="0"/>
          <w:numId w:val="214"/>
        </w:numPr>
      </w:pPr>
      <w:r>
        <w:t>ONUSIDA hasta el año 2001 estima que en Venezuela hay 62.000 casos de VIH/SIDA. Sin embargo , el Programa Nacional de SIDA del Ministerio de Salud y Desarrollo Social (MSDS), ha registrado hasta diciembre del año 2000 un total de 10.571 casos SIDA, 7.014 casos corresponden a personas que viven con VIH y 5.849 son defunciones a causa del SIDA. La mortalidad por SIDA se ha estimado en 22.63% tomando en cuenta las cifras correspondientes al intervalo 1982-1999, sie</w:t>
      </w:r>
      <w:r>
        <w:t>n</w:t>
      </w:r>
      <w:r>
        <w:t>do las tasas de casos para este mismo periodo de 38,87%. Las mayores tasas de morbilidad se registran en el Distrito Capital, Zulia, Aragua, Carabobo, Miranda, Anzoategui y Bolívar.</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Distribución de Casos de SIDA por años acumulados desde 1997 al 2002</w:t>
      </w:r>
    </w:p>
    <w:p w:rsidR="00000000" w:rsidRDefault="00000000">
      <w:pPr>
        <w:spacing w:line="120" w:lineRule="exact"/>
        <w:rPr>
          <w:sz w:val="10"/>
        </w:rPr>
      </w:pPr>
    </w:p>
    <w:p w:rsidR="00000000" w:rsidRDefault="00000000">
      <w:pPr>
        <w:spacing w:line="120" w:lineRule="exact"/>
        <w:rPr>
          <w:sz w:val="1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73"/>
        <w:gridCol w:w="1447"/>
        <w:gridCol w:w="1440"/>
        <w:gridCol w:w="900"/>
      </w:tblGrid>
      <w:tr w:rsidR="00000000">
        <w:tblPrEx>
          <w:tblCellMar>
            <w:top w:w="0" w:type="dxa"/>
            <w:bottom w:w="0" w:type="dxa"/>
          </w:tblCellMar>
        </w:tblPrEx>
        <w:trPr>
          <w:jc w:val="center"/>
        </w:trPr>
        <w:tc>
          <w:tcPr>
            <w:tcW w:w="973" w:type="dxa"/>
          </w:tcPr>
          <w:p w:rsidR="00000000" w:rsidRDefault="00000000">
            <w:pPr>
              <w:keepNext/>
              <w:keepLines/>
              <w:tabs>
                <w:tab w:val="left" w:pos="2340"/>
              </w:tabs>
              <w:spacing w:before="120" w:after="120"/>
              <w:jc w:val="both"/>
              <w:rPr>
                <w:rFonts w:ascii="Arial" w:hAnsi="Arial"/>
                <w:b/>
              </w:rPr>
            </w:pPr>
            <w:r>
              <w:rPr>
                <w:rFonts w:ascii="Arial" w:hAnsi="Arial"/>
                <w:b/>
              </w:rPr>
              <w:t>Años</w:t>
            </w:r>
          </w:p>
        </w:tc>
        <w:tc>
          <w:tcPr>
            <w:tcW w:w="1447" w:type="dxa"/>
          </w:tcPr>
          <w:p w:rsidR="00000000" w:rsidRDefault="00000000">
            <w:pPr>
              <w:keepNext/>
              <w:keepLines/>
              <w:tabs>
                <w:tab w:val="left" w:pos="2340"/>
              </w:tabs>
              <w:spacing w:before="120" w:after="120"/>
              <w:jc w:val="both"/>
              <w:rPr>
                <w:rFonts w:ascii="Arial" w:hAnsi="Arial"/>
                <w:b/>
              </w:rPr>
            </w:pPr>
            <w:r>
              <w:rPr>
                <w:rFonts w:ascii="Arial" w:hAnsi="Arial"/>
                <w:b/>
              </w:rPr>
              <w:t>Masculinos</w:t>
            </w:r>
          </w:p>
        </w:tc>
        <w:tc>
          <w:tcPr>
            <w:tcW w:w="1440" w:type="dxa"/>
          </w:tcPr>
          <w:p w:rsidR="00000000" w:rsidRDefault="00000000">
            <w:pPr>
              <w:keepNext/>
              <w:keepLines/>
              <w:tabs>
                <w:tab w:val="left" w:pos="2340"/>
              </w:tabs>
              <w:spacing w:before="120" w:after="120"/>
              <w:jc w:val="both"/>
              <w:rPr>
                <w:rFonts w:ascii="Arial" w:hAnsi="Arial"/>
                <w:b/>
              </w:rPr>
            </w:pPr>
            <w:r>
              <w:rPr>
                <w:rFonts w:ascii="Arial" w:hAnsi="Arial"/>
                <w:b/>
              </w:rPr>
              <w:t>Femenino</w:t>
            </w:r>
          </w:p>
        </w:tc>
        <w:tc>
          <w:tcPr>
            <w:tcW w:w="900" w:type="dxa"/>
          </w:tcPr>
          <w:p w:rsidR="00000000" w:rsidRDefault="00000000">
            <w:pPr>
              <w:keepNext/>
              <w:keepLines/>
              <w:tabs>
                <w:tab w:val="left" w:pos="2340"/>
              </w:tabs>
              <w:spacing w:before="120" w:after="120"/>
              <w:jc w:val="both"/>
              <w:rPr>
                <w:rFonts w:ascii="Arial" w:hAnsi="Arial"/>
                <w:b/>
              </w:rPr>
            </w:pPr>
            <w:r>
              <w:rPr>
                <w:rFonts w:ascii="Arial" w:hAnsi="Arial"/>
                <w:b/>
              </w:rPr>
              <w:t>Total</w:t>
            </w:r>
          </w:p>
        </w:tc>
      </w:tr>
      <w:tr w:rsidR="00000000">
        <w:tblPrEx>
          <w:tblCellMar>
            <w:top w:w="0" w:type="dxa"/>
            <w:bottom w:w="0" w:type="dxa"/>
          </w:tblCellMar>
        </w:tblPrEx>
        <w:trPr>
          <w:jc w:val="center"/>
        </w:trPr>
        <w:tc>
          <w:tcPr>
            <w:tcW w:w="973" w:type="dxa"/>
          </w:tcPr>
          <w:p w:rsidR="00000000" w:rsidRDefault="00000000">
            <w:pPr>
              <w:keepNext/>
              <w:keepLines/>
              <w:tabs>
                <w:tab w:val="left" w:pos="2340"/>
              </w:tabs>
              <w:spacing w:before="120" w:after="120"/>
              <w:jc w:val="both"/>
              <w:rPr>
                <w:rFonts w:ascii="Arial" w:hAnsi="Arial"/>
              </w:rPr>
            </w:pPr>
            <w:r>
              <w:rPr>
                <w:rFonts w:ascii="Arial" w:hAnsi="Arial"/>
              </w:rPr>
              <w:t>1997</w:t>
            </w:r>
          </w:p>
        </w:tc>
        <w:tc>
          <w:tcPr>
            <w:tcW w:w="1447" w:type="dxa"/>
          </w:tcPr>
          <w:p w:rsidR="00000000" w:rsidRDefault="00000000">
            <w:pPr>
              <w:keepNext/>
              <w:keepLines/>
              <w:tabs>
                <w:tab w:val="left" w:pos="2340"/>
              </w:tabs>
              <w:spacing w:before="120" w:after="120"/>
              <w:jc w:val="both"/>
              <w:rPr>
                <w:rFonts w:ascii="Arial" w:hAnsi="Arial"/>
              </w:rPr>
            </w:pPr>
            <w:r>
              <w:rPr>
                <w:rFonts w:ascii="Arial" w:hAnsi="Arial"/>
              </w:rPr>
              <w:t>329</w:t>
            </w:r>
          </w:p>
        </w:tc>
        <w:tc>
          <w:tcPr>
            <w:tcW w:w="1440" w:type="dxa"/>
          </w:tcPr>
          <w:p w:rsidR="00000000" w:rsidRDefault="00000000">
            <w:pPr>
              <w:keepNext/>
              <w:keepLines/>
              <w:tabs>
                <w:tab w:val="left" w:pos="2340"/>
              </w:tabs>
              <w:spacing w:before="120" w:after="120"/>
              <w:jc w:val="both"/>
              <w:rPr>
                <w:rFonts w:ascii="Arial" w:hAnsi="Arial"/>
              </w:rPr>
            </w:pPr>
            <w:r>
              <w:rPr>
                <w:rFonts w:ascii="Arial" w:hAnsi="Arial"/>
              </w:rPr>
              <w:t>55</w:t>
            </w:r>
          </w:p>
        </w:tc>
        <w:tc>
          <w:tcPr>
            <w:tcW w:w="900" w:type="dxa"/>
          </w:tcPr>
          <w:p w:rsidR="00000000" w:rsidRDefault="00000000">
            <w:pPr>
              <w:keepNext/>
              <w:keepLines/>
              <w:tabs>
                <w:tab w:val="left" w:pos="2340"/>
              </w:tabs>
              <w:spacing w:before="120" w:after="120"/>
              <w:jc w:val="both"/>
              <w:rPr>
                <w:rFonts w:ascii="Arial" w:hAnsi="Arial"/>
              </w:rPr>
            </w:pPr>
            <w:r>
              <w:rPr>
                <w:rFonts w:ascii="Arial" w:hAnsi="Arial"/>
              </w:rPr>
              <w:t>384</w:t>
            </w:r>
          </w:p>
        </w:tc>
      </w:tr>
      <w:tr w:rsidR="00000000">
        <w:tblPrEx>
          <w:tblCellMar>
            <w:top w:w="0" w:type="dxa"/>
            <w:bottom w:w="0" w:type="dxa"/>
          </w:tblCellMar>
        </w:tblPrEx>
        <w:trPr>
          <w:jc w:val="center"/>
        </w:trPr>
        <w:tc>
          <w:tcPr>
            <w:tcW w:w="973" w:type="dxa"/>
          </w:tcPr>
          <w:p w:rsidR="00000000" w:rsidRDefault="00000000">
            <w:pPr>
              <w:keepNext/>
              <w:keepLines/>
              <w:tabs>
                <w:tab w:val="left" w:pos="2340"/>
              </w:tabs>
              <w:spacing w:before="120" w:after="120"/>
              <w:jc w:val="both"/>
              <w:rPr>
                <w:rFonts w:ascii="Arial" w:hAnsi="Arial"/>
              </w:rPr>
            </w:pPr>
            <w:r>
              <w:rPr>
                <w:rFonts w:ascii="Arial" w:hAnsi="Arial"/>
              </w:rPr>
              <w:t>1998</w:t>
            </w:r>
          </w:p>
        </w:tc>
        <w:tc>
          <w:tcPr>
            <w:tcW w:w="1447" w:type="dxa"/>
          </w:tcPr>
          <w:p w:rsidR="00000000" w:rsidRDefault="00000000">
            <w:pPr>
              <w:keepNext/>
              <w:keepLines/>
              <w:tabs>
                <w:tab w:val="left" w:pos="2340"/>
              </w:tabs>
              <w:spacing w:before="120" w:after="120"/>
              <w:jc w:val="both"/>
              <w:rPr>
                <w:rFonts w:ascii="Arial" w:hAnsi="Arial"/>
              </w:rPr>
            </w:pPr>
            <w:r>
              <w:rPr>
                <w:rFonts w:ascii="Arial" w:hAnsi="Arial"/>
              </w:rPr>
              <w:t>257</w:t>
            </w:r>
          </w:p>
        </w:tc>
        <w:tc>
          <w:tcPr>
            <w:tcW w:w="1440" w:type="dxa"/>
          </w:tcPr>
          <w:p w:rsidR="00000000" w:rsidRDefault="00000000">
            <w:pPr>
              <w:keepNext/>
              <w:keepLines/>
              <w:tabs>
                <w:tab w:val="left" w:pos="2340"/>
              </w:tabs>
              <w:spacing w:before="120" w:after="120"/>
              <w:jc w:val="both"/>
              <w:rPr>
                <w:rFonts w:ascii="Arial" w:hAnsi="Arial"/>
              </w:rPr>
            </w:pPr>
            <w:r>
              <w:rPr>
                <w:rFonts w:ascii="Arial" w:hAnsi="Arial"/>
              </w:rPr>
              <w:t>43</w:t>
            </w:r>
          </w:p>
        </w:tc>
        <w:tc>
          <w:tcPr>
            <w:tcW w:w="900" w:type="dxa"/>
          </w:tcPr>
          <w:p w:rsidR="00000000" w:rsidRDefault="00000000">
            <w:pPr>
              <w:keepNext/>
              <w:keepLines/>
              <w:tabs>
                <w:tab w:val="left" w:pos="2340"/>
              </w:tabs>
              <w:spacing w:before="120" w:after="120"/>
              <w:jc w:val="both"/>
              <w:rPr>
                <w:rFonts w:ascii="Arial" w:hAnsi="Arial"/>
              </w:rPr>
            </w:pPr>
            <w:r>
              <w:rPr>
                <w:rFonts w:ascii="Arial" w:hAnsi="Arial"/>
              </w:rPr>
              <w:t>300</w:t>
            </w:r>
          </w:p>
        </w:tc>
      </w:tr>
      <w:tr w:rsidR="00000000">
        <w:tblPrEx>
          <w:tblCellMar>
            <w:top w:w="0" w:type="dxa"/>
            <w:bottom w:w="0" w:type="dxa"/>
          </w:tblCellMar>
        </w:tblPrEx>
        <w:trPr>
          <w:jc w:val="center"/>
        </w:trPr>
        <w:tc>
          <w:tcPr>
            <w:tcW w:w="973" w:type="dxa"/>
          </w:tcPr>
          <w:p w:rsidR="00000000" w:rsidRDefault="00000000">
            <w:pPr>
              <w:tabs>
                <w:tab w:val="left" w:pos="2340"/>
              </w:tabs>
              <w:spacing w:before="120" w:after="120"/>
              <w:jc w:val="both"/>
              <w:rPr>
                <w:rFonts w:ascii="Arial" w:hAnsi="Arial"/>
                <w:b/>
              </w:rPr>
            </w:pPr>
            <w:r>
              <w:rPr>
                <w:rFonts w:ascii="Arial" w:hAnsi="Arial"/>
                <w:b/>
              </w:rPr>
              <w:t>Años</w:t>
            </w:r>
          </w:p>
        </w:tc>
        <w:tc>
          <w:tcPr>
            <w:tcW w:w="1447" w:type="dxa"/>
          </w:tcPr>
          <w:p w:rsidR="00000000" w:rsidRDefault="00000000">
            <w:pPr>
              <w:tabs>
                <w:tab w:val="left" w:pos="2340"/>
              </w:tabs>
              <w:spacing w:before="120" w:after="120"/>
              <w:jc w:val="both"/>
              <w:rPr>
                <w:rFonts w:ascii="Arial" w:hAnsi="Arial"/>
                <w:b/>
              </w:rPr>
            </w:pPr>
            <w:r>
              <w:rPr>
                <w:rFonts w:ascii="Arial" w:hAnsi="Arial"/>
                <w:b/>
              </w:rPr>
              <w:t>Masculinos</w:t>
            </w:r>
          </w:p>
        </w:tc>
        <w:tc>
          <w:tcPr>
            <w:tcW w:w="1440" w:type="dxa"/>
          </w:tcPr>
          <w:p w:rsidR="00000000" w:rsidRDefault="00000000">
            <w:pPr>
              <w:tabs>
                <w:tab w:val="left" w:pos="2340"/>
              </w:tabs>
              <w:spacing w:before="120" w:after="120"/>
              <w:jc w:val="both"/>
              <w:rPr>
                <w:rFonts w:ascii="Arial" w:hAnsi="Arial"/>
                <w:b/>
              </w:rPr>
            </w:pPr>
            <w:r>
              <w:rPr>
                <w:rFonts w:ascii="Arial" w:hAnsi="Arial"/>
                <w:b/>
              </w:rPr>
              <w:t>Femenino</w:t>
            </w:r>
          </w:p>
        </w:tc>
        <w:tc>
          <w:tcPr>
            <w:tcW w:w="900" w:type="dxa"/>
          </w:tcPr>
          <w:p w:rsidR="00000000" w:rsidRDefault="00000000">
            <w:pPr>
              <w:tabs>
                <w:tab w:val="left" w:pos="2340"/>
              </w:tabs>
              <w:spacing w:before="120" w:after="120"/>
              <w:jc w:val="both"/>
              <w:rPr>
                <w:rFonts w:ascii="Arial" w:hAnsi="Arial"/>
                <w:b/>
              </w:rPr>
            </w:pPr>
            <w:r>
              <w:rPr>
                <w:rFonts w:ascii="Arial" w:hAnsi="Arial"/>
                <w:b/>
              </w:rPr>
              <w:t>Total</w:t>
            </w:r>
          </w:p>
        </w:tc>
      </w:tr>
      <w:tr w:rsidR="00000000">
        <w:tblPrEx>
          <w:tblCellMar>
            <w:top w:w="0" w:type="dxa"/>
            <w:bottom w:w="0" w:type="dxa"/>
          </w:tblCellMar>
        </w:tblPrEx>
        <w:trPr>
          <w:jc w:val="center"/>
        </w:trPr>
        <w:tc>
          <w:tcPr>
            <w:tcW w:w="973" w:type="dxa"/>
          </w:tcPr>
          <w:p w:rsidR="00000000" w:rsidRDefault="00000000">
            <w:pPr>
              <w:tabs>
                <w:tab w:val="left" w:pos="2340"/>
              </w:tabs>
              <w:spacing w:before="120" w:after="120"/>
              <w:jc w:val="both"/>
              <w:rPr>
                <w:rFonts w:ascii="Arial" w:hAnsi="Arial"/>
              </w:rPr>
            </w:pPr>
            <w:r>
              <w:rPr>
                <w:rFonts w:ascii="Arial" w:hAnsi="Arial"/>
              </w:rPr>
              <w:t>1999</w:t>
            </w:r>
          </w:p>
        </w:tc>
        <w:tc>
          <w:tcPr>
            <w:tcW w:w="1447" w:type="dxa"/>
          </w:tcPr>
          <w:p w:rsidR="00000000" w:rsidRDefault="00000000">
            <w:pPr>
              <w:tabs>
                <w:tab w:val="left" w:pos="2340"/>
              </w:tabs>
              <w:spacing w:before="120" w:after="120"/>
              <w:jc w:val="both"/>
              <w:rPr>
                <w:rFonts w:ascii="Arial" w:hAnsi="Arial"/>
              </w:rPr>
            </w:pPr>
            <w:r>
              <w:rPr>
                <w:rFonts w:ascii="Arial" w:hAnsi="Arial"/>
              </w:rPr>
              <w:t>54</w:t>
            </w:r>
          </w:p>
        </w:tc>
        <w:tc>
          <w:tcPr>
            <w:tcW w:w="1440" w:type="dxa"/>
          </w:tcPr>
          <w:p w:rsidR="00000000" w:rsidRDefault="00000000">
            <w:pPr>
              <w:tabs>
                <w:tab w:val="left" w:pos="2340"/>
              </w:tabs>
              <w:spacing w:before="120" w:after="120"/>
              <w:jc w:val="both"/>
              <w:rPr>
                <w:rFonts w:ascii="Arial" w:hAnsi="Arial"/>
              </w:rPr>
            </w:pPr>
            <w:r>
              <w:rPr>
                <w:rFonts w:ascii="Arial" w:hAnsi="Arial"/>
              </w:rPr>
              <w:t>11</w:t>
            </w:r>
          </w:p>
        </w:tc>
        <w:tc>
          <w:tcPr>
            <w:tcW w:w="900" w:type="dxa"/>
          </w:tcPr>
          <w:p w:rsidR="00000000" w:rsidRDefault="00000000">
            <w:pPr>
              <w:tabs>
                <w:tab w:val="left" w:pos="2340"/>
              </w:tabs>
              <w:spacing w:before="120" w:after="120"/>
              <w:jc w:val="both"/>
              <w:rPr>
                <w:rFonts w:ascii="Arial" w:hAnsi="Arial"/>
              </w:rPr>
            </w:pPr>
            <w:r>
              <w:rPr>
                <w:rFonts w:ascii="Arial" w:hAnsi="Arial"/>
              </w:rPr>
              <w:t>65</w:t>
            </w:r>
          </w:p>
        </w:tc>
      </w:tr>
      <w:tr w:rsidR="00000000">
        <w:tblPrEx>
          <w:tblCellMar>
            <w:top w:w="0" w:type="dxa"/>
            <w:bottom w:w="0" w:type="dxa"/>
          </w:tblCellMar>
        </w:tblPrEx>
        <w:trPr>
          <w:jc w:val="center"/>
        </w:trPr>
        <w:tc>
          <w:tcPr>
            <w:tcW w:w="973" w:type="dxa"/>
          </w:tcPr>
          <w:p w:rsidR="00000000" w:rsidRDefault="00000000">
            <w:pPr>
              <w:tabs>
                <w:tab w:val="left" w:pos="2340"/>
              </w:tabs>
              <w:spacing w:before="120" w:after="120"/>
              <w:jc w:val="both"/>
              <w:rPr>
                <w:rFonts w:ascii="Arial" w:hAnsi="Arial"/>
              </w:rPr>
            </w:pPr>
            <w:r>
              <w:rPr>
                <w:rFonts w:ascii="Arial" w:hAnsi="Arial"/>
              </w:rPr>
              <w:t>2000</w:t>
            </w:r>
          </w:p>
        </w:tc>
        <w:tc>
          <w:tcPr>
            <w:tcW w:w="1447" w:type="dxa"/>
          </w:tcPr>
          <w:p w:rsidR="00000000" w:rsidRDefault="00000000">
            <w:pPr>
              <w:tabs>
                <w:tab w:val="left" w:pos="2340"/>
              </w:tabs>
              <w:spacing w:before="120" w:after="120"/>
              <w:jc w:val="both"/>
              <w:rPr>
                <w:rFonts w:ascii="Arial" w:hAnsi="Arial"/>
              </w:rPr>
            </w:pPr>
            <w:r>
              <w:rPr>
                <w:rFonts w:ascii="Arial" w:hAnsi="Arial"/>
              </w:rPr>
              <w:t>8584</w:t>
            </w:r>
          </w:p>
        </w:tc>
        <w:tc>
          <w:tcPr>
            <w:tcW w:w="1440" w:type="dxa"/>
          </w:tcPr>
          <w:p w:rsidR="00000000" w:rsidRDefault="00000000">
            <w:pPr>
              <w:tabs>
                <w:tab w:val="left" w:pos="2340"/>
              </w:tabs>
              <w:spacing w:before="120" w:after="120"/>
              <w:jc w:val="both"/>
              <w:rPr>
                <w:rFonts w:ascii="Arial" w:hAnsi="Arial"/>
              </w:rPr>
            </w:pPr>
            <w:r>
              <w:rPr>
                <w:rFonts w:ascii="Arial" w:hAnsi="Arial"/>
              </w:rPr>
              <w:t>954</w:t>
            </w:r>
          </w:p>
        </w:tc>
        <w:tc>
          <w:tcPr>
            <w:tcW w:w="900" w:type="dxa"/>
          </w:tcPr>
          <w:p w:rsidR="00000000" w:rsidRDefault="00000000">
            <w:pPr>
              <w:tabs>
                <w:tab w:val="left" w:pos="2340"/>
              </w:tabs>
              <w:spacing w:before="120" w:after="120"/>
              <w:jc w:val="both"/>
              <w:rPr>
                <w:rFonts w:ascii="Arial" w:hAnsi="Arial"/>
              </w:rPr>
            </w:pPr>
            <w:r>
              <w:rPr>
                <w:rFonts w:ascii="Arial" w:hAnsi="Arial"/>
              </w:rPr>
              <w:t>9538*</w:t>
            </w:r>
          </w:p>
        </w:tc>
      </w:tr>
      <w:tr w:rsidR="00000000">
        <w:tblPrEx>
          <w:tblCellMar>
            <w:top w:w="0" w:type="dxa"/>
            <w:bottom w:w="0" w:type="dxa"/>
          </w:tblCellMar>
        </w:tblPrEx>
        <w:trPr>
          <w:jc w:val="center"/>
        </w:trPr>
        <w:tc>
          <w:tcPr>
            <w:tcW w:w="973" w:type="dxa"/>
          </w:tcPr>
          <w:p w:rsidR="00000000" w:rsidRDefault="00000000">
            <w:pPr>
              <w:tabs>
                <w:tab w:val="left" w:pos="2340"/>
              </w:tabs>
              <w:spacing w:before="120" w:after="120"/>
              <w:jc w:val="both"/>
              <w:rPr>
                <w:rFonts w:ascii="Arial" w:hAnsi="Arial"/>
              </w:rPr>
            </w:pPr>
            <w:r>
              <w:rPr>
                <w:rFonts w:ascii="Arial" w:hAnsi="Arial"/>
              </w:rPr>
              <w:t>2001</w:t>
            </w:r>
          </w:p>
        </w:tc>
        <w:tc>
          <w:tcPr>
            <w:tcW w:w="1447" w:type="dxa"/>
          </w:tcPr>
          <w:p w:rsidR="00000000" w:rsidRDefault="00000000">
            <w:pPr>
              <w:tabs>
                <w:tab w:val="left" w:pos="2340"/>
              </w:tabs>
              <w:spacing w:before="120" w:after="120"/>
              <w:jc w:val="both"/>
              <w:rPr>
                <w:rFonts w:ascii="Arial" w:hAnsi="Arial"/>
              </w:rPr>
            </w:pPr>
            <w:r>
              <w:rPr>
                <w:rFonts w:ascii="Arial" w:hAnsi="Arial"/>
              </w:rPr>
              <w:t>1961</w:t>
            </w:r>
          </w:p>
        </w:tc>
        <w:tc>
          <w:tcPr>
            <w:tcW w:w="1440" w:type="dxa"/>
          </w:tcPr>
          <w:p w:rsidR="00000000" w:rsidRDefault="00000000">
            <w:pPr>
              <w:tabs>
                <w:tab w:val="left" w:pos="2340"/>
              </w:tabs>
              <w:spacing w:before="120" w:after="120"/>
              <w:jc w:val="both"/>
              <w:rPr>
                <w:rFonts w:ascii="Arial" w:hAnsi="Arial"/>
              </w:rPr>
            </w:pPr>
            <w:r>
              <w:rPr>
                <w:rFonts w:ascii="Arial" w:hAnsi="Arial"/>
              </w:rPr>
              <w:t>218</w:t>
            </w:r>
          </w:p>
        </w:tc>
        <w:tc>
          <w:tcPr>
            <w:tcW w:w="900" w:type="dxa"/>
          </w:tcPr>
          <w:p w:rsidR="00000000" w:rsidRDefault="00000000">
            <w:pPr>
              <w:tabs>
                <w:tab w:val="left" w:pos="2340"/>
              </w:tabs>
              <w:spacing w:before="120" w:after="120"/>
              <w:jc w:val="both"/>
              <w:rPr>
                <w:rFonts w:ascii="Arial" w:hAnsi="Arial"/>
              </w:rPr>
            </w:pPr>
            <w:r>
              <w:rPr>
                <w:rFonts w:ascii="Arial" w:hAnsi="Arial"/>
              </w:rPr>
              <w:t>2179</w:t>
            </w:r>
          </w:p>
        </w:tc>
      </w:tr>
      <w:tr w:rsidR="00000000">
        <w:tblPrEx>
          <w:tblCellMar>
            <w:top w:w="0" w:type="dxa"/>
            <w:bottom w:w="0" w:type="dxa"/>
          </w:tblCellMar>
        </w:tblPrEx>
        <w:trPr>
          <w:jc w:val="center"/>
        </w:trPr>
        <w:tc>
          <w:tcPr>
            <w:tcW w:w="973" w:type="dxa"/>
          </w:tcPr>
          <w:p w:rsidR="00000000" w:rsidRDefault="00000000">
            <w:pPr>
              <w:tabs>
                <w:tab w:val="left" w:pos="2340"/>
              </w:tabs>
              <w:spacing w:before="120" w:after="120"/>
              <w:jc w:val="both"/>
              <w:rPr>
                <w:rFonts w:ascii="Arial" w:hAnsi="Arial"/>
              </w:rPr>
            </w:pPr>
            <w:r>
              <w:rPr>
                <w:rFonts w:ascii="Arial" w:hAnsi="Arial"/>
              </w:rPr>
              <w:t>2002</w:t>
            </w:r>
          </w:p>
        </w:tc>
        <w:tc>
          <w:tcPr>
            <w:tcW w:w="1447" w:type="dxa"/>
          </w:tcPr>
          <w:p w:rsidR="00000000" w:rsidRDefault="00000000">
            <w:pPr>
              <w:tabs>
                <w:tab w:val="left" w:pos="2340"/>
              </w:tabs>
              <w:spacing w:before="120" w:after="120"/>
              <w:jc w:val="both"/>
              <w:rPr>
                <w:rFonts w:ascii="Arial" w:hAnsi="Arial"/>
              </w:rPr>
            </w:pPr>
            <w:r>
              <w:rPr>
                <w:rFonts w:ascii="Arial" w:hAnsi="Arial"/>
              </w:rPr>
              <w:t>954</w:t>
            </w:r>
          </w:p>
        </w:tc>
        <w:tc>
          <w:tcPr>
            <w:tcW w:w="1440" w:type="dxa"/>
          </w:tcPr>
          <w:p w:rsidR="00000000" w:rsidRDefault="00000000">
            <w:pPr>
              <w:tabs>
                <w:tab w:val="left" w:pos="2340"/>
              </w:tabs>
              <w:spacing w:before="120" w:after="120"/>
              <w:jc w:val="both"/>
              <w:rPr>
                <w:rFonts w:ascii="Arial" w:hAnsi="Arial"/>
              </w:rPr>
            </w:pPr>
            <w:r>
              <w:rPr>
                <w:rFonts w:ascii="Arial" w:hAnsi="Arial"/>
              </w:rPr>
              <w:t>107</w:t>
            </w:r>
          </w:p>
        </w:tc>
        <w:tc>
          <w:tcPr>
            <w:tcW w:w="900" w:type="dxa"/>
          </w:tcPr>
          <w:p w:rsidR="00000000" w:rsidRDefault="00000000">
            <w:pPr>
              <w:tabs>
                <w:tab w:val="left" w:pos="2340"/>
              </w:tabs>
              <w:spacing w:before="120" w:after="120"/>
              <w:jc w:val="both"/>
              <w:rPr>
                <w:rFonts w:ascii="Arial" w:hAnsi="Arial"/>
              </w:rPr>
            </w:pPr>
            <w:r>
              <w:rPr>
                <w:rFonts w:ascii="Arial" w:hAnsi="Arial"/>
              </w:rPr>
              <w:t>1061**</w:t>
            </w:r>
          </w:p>
        </w:tc>
      </w:tr>
      <w:tr w:rsidR="00000000">
        <w:tblPrEx>
          <w:tblCellMar>
            <w:top w:w="0" w:type="dxa"/>
            <w:bottom w:w="0" w:type="dxa"/>
          </w:tblCellMar>
        </w:tblPrEx>
        <w:trPr>
          <w:jc w:val="center"/>
        </w:trPr>
        <w:tc>
          <w:tcPr>
            <w:tcW w:w="973" w:type="dxa"/>
          </w:tcPr>
          <w:p w:rsidR="00000000" w:rsidRDefault="00000000">
            <w:pPr>
              <w:tabs>
                <w:tab w:val="left" w:pos="2340"/>
              </w:tabs>
              <w:spacing w:before="120" w:after="120"/>
              <w:jc w:val="both"/>
              <w:rPr>
                <w:rFonts w:ascii="Arial" w:hAnsi="Arial"/>
                <w:b/>
              </w:rPr>
            </w:pPr>
            <w:r>
              <w:rPr>
                <w:rFonts w:ascii="Arial" w:hAnsi="Arial"/>
                <w:b/>
              </w:rPr>
              <w:t>Total</w:t>
            </w:r>
          </w:p>
        </w:tc>
        <w:tc>
          <w:tcPr>
            <w:tcW w:w="1447" w:type="dxa"/>
          </w:tcPr>
          <w:p w:rsidR="00000000" w:rsidRDefault="00000000">
            <w:pPr>
              <w:tabs>
                <w:tab w:val="left" w:pos="2340"/>
              </w:tabs>
              <w:spacing w:before="120" w:after="120"/>
              <w:jc w:val="both"/>
              <w:rPr>
                <w:rFonts w:ascii="Arial" w:hAnsi="Arial"/>
                <w:b/>
              </w:rPr>
            </w:pPr>
            <w:r>
              <w:rPr>
                <w:rFonts w:ascii="Arial" w:hAnsi="Arial"/>
                <w:b/>
              </w:rPr>
              <w:t>12103</w:t>
            </w:r>
          </w:p>
        </w:tc>
        <w:tc>
          <w:tcPr>
            <w:tcW w:w="1440" w:type="dxa"/>
          </w:tcPr>
          <w:p w:rsidR="00000000" w:rsidRDefault="00000000">
            <w:pPr>
              <w:tabs>
                <w:tab w:val="left" w:pos="2340"/>
              </w:tabs>
              <w:spacing w:before="120" w:after="120"/>
              <w:jc w:val="both"/>
              <w:rPr>
                <w:rFonts w:ascii="Arial" w:hAnsi="Arial"/>
                <w:b/>
              </w:rPr>
            </w:pPr>
            <w:r>
              <w:rPr>
                <w:rFonts w:ascii="Arial" w:hAnsi="Arial"/>
                <w:b/>
              </w:rPr>
              <w:t>1388</w:t>
            </w:r>
          </w:p>
        </w:tc>
        <w:tc>
          <w:tcPr>
            <w:tcW w:w="900" w:type="dxa"/>
          </w:tcPr>
          <w:p w:rsidR="00000000" w:rsidRDefault="00000000">
            <w:pPr>
              <w:tabs>
                <w:tab w:val="left" w:pos="2340"/>
              </w:tabs>
              <w:spacing w:before="120" w:after="120"/>
              <w:jc w:val="both"/>
              <w:rPr>
                <w:rFonts w:ascii="Arial" w:hAnsi="Arial"/>
                <w:b/>
              </w:rPr>
            </w:pPr>
            <w:r>
              <w:rPr>
                <w:rFonts w:ascii="Arial" w:hAnsi="Arial"/>
                <w:b/>
              </w:rPr>
              <w:t>13527</w:t>
            </w:r>
          </w:p>
        </w:tc>
      </w:tr>
    </w:tbl>
    <w:p w:rsidR="00000000" w:rsidRDefault="00000000">
      <w:pPr>
        <w:tabs>
          <w:tab w:val="left" w:pos="2340"/>
        </w:tabs>
        <w:spacing w:line="120" w:lineRule="exact"/>
        <w:ind w:left="708"/>
        <w:jc w:val="both"/>
        <w:rPr>
          <w:rFonts w:ascii="Arial" w:hAnsi="Arial"/>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rPr>
          <w:i/>
        </w:rPr>
        <w:t>Fuente</w:t>
      </w:r>
      <w:r>
        <w:t xml:space="preserve"> Fichas Epidemiológica del Programa Nacional de SIDA/ITS. MSDS</w:t>
      </w:r>
    </w:p>
    <w:p w:rsidR="00000000" w:rsidRDefault="00000000">
      <w:pPr>
        <w:pStyle w:val="FootnoteText"/>
        <w:tabs>
          <w:tab w:val="clear" w:pos="418"/>
          <w:tab w:val="right" w:pos="1476"/>
          <w:tab w:val="left" w:pos="1548"/>
          <w:tab w:val="right" w:pos="1836"/>
          <w:tab w:val="left" w:pos="1908"/>
        </w:tabs>
        <w:ind w:left="1548" w:right="1267" w:hanging="288"/>
      </w:pPr>
      <w:r>
        <w:tab/>
        <w:t>*</w:t>
      </w:r>
      <w:r>
        <w:tab/>
        <w:t>Durante el 2000 y 2001 se realizó una recolección sistemática de datos a nivel N</w:t>
      </w:r>
      <w:r>
        <w:t>a</w:t>
      </w:r>
      <w:r>
        <w:t>cional</w:t>
      </w:r>
    </w:p>
    <w:p w:rsidR="00000000" w:rsidRDefault="00000000">
      <w:pPr>
        <w:pStyle w:val="FootnoteText"/>
        <w:tabs>
          <w:tab w:val="clear" w:pos="418"/>
          <w:tab w:val="right" w:pos="1476"/>
          <w:tab w:val="left" w:pos="1548"/>
          <w:tab w:val="right" w:pos="1836"/>
          <w:tab w:val="left" w:pos="1908"/>
        </w:tabs>
        <w:ind w:left="1548" w:right="1267" w:hanging="288"/>
      </w:pPr>
      <w:r>
        <w:tab/>
        <w:t>**</w:t>
      </w:r>
      <w:r>
        <w:tab/>
      </w:r>
      <w:r>
        <w:tab/>
        <w:t>Sólo reporte de 13 Entidades Federales al mes de Julio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14"/>
        </w:numPr>
      </w:pPr>
      <w:r>
        <w:t>En este sentido el Ministerio de Salud y Desarrollo Social viene ejecutando desde el 2001 el Plan Estratégico Nacional VIH/SIDA, como un instrumento de la política de salud y desarrollo social, que sirve de eje articulador de respuestas org</w:t>
      </w:r>
      <w:r>
        <w:t>a</w:t>
      </w:r>
      <w:r>
        <w:t>nizadas y sostenidas, para facilitar la movilización de recursos financieros y hum</w:t>
      </w:r>
      <w:r>
        <w:t>a</w:t>
      </w:r>
      <w:r>
        <w:t>nos en torno a las acciones de lucha contra el VIH/SIDA.</w:t>
      </w:r>
    </w:p>
    <w:p w:rsidR="00000000" w:rsidRDefault="00000000">
      <w:pPr>
        <w:pStyle w:val="SingleTxt"/>
        <w:keepNext/>
        <w:numPr>
          <w:ilvl w:val="0"/>
          <w:numId w:val="214"/>
        </w:numPr>
      </w:pPr>
      <w:r>
        <w:t>Los principales lineamientos del Programa Nacional de ITS/SIDA son:</w:t>
      </w:r>
    </w:p>
    <w:p w:rsidR="00000000" w:rsidRDefault="00000000">
      <w:pPr>
        <w:pStyle w:val="SingleTxt"/>
        <w:keepNext/>
      </w:pPr>
      <w:r>
        <w:tab/>
        <w:t>1.-Acceso a tratamiento Gratuito de VIH-SIDA: para el año 2004 , el MSDS suministra tratamiento retroviral gratuito y oportuno a 12.369 pacientes, lo que r</w:t>
      </w:r>
      <w:r>
        <w:t>e</w:t>
      </w:r>
      <w:r>
        <w:t>presentó una inve</w:t>
      </w:r>
      <w:r>
        <w:t>r</w:t>
      </w:r>
      <w:r>
        <w:t>sión para este año de 45 millardos de bolívares ($23.437.500).</w:t>
      </w:r>
    </w:p>
    <w:p w:rsidR="00000000" w:rsidRDefault="00000000">
      <w:pPr>
        <w:pStyle w:val="SingleTxt"/>
      </w:pPr>
      <w:r>
        <w:tab/>
        <w:t>2.-Prevención Integral y Apoyo a ONG´s que estén trabajando en el tema: se otorga créditos a ONG´s que tengan proyectos dirigidos a grupos vulnerables y de riesgo. Entre los cuales destacan: embarazadas y madres, grupos de PVV, madres s</w:t>
      </w:r>
      <w:r>
        <w:t>e</w:t>
      </w:r>
      <w:r>
        <w:t>ropositivas, grupos de diversidad sexual, HSH, trabajadoras sexuales, rehabilitación de explotación sexual, etc. Se está invirtiendo para este año alrededor de 500 mill</w:t>
      </w:r>
      <w:r>
        <w:t>o</w:t>
      </w:r>
      <w:r>
        <w:t>nes de bolívares ($260.416,67).</w:t>
      </w:r>
    </w:p>
    <w:p w:rsidR="00000000" w:rsidRDefault="00000000">
      <w:pPr>
        <w:pStyle w:val="SingleTxt"/>
      </w:pPr>
      <w:r>
        <w:tab/>
        <w:t>3.-Vigilancia Epidemiológica articulado al Sistema de Información del MSDS.</w:t>
      </w:r>
    </w:p>
    <w:p w:rsidR="00000000" w:rsidRDefault="00000000">
      <w:pPr>
        <w:pStyle w:val="SingleTxt"/>
      </w:pPr>
      <w:r>
        <w:tab/>
        <w:t>4.-Prevención de la Transmisión Vertical: se brinda atención integral y trat</w:t>
      </w:r>
      <w:r>
        <w:t>a</w:t>
      </w:r>
      <w:r>
        <w:t>miento ant</w:t>
      </w:r>
      <w:r>
        <w:t>i</w:t>
      </w:r>
      <w:r>
        <w:t>rretoviral a las madres seropositivas y a sus niñas y niños.</w:t>
      </w:r>
    </w:p>
    <w:p w:rsidR="00000000" w:rsidRDefault="00000000">
      <w:pPr>
        <w:pStyle w:val="SingleTxt"/>
      </w:pPr>
      <w:r>
        <w:tab/>
        <w:t>5.-Proyecto de Prevención Integral ITS-VIH-SIDA, Embarazo Precoz y Vi</w:t>
      </w:r>
      <w:r>
        <w:t>o</w:t>
      </w:r>
      <w:r>
        <w:t>lencia Intraf</w:t>
      </w:r>
      <w:r>
        <w:t>a</w:t>
      </w:r>
      <w:r>
        <w:t>miliar ejecutado en el 2000-2002 en las Escuelas Bolivarianas.</w:t>
      </w:r>
    </w:p>
    <w:p w:rsidR="00000000" w:rsidRDefault="00000000">
      <w:pPr>
        <w:pStyle w:val="SingleTxt"/>
        <w:numPr>
          <w:ilvl w:val="0"/>
          <w:numId w:val="214"/>
        </w:numPr>
      </w:pPr>
      <w:r>
        <w:t>En Venezuela se considera el aborto como una práctica que pone en riesgo la salud de la mujer, que se manifiesta hoy como la tercera causa de muerte materna en el país. La práctica de abortos clandestinos ha ido en aumento porque muchas muj</w:t>
      </w:r>
      <w:r>
        <w:t>e</w:t>
      </w:r>
      <w:r>
        <w:t>res no tienen acceso adecuado a los servicios de planificación familiar y salud r</w:t>
      </w:r>
      <w:r>
        <w:t>e</w:t>
      </w:r>
      <w:r>
        <w:t>productiva, por lo que se hizo necesario ampliar su cobertura y fortalecer las acci</w:t>
      </w:r>
      <w:r>
        <w:t>o</w:t>
      </w:r>
      <w:r>
        <w:t>nes dirigidas a prevenir los embarazos no deseados y en consecuencia combatir la práctica de abortos. En la nueva Constitución de la República Bolivariana de Ven</w:t>
      </w:r>
      <w:r>
        <w:t>e</w:t>
      </w:r>
      <w:r>
        <w:t>zuela las mujeres lograron la consagración de los derechos sexuales y reproductivos que abarcan la protección a la maternidad libremente escogida y el derecho a obt</w:t>
      </w:r>
      <w:r>
        <w:t>e</w:t>
      </w:r>
      <w:r>
        <w:t>ner educación sexual responsable, servicios en salud sexual y reproductiva e info</w:t>
      </w:r>
      <w:r>
        <w:t>r</w:t>
      </w:r>
      <w:r>
        <w:t>mación calificada sobre el tema, con lo cual se espera prevenir el aborto y bajar los í</w:t>
      </w:r>
      <w:r>
        <w:t>n</w:t>
      </w:r>
      <w:r>
        <w:t xml:space="preserve">dices de mortalidad femenina. </w:t>
      </w:r>
    </w:p>
    <w:p w:rsidR="00000000" w:rsidRDefault="00000000">
      <w:pPr>
        <w:pStyle w:val="SingleTxt"/>
        <w:numPr>
          <w:ilvl w:val="0"/>
          <w:numId w:val="214"/>
        </w:numPr>
      </w:pPr>
      <w:r>
        <w:t>En Venezuela existe, un subregistro asociado a la ilegalidad del aborto. Según el MSDS entre 1997 y 1999, las cifras se ubico en un 14%. La política actual del MSDS es fortalecer la prevención de los embarazos no deseados incluyendo la ant</w:t>
      </w:r>
      <w:r>
        <w:t>i</w:t>
      </w:r>
      <w:r>
        <w:t xml:space="preserve">concepción de emergencia, la atención oportuna y adecuada del aborto en curso.  </w:t>
      </w:r>
    </w:p>
    <w:p w:rsidR="00000000" w:rsidRDefault="00000000">
      <w:pPr>
        <w:pStyle w:val="SingleTxt"/>
        <w:numPr>
          <w:ilvl w:val="0"/>
          <w:numId w:val="214"/>
        </w:numPr>
      </w:pPr>
      <w:r>
        <w:t>En relación a este tema, en materia jurídica se requiere implementar medidas para la no criminalización de las mujeres y “...se incorporo la atención terapéutica en los casos especiales de embarazo por violación , incesto , alteraciones del des</w:t>
      </w:r>
      <w:r>
        <w:t>a</w:t>
      </w:r>
      <w:r>
        <w:t>rrollo intrauterino, genéticas, hereditarias y congénitas, así como en caso de riesgo de salud física y mental de la madres (Norma Oficial para la Atención Integral de la Salud Sexual y Reproductiva, 2003)”</w:t>
      </w:r>
    </w:p>
    <w:p w:rsidR="00000000" w:rsidRDefault="00000000">
      <w:pPr>
        <w:pStyle w:val="SingleTxt"/>
        <w:numPr>
          <w:ilvl w:val="0"/>
          <w:numId w:val="214"/>
        </w:numPr>
        <w:suppressAutoHyphens/>
      </w:pPr>
      <w:r>
        <w:t xml:space="preserve">La protección de los derechos sexuales y reproductivos está garantizada con la implementación del </w:t>
      </w:r>
      <w:r>
        <w:rPr>
          <w:b/>
        </w:rPr>
        <w:t xml:space="preserve">Programa Nacional de Salud Sexual y Reproductiva </w:t>
      </w:r>
      <w:r>
        <w:t>a partir del año 2000, como parte del Programa Integral de Salud del Ministerio de Salud y Desarrollo Social y ejecutado por la Comisión de Salud Sexual y Reproductiva, el cual se realiza de acuerdo a los principios de cooperación, solidaridad y corresponsabilidad que están establecidos en la Constitución de la República Bolivariana de Venezuela y definen el rol del Estado como garante de los derechos sociales. Este programa formula políticas, acciones y estrategias sobre prevención y atención, articulación intersectorial y evaluación de políticas y proyectos de salud, sexual y r</w:t>
      </w:r>
      <w:r>
        <w:t>e</w:t>
      </w:r>
      <w:r>
        <w:t>productiva.</w:t>
      </w:r>
    </w:p>
    <w:p w:rsidR="00000000" w:rsidRDefault="00000000">
      <w:pPr>
        <w:pStyle w:val="SingleTxt"/>
        <w:numPr>
          <w:ilvl w:val="0"/>
          <w:numId w:val="214"/>
        </w:numPr>
      </w:pPr>
      <w:r>
        <w:t>Dentro de este Plan de Acción Nacional de SSR se realizó el Taller Plan A</w:t>
      </w:r>
      <w:r>
        <w:t>c</w:t>
      </w:r>
      <w:r>
        <w:t>ción Nacional de Salud Sexual y Reproductiva (Nov 2001) con el apoyo de OPS y la dirección de Salud Poblacional del MSDS. Se contó con la participación de Dire</w:t>
      </w:r>
      <w:r>
        <w:t>c</w:t>
      </w:r>
      <w:r>
        <w:t>ciones Regionales de Salud, FNUAP, Representantes de la Maternidad Concepción Palacios, Dirección de Desarrollo Social, Programa de Oncología, Programa Niño y Adolescente, entre otros. Además se han conformado 24 Coordinaciones Regionales de SSR en las entidades federales del País.</w:t>
      </w:r>
    </w:p>
    <w:p w:rsidR="00000000" w:rsidRDefault="00000000">
      <w:pPr>
        <w:pStyle w:val="SingleTxt"/>
        <w:numPr>
          <w:ilvl w:val="0"/>
          <w:numId w:val="214"/>
        </w:numPr>
      </w:pPr>
      <w:r>
        <w:t>El Fortalecimiento de los Servicios de Planificación Familiar y Dotación de Anticonceptivos es otra de las estrategias del Plan Nacional de SSR. La Distribución gratuita de anticonceptivos es garantizada como parte del derecho a la salud. La provisión incluye una amplia variedad de anticonceptivos orales, inyectables, disp</w:t>
      </w:r>
      <w:r>
        <w:t>o</w:t>
      </w:r>
      <w:r>
        <w:t>sitivos intrauterinos, preservativos y la anticoncepción de emergencia, incidiendo en un incremento estimado de la cobertura de planificación familiar a 43% para el 2000 (OPS,2000)</w:t>
      </w:r>
    </w:p>
    <w:p w:rsidR="00000000" w:rsidRDefault="00000000">
      <w:pPr>
        <w:pStyle w:val="SingleTxt"/>
        <w:numPr>
          <w:ilvl w:val="0"/>
          <w:numId w:val="214"/>
        </w:numPr>
      </w:pPr>
      <w:r>
        <w:t>La anticoncepción de emergencia (PAE) está incluida en la oferta de antico</w:t>
      </w:r>
      <w:r>
        <w:t>n</w:t>
      </w:r>
      <w:r>
        <w:t xml:space="preserve">ceptivos la cual se indica en la Norma Oficial para la Atención Integral en Salud Sexual y Reproductiva. </w:t>
      </w:r>
    </w:p>
    <w:p w:rsidR="00000000" w:rsidRDefault="00000000">
      <w:pPr>
        <w:pStyle w:val="SingleTxt"/>
        <w:numPr>
          <w:ilvl w:val="0"/>
          <w:numId w:val="214"/>
        </w:numPr>
      </w:pPr>
      <w:r>
        <w:t xml:space="preserve">La norma Oficial del Sistema Sanitario Nacional en materia de Salud Sexual y Reproductiva en los establecimientos públicos y privados, se aprobó en la </w:t>
      </w:r>
      <w:r>
        <w:rPr>
          <w:b/>
        </w:rPr>
        <w:t>Gaceta Oficial Número 37.705</w:t>
      </w:r>
      <w:r>
        <w:t xml:space="preserve"> , de fecha 05/06/03 , decreto Número 364. Esta norma i</w:t>
      </w:r>
      <w:r>
        <w:t>n</w:t>
      </w:r>
      <w:r>
        <w:t>cluye los siguientes instrumentos:</w:t>
      </w:r>
    </w:p>
    <w:p w:rsidR="00000000" w:rsidRDefault="00000000">
      <w:pPr>
        <w:pStyle w:val="SingleTxt"/>
      </w:pPr>
      <w:r>
        <w:tab/>
        <w:t>a.-Lineamientos estratégicos para la promoción y el desarrollo para la Salud Sexual y Reproductiva guía para la acción.</w:t>
      </w:r>
    </w:p>
    <w:p w:rsidR="00000000" w:rsidRDefault="00000000">
      <w:pPr>
        <w:pStyle w:val="SingleTxt"/>
      </w:pPr>
      <w:r>
        <w:tab/>
        <w:t>b.-Reglamento técnico y administrativo para la promoción y el desarrollo int</w:t>
      </w:r>
      <w:r>
        <w:t>e</w:t>
      </w:r>
      <w:r>
        <w:t>gral de la Salud Sexual y Reproductiva.</w:t>
      </w:r>
    </w:p>
    <w:p w:rsidR="00000000" w:rsidRDefault="00000000">
      <w:pPr>
        <w:pStyle w:val="SingleTxt"/>
      </w:pPr>
      <w:r>
        <w:tab/>
        <w:t>c.- Manual de procedimiento para la promoción y el Desarrollo de la Salud S</w:t>
      </w:r>
      <w:r>
        <w:t>e</w:t>
      </w:r>
      <w:r>
        <w:t>xual y Reproductiva.</w:t>
      </w:r>
    </w:p>
    <w:p w:rsidR="00000000" w:rsidRDefault="00000000">
      <w:pPr>
        <w:pStyle w:val="SingleTxt"/>
      </w:pPr>
      <w:r>
        <w:tab/>
        <w:t>d.-Ficha técnica para la Salud Sexual y Reproductiva.</w:t>
      </w:r>
    </w:p>
    <w:p w:rsidR="00000000" w:rsidRDefault="00000000">
      <w:pPr>
        <w:pStyle w:val="SingleTxt"/>
        <w:numPr>
          <w:ilvl w:val="0"/>
          <w:numId w:val="214"/>
        </w:numPr>
      </w:pPr>
      <w:r>
        <w:t>Cabe destacar que las acciones contempladas en el Plan de Atención Integral en Salud Sexual y Reproductiva está orientada a la atención especifica de las nec</w:t>
      </w:r>
      <w:r>
        <w:t>e</w:t>
      </w:r>
      <w:r>
        <w:t>sidades en sus diversas expresiones de acuerdo al género, etapa del ciclo de vida, etnias/ pueblos indígenas, territorios y clases sociales. De este modo se presentan innovaciones tales como: énfasis en la salud sexual y su independencia respecto a la reproducción, la atención de la SSR en todas las etapas de la vida,(infancia, adole</w:t>
      </w:r>
      <w:r>
        <w:t>s</w:t>
      </w:r>
      <w:r>
        <w:t>cencia, adultas y adultos mayores, atención humanizada en el parto (libertad de p</w:t>
      </w:r>
      <w:r>
        <w:t>o</w:t>
      </w:r>
      <w:r>
        <w:t>sición en el parto y nacimiento sin violencia), la atención de la salud sexual repr</w:t>
      </w:r>
      <w:r>
        <w:t>o</w:t>
      </w:r>
      <w:r>
        <w:t>ductiva del hombre, la promoción de los derechos sexuales y reproductivos , el a</w:t>
      </w:r>
      <w:r>
        <w:t>c</w:t>
      </w:r>
      <w:r>
        <w:t>ceso a tecnologías anticonceptivas novedosas y la prevención y atención de la vi</w:t>
      </w:r>
      <w:r>
        <w:t>o</w:t>
      </w:r>
      <w:r>
        <w:t>lencia contra la mujer, intrafamiliar y sexual, entre otras.</w:t>
      </w:r>
    </w:p>
    <w:p w:rsidR="00000000" w:rsidRDefault="00000000">
      <w:pPr>
        <w:pStyle w:val="SingleTxt"/>
        <w:numPr>
          <w:ilvl w:val="0"/>
          <w:numId w:val="214"/>
        </w:numPr>
        <w:rPr>
          <w:w w:val="102"/>
        </w:rPr>
      </w:pPr>
      <w:r>
        <w:rPr>
          <w:w w:val="102"/>
        </w:rPr>
        <w:t>El MSDS está desarrollando dos proyectos de relevancia con metas a mediano plazo orientados a promover y fortalecer la atención en Salud Sexual y Reproduct</w:t>
      </w:r>
      <w:r>
        <w:rPr>
          <w:w w:val="102"/>
        </w:rPr>
        <w:t>i</w:t>
      </w:r>
      <w:r>
        <w:rPr>
          <w:w w:val="102"/>
        </w:rPr>
        <w:t>va:</w:t>
      </w:r>
    </w:p>
    <w:p w:rsidR="00000000" w:rsidRDefault="00000000">
      <w:pPr>
        <w:pStyle w:val="SingleTxt"/>
        <w:tabs>
          <w:tab w:val="right" w:pos="1685"/>
        </w:tabs>
        <w:ind w:left="1742" w:hanging="475"/>
      </w:pPr>
      <w:r>
        <w:tab/>
        <w:t>•</w:t>
      </w:r>
      <w:r>
        <w:tab/>
        <w:t>Promoción de Atención en SSR: este proyecto se orienta al fortalecimiento de la capacidad técnica del MSDS para garantizar y elevar la calidad de atención en SSR, incidiendo en capacidades para reducir la mortalidad materna, la ate</w:t>
      </w:r>
      <w:r>
        <w:t>n</w:t>
      </w:r>
      <w:r>
        <w:t>ción integral de las y los adolescentes, reducir los embarazos no deseados, la violencia d</w:t>
      </w:r>
      <w:r>
        <w:t>o</w:t>
      </w:r>
      <w:r>
        <w:t>méstica, intra familiar y sexual y las ITS/VIH/SIDA.</w:t>
      </w:r>
    </w:p>
    <w:p w:rsidR="00000000" w:rsidRDefault="00000000">
      <w:pPr>
        <w:pStyle w:val="SingleTxt"/>
        <w:tabs>
          <w:tab w:val="right" w:pos="1685"/>
        </w:tabs>
        <w:ind w:left="1742" w:hanging="475"/>
      </w:pPr>
      <w:r>
        <w:tab/>
        <w:t>•</w:t>
      </w:r>
      <w:r>
        <w:tab/>
        <w:t>Establecimiento del Sistema Logístico de Insumos Anticonceptivos (SILOGIA) para fortalecer los servicios de Planificación Familiar.</w:t>
      </w:r>
    </w:p>
    <w:p w:rsidR="00000000" w:rsidRDefault="00000000">
      <w:pPr>
        <w:pStyle w:val="SingleTxt"/>
        <w:numPr>
          <w:ilvl w:val="0"/>
          <w:numId w:val="214"/>
        </w:numPr>
      </w:pPr>
      <w:r>
        <w:t xml:space="preserve">De la misma forma se impulsa el </w:t>
      </w:r>
      <w:r>
        <w:rPr>
          <w:b/>
        </w:rPr>
        <w:t>Plan Nacional Concertado para la Preve</w:t>
      </w:r>
      <w:r>
        <w:rPr>
          <w:b/>
        </w:rPr>
        <w:t>n</w:t>
      </w:r>
      <w:r>
        <w:rPr>
          <w:b/>
        </w:rPr>
        <w:t xml:space="preserve">ción y Atención del Embarazo Precoz 1999-2004. </w:t>
      </w:r>
      <w:r>
        <w:t>Este programa identifica el e</w:t>
      </w:r>
      <w:r>
        <w:t>m</w:t>
      </w:r>
      <w:r>
        <w:t>barazo precoz como un problema social y de salud pública. Sus principales ejes de acción son:</w:t>
      </w:r>
    </w:p>
    <w:p w:rsidR="00000000" w:rsidRDefault="00000000">
      <w:pPr>
        <w:pStyle w:val="SingleTxt"/>
        <w:tabs>
          <w:tab w:val="right" w:pos="1685"/>
        </w:tabs>
        <w:ind w:left="1742" w:hanging="475"/>
      </w:pPr>
      <w:r>
        <w:tab/>
        <w:t>•</w:t>
      </w:r>
      <w:r>
        <w:tab/>
        <w:t>Formación y revalorización del capital humano y social.</w:t>
      </w:r>
    </w:p>
    <w:p w:rsidR="00000000" w:rsidRDefault="00000000">
      <w:pPr>
        <w:pStyle w:val="SingleTxt"/>
        <w:tabs>
          <w:tab w:val="right" w:pos="1685"/>
        </w:tabs>
        <w:ind w:left="1742" w:hanging="475"/>
      </w:pPr>
      <w:r>
        <w:tab/>
        <w:t>•</w:t>
      </w:r>
      <w:r>
        <w:tab/>
        <w:t>Promoción de procesos de desarrollo humano sustentables y sostenibles.</w:t>
      </w:r>
    </w:p>
    <w:p w:rsidR="00000000" w:rsidRDefault="00000000">
      <w:pPr>
        <w:pStyle w:val="SingleTxt"/>
        <w:tabs>
          <w:tab w:val="right" w:pos="1685"/>
        </w:tabs>
        <w:ind w:left="1742" w:hanging="475"/>
      </w:pPr>
      <w:r>
        <w:tab/>
        <w:t>•</w:t>
      </w:r>
      <w:r>
        <w:tab/>
        <w:t>Promoción de la Salud Sexual y Reproductiva como política de Estado.</w:t>
      </w:r>
    </w:p>
    <w:p w:rsidR="00000000" w:rsidRDefault="00000000">
      <w:pPr>
        <w:pStyle w:val="SingleTxt"/>
        <w:numPr>
          <w:ilvl w:val="0"/>
          <w:numId w:val="214"/>
        </w:numPr>
      </w:pPr>
      <w:r>
        <w:t>El Plan Nacional Concertado para la Prevención y Atención del Embarazo Precoz contempla cinco grandes áreas de acción o componentes:</w:t>
      </w:r>
    </w:p>
    <w:p w:rsidR="00000000" w:rsidRDefault="00000000">
      <w:pPr>
        <w:pStyle w:val="SingleTxt"/>
        <w:tabs>
          <w:tab w:val="right" w:pos="1685"/>
        </w:tabs>
        <w:ind w:left="1742" w:hanging="475"/>
      </w:pPr>
      <w:r>
        <w:tab/>
        <w:t>•</w:t>
      </w:r>
      <w:r>
        <w:tab/>
        <w:t>Prevención y atención integral (equilibrio entre programas y servicios en co</w:t>
      </w:r>
      <w:r>
        <w:t>n</w:t>
      </w:r>
      <w:r>
        <w:t>cordancia con lo establecido en la Ley Orgánica de Protección del Niño y el Adole</w:t>
      </w:r>
      <w:r>
        <w:t>s</w:t>
      </w:r>
      <w:r>
        <w:t>cente (LOPNA)</w:t>
      </w:r>
    </w:p>
    <w:p w:rsidR="00000000" w:rsidRDefault="00000000">
      <w:pPr>
        <w:pStyle w:val="SingleTxt"/>
        <w:tabs>
          <w:tab w:val="right" w:pos="1685"/>
        </w:tabs>
        <w:ind w:left="1742" w:hanging="475"/>
      </w:pPr>
      <w:r>
        <w:tab/>
        <w:t>•</w:t>
      </w:r>
      <w:r>
        <w:tab/>
        <w:t>Capacitación (formación de profesionales en áreas de atención y prevención y fo</w:t>
      </w:r>
      <w:r>
        <w:t>r</w:t>
      </w:r>
      <w:r>
        <w:t>mación de adolescentes como agentes de cambio)</w:t>
      </w:r>
    </w:p>
    <w:p w:rsidR="00000000" w:rsidRDefault="00000000">
      <w:pPr>
        <w:pStyle w:val="SingleTxt"/>
        <w:tabs>
          <w:tab w:val="right" w:pos="1685"/>
        </w:tabs>
        <w:ind w:left="1742" w:hanging="475"/>
      </w:pPr>
      <w:r>
        <w:tab/>
        <w:t>•</w:t>
      </w:r>
      <w:r>
        <w:tab/>
        <w:t>Investigación (desarrollo de una agenda de investigación en Salud Sexual y Repr</w:t>
      </w:r>
      <w:r>
        <w:t>o</w:t>
      </w:r>
      <w:r>
        <w:t>ductiva Adolescente con el Ministerio de Ciencia y Tecnología)</w:t>
      </w:r>
    </w:p>
    <w:p w:rsidR="00000000" w:rsidRDefault="00000000">
      <w:pPr>
        <w:pStyle w:val="SingleTxt"/>
        <w:tabs>
          <w:tab w:val="right" w:pos="1685"/>
        </w:tabs>
        <w:ind w:left="1742" w:hanging="475"/>
      </w:pPr>
      <w:r>
        <w:tab/>
        <w:t>•</w:t>
      </w:r>
      <w:r>
        <w:tab/>
        <w:t>Fortalecimiento Institucional (Desarrollo del área de Salud Sexual y Repr</w:t>
      </w:r>
      <w:r>
        <w:t>o</w:t>
      </w:r>
      <w:r>
        <w:t>ductiva Adolescente y fortalecimiento técnico y político)</w:t>
      </w:r>
    </w:p>
    <w:p w:rsidR="00000000" w:rsidRDefault="00000000">
      <w:pPr>
        <w:pStyle w:val="SingleTxt"/>
        <w:tabs>
          <w:tab w:val="right" w:pos="1685"/>
        </w:tabs>
        <w:ind w:left="1742" w:hanging="475"/>
      </w:pPr>
      <w:r>
        <w:tab/>
        <w:t>•</w:t>
      </w:r>
      <w:r>
        <w:tab/>
        <w:t>Promoción y difusión (Desarrollo de una estrategia con medios y materiales comunicacionales innovadores, desarrollados con la participación de los y las adolesce</w:t>
      </w:r>
      <w:r>
        <w:t>n</w:t>
      </w:r>
      <w:r>
        <w:t>tes).</w:t>
      </w:r>
    </w:p>
    <w:p w:rsidR="00000000" w:rsidRDefault="00000000">
      <w:pPr>
        <w:pStyle w:val="SingleTxt"/>
        <w:numPr>
          <w:ilvl w:val="0"/>
          <w:numId w:val="214"/>
        </w:numPr>
      </w:pPr>
      <w:r>
        <w:t>En referencia a la iniciación sexual, la ENPOFAM permite apreciar que la m</w:t>
      </w:r>
      <w:r>
        <w:t>a</w:t>
      </w:r>
      <w:r>
        <w:t>yoría de las mujeres inician sus relaciones sexuales en edades comprendidas entre los 15 y 19 años, lo que representa más de la mitad (54,2%) del total nacional. Aún cuando las mujeres con edades comprendidas entre los 20 y 24 años constituyen el segundo grupo con mayores proporciones (24,5%) llama la atención que las adole</w:t>
      </w:r>
      <w:r>
        <w:t>s</w:t>
      </w:r>
      <w:r>
        <w:t>centes con menos de 15 años represente el tercer grupo en orden de importancia con un 10,1% de representatividad. (CONAPEP, 1999).Igualmente se observa que entre las mujeres ubicadas en áreas menos urbanizadas esta iniciación puede adelantarse hasta dos años, ubicando entonces las proporciones entre 2 a 3 por cada 10 (2:10 - 3:10) antes de los 15 años y 7 por cada 10 (7:10) antes de los 19 años. (CONAPEP, 1999).</w:t>
      </w:r>
    </w:p>
    <w:p w:rsidR="00000000" w:rsidRDefault="00000000">
      <w:pPr>
        <w:pStyle w:val="SingleTxt"/>
        <w:numPr>
          <w:ilvl w:val="0"/>
          <w:numId w:val="214"/>
        </w:numPr>
      </w:pPr>
      <w:r>
        <w:t>Los registros del Instituto Nacional de Estadísticas, permiten observar una v</w:t>
      </w:r>
      <w:r>
        <w:t>a</w:t>
      </w:r>
      <w:r>
        <w:t>riación negativa en términos de los nacimientos de madres adolescentes registrados en el trienio 1995 - 1997 (CONAPEP, 1999). Estos datos llaman la atención sobre el grupo menor de 15 años, el cual presenta muy poca variación, no así en las adole</w:t>
      </w:r>
      <w:r>
        <w:t>s</w:t>
      </w:r>
      <w:r>
        <w:t>centes con edades comprendidas entre 15 y 19 años. Grupo este, en que se observa una disminución más acentu</w:t>
      </w:r>
      <w:r>
        <w:t>a</w:t>
      </w:r>
      <w:r>
        <w:t xml:space="preserve">da (CONAPEP, 1999).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13</w:t>
      </w:r>
    </w:p>
    <w:p w:rsidR="00000000" w:rsidRDefault="00000000">
      <w:pPr>
        <w:pStyle w:val="SingleTxt"/>
        <w:spacing w:after="0" w:line="120" w:lineRule="exact"/>
        <w:rPr>
          <w:sz w:val="10"/>
        </w:rPr>
      </w:pPr>
    </w:p>
    <w:p w:rsidR="00000000" w:rsidRDefault="00000000">
      <w:pPr>
        <w:pStyle w:val="SingleTxt"/>
        <w:numPr>
          <w:ilvl w:val="0"/>
          <w:numId w:val="214"/>
        </w:numPr>
      </w:pPr>
      <w:r>
        <w:t>En la Asamblea Nacional se discute el Proyecto de Ley de Seguridad Social, en cuyo articulado está garantizado el reconocimiento del valor socio-económico del trabajo doméstico desempeñado por el ama de casa tal como se encuentra concebido en la Constitución de la República Bolivariana de Venezuela:</w:t>
      </w:r>
    </w:p>
    <w:p w:rsidR="00000000" w:rsidRDefault="00000000">
      <w:pPr>
        <w:pStyle w:val="SingleTxt"/>
        <w:ind w:left="1742" w:hanging="475"/>
      </w:pPr>
      <w:r>
        <w:rPr>
          <w:b/>
        </w:rPr>
        <w:tab/>
        <w:t>Art. 88:</w:t>
      </w:r>
      <w:r>
        <w:t xml:space="preserve"> </w:t>
      </w:r>
      <w:r>
        <w:rPr>
          <w:i/>
        </w:rPr>
        <w:t>El Estado garantizará la igualdad y equidad de hombres y mujeres en el ejercicio del derecho al trabajo. El Estado reconocerá el trabajo del hogar como actividad económica que crea valor agregado y produce riqueza y bi</w:t>
      </w:r>
      <w:r>
        <w:rPr>
          <w:i/>
        </w:rPr>
        <w:t>e</w:t>
      </w:r>
      <w:r>
        <w:rPr>
          <w:i/>
        </w:rPr>
        <w:t>nestar social. Las amas de casa tienen derecho a la seguridad social de co</w:t>
      </w:r>
      <w:r>
        <w:rPr>
          <w:i/>
        </w:rPr>
        <w:t>n</w:t>
      </w:r>
      <w:r>
        <w:rPr>
          <w:i/>
        </w:rPr>
        <w:t>formidad con la ley</w:t>
      </w:r>
      <w:r>
        <w:t>.</w:t>
      </w:r>
      <w:r>
        <w:rPr>
          <w:rStyle w:val="FootnoteReference"/>
          <w:rFonts w:ascii="Arial" w:hAnsi="Arial"/>
          <w:i/>
        </w:rPr>
        <w:footnoteReference w:id="10"/>
      </w:r>
    </w:p>
    <w:p w:rsidR="00000000" w:rsidRDefault="00000000">
      <w:pPr>
        <w:pStyle w:val="SingleTxt"/>
        <w:numPr>
          <w:ilvl w:val="0"/>
          <w:numId w:val="214"/>
        </w:numPr>
      </w:pPr>
      <w:r>
        <w:t>En cuanto al derecho a obtener préstamos bancarios el Ejecutivo Nacional i</w:t>
      </w:r>
      <w:r>
        <w:t>m</w:t>
      </w:r>
      <w:r>
        <w:t>pulsó la creación de entidades bancarias para hacer accesibles créditos para los se</w:t>
      </w:r>
      <w:r>
        <w:t>c</w:t>
      </w:r>
      <w:r>
        <w:t xml:space="preserve">tores más necesitados, es así como se ha favorecido, el establecimiento de alianzas estratégicas entre Inamujer y el </w:t>
      </w:r>
      <w:r>
        <w:rPr>
          <w:b/>
        </w:rPr>
        <w:t>Banco del Pueblo</w:t>
      </w:r>
      <w:r>
        <w:t xml:space="preserve"> </w:t>
      </w:r>
      <w:r>
        <w:rPr>
          <w:b/>
        </w:rPr>
        <w:t>Soberano</w:t>
      </w:r>
      <w:r>
        <w:t>, cuyo objetivo estuvo centrado en dar prioridad al crédito para las mujeres, así como al fomento del a</w:t>
      </w:r>
      <w:r>
        <w:t>u</w:t>
      </w:r>
      <w:r>
        <w:t xml:space="preserve">toempleo femenino. </w:t>
      </w:r>
    </w:p>
    <w:p w:rsidR="00000000" w:rsidRDefault="00000000">
      <w:pPr>
        <w:pStyle w:val="SingleTxt"/>
        <w:numPr>
          <w:ilvl w:val="0"/>
          <w:numId w:val="214"/>
        </w:numPr>
      </w:pPr>
      <w:r>
        <w:t xml:space="preserve">En el 2001, el Presidente de la República creó el </w:t>
      </w:r>
      <w:r>
        <w:rPr>
          <w:b/>
        </w:rPr>
        <w:t>Banco Desarrollo de la M</w:t>
      </w:r>
      <w:r>
        <w:rPr>
          <w:b/>
        </w:rPr>
        <w:t>u</w:t>
      </w:r>
      <w:r>
        <w:rPr>
          <w:b/>
        </w:rPr>
        <w:t>jer</w:t>
      </w:r>
      <w:r>
        <w:t>, esta entidad inició sus operaciones en el mes de septiembre de 2001 y está ded</w:t>
      </w:r>
      <w:r>
        <w:t>i</w:t>
      </w:r>
      <w:r>
        <w:t>cada a la atención de mujeres de escasos ingresos que no cuenten con la facilidad para acceder a los créditos de la Banca Privada. Esta entidad favorece sobre todo la organización y la corresponsabilidad en la solicitud de los créditos, los cuales gozan de una tasa de interés accesible a las mujeres de los sectores más necesitados, aco</w:t>
      </w:r>
      <w:r>
        <w:t>r</w:t>
      </w:r>
      <w:r>
        <w:t>de con el índice inflacionario y con el Índice de Precios al Consumidor, siendo esta del 1% mensual, es decir 12% anual. En el caso de que los créditos sean a mujeres rurales la tasa anual de interés es de 6%. Los montos de los créditos van de 300 mil a 500 mil bolívares (de $156,25 a $260,12), como inicio, los cuales pueden llegar a incrementarse progresivamente hasta 5 millones de bolívares ($2.604,17). Se oto</w:t>
      </w:r>
      <w:r>
        <w:t>r</w:t>
      </w:r>
      <w:r>
        <w:t>gan crédito bajo dos modalidades: unidades asociativas (hasta 09 personas) e indiv</w:t>
      </w:r>
      <w:r>
        <w:t>i</w:t>
      </w:r>
      <w:r>
        <w:t>duales. El Inamujer también ha celebrado una alianza estratégica con esta institución bancaria, a fin de dar respuesta a la cantidad de mujeres de escasos recursos que se acercan al Instituto en busca de financiamiento para pequeñas empresas. Las muj</w:t>
      </w:r>
      <w:r>
        <w:t>e</w:t>
      </w:r>
      <w:r>
        <w:t>res que acuden a este Banco no necesitan ninguna autorización de parte del esposo o concubino para ser beneficiarias de un préstamo bancario.</w:t>
      </w:r>
    </w:p>
    <w:p w:rsidR="00000000" w:rsidRDefault="00000000">
      <w:pPr>
        <w:pStyle w:val="SingleTxt"/>
        <w:numPr>
          <w:ilvl w:val="0"/>
          <w:numId w:val="214"/>
        </w:numPr>
      </w:pPr>
      <w:r>
        <w:t>En la Constitución de la República Bolivariana de Venezuela, artículo 111 se establece lo siguiente: “</w:t>
      </w:r>
      <w:r>
        <w:rPr>
          <w:i/>
        </w:rPr>
        <w:t>Toda persona tiene derecho al deporte y a la recreación c</w:t>
      </w:r>
      <w:r>
        <w:rPr>
          <w:i/>
        </w:rPr>
        <w:t>o</w:t>
      </w:r>
      <w:r>
        <w:rPr>
          <w:i/>
        </w:rPr>
        <w:t>mo actividades que benefician la calidad de vida individual y colectiva. El Estado asumirá el deporte y la recreación como política de educación y salud pública y g</w:t>
      </w:r>
      <w:r>
        <w:rPr>
          <w:i/>
        </w:rPr>
        <w:t>a</w:t>
      </w:r>
      <w:r>
        <w:rPr>
          <w:i/>
        </w:rPr>
        <w:t>rantizará los recursos para su promoción</w:t>
      </w:r>
      <w:r>
        <w:t xml:space="preserve"> ...”</w:t>
      </w:r>
    </w:p>
    <w:p w:rsidR="00000000" w:rsidRDefault="00000000">
      <w:pPr>
        <w:pStyle w:val="Heading9"/>
        <w:tabs>
          <w:tab w:val="left" w:pos="2340"/>
        </w:tabs>
        <w:spacing w:line="120" w:lineRule="exact"/>
        <w:ind w:left="708"/>
        <w:jc w:val="center"/>
        <w:rPr>
          <w:sz w:val="10"/>
          <w:u w:val="single"/>
          <w:lang w:val="es-ES"/>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Artículo 14</w:t>
      </w:r>
    </w:p>
    <w:p w:rsidR="00000000" w:rsidRDefault="00000000">
      <w:pPr>
        <w:tabs>
          <w:tab w:val="left" w:pos="2340"/>
        </w:tabs>
        <w:spacing w:line="120" w:lineRule="exact"/>
        <w:ind w:left="708"/>
        <w:jc w:val="both"/>
        <w:rPr>
          <w:rFonts w:ascii="Arial" w:hAnsi="Arial"/>
          <w:sz w:val="10"/>
        </w:rPr>
      </w:pPr>
    </w:p>
    <w:p w:rsidR="00000000" w:rsidRDefault="00000000">
      <w:pPr>
        <w:pStyle w:val="SingleTxt"/>
        <w:numPr>
          <w:ilvl w:val="0"/>
          <w:numId w:val="214"/>
        </w:numPr>
      </w:pPr>
      <w:r>
        <w:t>En Venezuela la situación de la población rural e indígena merece especial atención. Los datos estadísticos recogidos en la Encuesta Hogares por Muestreo en el ítem “Quehaceres del Hogar”, evidencian que la importante función de la m</w:t>
      </w:r>
      <w:r>
        <w:t>u</w:t>
      </w:r>
      <w:r>
        <w:t>jer en la agricultura se mantiene invisibilizada en cuanto al aporte de la mujer ca</w:t>
      </w:r>
      <w:r>
        <w:t>m</w:t>
      </w:r>
      <w:r>
        <w:t xml:space="preserve">pesina e indígena al Producto Interno Bruto. No obstante debe reconocerse su doble jornada diaria de trabajo que comprende además de las actividades domésticas, las labores productivas en sistemas agrícolas familiares </w:t>
      </w:r>
      <w:r>
        <w:rPr>
          <w:spacing w:val="20"/>
        </w:rPr>
        <w:t>como huertos, corrales y conucos, que contribuyen a la alimentación de</w:t>
      </w:r>
      <w:r>
        <w:t xml:space="preserve"> los miembros del núcleo f</w:t>
      </w:r>
      <w:r>
        <w:t>a</w:t>
      </w:r>
      <w:r>
        <w:t>m</w:t>
      </w:r>
      <w:r>
        <w:t>i</w:t>
      </w:r>
      <w:r>
        <w:t xml:space="preserve">liar. </w:t>
      </w:r>
    </w:p>
    <w:p w:rsidR="00000000" w:rsidRDefault="00000000">
      <w:pPr>
        <w:pStyle w:val="SingleTxt"/>
        <w:numPr>
          <w:ilvl w:val="0"/>
          <w:numId w:val="214"/>
        </w:numPr>
      </w:pPr>
      <w:r>
        <w:t>La Población rural total de Venezuela para el año 1995 fue de 3.188.045 hab</w:t>
      </w:r>
      <w:r>
        <w:t>i</w:t>
      </w:r>
      <w:r>
        <w:t>tantes, disminuyendo para el año 2000 a 3.114.499 habitantes, se proyecta para el 2005 una población rural estimada de 3.005.927.</w:t>
      </w:r>
    </w:p>
    <w:p w:rsidR="00000000" w:rsidRDefault="00000000">
      <w:pPr>
        <w:pStyle w:val="SingleTxt"/>
        <w:numPr>
          <w:ilvl w:val="0"/>
          <w:numId w:val="214"/>
        </w:numPr>
      </w:pPr>
      <w:r>
        <w:t>La población rural femenina en el 1995 se situó en 1.462.774 mujeres, mant</w:t>
      </w:r>
      <w:r>
        <w:t>e</w:t>
      </w:r>
      <w:r>
        <w:t>niendo la misma tendencia a disminuir en el quinquenio siguiente (2000-2005). Ll</w:t>
      </w:r>
      <w:r>
        <w:t>e</w:t>
      </w:r>
      <w:r>
        <w:t>gando en el año 2000 a 1.414.103 mujeres y en el 2005 a 1.350.435 mujeres.</w:t>
      </w:r>
    </w:p>
    <w:p w:rsidR="00000000" w:rsidRDefault="00000000">
      <w:pPr>
        <w:pStyle w:val="SingleTxt"/>
        <w:numPr>
          <w:ilvl w:val="0"/>
          <w:numId w:val="214"/>
        </w:numPr>
      </w:pPr>
      <w:r>
        <w:t>En tal sentido, el Gobierno Nacional , en respuesta a las políticas planteadas en el equilibrio territorial de las líneas generales del Plan Nacional de Desarrollo Ec</w:t>
      </w:r>
      <w:r>
        <w:t>o</w:t>
      </w:r>
      <w:r>
        <w:t>nómico y Social 2001-2007 , ha implementado una serie de medidas para evitar el desplazamiento de las zonas rurales hacia los centros urbanos , entre las cuales t</w:t>
      </w:r>
      <w:r>
        <w:t>e</w:t>
      </w:r>
      <w:r>
        <w:t>nemos:</w:t>
      </w:r>
    </w:p>
    <w:p w:rsidR="00000000" w:rsidRDefault="00000000">
      <w:pPr>
        <w:pStyle w:val="SingleTxt"/>
        <w:tabs>
          <w:tab w:val="right" w:pos="1685"/>
        </w:tabs>
        <w:ind w:left="1742" w:hanging="475"/>
        <w:rPr>
          <w:b/>
        </w:rPr>
      </w:pPr>
      <w:r>
        <w:tab/>
        <w:t>•</w:t>
      </w:r>
      <w:r>
        <w:tab/>
        <w:t>Dotación de Tierras e insumos para la producción.</w:t>
      </w:r>
    </w:p>
    <w:p w:rsidR="00000000" w:rsidRDefault="00000000">
      <w:pPr>
        <w:pStyle w:val="SingleTxt"/>
        <w:tabs>
          <w:tab w:val="right" w:pos="1685"/>
        </w:tabs>
        <w:ind w:left="1742" w:hanging="475"/>
        <w:rPr>
          <w:b/>
        </w:rPr>
      </w:pPr>
      <w:r>
        <w:tab/>
        <w:t>•</w:t>
      </w:r>
      <w:r>
        <w:tab/>
        <w:t>Impulsar la producción agrícola básica y la agroindustria.</w:t>
      </w:r>
    </w:p>
    <w:p w:rsidR="00000000" w:rsidRDefault="00000000">
      <w:pPr>
        <w:pStyle w:val="SingleTxt"/>
        <w:tabs>
          <w:tab w:val="right" w:pos="1685"/>
        </w:tabs>
        <w:ind w:left="1742" w:hanging="475"/>
        <w:rPr>
          <w:b/>
        </w:rPr>
      </w:pPr>
      <w:r>
        <w:tab/>
        <w:t>•</w:t>
      </w:r>
      <w:r>
        <w:tab/>
        <w:t>Incrementar la población y las actividades económicas en las áreas de desco</w:t>
      </w:r>
      <w:r>
        <w:t>n</w:t>
      </w:r>
      <w:r>
        <w:t>centr</w:t>
      </w:r>
      <w:r>
        <w:t>a</w:t>
      </w:r>
      <w:r>
        <w:t>ción.</w:t>
      </w:r>
    </w:p>
    <w:p w:rsidR="00000000" w:rsidRDefault="00000000">
      <w:pPr>
        <w:pStyle w:val="SingleTxt"/>
        <w:tabs>
          <w:tab w:val="right" w:pos="1685"/>
        </w:tabs>
        <w:ind w:left="1742" w:hanging="475"/>
        <w:rPr>
          <w:b/>
        </w:rPr>
      </w:pPr>
      <w:r>
        <w:tab/>
        <w:t>•</w:t>
      </w:r>
      <w:r>
        <w:tab/>
        <w:t>Mejorar la infraestructura física para garantizar adecuadas condiciones de s</w:t>
      </w:r>
      <w:r>
        <w:t>a</w:t>
      </w:r>
      <w:r>
        <w:t>lud , educación, seguridad, sistema de vialidad y transporte , entre otros</w:t>
      </w:r>
    </w:p>
    <w:p w:rsidR="00000000" w:rsidRDefault="00000000">
      <w:pPr>
        <w:pStyle w:val="SingleTxt"/>
        <w:numPr>
          <w:ilvl w:val="0"/>
          <w:numId w:val="214"/>
        </w:numPr>
      </w:pPr>
      <w:r>
        <w:t>En el área rural es menor el porcentaje de mujeres (27,5%) que asiste a pla</w:t>
      </w:r>
      <w:r>
        <w:t>n</w:t>
      </w:r>
      <w:r>
        <w:t>teles educativos de todo tipo, en relación con el porcentaje en el área urbana (34,4%), pero es más alta en relación con la cifra de hombres rurales. Esta relación entre los tres grupos se repite en los diferentes niveles.</w:t>
      </w:r>
    </w:p>
    <w:p w:rsidR="00000000" w:rsidRDefault="00000000">
      <w:pPr>
        <w:pStyle w:val="SingleTxt"/>
        <w:numPr>
          <w:ilvl w:val="0"/>
          <w:numId w:val="214"/>
        </w:numPr>
      </w:pPr>
      <w:r>
        <w:t>En términos globales puede afirmarse que la población femenina campesina enfrenta tradicionalmente una situación de discriminación y marginalidad. Los ob</w:t>
      </w:r>
      <w:r>
        <w:t>s</w:t>
      </w:r>
      <w:r>
        <w:t>táculos derivados de patrones culturales tradicionales y situaciones de pobreza d</w:t>
      </w:r>
      <w:r>
        <w:t>e</w:t>
      </w:r>
      <w:r>
        <w:t>terminan su escasa participación. La situación de la mujer rural es una de las prior</w:t>
      </w:r>
      <w:r>
        <w:t>i</w:t>
      </w:r>
      <w:r>
        <w:t>dades del actual Gobierno, teniendo como base jurídica la Constitución de la Rep</w:t>
      </w:r>
      <w:r>
        <w:t>ú</w:t>
      </w:r>
      <w:r>
        <w:t>blica Bolivariana de Venezuela y la Ley de Tierras que da derechos preferenciales de adjudicación de tierras a las mujeres Jefas de Familia en su artículo 14.</w:t>
      </w:r>
    </w:p>
    <w:p w:rsidR="00000000" w:rsidRDefault="00000000">
      <w:pPr>
        <w:pStyle w:val="SingleTxt"/>
        <w:numPr>
          <w:ilvl w:val="0"/>
          <w:numId w:val="214"/>
        </w:numPr>
      </w:pPr>
      <w:r>
        <w:t>Así mismo, la Ley de Tierras en su Artículo 17 apartado 4 garantiza</w:t>
      </w:r>
      <w:r>
        <w:rPr>
          <w:i/>
        </w:rPr>
        <w:t xml:space="preserve"> “A todos los campesinos y campesinas, el derecho fundamental a perseguir su progreso mat</w:t>
      </w:r>
      <w:r>
        <w:rPr>
          <w:i/>
        </w:rPr>
        <w:t>e</w:t>
      </w:r>
      <w:r>
        <w:rPr>
          <w:i/>
        </w:rPr>
        <w:t>rial y desarrollo humano en libertad, con dignidad e igualdad de oportunidades. En tal sentido, no podrán ser desalojados de ninguna tierra ociosa o inculta que oc</w:t>
      </w:r>
      <w:r>
        <w:rPr>
          <w:i/>
        </w:rPr>
        <w:t>u</w:t>
      </w:r>
      <w:r>
        <w:rPr>
          <w:i/>
        </w:rPr>
        <w:t>pen con fines de obtener una adjudicación de tierras, sin que se cumpla previamente con el debido proceso administrativo por ante el Instituto Nacional de Tierras”.</w:t>
      </w:r>
    </w:p>
    <w:p w:rsidR="00000000" w:rsidRDefault="00000000">
      <w:pPr>
        <w:pStyle w:val="SingleTxt"/>
        <w:numPr>
          <w:ilvl w:val="0"/>
          <w:numId w:val="214"/>
        </w:numPr>
      </w:pPr>
      <w:r>
        <w:t>Como política del sector rural la Procuraduría Agraria, ha decidido impulsar y promover la participación de la mujer, rescatar el huerto familiar, y específicamente su capacidad para generar producción y autoconsumo.</w:t>
      </w:r>
      <w:r>
        <w:rPr>
          <w:b/>
        </w:rPr>
        <w:t xml:space="preserve"> </w:t>
      </w:r>
    </w:p>
    <w:p w:rsidR="00000000" w:rsidRDefault="00000000">
      <w:pPr>
        <w:pStyle w:val="SingleTxt"/>
        <w:numPr>
          <w:ilvl w:val="0"/>
          <w:numId w:val="214"/>
        </w:numPr>
      </w:pPr>
      <w:r>
        <w:t>El Proyecto de Desarrollo de Comunidades Rurales Pobres (PRODECOP) de la Fundación Ciara,</w:t>
      </w:r>
      <w:r>
        <w:rPr>
          <w:b/>
        </w:rPr>
        <w:t xml:space="preserve"> </w:t>
      </w:r>
      <w:r>
        <w:t>organismo adscrito al Ministerio de Producción y Comercio,</w:t>
      </w:r>
      <w:r>
        <w:rPr>
          <w:b/>
        </w:rPr>
        <w:t xml:space="preserve"> </w:t>
      </w:r>
      <w:r>
        <w:t>tiene presente en todas sus acciones el Enfoque de Género tal y como lo exige el Fondo Internacional de Desarrollo Agrícola (F.I.D.A) : “</w:t>
      </w:r>
      <w:r>
        <w:rPr>
          <w:i/>
        </w:rPr>
        <w:t>Asegurar la participación de los hombres y las mujeres rurales pobres en las actividades y beneficios de los proyectos en forma equitativa, creando condiciones necesarias para que esto ocurra aplicando herramientas y mecanismos adecuados”.</w:t>
      </w:r>
      <w:r>
        <w:t xml:space="preserve"> La implementación de este e</w:t>
      </w:r>
      <w:r>
        <w:t>n</w:t>
      </w:r>
      <w:r>
        <w:t xml:space="preserve">foque considera la sensibilización y capacitación de los técnicos del proyecto, lo que ha permitido la aplicación sistemática de herramientas participativas en las fases operativas del proyecto. </w:t>
      </w:r>
    </w:p>
    <w:p w:rsidR="00000000" w:rsidRDefault="00000000">
      <w:pPr>
        <w:pStyle w:val="SingleTxt"/>
        <w:numPr>
          <w:ilvl w:val="0"/>
          <w:numId w:val="214"/>
        </w:numPr>
      </w:pPr>
      <w:r>
        <w:t>De igual manera el Consejo Nacional de la Mujer, (hoy INAMUJER) durante el período 1995-1999, realizó varias acciones que contribuyeron con el desarrollo de las mujeres en el ámbito rural; de este modo en convenio con la FAO se desarroll</w:t>
      </w:r>
      <w:r>
        <w:t>a</w:t>
      </w:r>
      <w:r>
        <w:t>ron los Proyectos Apícolas de la comunidad indígena Kariña del Edo. Sucre; la c</w:t>
      </w:r>
      <w:r>
        <w:t>a</w:t>
      </w:r>
      <w:r>
        <w:t>pacitación a microempresarias con el apoyo de FIDA-CIARA, en los estados Am</w:t>
      </w:r>
      <w:r>
        <w:t>a</w:t>
      </w:r>
      <w:r>
        <w:t>zonas, Apure y Delta Amacuro, con la participación de las Delegaciones Agrarias de dichos estados; la organización, coordinación y asistencia técnica en el “Seminario Taller Internacional de Desarrollo Fronterizo en Áreas Indígenas”, en abril de 1996, con la participación de representaciones indígenas de Colombia, Perú, Ecuador y Venezuela, y la colaboración de los miembros de la Red Venezolana de Apoyo a la Mujer Rural e Indígena, bajo los auspicios de la FAO ; el Seminario “Políticas de Género”, con auspicio de la FAO y de AVOFIS-Venezuela.</w:t>
      </w:r>
    </w:p>
    <w:p w:rsidR="00000000" w:rsidRDefault="00000000">
      <w:pPr>
        <w:pStyle w:val="Heading3"/>
        <w:tabs>
          <w:tab w:val="left" w:pos="2340"/>
        </w:tabs>
        <w:spacing w:before="0" w:after="0" w:line="120" w:lineRule="exact"/>
        <w:ind w:left="0"/>
        <w:jc w:val="center"/>
        <w:rPr>
          <w:sz w:val="10"/>
          <w:lang w:val="es-ES"/>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Artículo 15</w:t>
      </w:r>
    </w:p>
    <w:p w:rsidR="00000000" w:rsidRDefault="00000000">
      <w:pPr>
        <w:tabs>
          <w:tab w:val="left" w:pos="2340"/>
        </w:tabs>
        <w:spacing w:line="120" w:lineRule="exact"/>
        <w:ind w:left="708"/>
        <w:jc w:val="both"/>
        <w:rPr>
          <w:rFonts w:ascii="Arial" w:hAnsi="Arial"/>
          <w:sz w:val="10"/>
        </w:rPr>
      </w:pPr>
    </w:p>
    <w:p w:rsidR="00000000" w:rsidRDefault="00000000">
      <w:pPr>
        <w:pStyle w:val="SingleTxt"/>
        <w:numPr>
          <w:ilvl w:val="0"/>
          <w:numId w:val="214"/>
        </w:numPr>
      </w:pPr>
      <w:r>
        <w:t>Entre los valores que se encuentran señalados en el Preámbulo de la Constit</w:t>
      </w:r>
      <w:r>
        <w:t>u</w:t>
      </w:r>
      <w:r>
        <w:t>ción Bolivariana, descrito con anterioridad, tiene fundamental relevancia y signif</w:t>
      </w:r>
      <w:r>
        <w:t>i</w:t>
      </w:r>
      <w:r>
        <w:t xml:space="preserve">cación para las mujeres el derecho a </w:t>
      </w:r>
      <w:r>
        <w:rPr>
          <w:b/>
        </w:rPr>
        <w:t>una vida sin discriminación ni subordin</w:t>
      </w:r>
      <w:r>
        <w:rPr>
          <w:b/>
        </w:rPr>
        <w:t>a</w:t>
      </w:r>
      <w:r>
        <w:rPr>
          <w:b/>
        </w:rPr>
        <w:t>ción</w:t>
      </w:r>
      <w:r>
        <w:t>. Para dar cumplimiento a este mandato constitucional es necesario adecuar t</w:t>
      </w:r>
      <w:r>
        <w:t>o</w:t>
      </w:r>
      <w:r>
        <w:t>dos nuestros códigos a fin de incorporarle el lenguaje no sexista y eliminar cualquier discrimin</w:t>
      </w:r>
      <w:r>
        <w:t>a</w:t>
      </w:r>
      <w:r>
        <w:t>ción expresa o tácita hacia la mujer.</w:t>
      </w:r>
    </w:p>
    <w:p w:rsidR="00000000" w:rsidRDefault="00000000">
      <w:pPr>
        <w:pStyle w:val="SingleTxt"/>
        <w:numPr>
          <w:ilvl w:val="0"/>
          <w:numId w:val="214"/>
        </w:numPr>
      </w:pPr>
      <w:r>
        <w:t>La reforma que se le realizó al código civil en 1982, “inicia un nuevo concepto del derecho como instrumento no legitimador del régimen patriarcal existente, al eliminar la organización patriarcal de la familia. Podemos señalar como lo más rel</w:t>
      </w:r>
      <w:r>
        <w:t>e</w:t>
      </w:r>
      <w:r>
        <w:t>vante de la reforma , el establecer en el matrimonio iguales deberes y derechos entre los cónyuges al eliminar el poder marital que otorgaba al marido el derecho a dec</w:t>
      </w:r>
      <w:r>
        <w:t>i</w:t>
      </w:r>
      <w:r>
        <w:t>dir en todos los asuntos relativos a la familia, establecer el ejercicio de la patria p</w:t>
      </w:r>
      <w:r>
        <w:t>o</w:t>
      </w:r>
      <w:r>
        <w:t>testad conjunta, e igualmente, ejercer la administración conjunta de los bienes c</w:t>
      </w:r>
      <w:r>
        <w:t>o</w:t>
      </w:r>
      <w:r>
        <w:t>munes. Con esta reforma la mujer casada recupera su capacidad plena disminuida por efecto del matrimonio</w:t>
      </w:r>
      <w:r>
        <w:rPr>
          <w:rStyle w:val="FootnoteReference"/>
          <w:rFonts w:ascii="Arial" w:hAnsi="Arial"/>
        </w:rPr>
        <w:footnoteReference w:id="11"/>
      </w:r>
      <w:r>
        <w:t xml:space="preserve">. (Artículos 137 y 140 del Código Civil). </w:t>
      </w:r>
    </w:p>
    <w:p w:rsidR="00000000" w:rsidRDefault="00000000">
      <w:pPr>
        <w:pStyle w:val="SingleTxt"/>
        <w:numPr>
          <w:ilvl w:val="0"/>
          <w:numId w:val="214"/>
        </w:numPr>
        <w:rPr>
          <w:kern w:val="28"/>
        </w:rPr>
      </w:pPr>
      <w:r>
        <w:t>La Constitución de la República Bolivariana de Venezuela consagra la igua</w:t>
      </w:r>
      <w:r>
        <w:t>l</w:t>
      </w:r>
      <w:r>
        <w:t>dad de oportunidad para la mujer, no obstante, en su artículo 21, numeral 2, deja claro que no basta una ley para garantizar el derecho a la igualdad y establece med</w:t>
      </w:r>
      <w:r>
        <w:t>i</w:t>
      </w:r>
      <w:r>
        <w:t>das positivas a favor de personas o grupos que puedan ser discriminadas. Como se muestra a continuación</w:t>
      </w:r>
      <w:r>
        <w:rPr>
          <w:i/>
        </w:rPr>
        <w:t>: “1.-No se permitirán discriminaciones fundadas en la raza, el sexo, el credo, la condición social o aquellas que, en general, tengan por objeto o por resultado anular o menoscabar el reconocimiento, goce o ejercicio en condici</w:t>
      </w:r>
      <w:r>
        <w:rPr>
          <w:i/>
        </w:rPr>
        <w:t>o</w:t>
      </w:r>
      <w:r>
        <w:rPr>
          <w:i/>
        </w:rPr>
        <w:t>nes de igualdad, de los derechos y libertades de toda persona.”</w:t>
      </w:r>
    </w:p>
    <w:p w:rsidR="00000000" w:rsidRDefault="00000000">
      <w:pPr>
        <w:pStyle w:val="SingleTxt"/>
      </w:pPr>
      <w:r>
        <w:t>“</w:t>
      </w:r>
      <w:r>
        <w:rPr>
          <w:i/>
        </w:rPr>
        <w:t>2.-La ley garantizará las condiciones jurídicas y administrativas para que la  igualdad ante la ley sea real y efectiva; adoptará medidas positivas a favor de pe</w:t>
      </w:r>
      <w:r>
        <w:rPr>
          <w:i/>
        </w:rPr>
        <w:t>r</w:t>
      </w:r>
      <w:r>
        <w:rPr>
          <w:i/>
        </w:rPr>
        <w:t>sonas o grupos que puedan ser discriminados, marginados o vulnerables; protegerá especialmente a aquellas personas que por alguna de las condiciones antes espec</w:t>
      </w:r>
      <w:r>
        <w:rPr>
          <w:i/>
        </w:rPr>
        <w:t>i</w:t>
      </w:r>
      <w:r>
        <w:rPr>
          <w:i/>
        </w:rPr>
        <w:t>ficadas, se encuentren en circunstancia de debilidad manifiesta y sancionará los abusos o maltratos que contra ellas se c</w:t>
      </w:r>
      <w:r>
        <w:rPr>
          <w:i/>
        </w:rPr>
        <w:t>o</w:t>
      </w:r>
      <w:r>
        <w:rPr>
          <w:i/>
        </w:rPr>
        <w:t>metan</w:t>
      </w:r>
      <w:r>
        <w:t xml:space="preserve"> …”</w:t>
      </w:r>
    </w:p>
    <w:p w:rsidR="00000000" w:rsidRDefault="00000000">
      <w:pPr>
        <w:pStyle w:val="SingleTxt"/>
        <w:numPr>
          <w:ilvl w:val="0"/>
          <w:numId w:val="214"/>
        </w:numPr>
      </w:pPr>
      <w:r>
        <w:t>Con el matrimonio, el marido y la mujer adquieren los mismos derechos y asumen los mismos deberes. Del matrimonio deriva la obligación de los cónyuges de vivir juntos, guardarse fidelidad y socorrerse mutuamente. La mujer casada podrá usar el apellido del marido. Este derecho subsiste aún después de la disolución del matrimonio por causa de muerte, mientras no contraiga nuevas nupcias. La negativa de la mujer casada a usar el apellido del marido no se considerará en ningún caso, como falta a los deberes que la ley impone por efecto del matrimonio.</w:t>
      </w:r>
    </w:p>
    <w:p w:rsidR="00000000" w:rsidRDefault="00000000">
      <w:pPr>
        <w:pStyle w:val="SingleTxt"/>
        <w:numPr>
          <w:ilvl w:val="0"/>
          <w:numId w:val="214"/>
        </w:numPr>
      </w:pPr>
      <w:r>
        <w:t>La administración de los bienes le corresponde al cónyuge que los adquiera, pero para gravar un bien inmueble o venderlo, se requiere el consentimiento de a</w:t>
      </w:r>
      <w:r>
        <w:t>m</w:t>
      </w:r>
      <w:r>
        <w:t>bos tal como lo establece el artículo 168 del Código Civil:</w:t>
      </w:r>
    </w:p>
    <w:p w:rsidR="00000000" w:rsidRDefault="00000000">
      <w:pPr>
        <w:pStyle w:val="SingleTxt"/>
        <w:ind w:left="1742" w:hanging="475"/>
      </w:pPr>
      <w:r>
        <w:tab/>
        <w:t>“</w:t>
      </w:r>
      <w:r>
        <w:rPr>
          <w:i/>
        </w:rPr>
        <w:t>Cada uno de los cónyuges podrá administrar por sí solo los bienes de la c</w:t>
      </w:r>
      <w:r>
        <w:rPr>
          <w:i/>
        </w:rPr>
        <w:t>o</w:t>
      </w:r>
      <w:r>
        <w:rPr>
          <w:i/>
        </w:rPr>
        <w:t>munidad que hubiere adquirido con su trabajo personal o por cualquier otro título legítimo… Se requerirá del consentimiento de ambos para enajenar a título gratuito u oneroso o para gravar los bienes gananciales</w:t>
      </w:r>
      <w:r>
        <w:t xml:space="preserve"> …”</w:t>
      </w:r>
    </w:p>
    <w:p w:rsidR="00000000" w:rsidRDefault="00000000">
      <w:pPr>
        <w:pStyle w:val="SingleTxt"/>
        <w:numPr>
          <w:ilvl w:val="0"/>
          <w:numId w:val="214"/>
        </w:numPr>
      </w:pPr>
      <w:r>
        <w:t>Las mujeres pueden en consecuencia administrar sus bienes, tanto los que le son propios por haberlos obtenidos antes del matrimonio como los que hubiere a</w:t>
      </w:r>
      <w:r>
        <w:t>d</w:t>
      </w:r>
      <w:r>
        <w:t>quirido durante la comunidad con su trabajo u otro título legítimo. Y los bienes que sean comunes deberán ser administrados en comunidad y enajenados o gravados por mutuo consentimiento, en estado de igualdad. Los instrumentos privados con efectos jurídicos que no cumplan con este requisito de mutuo consentimiento para enajenar o gravar bienes comunes, serán nulos. Son también considerados nulos aquellos d</w:t>
      </w:r>
      <w:r>
        <w:t>o</w:t>
      </w:r>
      <w:r>
        <w:t>cumentos que menoscaben los derechos constitucionales, civiles y económicos de cualquier persona, hombre o mujer.</w:t>
      </w:r>
    </w:p>
    <w:p w:rsidR="00000000" w:rsidRDefault="00000000">
      <w:pPr>
        <w:pStyle w:val="SingleTxt"/>
        <w:numPr>
          <w:ilvl w:val="0"/>
          <w:numId w:val="214"/>
        </w:numPr>
      </w:pPr>
      <w:r>
        <w:t xml:space="preserve">La Constitución, en su artículo 115 </w:t>
      </w:r>
      <w:r>
        <w:rPr>
          <w:i/>
        </w:rPr>
        <w:t xml:space="preserve">garantiza “el derecho de propiedad. Toda persona tiene derecho al uso, goce, disfrute y disposición de sus bienes…” </w:t>
      </w:r>
    </w:p>
    <w:p w:rsidR="00000000" w:rsidRDefault="00000000">
      <w:pPr>
        <w:pStyle w:val="SingleTxt"/>
        <w:numPr>
          <w:ilvl w:val="0"/>
          <w:numId w:val="214"/>
        </w:numPr>
      </w:pPr>
      <w:r>
        <w:t>En cuanto a la capacidad jurídica contractual , la Constitución establece en su artículo 112 que: “</w:t>
      </w:r>
      <w:r>
        <w:rPr>
          <w:i/>
        </w:rPr>
        <w:t>Todas las personas pueden dedicarse libremente a la actividad económica de su preferencia, sin más limitaciones que las previstas en esta Const</w:t>
      </w:r>
      <w:r>
        <w:rPr>
          <w:i/>
        </w:rPr>
        <w:t>i</w:t>
      </w:r>
      <w:r>
        <w:rPr>
          <w:i/>
        </w:rPr>
        <w:t>tución y las que establezcan las leyes, por razones de desarrollo humano, segur</w:t>
      </w:r>
      <w:r>
        <w:rPr>
          <w:i/>
        </w:rPr>
        <w:t>i</w:t>
      </w:r>
      <w:r>
        <w:rPr>
          <w:i/>
        </w:rPr>
        <w:t>dad, sanidad, protección del ambiente u otras de interés social</w:t>
      </w:r>
      <w:r>
        <w:t>.”</w:t>
      </w:r>
    </w:p>
    <w:p w:rsidR="00000000" w:rsidRDefault="00000000">
      <w:pPr>
        <w:pStyle w:val="SingleTxt"/>
        <w:numPr>
          <w:ilvl w:val="0"/>
          <w:numId w:val="214"/>
        </w:numPr>
      </w:pPr>
      <w:r>
        <w:t>El Código de Comercio en su artículo 16 establece</w:t>
      </w:r>
      <w:r>
        <w:rPr>
          <w:i/>
        </w:rPr>
        <w:t>:</w:t>
      </w:r>
    </w:p>
    <w:p w:rsidR="00000000" w:rsidRDefault="00000000">
      <w:pPr>
        <w:pStyle w:val="SingleTxt"/>
        <w:ind w:left="1742" w:hanging="475"/>
      </w:pPr>
      <w:r>
        <w:tab/>
        <w:t>“</w:t>
      </w:r>
      <w:r>
        <w:rPr>
          <w:i/>
        </w:rPr>
        <w:t>La mujer casada, mayor de edad, puede ejercer el comercio separadamente del marido y obliga a la responsabilidad de sus actos sus bienes propios y los de la comunidad conyugal cuya administración le corresponde. Podrá igua</w:t>
      </w:r>
      <w:r>
        <w:rPr>
          <w:i/>
        </w:rPr>
        <w:t>l</w:t>
      </w:r>
      <w:r>
        <w:rPr>
          <w:i/>
        </w:rPr>
        <w:t>mente afectar a dicha responsabilidad los demás bienes comunes con el co</w:t>
      </w:r>
      <w:r>
        <w:rPr>
          <w:i/>
        </w:rPr>
        <w:t>n</w:t>
      </w:r>
      <w:r>
        <w:rPr>
          <w:i/>
        </w:rPr>
        <w:t>sentimiento expreso del marido</w:t>
      </w:r>
      <w:r>
        <w:t>.”</w:t>
      </w:r>
    </w:p>
    <w:p w:rsidR="00000000" w:rsidRDefault="00000000">
      <w:pPr>
        <w:pStyle w:val="SingleTxt"/>
        <w:numPr>
          <w:ilvl w:val="0"/>
          <w:numId w:val="214"/>
        </w:numPr>
      </w:pPr>
      <w:r>
        <w:t>La mujer soltera no tiene ningún impedimento para firmar contratos, vender o co</w:t>
      </w:r>
      <w:r>
        <w:t>m</w:t>
      </w:r>
      <w:r>
        <w:t>prar bienes inmuebles.</w:t>
      </w:r>
    </w:p>
    <w:p w:rsidR="00000000" w:rsidRDefault="00000000">
      <w:pPr>
        <w:pStyle w:val="SingleTxt"/>
        <w:numPr>
          <w:ilvl w:val="0"/>
          <w:numId w:val="214"/>
        </w:numPr>
      </w:pPr>
      <w:r>
        <w:t>No existe ningún impedimento para la mujer casada o soltera, de asistir a los trib</w:t>
      </w:r>
      <w:r>
        <w:t>u</w:t>
      </w:r>
      <w:r>
        <w:t>nales, ser jueza o abogada, o ser testiga en juicios.</w:t>
      </w:r>
    </w:p>
    <w:p w:rsidR="00000000" w:rsidRDefault="00000000">
      <w:pPr>
        <w:pStyle w:val="SingleTxt"/>
        <w:numPr>
          <w:ilvl w:val="0"/>
          <w:numId w:val="214"/>
        </w:numPr>
      </w:pPr>
      <w:r>
        <w:t>Las Discrepancias en el Matrimonio no se dirimen por la autoridad marital, que fue eliminado en 1982 del Código Civil (Art.140.). Se dirimen por los Tribun</w:t>
      </w:r>
      <w:r>
        <w:t>a</w:t>
      </w:r>
      <w:r>
        <w:t>les Civ</w:t>
      </w:r>
      <w:r>
        <w:t>i</w:t>
      </w:r>
      <w:r>
        <w:t>les.</w:t>
      </w:r>
    </w:p>
    <w:p w:rsidR="00000000" w:rsidRDefault="00000000">
      <w:pPr>
        <w:pStyle w:val="Heading9"/>
        <w:tabs>
          <w:tab w:val="left" w:pos="2340"/>
        </w:tabs>
        <w:spacing w:line="120" w:lineRule="exact"/>
        <w:ind w:left="708"/>
        <w:jc w:val="center"/>
        <w:rPr>
          <w:sz w:val="10"/>
          <w:u w:val="single"/>
          <w:lang w:val="es-ES"/>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b w:val="0"/>
        </w:rPr>
      </w:pPr>
      <w:r>
        <w:tab/>
      </w:r>
      <w:r>
        <w:tab/>
        <w:t>Articulo 16</w:t>
      </w:r>
    </w:p>
    <w:p w:rsidR="00000000" w:rsidRDefault="00000000">
      <w:pPr>
        <w:pStyle w:val="Heading9"/>
        <w:tabs>
          <w:tab w:val="left" w:pos="2340"/>
        </w:tabs>
        <w:suppressAutoHyphens/>
        <w:spacing w:line="120" w:lineRule="exact"/>
        <w:ind w:left="708"/>
        <w:rPr>
          <w:b w:val="0"/>
          <w:sz w:val="10"/>
          <w:lang w:val="es-ES"/>
        </w:rPr>
      </w:pPr>
    </w:p>
    <w:p w:rsidR="00000000" w:rsidRDefault="00000000">
      <w:pPr>
        <w:pStyle w:val="SingleTxt"/>
        <w:numPr>
          <w:ilvl w:val="0"/>
          <w:numId w:val="214"/>
        </w:numPr>
      </w:pPr>
      <w:r>
        <w:t xml:space="preserve">La plena igualdad entre hombres y mujeres se evidencia en la Constitución de la República Bolivariana de Venezuela en su artículo 75 que establece. “... </w:t>
      </w:r>
      <w:r>
        <w:rPr>
          <w:i/>
        </w:rPr>
        <w:t>Las rel</w:t>
      </w:r>
      <w:r>
        <w:rPr>
          <w:i/>
        </w:rPr>
        <w:t>a</w:t>
      </w:r>
      <w:r>
        <w:rPr>
          <w:i/>
        </w:rPr>
        <w:t>ciones familiares se basan en la igualdad de derechos y deberes, la solidaridad, el esfuerzo común, la comprensión</w:t>
      </w:r>
      <w:r>
        <w:t xml:space="preserve"> </w:t>
      </w:r>
      <w:r>
        <w:rPr>
          <w:i/>
        </w:rPr>
        <w:t>mutua y el respeto recíproco entre sus integrantes. El Estado garantizará protección a la madre, al padre o a quienes ejerzan la jefat</w:t>
      </w:r>
      <w:r>
        <w:rPr>
          <w:i/>
        </w:rPr>
        <w:t>u</w:t>
      </w:r>
      <w:r>
        <w:rPr>
          <w:i/>
        </w:rPr>
        <w:t>ra de la familia ...”</w:t>
      </w:r>
    </w:p>
    <w:p w:rsidR="00000000" w:rsidRDefault="00000000">
      <w:pPr>
        <w:pStyle w:val="SingleTxt"/>
        <w:numPr>
          <w:ilvl w:val="0"/>
          <w:numId w:val="214"/>
        </w:numPr>
      </w:pPr>
      <w:r>
        <w:t>Y en su Art. 76 que dice:” El padre y la madre tienen el deber compartido e irrenu</w:t>
      </w:r>
      <w:r>
        <w:t>n</w:t>
      </w:r>
      <w:r>
        <w:t>ciable de criar, formar, educar, mantener y asistir a sus hijos e hijas, …”.</w:t>
      </w:r>
    </w:p>
    <w:p w:rsidR="00000000" w:rsidRDefault="00000000">
      <w:pPr>
        <w:pStyle w:val="SingleTxt"/>
        <w:numPr>
          <w:ilvl w:val="0"/>
          <w:numId w:val="214"/>
        </w:numPr>
      </w:pPr>
      <w:r>
        <w:t>Por otra parte, la Ley Orgánica de Protección del Niño y del Adolescente (LOPNA ,1998) se refiere, en cuanto a los derechos y responsabilidades como pr</w:t>
      </w:r>
      <w:r>
        <w:t>o</w:t>
      </w:r>
      <w:r>
        <w:t>genitores , en sus artículos:</w:t>
      </w:r>
    </w:p>
    <w:p w:rsidR="00000000" w:rsidRDefault="00000000">
      <w:pPr>
        <w:pStyle w:val="SingleTxt"/>
        <w:ind w:left="1742" w:hanging="475"/>
      </w:pPr>
      <w:r>
        <w:tab/>
        <w:t>Artículo 5. “Obligaciones Generales de la Familia. …El padre y la madre ti</w:t>
      </w:r>
      <w:r>
        <w:t>e</w:t>
      </w:r>
      <w:r>
        <w:t>nen responsabilidades y obligaciones comunes e iguales en lo que respecta al cuid</w:t>
      </w:r>
      <w:r>
        <w:t>a</w:t>
      </w:r>
      <w:r>
        <w:t xml:space="preserve">do, desarrollo y educación integral de sus hijos….” </w:t>
      </w:r>
    </w:p>
    <w:p w:rsidR="00000000" w:rsidRDefault="00000000">
      <w:pPr>
        <w:pStyle w:val="SingleTxt"/>
        <w:ind w:left="1742" w:hanging="475"/>
        <w:rPr>
          <w:w w:val="101"/>
        </w:rPr>
      </w:pPr>
      <w:r>
        <w:rPr>
          <w:w w:val="101"/>
        </w:rPr>
        <w:tab/>
        <w:t>Artículo 13. Ejercicio Progresivo de los Derechos y garantías. …Parágrafo Pr</w:t>
      </w:r>
      <w:r>
        <w:rPr>
          <w:w w:val="101"/>
        </w:rPr>
        <w:t>i</w:t>
      </w:r>
      <w:r>
        <w:rPr>
          <w:w w:val="101"/>
        </w:rPr>
        <w:t>mero: Los padres, representantes o responsables tienen el deber y el derecho de orientar a los niños y adolescentes en el ejercicio progresivo de sus derechos y garantías, así como en el cumplimiento de sus deberes, de forma que contribuya a su desarrollo integral y a su incorporación a la ciudadanía activa ...”</w:t>
      </w:r>
    </w:p>
    <w:p w:rsidR="00000000" w:rsidRDefault="00000000">
      <w:pPr>
        <w:pStyle w:val="SingleTxt"/>
        <w:ind w:left="1742" w:hanging="475"/>
      </w:pPr>
      <w:r>
        <w:tab/>
        <w:t>Artículo 349</w:t>
      </w:r>
      <w:r>
        <w:rPr>
          <w:b/>
        </w:rPr>
        <w:t xml:space="preserve"> “</w:t>
      </w:r>
      <w:r>
        <w:t>… La patria potestad sobre los hijos comunes corresponde al padre y a la madre durante el matrimonio, y la misma se ejerce de manera conjunta, fund</w:t>
      </w:r>
      <w:r>
        <w:t>a</w:t>
      </w:r>
      <w:r>
        <w:t>mentalmente en interés y beneficio de los hijos ...”</w:t>
      </w:r>
    </w:p>
    <w:p w:rsidR="00000000" w:rsidRDefault="00000000">
      <w:pPr>
        <w:pStyle w:val="SingleTxt"/>
        <w:ind w:left="1742" w:hanging="475"/>
      </w:pPr>
      <w:r>
        <w:tab/>
        <w:t>Artículo 350</w:t>
      </w:r>
      <w:r>
        <w:rPr>
          <w:b/>
        </w:rPr>
        <w:t xml:space="preserve"> “</w:t>
      </w:r>
      <w:r>
        <w:t>…. En el caso de hijos comunes habidos fuera del matrimonio, la patria potestad corresponde conjuntamente al padre y a la madre cuando la filiación se establece simultáneamente respecto de ambos… En todos los d</w:t>
      </w:r>
      <w:r>
        <w:t>e</w:t>
      </w:r>
      <w:r>
        <w:t>más casos, la titularidad de la patria potestad corresponde sólo a aquel de los padres respecto al cual se haya establecido primero la filiación…”</w:t>
      </w:r>
    </w:p>
    <w:p w:rsidR="00000000" w:rsidRDefault="00000000">
      <w:pPr>
        <w:pStyle w:val="SingleTxt"/>
        <w:numPr>
          <w:ilvl w:val="0"/>
          <w:numId w:val="214"/>
        </w:numPr>
      </w:pPr>
      <w:r>
        <w:t>La normativa en la materia preexistente en el Código Civil fueron mayormente derogadas por esta Ley Orgánica, que contempla igualdad de deberes y derechos p</w:t>
      </w:r>
      <w:r>
        <w:t>a</w:t>
      </w:r>
      <w:r>
        <w:t>ra la madre y el padre en relación con sus hijas e hijos. La diferencia fundamental entre esta Ley y la normativa anterior en el Código Civil, es que la actual normativa se basa en la Convención sobre los Derechos del Niño que privilegia el interés sup</w:t>
      </w:r>
      <w:r>
        <w:t>e</w:t>
      </w:r>
      <w:r>
        <w:t>rior de los niños, niñas y adolescentes.</w:t>
      </w:r>
    </w:p>
    <w:p w:rsidR="00000000" w:rsidRDefault="00000000">
      <w:pPr>
        <w:pStyle w:val="SingleTxt"/>
        <w:numPr>
          <w:ilvl w:val="0"/>
          <w:numId w:val="214"/>
        </w:numPr>
      </w:pPr>
      <w:r>
        <w:t>En relación con el lenguaje, al ser anterior a la actual Constitución, adolece de enfoque de género en la redacción.</w:t>
      </w:r>
    </w:p>
    <w:p w:rsidR="00000000" w:rsidRDefault="00000000">
      <w:pPr>
        <w:pStyle w:val="SingleTxt"/>
        <w:numPr>
          <w:ilvl w:val="0"/>
          <w:numId w:val="214"/>
        </w:numPr>
      </w:pPr>
      <w:r>
        <w:t>La Constitución consagra no solo la plena igualdad entre la cónyuge y el có</w:t>
      </w:r>
      <w:r>
        <w:t>n</w:t>
      </w:r>
      <w:r>
        <w:t>yuge, la concubina y el concubino, sino que, en su Artículo 77, consagra la dem</w:t>
      </w:r>
      <w:r>
        <w:t>o</w:t>
      </w:r>
      <w:r>
        <w:t>cratización de las relaciones en el seno de las familias, al establecer la igualdad de derechos y deberes entre los integrantes de las mismas, lo cual entre otros aspectos, se infiere que incluyen las responsabilidades domésticas.</w:t>
      </w:r>
    </w:p>
    <w:p w:rsidR="00000000" w:rsidRDefault="00000000">
      <w:pPr>
        <w:pStyle w:val="SingleTxt"/>
        <w:numPr>
          <w:ilvl w:val="0"/>
          <w:numId w:val="214"/>
        </w:numPr>
      </w:pPr>
      <w:r>
        <w:t xml:space="preserve">Art. 77 de la Constitución: </w:t>
      </w:r>
      <w:r>
        <w:rPr>
          <w:i/>
        </w:rPr>
        <w:t>Se protege el matrimonio, entre un hombre y una mujer, el cual se funda en el libre consentimiento y en la igualdad absoluta de los derechos y obligaciones de los cónyuges. Las uniones estables de hecho entre un hombre y una mujer que cumplan los requisitos establecidos en la ley producirán los mismos efectos que el matrimonio</w:t>
      </w:r>
      <w:r>
        <w:t>.</w:t>
      </w:r>
    </w:p>
    <w:p w:rsidR="00000000" w:rsidRDefault="00000000">
      <w:pPr>
        <w:pStyle w:val="SingleTxt"/>
        <w:numPr>
          <w:ilvl w:val="0"/>
          <w:numId w:val="214"/>
        </w:numPr>
      </w:pPr>
      <w:r>
        <w:t>El Código Civil en su Artículo 46.reza que: “</w:t>
      </w:r>
      <w:r>
        <w:rPr>
          <w:i/>
        </w:rPr>
        <w:t>No pueden contraer matrimonio la mujer que no haya cumplido catorce (14) años de edad y el varón que no haya cumplido dieciséis (16) años</w:t>
      </w:r>
      <w:r>
        <w:t>.”</w:t>
      </w:r>
    </w:p>
    <w:p w:rsidR="00000000" w:rsidRDefault="00000000">
      <w:pPr>
        <w:pStyle w:val="SingleTxt"/>
        <w:numPr>
          <w:ilvl w:val="0"/>
          <w:numId w:val="214"/>
        </w:numPr>
      </w:pPr>
      <w:r>
        <w:rPr>
          <w:b/>
        </w:rPr>
        <w:t>En 1982, con la reforma del Código Civil se eliminaron todas las discrim</w:t>
      </w:r>
      <w:r>
        <w:rPr>
          <w:b/>
        </w:rPr>
        <w:t>i</w:t>
      </w:r>
      <w:r>
        <w:rPr>
          <w:b/>
        </w:rPr>
        <w:t>naciones contra la mujer señaladas en el artículo 16 de la Convención sobre la Eliminación de todas las formas de Discriminación de la mujer, desde el num</w:t>
      </w:r>
      <w:r>
        <w:rPr>
          <w:b/>
        </w:rPr>
        <w:t>e</w:t>
      </w:r>
      <w:r>
        <w:rPr>
          <w:b/>
        </w:rPr>
        <w:t>ral a hasta el numeral</w:t>
      </w:r>
      <w:r>
        <w:t xml:space="preserve"> </w:t>
      </w:r>
      <w:r>
        <w:rPr>
          <w:b/>
        </w:rPr>
        <w:t>h .</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Restricciones o limitaciones a los derechos consagrados</w:t>
      </w:r>
      <w:r>
        <w:br/>
        <w:t>en la Convención</w:t>
      </w:r>
    </w:p>
    <w:p w:rsidR="00000000" w:rsidRDefault="00000000">
      <w:pPr>
        <w:pStyle w:val="SingleTxt"/>
        <w:tabs>
          <w:tab w:val="right" w:pos="1685"/>
        </w:tabs>
        <w:spacing w:after="0" w:line="120" w:lineRule="exact"/>
        <w:ind w:left="1742" w:hanging="475"/>
        <w:rPr>
          <w:sz w:val="10"/>
        </w:rPr>
      </w:pPr>
    </w:p>
    <w:p w:rsidR="00000000" w:rsidRDefault="00000000">
      <w:pPr>
        <w:pStyle w:val="SingleTxt"/>
        <w:tabs>
          <w:tab w:val="right" w:pos="1685"/>
        </w:tabs>
        <w:spacing w:after="0" w:line="120" w:lineRule="exact"/>
        <w:ind w:left="1742" w:hanging="475"/>
        <w:rPr>
          <w:sz w:val="10"/>
        </w:rPr>
      </w:pPr>
    </w:p>
    <w:p w:rsidR="00000000" w:rsidRDefault="00000000">
      <w:pPr>
        <w:pStyle w:val="SingleTxt"/>
        <w:tabs>
          <w:tab w:val="right" w:pos="1685"/>
        </w:tabs>
        <w:ind w:left="1742" w:hanging="475"/>
      </w:pPr>
      <w:r>
        <w:tab/>
        <w:t>•</w:t>
      </w:r>
      <w:r>
        <w:tab/>
        <w:t>La falta de preparación de muchos funcionarios y funcionarias sobre enfoque de g</w:t>
      </w:r>
      <w:r>
        <w:t>é</w:t>
      </w:r>
      <w:r>
        <w:t>nero (caso sistema judicial).</w:t>
      </w:r>
    </w:p>
    <w:p w:rsidR="00000000" w:rsidRDefault="00000000">
      <w:pPr>
        <w:pStyle w:val="SingleTxt"/>
        <w:tabs>
          <w:tab w:val="right" w:pos="1685"/>
        </w:tabs>
        <w:ind w:left="1742" w:hanging="475"/>
      </w:pPr>
      <w:r>
        <w:tab/>
        <w:t>•</w:t>
      </w:r>
      <w:r>
        <w:tab/>
        <w:t>Dificultad de colaboración y coordinación entre algunos entes públicos.</w:t>
      </w:r>
    </w:p>
    <w:p w:rsidR="00000000" w:rsidRDefault="00000000">
      <w:pPr>
        <w:pStyle w:val="SingleTxt"/>
        <w:tabs>
          <w:tab w:val="right" w:pos="1685"/>
        </w:tabs>
        <w:ind w:left="1742" w:hanging="475"/>
        <w:rPr>
          <w:w w:val="102"/>
        </w:rPr>
      </w:pPr>
      <w:r>
        <w:rPr>
          <w:w w:val="102"/>
        </w:rPr>
        <w:tab/>
        <w:t>•</w:t>
      </w:r>
      <w:r>
        <w:rPr>
          <w:w w:val="102"/>
        </w:rPr>
        <w:tab/>
        <w:t>La Legislación laboral en empresas privadas es a veces de difícil cumplimie</w:t>
      </w:r>
      <w:r>
        <w:rPr>
          <w:w w:val="102"/>
        </w:rPr>
        <w:t>n</w:t>
      </w:r>
      <w:r>
        <w:rPr>
          <w:w w:val="102"/>
        </w:rPr>
        <w:t>to.</w:t>
      </w:r>
    </w:p>
    <w:p w:rsidR="00000000" w:rsidRDefault="00000000">
      <w:pPr>
        <w:pStyle w:val="SingleTxt"/>
        <w:tabs>
          <w:tab w:val="right" w:pos="1685"/>
        </w:tabs>
        <w:ind w:left="1742" w:hanging="475"/>
        <w:rPr>
          <w:w w:val="102"/>
        </w:rPr>
      </w:pPr>
      <w:r>
        <w:tab/>
      </w:r>
      <w:r>
        <w:rPr>
          <w:w w:val="102"/>
        </w:rPr>
        <w:t>•</w:t>
      </w:r>
      <w:r>
        <w:rPr>
          <w:w w:val="102"/>
        </w:rPr>
        <w:tab/>
        <w:t>Desconocimiento de algunas mujeres en relación al marco legal que las amp</w:t>
      </w:r>
      <w:r>
        <w:rPr>
          <w:w w:val="102"/>
        </w:rPr>
        <w:t>a</w:t>
      </w:r>
      <w:r>
        <w:rPr>
          <w:w w:val="102"/>
        </w:rPr>
        <w:t>ra.</w:t>
      </w:r>
    </w:p>
    <w:p w:rsidR="00000000" w:rsidRDefault="00000000">
      <w:pPr>
        <w:pStyle w:val="SingleTxt"/>
        <w:tabs>
          <w:tab w:val="right" w:pos="1685"/>
        </w:tabs>
        <w:ind w:left="1742" w:hanging="475"/>
      </w:pPr>
      <w:r>
        <w:tab/>
        <w:t>•</w:t>
      </w:r>
      <w:r>
        <w:tab/>
        <w:t>Inexistencia, en muchos casos, de indicadores sociales desagregados por sexo, que permitan profundizar el análisis de género sobre la situación de la mujer .</w:t>
      </w:r>
    </w:p>
    <w:p w:rsidR="00000000" w:rsidRDefault="00000000">
      <w:pPr>
        <w:tabs>
          <w:tab w:val="left" w:pos="2340"/>
        </w:tabs>
        <w:spacing w:line="480" w:lineRule="auto"/>
        <w:ind w:left="360"/>
        <w:jc w:val="both"/>
        <w:rPr>
          <w:rFonts w:ascii="Arial" w:hAnsi="Arial"/>
          <w:sz w:val="18"/>
        </w:rPr>
      </w:pPr>
    </w:p>
    <w:p w:rsidR="00000000" w:rsidRDefault="00000000">
      <w:pPr>
        <w:pStyle w:val="SingleTxt"/>
        <w:rPr>
          <w:b/>
        </w:rPr>
      </w:pPr>
      <w:r>
        <w:rPr>
          <w:b/>
        </w:rPr>
        <w:t>Junio 2004</w:t>
      </w:r>
    </w:p>
    <w:p w:rsidR="00000000" w:rsidRDefault="00000000">
      <w:pPr>
        <w:tabs>
          <w:tab w:val="left" w:pos="2340"/>
        </w:tabs>
        <w:spacing w:line="240" w:lineRule="auto"/>
      </w:pPr>
      <w:r>
        <w:rPr>
          <w:noProof/>
          <w:w w:val="100"/>
        </w:rPr>
        <w:pict>
          <v:line id="_x0000_s2053" style="position:absolute;z-index:4;mso-position-horizontal:absolute;mso-position-horizontal-relative:page;mso-position-vertical:absolute;mso-position-vertical-relative:text" from="280.8pt,24pt" to="352.8pt,24pt" o:allowincell="f" strokeweight=".25pt">
            <w10:wrap anchorx="page"/>
            <w10:anchorlock/>
          </v:line>
        </w:pict>
      </w:r>
    </w:p>
    <w:p w:rsidR="00000000" w:rsidRDefault="00000000"/>
    <w:sectPr w:rsidR="00000000">
      <w:endnotePr>
        <w:numFmt w:val="decimal"/>
      </w:endnotePr>
      <w:type w:val="continuous"/>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NO&gt;&gt;N0444575S&lt;&lt;ODS JOB NO&gt;&gt;</w:t>
      </w:r>
    </w:p>
    <w:p w:rsidR="00000000" w:rsidRDefault="00000000">
      <w:pPr>
        <w:pStyle w:val="CommentText"/>
      </w:pPr>
      <w:r>
        <w:t>&lt;&lt;ODS DOC SYMBOL1&gt;&gt;CEDAW/C/VEN/4-6&lt;&lt;ODS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rcode 3 of 9 by request">
    <w:charset w:val="00"/>
    <w:family w:val="swiss"/>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48</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0444575s.doc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0444575s.doc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49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04-44575* (S)  090905  090905</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*0444575*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s>
        <w:ind w:left="1267" w:right="1260" w:hanging="432"/>
        <w:rPr>
          <w:sz w:val="19"/>
        </w:rPr>
      </w:pPr>
      <w:r>
        <w:rPr>
          <w:sz w:val="19"/>
        </w:rPr>
        <w:tab/>
      </w:r>
      <w:r>
        <w:rPr>
          <w:rStyle w:val="FootnoteReference"/>
          <w:sz w:val="19"/>
        </w:rPr>
        <w:footnoteRef/>
      </w:r>
      <w:r>
        <w:rPr>
          <w:sz w:val="19"/>
        </w:rPr>
        <w:tab/>
      </w:r>
      <w:r>
        <w:t>Defensa del Segundo y Tercer Informe Periódico de Venezuela Respecto a la Aplicación del Pacto Internacional de Derechos Económicos, Sociales y Culturales. Ginebra, Suiza, 24 y 25 de abril de 2000.</w:t>
      </w:r>
      <w:r>
        <w:rPr>
          <w:sz w:val="19"/>
        </w:rPr>
        <w:t xml:space="preserve"> </w:t>
      </w:r>
    </w:p>
  </w:footnote>
  <w:footnote w:id="2">
    <w:p w:rsidR="00000000" w:rsidRDefault="00000000">
      <w:pPr>
        <w:pStyle w:val="FootnoteText"/>
        <w:tabs>
          <w:tab w:val="clear" w:pos="418"/>
          <w:tab w:val="right" w:pos="1195"/>
          <w:tab w:val="left" w:pos="1267"/>
          <w:tab w:val="left" w:pos="1742"/>
          <w:tab w:val="left" w:pos="2218"/>
          <w:tab w:val="left" w:pos="2693"/>
        </w:tabs>
        <w:ind w:left="1267" w:right="1260" w:hanging="432"/>
        <w:rPr>
          <w:sz w:val="19"/>
        </w:rPr>
      </w:pPr>
      <w:r>
        <w:rPr>
          <w:sz w:val="19"/>
        </w:rPr>
        <w:tab/>
      </w:r>
      <w:r>
        <w:rPr>
          <w:rStyle w:val="FootnoteReference"/>
          <w:sz w:val="19"/>
        </w:rPr>
        <w:footnoteRef/>
      </w:r>
      <w:r>
        <w:rPr>
          <w:sz w:val="19"/>
        </w:rPr>
        <w:tab/>
      </w:r>
      <w:r>
        <w:t>Defensa del Segundo Informe Periódico de Venezuela Respecto a la Aplicación del Pacto Internacional de los Derechos, Económicos, Sociales y Culturales. (Pág. 24) versión preliminar.</w:t>
      </w:r>
    </w:p>
  </w:footnote>
  <w:footnote w:id="3">
    <w:p w:rsidR="00000000" w:rsidRDefault="00000000">
      <w:pPr>
        <w:pStyle w:val="FootnoteText"/>
        <w:tabs>
          <w:tab w:val="clear" w:pos="418"/>
          <w:tab w:val="right" w:pos="1195"/>
          <w:tab w:val="left" w:pos="1267"/>
          <w:tab w:val="left" w:pos="1742"/>
          <w:tab w:val="left" w:pos="2218"/>
          <w:tab w:val="left" w:pos="2693"/>
        </w:tabs>
        <w:ind w:left="1267" w:right="1260" w:hanging="432"/>
        <w:rPr>
          <w:sz w:val="19"/>
        </w:rPr>
      </w:pPr>
      <w:r>
        <w:rPr>
          <w:sz w:val="19"/>
        </w:rPr>
        <w:tab/>
      </w:r>
      <w:r>
        <w:rPr>
          <w:rStyle w:val="FootnoteReference"/>
          <w:sz w:val="19"/>
        </w:rPr>
        <w:footnoteRef/>
      </w:r>
      <w:r>
        <w:rPr>
          <w:sz w:val="19"/>
        </w:rPr>
        <w:tab/>
      </w:r>
      <w:r>
        <w:t>Ver Anexo: Constitución Nacional de la República Bolivariana de Venezuela.</w:t>
      </w:r>
    </w:p>
  </w:footnote>
  <w:footnote w:id="4">
    <w:p w:rsidR="00000000" w:rsidRDefault="00000000">
      <w:pPr>
        <w:pStyle w:val="FootnoteText"/>
        <w:tabs>
          <w:tab w:val="clear" w:pos="418"/>
          <w:tab w:val="right" w:pos="1195"/>
          <w:tab w:val="left" w:pos="1267"/>
          <w:tab w:val="left" w:pos="1742"/>
          <w:tab w:val="left" w:pos="2218"/>
          <w:tab w:val="left" w:pos="2693"/>
        </w:tabs>
        <w:ind w:left="1267" w:right="1260" w:hanging="432"/>
        <w:rPr>
          <w:sz w:val="19"/>
        </w:rPr>
      </w:pPr>
      <w:r>
        <w:rPr>
          <w:sz w:val="19"/>
        </w:rPr>
        <w:tab/>
      </w:r>
      <w:r>
        <w:rPr>
          <w:rStyle w:val="FootnoteReference"/>
          <w:sz w:val="19"/>
        </w:rPr>
        <w:footnoteRef/>
      </w:r>
      <w:r>
        <w:rPr>
          <w:sz w:val="19"/>
        </w:rPr>
        <w:tab/>
      </w:r>
      <w:r>
        <w:t>Ver Anexo: Ley sobre la Violencia contra la mujer y la Familia.</w:t>
      </w:r>
    </w:p>
  </w:footnote>
  <w:footnote w:id="5">
    <w:p w:rsidR="00000000" w:rsidRDefault="00000000">
      <w:pPr>
        <w:pStyle w:val="FootnoteText"/>
        <w:tabs>
          <w:tab w:val="clear" w:pos="418"/>
          <w:tab w:val="right" w:pos="1195"/>
          <w:tab w:val="left" w:pos="1267"/>
          <w:tab w:val="left" w:pos="1742"/>
          <w:tab w:val="left" w:pos="2218"/>
          <w:tab w:val="left" w:pos="2693"/>
        </w:tabs>
        <w:ind w:left="1267" w:right="1260" w:hanging="432"/>
        <w:rPr>
          <w:sz w:val="19"/>
        </w:rPr>
      </w:pPr>
      <w:r>
        <w:rPr>
          <w:sz w:val="19"/>
        </w:rPr>
        <w:tab/>
      </w:r>
      <w:r>
        <w:rPr>
          <w:rStyle w:val="FootnoteReference"/>
          <w:sz w:val="19"/>
        </w:rPr>
        <w:footnoteRef/>
      </w:r>
      <w:r>
        <w:rPr>
          <w:sz w:val="19"/>
        </w:rPr>
        <w:tab/>
      </w:r>
      <w:r>
        <w:t>Anexo: Ley Orgánica de Protección al Niño y al Adolescente.</w:t>
      </w:r>
    </w:p>
  </w:footnote>
  <w:footnote w:id="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t>2</w:t>
      </w:r>
      <w:r>
        <w:tab/>
        <w:t>Informe del Instituto Nacional de Estadística febrero 2002</w:t>
      </w:r>
    </w:p>
  </w:footnote>
  <w:footnote w:id="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El indicador Tasa de Inactividad, debe ser modificado tomando en cuenta el artículo 88 de la Constitución de la República, referido al reconocimiento del valor económico del trabajo doméstico.</w:t>
      </w:r>
    </w:p>
  </w:footnote>
  <w:footnote w:id="8">
    <w:p w:rsidR="00000000" w:rsidRDefault="00000000">
      <w:pPr>
        <w:pStyle w:val="FootnoteText"/>
        <w:tabs>
          <w:tab w:val="clear" w:pos="418"/>
          <w:tab w:val="right" w:pos="1195"/>
          <w:tab w:val="left" w:pos="1267"/>
          <w:tab w:val="left" w:pos="1742"/>
          <w:tab w:val="left" w:pos="2218"/>
          <w:tab w:val="left" w:pos="2693"/>
        </w:tabs>
        <w:ind w:left="1267" w:right="1260" w:hanging="432"/>
        <w:rPr>
          <w:rFonts w:ascii="Bookman Old Style" w:hAnsi="Bookman Old Style"/>
        </w:rPr>
      </w:pPr>
      <w:r>
        <w:tab/>
      </w:r>
      <w:r>
        <w:rPr>
          <w:rStyle w:val="FootnoteReference"/>
        </w:rPr>
        <w:footnoteRef/>
      </w:r>
      <w:r>
        <w:tab/>
        <w:t>CONG de Mujeres: (2000). “ Evaluación de los Compromisos Adquiridos por el Estado Venezolano de Cara a la IV Conferencia Mundial de la Mujer (Beijing 1995). Cinco años después. (1995-2000)</w:t>
      </w:r>
    </w:p>
  </w:footnote>
  <w:footnote w:id="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Pr>
          <w:lang w:val="es-ES_tradnl"/>
        </w:rPr>
        <w:t>Fuente: Dirección de Información Social y Estadística. Ministerio de Salud y Desarrollo Social.</w:t>
      </w:r>
    </w:p>
  </w:footnote>
  <w:footnote w:id="1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Esta disposición consagra una lucha del movimiento de mujeres venezolano.</w:t>
      </w:r>
    </w:p>
  </w:footnote>
  <w:footnote w:id="1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r>
      <w:r>
        <w:rPr>
          <w:caps/>
        </w:rPr>
        <w:t>Álvarez,</w:t>
      </w:r>
      <w:r>
        <w:t xml:space="preserve"> María del Mar. La Constitución Nacional y la Normativa Jurídica Referida a la Mujer (Consideraciones generales), publicado en Revista Venezolana de Estudios de la Mujer. Universidad Central de Venezuela. Centro de Estudios de la Mujer. Volumen 5. Nº14.Caracas, Enero-Junio 2000.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CEDAW/C/VEN/4-6</w:t>
                      </w:r>
                    </w:p>
                  </w:tc>
                  <w:tc>
                    <w:tcPr>
                      <w:tcW w:w="5047" w:type="dxa"/>
                      <w:vAlign w:val="bottom"/>
                    </w:tcPr>
                    <w:p w:rsidR="00000000" w:rsidRDefault="00000000">
                      <w:pPr>
                        <w:pStyle w:val="Header"/>
                      </w:pPr>
                    </w:p>
                  </w:tc>
                </w:tr>
              </w:tbl>
              <w:p w:rsidR="00000000" w:rsidRDefault="00000000"/>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CEDAW/C/VEN/4-6</w:t>
                      </w:r>
                    </w:p>
                  </w:tc>
                </w:tr>
              </w:tbl>
              <w:p w:rsidR="00000000" w:rsidRDefault="00000000"/>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/C/VEN/4-6*</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9 de septiembre de 2005</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74126C6E"/>
    <w:lvl w:ilvl="0">
      <w:start w:val="1"/>
      <w:numFmt w:val="bullet"/>
      <w:lvlText w:val=""/>
      <w:lvlJc w:val="left"/>
      <w:pPr>
        <w:tabs>
          <w:tab w:val="num" w:pos="643"/>
        </w:tabs>
        <w:ind w:left="643" w:hanging="360"/>
      </w:pPr>
      <w:rPr>
        <w:rFonts w:ascii="Symbol" w:hAnsi="Symbol" w:hint="default"/>
      </w:rPr>
    </w:lvl>
  </w:abstractNum>
  <w:abstractNum w:abstractNumId="1">
    <w:nsid w:val="FFFFFF89"/>
    <w:multiLevelType w:val="singleLevel"/>
    <w:tmpl w:val="BF606230"/>
    <w:lvl w:ilvl="0">
      <w:start w:val="1"/>
      <w:numFmt w:val="bullet"/>
      <w:lvlText w:val=""/>
      <w:lvlJc w:val="left"/>
      <w:pPr>
        <w:tabs>
          <w:tab w:val="num" w:pos="360"/>
        </w:tabs>
        <w:ind w:left="360" w:hanging="360"/>
      </w:pPr>
      <w:rPr>
        <w:rFonts w:ascii="Symbol" w:hAnsi="Symbol" w:hint="default"/>
      </w:rPr>
    </w:lvl>
  </w:abstractNum>
  <w:abstractNum w:abstractNumId="2">
    <w:nsid w:val="03D64708"/>
    <w:multiLevelType w:val="singleLevel"/>
    <w:tmpl w:val="3788CFB8"/>
    <w:lvl w:ilvl="0">
      <w:start w:val="21"/>
      <w:numFmt w:val="decimal"/>
      <w:lvlRestart w:val="0"/>
      <w:lvlText w:val="%1."/>
      <w:lvlJc w:val="left"/>
      <w:pPr>
        <w:tabs>
          <w:tab w:val="num" w:pos="1742"/>
        </w:tabs>
        <w:ind w:left="1267" w:firstLine="0"/>
      </w:pPr>
      <w:rPr>
        <w:spacing w:val="0"/>
        <w:w w:val="100"/>
      </w:rPr>
    </w:lvl>
  </w:abstractNum>
  <w:abstractNum w:abstractNumId="3">
    <w:nsid w:val="03F45D76"/>
    <w:multiLevelType w:val="singleLevel"/>
    <w:tmpl w:val="0C0A000F"/>
    <w:lvl w:ilvl="0">
      <w:start w:val="1"/>
      <w:numFmt w:val="decimal"/>
      <w:lvlText w:val="%1."/>
      <w:lvlJc w:val="left"/>
      <w:pPr>
        <w:tabs>
          <w:tab w:val="num" w:pos="360"/>
        </w:tabs>
        <w:ind w:left="360" w:hanging="360"/>
      </w:pPr>
    </w:lvl>
  </w:abstractNum>
  <w:abstractNum w:abstractNumId="4">
    <w:nsid w:val="04003452"/>
    <w:multiLevelType w:val="multilevel"/>
    <w:tmpl w:val="CE181A6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
    <w:nsid w:val="065239C3"/>
    <w:multiLevelType w:val="multilevel"/>
    <w:tmpl w:val="8552FF0A"/>
    <w:lvl w:ilvl="0">
      <w:start w:val="3"/>
      <w:numFmt w:val="decimal"/>
      <w:lvlText w:val="%1."/>
      <w:lvlJc w:val="left"/>
      <w:pPr>
        <w:tabs>
          <w:tab w:val="num" w:pos="765"/>
        </w:tabs>
        <w:ind w:left="765" w:hanging="40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
    <w:nsid w:val="07322DDD"/>
    <w:multiLevelType w:val="singleLevel"/>
    <w:tmpl w:val="6E8EC07C"/>
    <w:lvl w:ilvl="0">
      <w:start w:val="89"/>
      <w:numFmt w:val="decimal"/>
      <w:lvlText w:val="%1."/>
      <w:lvlJc w:val="left"/>
      <w:pPr>
        <w:tabs>
          <w:tab w:val="num" w:pos="360"/>
        </w:tabs>
        <w:ind w:left="360" w:hanging="360"/>
      </w:pPr>
    </w:lvl>
  </w:abstractNum>
  <w:abstractNum w:abstractNumId="7">
    <w:nsid w:val="07614112"/>
    <w:multiLevelType w:val="multilevel"/>
    <w:tmpl w:val="07188A7A"/>
    <w:lvl w:ilvl="0">
      <w:start w:val="19"/>
      <w:numFmt w:val="decimal"/>
      <w:lvlText w:val="%1."/>
      <w:lvlJc w:val="left"/>
      <w:pPr>
        <w:tabs>
          <w:tab w:val="num" w:pos="1290"/>
        </w:tabs>
        <w:ind w:left="1290" w:hanging="57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8">
    <w:nsid w:val="08AC6DC1"/>
    <w:multiLevelType w:val="multilevel"/>
    <w:tmpl w:val="C43CD86E"/>
    <w:lvl w:ilvl="0">
      <w:start w:val="5"/>
      <w:numFmt w:val="decimal"/>
      <w:lvlText w:val="%1."/>
      <w:lvlJc w:val="left"/>
      <w:pPr>
        <w:tabs>
          <w:tab w:val="num" w:pos="405"/>
        </w:tabs>
        <w:ind w:left="405" w:hanging="405"/>
      </w:pPr>
      <w:rPr>
        <w:rFonts w:ascii="Arial" w:hAnsi="Arial" w:hint="default"/>
      </w:rPr>
    </w:lvl>
    <w:lvl w:ilvl="1">
      <w:start w:val="1"/>
      <w:numFmt w:val="decimal"/>
      <w:lvlText w:val="%1.%2-"/>
      <w:lvlJc w:val="left"/>
      <w:pPr>
        <w:tabs>
          <w:tab w:val="num" w:pos="1080"/>
        </w:tabs>
        <w:ind w:left="1080" w:hanging="720"/>
      </w:pPr>
      <w:rPr>
        <w:rFonts w:ascii="Arial" w:hAnsi="Arial" w:hint="default"/>
      </w:rPr>
    </w:lvl>
    <w:lvl w:ilvl="2">
      <w:start w:val="1"/>
      <w:numFmt w:val="decimal"/>
      <w:lvlText w:val="%1.%2-%3."/>
      <w:lvlJc w:val="left"/>
      <w:pPr>
        <w:tabs>
          <w:tab w:val="num" w:pos="1440"/>
        </w:tabs>
        <w:ind w:left="1440" w:hanging="720"/>
      </w:pPr>
      <w:rPr>
        <w:rFonts w:ascii="Arial" w:hAnsi="Arial" w:hint="default"/>
      </w:rPr>
    </w:lvl>
    <w:lvl w:ilvl="3">
      <w:start w:val="1"/>
      <w:numFmt w:val="decimal"/>
      <w:lvlText w:val="%1.%2-%3.%4."/>
      <w:lvlJc w:val="left"/>
      <w:pPr>
        <w:tabs>
          <w:tab w:val="num" w:pos="2160"/>
        </w:tabs>
        <w:ind w:left="2160" w:hanging="1080"/>
      </w:pPr>
      <w:rPr>
        <w:rFonts w:ascii="Arial" w:hAnsi="Arial" w:hint="default"/>
      </w:rPr>
    </w:lvl>
    <w:lvl w:ilvl="4">
      <w:start w:val="1"/>
      <w:numFmt w:val="decimal"/>
      <w:lvlText w:val="%1.%2-%3.%4.%5."/>
      <w:lvlJc w:val="left"/>
      <w:pPr>
        <w:tabs>
          <w:tab w:val="num" w:pos="2520"/>
        </w:tabs>
        <w:ind w:left="2520" w:hanging="1080"/>
      </w:pPr>
      <w:rPr>
        <w:rFonts w:ascii="Arial" w:hAnsi="Arial" w:hint="default"/>
      </w:rPr>
    </w:lvl>
    <w:lvl w:ilvl="5">
      <w:start w:val="1"/>
      <w:numFmt w:val="decimal"/>
      <w:lvlText w:val="%1.%2-%3.%4.%5.%6."/>
      <w:lvlJc w:val="left"/>
      <w:pPr>
        <w:tabs>
          <w:tab w:val="num" w:pos="3240"/>
        </w:tabs>
        <w:ind w:left="3240" w:hanging="1440"/>
      </w:pPr>
      <w:rPr>
        <w:rFonts w:ascii="Arial" w:hAnsi="Arial" w:hint="default"/>
      </w:rPr>
    </w:lvl>
    <w:lvl w:ilvl="6">
      <w:start w:val="1"/>
      <w:numFmt w:val="decimal"/>
      <w:lvlText w:val="%1.%2-%3.%4.%5.%6.%7."/>
      <w:lvlJc w:val="left"/>
      <w:pPr>
        <w:tabs>
          <w:tab w:val="num" w:pos="3600"/>
        </w:tabs>
        <w:ind w:left="3600" w:hanging="1440"/>
      </w:pPr>
      <w:rPr>
        <w:rFonts w:ascii="Arial" w:hAnsi="Arial" w:hint="default"/>
      </w:rPr>
    </w:lvl>
    <w:lvl w:ilvl="7">
      <w:start w:val="1"/>
      <w:numFmt w:val="decimal"/>
      <w:lvlText w:val="%1.%2-%3.%4.%5.%6.%7.%8."/>
      <w:lvlJc w:val="left"/>
      <w:pPr>
        <w:tabs>
          <w:tab w:val="num" w:pos="4320"/>
        </w:tabs>
        <w:ind w:left="4320" w:hanging="1800"/>
      </w:pPr>
      <w:rPr>
        <w:rFonts w:ascii="Arial" w:hAnsi="Arial" w:hint="default"/>
      </w:rPr>
    </w:lvl>
    <w:lvl w:ilvl="8">
      <w:start w:val="1"/>
      <w:numFmt w:val="decimal"/>
      <w:lvlText w:val="%1.%2-%3.%4.%5.%6.%7.%8.%9."/>
      <w:lvlJc w:val="left"/>
      <w:pPr>
        <w:tabs>
          <w:tab w:val="num" w:pos="4680"/>
        </w:tabs>
        <w:ind w:left="4680" w:hanging="1800"/>
      </w:pPr>
      <w:rPr>
        <w:rFonts w:ascii="Arial" w:hAnsi="Arial" w:hint="default"/>
      </w:rPr>
    </w:lvl>
  </w:abstractNum>
  <w:abstractNum w:abstractNumId="9">
    <w:nsid w:val="09A526A0"/>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10">
    <w:nsid w:val="0A5E6955"/>
    <w:multiLevelType w:val="multilevel"/>
    <w:tmpl w:val="50789BD6"/>
    <w:lvl w:ilvl="0">
      <w:start w:val="19"/>
      <w:numFmt w:val="decimal"/>
      <w:lvlText w:val="%1."/>
      <w:lvlJc w:val="left"/>
      <w:pPr>
        <w:tabs>
          <w:tab w:val="num" w:pos="930"/>
        </w:tabs>
        <w:ind w:left="930" w:hanging="57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
    <w:nsid w:val="0AD3018F"/>
    <w:multiLevelType w:val="multilevel"/>
    <w:tmpl w:val="130AEAEA"/>
    <w:lvl w:ilvl="0">
      <w:start w:val="1"/>
      <w:numFmt w:val="decimal"/>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2">
    <w:nsid w:val="0B167322"/>
    <w:multiLevelType w:val="singleLevel"/>
    <w:tmpl w:val="0C0A0017"/>
    <w:lvl w:ilvl="0">
      <w:start w:val="1"/>
      <w:numFmt w:val="lowerLetter"/>
      <w:lvlText w:val="%1)"/>
      <w:lvlJc w:val="left"/>
      <w:pPr>
        <w:tabs>
          <w:tab w:val="num" w:pos="360"/>
        </w:tabs>
        <w:ind w:left="360" w:hanging="360"/>
      </w:pPr>
    </w:lvl>
  </w:abstractNum>
  <w:abstractNum w:abstractNumId="13">
    <w:nsid w:val="0DEF36AB"/>
    <w:multiLevelType w:val="singleLevel"/>
    <w:tmpl w:val="0C0A000F"/>
    <w:lvl w:ilvl="0">
      <w:start w:val="1"/>
      <w:numFmt w:val="decimal"/>
      <w:lvlText w:val="%1."/>
      <w:lvlJc w:val="left"/>
      <w:pPr>
        <w:tabs>
          <w:tab w:val="num" w:pos="360"/>
        </w:tabs>
        <w:ind w:left="360" w:hanging="360"/>
      </w:pPr>
    </w:lvl>
  </w:abstractNum>
  <w:abstractNum w:abstractNumId="14">
    <w:nsid w:val="0EF57282"/>
    <w:multiLevelType w:val="multilevel"/>
    <w:tmpl w:val="7B500A10"/>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
    <w:nsid w:val="0FA3108B"/>
    <w:multiLevelType w:val="multilevel"/>
    <w:tmpl w:val="8AB6D636"/>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
    <w:nsid w:val="1140754F"/>
    <w:multiLevelType w:val="multilevel"/>
    <w:tmpl w:val="69FAF848"/>
    <w:lvl w:ilvl="0">
      <w:start w:val="1"/>
      <w:numFmt w:val="bullet"/>
      <w:lvlText w:val=""/>
      <w:lvlJc w:val="left"/>
      <w:pPr>
        <w:tabs>
          <w:tab w:val="num" w:pos="1068"/>
        </w:tabs>
        <w:ind w:left="1068" w:hanging="360"/>
      </w:pPr>
      <w:rPr>
        <w:rFonts w:ascii="Symbol" w:hAnsi="Symbol" w:hint="default"/>
      </w:rPr>
    </w:lvl>
    <w:lvl w:ilvl="1" w:tentative="1">
      <w:start w:val="1"/>
      <w:numFmt w:val="bullet"/>
      <w:lvlText w:val="o"/>
      <w:lvlJc w:val="left"/>
      <w:pPr>
        <w:tabs>
          <w:tab w:val="num" w:pos="1788"/>
        </w:tabs>
        <w:ind w:left="1788" w:hanging="360"/>
      </w:pPr>
      <w:rPr>
        <w:rFonts w:ascii="Courier New" w:hAnsi="Courier New" w:hint="default"/>
      </w:rPr>
    </w:lvl>
    <w:lvl w:ilvl="2" w:tentative="1">
      <w:start w:val="1"/>
      <w:numFmt w:val="bullet"/>
      <w:lvlText w:val=""/>
      <w:lvlJc w:val="left"/>
      <w:pPr>
        <w:tabs>
          <w:tab w:val="num" w:pos="2508"/>
        </w:tabs>
        <w:ind w:left="2508" w:hanging="360"/>
      </w:pPr>
      <w:rPr>
        <w:rFonts w:ascii="Wingdings" w:hAnsi="Wingdings" w:hint="default"/>
      </w:rPr>
    </w:lvl>
    <w:lvl w:ilvl="3" w:tentative="1">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17">
    <w:nsid w:val="1229534E"/>
    <w:multiLevelType w:val="multilevel"/>
    <w:tmpl w:val="1862AE5A"/>
    <w:lvl w:ilvl="0">
      <w:start w:val="1"/>
      <w:numFmt w:val="decimal"/>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8">
    <w:nsid w:val="132E02B8"/>
    <w:multiLevelType w:val="singleLevel"/>
    <w:tmpl w:val="4A1C694C"/>
    <w:lvl w:ilvl="0">
      <w:start w:val="46"/>
      <w:numFmt w:val="decimal"/>
      <w:lvlText w:val="%1."/>
      <w:lvlJc w:val="left"/>
      <w:pPr>
        <w:tabs>
          <w:tab w:val="num" w:pos="360"/>
        </w:tabs>
        <w:ind w:left="360" w:hanging="360"/>
      </w:pPr>
    </w:lvl>
  </w:abstractNum>
  <w:abstractNum w:abstractNumId="19">
    <w:nsid w:val="13CD46B4"/>
    <w:multiLevelType w:val="multilevel"/>
    <w:tmpl w:val="7012CB4A"/>
    <w:lvl w:ilvl="0">
      <w:start w:val="204"/>
      <w:numFmt w:val="decimal"/>
      <w:lvlText w:val="%1."/>
      <w:lvlJc w:val="left"/>
      <w:pPr>
        <w:tabs>
          <w:tab w:val="num" w:pos="825"/>
        </w:tabs>
        <w:ind w:left="825" w:hanging="46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
    <w:nsid w:val="15435C52"/>
    <w:multiLevelType w:val="multilevel"/>
    <w:tmpl w:val="134A7C6E"/>
    <w:lvl w:ilvl="0">
      <w:start w:val="1"/>
      <w:numFmt w:val="bullet"/>
      <w:lvlText w:val=""/>
      <w:lvlJc w:val="left"/>
      <w:pPr>
        <w:tabs>
          <w:tab w:val="num" w:pos="1068"/>
        </w:tabs>
        <w:ind w:left="1068" w:hanging="360"/>
      </w:pPr>
      <w:rPr>
        <w:rFonts w:ascii="Symbol" w:hAnsi="Symbol" w:hint="default"/>
      </w:rPr>
    </w:lvl>
    <w:lvl w:ilvl="1" w:tentative="1">
      <w:start w:val="1"/>
      <w:numFmt w:val="bullet"/>
      <w:lvlText w:val="o"/>
      <w:lvlJc w:val="left"/>
      <w:pPr>
        <w:tabs>
          <w:tab w:val="num" w:pos="1788"/>
        </w:tabs>
        <w:ind w:left="1788" w:hanging="360"/>
      </w:pPr>
      <w:rPr>
        <w:rFonts w:ascii="Courier New" w:hAnsi="Courier New" w:hint="default"/>
      </w:rPr>
    </w:lvl>
    <w:lvl w:ilvl="2" w:tentative="1">
      <w:start w:val="1"/>
      <w:numFmt w:val="bullet"/>
      <w:lvlText w:val=""/>
      <w:lvlJc w:val="left"/>
      <w:pPr>
        <w:tabs>
          <w:tab w:val="num" w:pos="2508"/>
        </w:tabs>
        <w:ind w:left="2508" w:hanging="360"/>
      </w:pPr>
      <w:rPr>
        <w:rFonts w:ascii="Wingdings" w:hAnsi="Wingdings" w:hint="default"/>
      </w:rPr>
    </w:lvl>
    <w:lvl w:ilvl="3" w:tentative="1">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21">
    <w:nsid w:val="15D41104"/>
    <w:multiLevelType w:val="singleLevel"/>
    <w:tmpl w:val="F97CC832"/>
    <w:lvl w:ilvl="0">
      <w:start w:val="1"/>
      <w:numFmt w:val="lowerLetter"/>
      <w:lvlText w:val="%1)"/>
      <w:lvlJc w:val="left"/>
      <w:pPr>
        <w:tabs>
          <w:tab w:val="num" w:pos="2107"/>
        </w:tabs>
        <w:ind w:left="2107" w:hanging="360"/>
      </w:pPr>
      <w:rPr>
        <w:rFonts w:hint="default"/>
      </w:rPr>
    </w:lvl>
  </w:abstractNum>
  <w:abstractNum w:abstractNumId="22">
    <w:nsid w:val="16E9266F"/>
    <w:multiLevelType w:val="multilevel"/>
    <w:tmpl w:val="65B8C1AC"/>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23">
    <w:nsid w:val="173C12CB"/>
    <w:multiLevelType w:val="multilevel"/>
    <w:tmpl w:val="3D4858B4"/>
    <w:lvl w:ilvl="0">
      <w:start w:val="19"/>
      <w:numFmt w:val="decimal"/>
      <w:lvlText w:val="%1."/>
      <w:lvlJc w:val="left"/>
      <w:pPr>
        <w:tabs>
          <w:tab w:val="num" w:pos="930"/>
        </w:tabs>
        <w:ind w:left="930" w:hanging="570"/>
      </w:pPr>
      <w:rPr>
        <w:rFonts w:hint="default"/>
      </w:rPr>
    </w:lvl>
    <w:lvl w:ilvl="1">
      <w:start w:val="1"/>
      <w:numFmt w:val="decimal"/>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
    <w:nsid w:val="18B635C6"/>
    <w:multiLevelType w:val="multilevel"/>
    <w:tmpl w:val="933623F6"/>
    <w:lvl w:ilvl="0">
      <w:start w:val="18"/>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
    <w:nsid w:val="19C0019D"/>
    <w:multiLevelType w:val="multilevel"/>
    <w:tmpl w:val="C83E7CC6"/>
    <w:lvl w:ilvl="0">
      <w:start w:val="46"/>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
    <w:nsid w:val="1A944AB5"/>
    <w:multiLevelType w:val="multilevel"/>
    <w:tmpl w:val="82880AEE"/>
    <w:lvl w:ilvl="0">
      <w:start w:val="1"/>
      <w:numFmt w:val="bullet"/>
      <w:lvlText w:val=""/>
      <w:lvlJc w:val="left"/>
      <w:pPr>
        <w:tabs>
          <w:tab w:val="num" w:pos="1344"/>
        </w:tabs>
        <w:ind w:left="1344" w:hanging="360"/>
      </w:pPr>
      <w:rPr>
        <w:rFonts w:ascii="Symbol" w:hAnsi="Symbol" w:hint="default"/>
      </w:rPr>
    </w:lvl>
    <w:lvl w:ilvl="1" w:tentative="1">
      <w:start w:val="1"/>
      <w:numFmt w:val="bullet"/>
      <w:lvlText w:val="o"/>
      <w:lvlJc w:val="left"/>
      <w:pPr>
        <w:tabs>
          <w:tab w:val="num" w:pos="2064"/>
        </w:tabs>
        <w:ind w:left="2064" w:hanging="360"/>
      </w:pPr>
      <w:rPr>
        <w:rFonts w:ascii="Courier New" w:hAnsi="Courier New" w:hint="default"/>
      </w:rPr>
    </w:lvl>
    <w:lvl w:ilvl="2" w:tentative="1">
      <w:start w:val="1"/>
      <w:numFmt w:val="bullet"/>
      <w:lvlText w:val=""/>
      <w:lvlJc w:val="left"/>
      <w:pPr>
        <w:tabs>
          <w:tab w:val="num" w:pos="2784"/>
        </w:tabs>
        <w:ind w:left="2784" w:hanging="360"/>
      </w:pPr>
      <w:rPr>
        <w:rFonts w:ascii="Wingdings" w:hAnsi="Wingdings" w:hint="default"/>
      </w:rPr>
    </w:lvl>
    <w:lvl w:ilvl="3" w:tentative="1">
      <w:start w:val="1"/>
      <w:numFmt w:val="bullet"/>
      <w:lvlText w:val=""/>
      <w:lvlJc w:val="left"/>
      <w:pPr>
        <w:tabs>
          <w:tab w:val="num" w:pos="3504"/>
        </w:tabs>
        <w:ind w:left="3504" w:hanging="360"/>
      </w:pPr>
      <w:rPr>
        <w:rFonts w:ascii="Symbol" w:hAnsi="Symbol" w:hint="default"/>
      </w:rPr>
    </w:lvl>
    <w:lvl w:ilvl="4" w:tentative="1">
      <w:start w:val="1"/>
      <w:numFmt w:val="bullet"/>
      <w:lvlText w:val="o"/>
      <w:lvlJc w:val="left"/>
      <w:pPr>
        <w:tabs>
          <w:tab w:val="num" w:pos="4224"/>
        </w:tabs>
        <w:ind w:left="4224" w:hanging="360"/>
      </w:pPr>
      <w:rPr>
        <w:rFonts w:ascii="Courier New" w:hAnsi="Courier New" w:hint="default"/>
      </w:rPr>
    </w:lvl>
    <w:lvl w:ilvl="5" w:tentative="1">
      <w:start w:val="1"/>
      <w:numFmt w:val="bullet"/>
      <w:lvlText w:val=""/>
      <w:lvlJc w:val="left"/>
      <w:pPr>
        <w:tabs>
          <w:tab w:val="num" w:pos="4944"/>
        </w:tabs>
        <w:ind w:left="4944" w:hanging="360"/>
      </w:pPr>
      <w:rPr>
        <w:rFonts w:ascii="Wingdings" w:hAnsi="Wingdings" w:hint="default"/>
      </w:rPr>
    </w:lvl>
    <w:lvl w:ilvl="6" w:tentative="1">
      <w:start w:val="1"/>
      <w:numFmt w:val="bullet"/>
      <w:lvlText w:val=""/>
      <w:lvlJc w:val="left"/>
      <w:pPr>
        <w:tabs>
          <w:tab w:val="num" w:pos="5664"/>
        </w:tabs>
        <w:ind w:left="5664" w:hanging="360"/>
      </w:pPr>
      <w:rPr>
        <w:rFonts w:ascii="Symbol" w:hAnsi="Symbol" w:hint="default"/>
      </w:rPr>
    </w:lvl>
    <w:lvl w:ilvl="7" w:tentative="1">
      <w:start w:val="1"/>
      <w:numFmt w:val="bullet"/>
      <w:lvlText w:val="o"/>
      <w:lvlJc w:val="left"/>
      <w:pPr>
        <w:tabs>
          <w:tab w:val="num" w:pos="6384"/>
        </w:tabs>
        <w:ind w:left="6384" w:hanging="360"/>
      </w:pPr>
      <w:rPr>
        <w:rFonts w:ascii="Courier New" w:hAnsi="Courier New" w:hint="default"/>
      </w:rPr>
    </w:lvl>
    <w:lvl w:ilvl="8" w:tentative="1">
      <w:start w:val="1"/>
      <w:numFmt w:val="bullet"/>
      <w:lvlText w:val=""/>
      <w:lvlJc w:val="left"/>
      <w:pPr>
        <w:tabs>
          <w:tab w:val="num" w:pos="7104"/>
        </w:tabs>
        <w:ind w:left="7104" w:hanging="360"/>
      </w:pPr>
      <w:rPr>
        <w:rFonts w:ascii="Wingdings" w:hAnsi="Wingdings" w:hint="default"/>
      </w:rPr>
    </w:lvl>
  </w:abstractNum>
  <w:abstractNum w:abstractNumId="27">
    <w:nsid w:val="1AA26B00"/>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28">
    <w:nsid w:val="1ACF38C8"/>
    <w:multiLevelType w:val="multilevel"/>
    <w:tmpl w:val="9C38B264"/>
    <w:lvl w:ilvl="0">
      <w:start w:val="24"/>
      <w:numFmt w:val="decimal"/>
      <w:lvlText w:val="%1."/>
      <w:lvlJc w:val="left"/>
      <w:pPr>
        <w:tabs>
          <w:tab w:val="num" w:pos="960"/>
        </w:tabs>
        <w:ind w:left="960" w:hanging="60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9">
    <w:nsid w:val="1BB40303"/>
    <w:multiLevelType w:val="singleLevel"/>
    <w:tmpl w:val="44FE5608"/>
    <w:lvl w:ilvl="0">
      <w:start w:val="3"/>
      <w:numFmt w:val="decimal"/>
      <w:lvlText w:val="%1."/>
      <w:lvlJc w:val="left"/>
      <w:pPr>
        <w:tabs>
          <w:tab w:val="num" w:pos="360"/>
        </w:tabs>
        <w:ind w:left="360" w:hanging="360"/>
      </w:pPr>
      <w:rPr>
        <w:b w:val="0"/>
        <w:i w:val="0"/>
        <w:sz w:val="18"/>
      </w:rPr>
    </w:lvl>
  </w:abstractNum>
  <w:abstractNum w:abstractNumId="30">
    <w:nsid w:val="1BD20236"/>
    <w:multiLevelType w:val="multilevel"/>
    <w:tmpl w:val="2264D532"/>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31">
    <w:nsid w:val="1D56259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2">
    <w:nsid w:val="1E61179C"/>
    <w:multiLevelType w:val="singleLevel"/>
    <w:tmpl w:val="00203A84"/>
    <w:lvl w:ilvl="0">
      <w:start w:val="73"/>
      <w:numFmt w:val="decimal"/>
      <w:lvlText w:val="%1."/>
      <w:lvlJc w:val="left"/>
      <w:pPr>
        <w:tabs>
          <w:tab w:val="num" w:pos="397"/>
        </w:tabs>
        <w:ind w:left="397" w:hanging="397"/>
      </w:pPr>
      <w:rPr>
        <w:color w:val="000000"/>
        <w:sz w:val="24"/>
      </w:rPr>
    </w:lvl>
  </w:abstractNum>
  <w:abstractNum w:abstractNumId="33">
    <w:nsid w:val="1E862B2A"/>
    <w:multiLevelType w:val="multilevel"/>
    <w:tmpl w:val="57A6054E"/>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4">
    <w:nsid w:val="1F646750"/>
    <w:multiLevelType w:val="multilevel"/>
    <w:tmpl w:val="B4B2B2A0"/>
    <w:lvl w:ilvl="0">
      <w:start w:val="18"/>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5">
    <w:nsid w:val="200B7A40"/>
    <w:multiLevelType w:val="multilevel"/>
    <w:tmpl w:val="8A101B42"/>
    <w:lvl w:ilvl="0">
      <w:start w:val="4"/>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b/>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6">
    <w:nsid w:val="21476045"/>
    <w:multiLevelType w:val="multilevel"/>
    <w:tmpl w:val="1E786AAE"/>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7">
    <w:nsid w:val="2194516D"/>
    <w:multiLevelType w:val="multilevel"/>
    <w:tmpl w:val="23BAFB1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8">
    <w:nsid w:val="21FA20C1"/>
    <w:multiLevelType w:val="multilevel"/>
    <w:tmpl w:val="76366D9E"/>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9">
    <w:nsid w:val="22414C84"/>
    <w:multiLevelType w:val="multilevel"/>
    <w:tmpl w:val="4F82BBF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0">
    <w:nsid w:val="22BF2CB4"/>
    <w:multiLevelType w:val="multilevel"/>
    <w:tmpl w:val="4EBE311A"/>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41">
    <w:nsid w:val="22D32F7A"/>
    <w:multiLevelType w:val="multilevel"/>
    <w:tmpl w:val="310E55A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2">
    <w:nsid w:val="23AB1F70"/>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3">
    <w:nsid w:val="242D08D9"/>
    <w:multiLevelType w:val="multilevel"/>
    <w:tmpl w:val="1424089C"/>
    <w:lvl w:ilvl="0">
      <w:start w:val="1"/>
      <w:numFmt w:val="bullet"/>
      <w:lvlText w:val=""/>
      <w:lvlJc w:val="left"/>
      <w:pPr>
        <w:tabs>
          <w:tab w:val="num" w:pos="1080"/>
        </w:tabs>
        <w:ind w:left="1080" w:hanging="360"/>
      </w:pPr>
      <w:rPr>
        <w:rFonts w:ascii="Symbol" w:hAnsi="Symbol" w:hint="default"/>
      </w:rPr>
    </w:lvl>
    <w:lvl w:ilvl="1">
      <w:start w:val="1"/>
      <w:numFmt w:val="bullet"/>
      <w:lvlText w:val="o"/>
      <w:lvlJc w:val="left"/>
      <w:pPr>
        <w:tabs>
          <w:tab w:val="num" w:pos="1800"/>
        </w:tabs>
        <w:ind w:left="1800" w:hanging="360"/>
      </w:pPr>
      <w:rPr>
        <w:rFonts w:ascii="Courier New" w:hAnsi="Courier New" w:cs="Wingdings"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Wingdings"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Wingdings"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44">
    <w:nsid w:val="24840B4A"/>
    <w:multiLevelType w:val="multilevel"/>
    <w:tmpl w:val="DF94B4D0"/>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5">
    <w:nsid w:val="250A26B1"/>
    <w:multiLevelType w:val="multilevel"/>
    <w:tmpl w:val="1070FBD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6">
    <w:nsid w:val="2BD012A7"/>
    <w:multiLevelType w:val="multilevel"/>
    <w:tmpl w:val="A8A0932A"/>
    <w:lvl w:ilvl="0">
      <w:start w:val="1"/>
      <w:numFmt w:val="bullet"/>
      <w:lvlText w:val=""/>
      <w:lvlJc w:val="left"/>
      <w:pPr>
        <w:tabs>
          <w:tab w:val="num" w:pos="1068"/>
        </w:tabs>
        <w:ind w:left="1068" w:hanging="360"/>
      </w:pPr>
      <w:rPr>
        <w:rFonts w:ascii="Symbol" w:hAnsi="Symbol" w:hint="default"/>
      </w:rPr>
    </w:lvl>
    <w:lvl w:ilvl="1" w:tentative="1">
      <w:start w:val="1"/>
      <w:numFmt w:val="bullet"/>
      <w:lvlText w:val="o"/>
      <w:lvlJc w:val="left"/>
      <w:pPr>
        <w:tabs>
          <w:tab w:val="num" w:pos="1788"/>
        </w:tabs>
        <w:ind w:left="1788" w:hanging="360"/>
      </w:pPr>
      <w:rPr>
        <w:rFonts w:ascii="Courier New" w:hAnsi="Courier New" w:hint="default"/>
      </w:rPr>
    </w:lvl>
    <w:lvl w:ilvl="2" w:tentative="1">
      <w:start w:val="1"/>
      <w:numFmt w:val="bullet"/>
      <w:lvlText w:val=""/>
      <w:lvlJc w:val="left"/>
      <w:pPr>
        <w:tabs>
          <w:tab w:val="num" w:pos="2508"/>
        </w:tabs>
        <w:ind w:left="2508" w:hanging="360"/>
      </w:pPr>
      <w:rPr>
        <w:rFonts w:ascii="Wingdings" w:hAnsi="Wingdings" w:hint="default"/>
      </w:rPr>
    </w:lvl>
    <w:lvl w:ilvl="3" w:tentative="1">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47">
    <w:nsid w:val="2C085A89"/>
    <w:multiLevelType w:val="multilevel"/>
    <w:tmpl w:val="2154ED60"/>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8">
    <w:nsid w:val="2D2926C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9">
    <w:nsid w:val="2D333D16"/>
    <w:multiLevelType w:val="multilevel"/>
    <w:tmpl w:val="E09ED2F6"/>
    <w:lvl w:ilvl="0">
      <w:start w:val="24"/>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0">
    <w:nsid w:val="2D3B5A39"/>
    <w:multiLevelType w:val="singleLevel"/>
    <w:tmpl w:val="F254111A"/>
    <w:lvl w:ilvl="0">
      <w:start w:val="1"/>
      <w:numFmt w:val="lowerLetter"/>
      <w:lvlText w:val="%1)"/>
      <w:lvlJc w:val="left"/>
      <w:pPr>
        <w:tabs>
          <w:tab w:val="num" w:pos="390"/>
        </w:tabs>
        <w:ind w:left="390" w:hanging="390"/>
      </w:pPr>
    </w:lvl>
  </w:abstractNum>
  <w:abstractNum w:abstractNumId="51">
    <w:nsid w:val="2EA76F8D"/>
    <w:multiLevelType w:val="multilevel"/>
    <w:tmpl w:val="9670B5D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2">
    <w:nsid w:val="2EC45D6C"/>
    <w:multiLevelType w:val="multilevel"/>
    <w:tmpl w:val="862844BA"/>
    <w:lvl w:ilvl="0">
      <w:start w:val="19"/>
      <w:numFmt w:val="decimal"/>
      <w:lvlText w:val="%1."/>
      <w:lvlJc w:val="left"/>
      <w:pPr>
        <w:tabs>
          <w:tab w:val="num" w:pos="930"/>
        </w:tabs>
        <w:ind w:left="930" w:hanging="57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3">
    <w:nsid w:val="2F21463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4">
    <w:nsid w:val="303E04D3"/>
    <w:multiLevelType w:val="singleLevel"/>
    <w:tmpl w:val="E58A6E92"/>
    <w:lvl w:ilvl="0">
      <w:start w:val="23"/>
      <w:numFmt w:val="decimal"/>
      <w:lvlRestart w:val="0"/>
      <w:lvlText w:val="%1."/>
      <w:lvlJc w:val="left"/>
      <w:pPr>
        <w:tabs>
          <w:tab w:val="num" w:pos="1742"/>
        </w:tabs>
        <w:ind w:left="1267" w:firstLine="0"/>
      </w:pPr>
      <w:rPr>
        <w:spacing w:val="0"/>
        <w:w w:val="100"/>
      </w:rPr>
    </w:lvl>
  </w:abstractNum>
  <w:abstractNum w:abstractNumId="55">
    <w:nsid w:val="30CB214D"/>
    <w:multiLevelType w:val="multilevel"/>
    <w:tmpl w:val="8904C878"/>
    <w:lvl w:ilvl="0">
      <w:start w:val="1"/>
      <w:numFmt w:val="bullet"/>
      <w:lvlText w:val=""/>
      <w:lvlJc w:val="left"/>
      <w:pPr>
        <w:tabs>
          <w:tab w:val="num" w:pos="946"/>
        </w:tabs>
        <w:ind w:left="946" w:hanging="360"/>
      </w:pPr>
      <w:rPr>
        <w:rFonts w:ascii="Wingdings" w:hAnsi="Wingdings" w:hint="default"/>
        <w:b w:val="0"/>
        <w:i w:val="0"/>
        <w:sz w:val="20"/>
      </w:rPr>
    </w:lvl>
    <w:lvl w:ilvl="1" w:tentative="1">
      <w:start w:val="1"/>
      <w:numFmt w:val="bullet"/>
      <w:lvlText w:val="o"/>
      <w:lvlJc w:val="left"/>
      <w:pPr>
        <w:tabs>
          <w:tab w:val="num" w:pos="1913"/>
        </w:tabs>
        <w:ind w:left="1913" w:hanging="360"/>
      </w:pPr>
      <w:rPr>
        <w:rFonts w:ascii="Courier New" w:hAnsi="Courier New" w:hint="default"/>
      </w:rPr>
    </w:lvl>
    <w:lvl w:ilvl="2" w:tentative="1">
      <w:start w:val="1"/>
      <w:numFmt w:val="bullet"/>
      <w:lvlText w:val=""/>
      <w:lvlJc w:val="left"/>
      <w:pPr>
        <w:tabs>
          <w:tab w:val="num" w:pos="2633"/>
        </w:tabs>
        <w:ind w:left="2633" w:hanging="360"/>
      </w:pPr>
      <w:rPr>
        <w:rFonts w:ascii="Wingdings" w:hAnsi="Wingdings" w:hint="default"/>
      </w:rPr>
    </w:lvl>
    <w:lvl w:ilvl="3" w:tentative="1">
      <w:start w:val="1"/>
      <w:numFmt w:val="bullet"/>
      <w:lvlText w:val=""/>
      <w:lvlJc w:val="left"/>
      <w:pPr>
        <w:tabs>
          <w:tab w:val="num" w:pos="3353"/>
        </w:tabs>
        <w:ind w:left="3353" w:hanging="360"/>
      </w:pPr>
      <w:rPr>
        <w:rFonts w:ascii="Symbol" w:hAnsi="Symbol" w:hint="default"/>
      </w:rPr>
    </w:lvl>
    <w:lvl w:ilvl="4" w:tentative="1">
      <w:start w:val="1"/>
      <w:numFmt w:val="bullet"/>
      <w:lvlText w:val="o"/>
      <w:lvlJc w:val="left"/>
      <w:pPr>
        <w:tabs>
          <w:tab w:val="num" w:pos="4073"/>
        </w:tabs>
        <w:ind w:left="4073" w:hanging="360"/>
      </w:pPr>
      <w:rPr>
        <w:rFonts w:ascii="Courier New" w:hAnsi="Courier New" w:hint="default"/>
      </w:rPr>
    </w:lvl>
    <w:lvl w:ilvl="5" w:tentative="1">
      <w:start w:val="1"/>
      <w:numFmt w:val="bullet"/>
      <w:lvlText w:val=""/>
      <w:lvlJc w:val="left"/>
      <w:pPr>
        <w:tabs>
          <w:tab w:val="num" w:pos="4793"/>
        </w:tabs>
        <w:ind w:left="4793" w:hanging="360"/>
      </w:pPr>
      <w:rPr>
        <w:rFonts w:ascii="Wingdings" w:hAnsi="Wingdings" w:hint="default"/>
      </w:rPr>
    </w:lvl>
    <w:lvl w:ilvl="6" w:tentative="1">
      <w:start w:val="1"/>
      <w:numFmt w:val="bullet"/>
      <w:lvlText w:val=""/>
      <w:lvlJc w:val="left"/>
      <w:pPr>
        <w:tabs>
          <w:tab w:val="num" w:pos="5513"/>
        </w:tabs>
        <w:ind w:left="5513" w:hanging="360"/>
      </w:pPr>
      <w:rPr>
        <w:rFonts w:ascii="Symbol" w:hAnsi="Symbol" w:hint="default"/>
      </w:rPr>
    </w:lvl>
    <w:lvl w:ilvl="7" w:tentative="1">
      <w:start w:val="1"/>
      <w:numFmt w:val="bullet"/>
      <w:lvlText w:val="o"/>
      <w:lvlJc w:val="left"/>
      <w:pPr>
        <w:tabs>
          <w:tab w:val="num" w:pos="6233"/>
        </w:tabs>
        <w:ind w:left="6233" w:hanging="360"/>
      </w:pPr>
      <w:rPr>
        <w:rFonts w:ascii="Courier New" w:hAnsi="Courier New" w:hint="default"/>
      </w:rPr>
    </w:lvl>
    <w:lvl w:ilvl="8" w:tentative="1">
      <w:start w:val="1"/>
      <w:numFmt w:val="bullet"/>
      <w:lvlText w:val=""/>
      <w:lvlJc w:val="left"/>
      <w:pPr>
        <w:tabs>
          <w:tab w:val="num" w:pos="6953"/>
        </w:tabs>
        <w:ind w:left="6953" w:hanging="360"/>
      </w:pPr>
      <w:rPr>
        <w:rFonts w:ascii="Wingdings" w:hAnsi="Wingdings" w:hint="default"/>
      </w:rPr>
    </w:lvl>
  </w:abstractNum>
  <w:abstractNum w:abstractNumId="56">
    <w:nsid w:val="31DD3A2E"/>
    <w:multiLevelType w:val="singleLevel"/>
    <w:tmpl w:val="3788CFB8"/>
    <w:lvl w:ilvl="0">
      <w:start w:val="21"/>
      <w:numFmt w:val="decimal"/>
      <w:lvlRestart w:val="0"/>
      <w:lvlText w:val="%1."/>
      <w:lvlJc w:val="left"/>
      <w:pPr>
        <w:tabs>
          <w:tab w:val="num" w:pos="1742"/>
        </w:tabs>
        <w:ind w:left="1267" w:firstLine="0"/>
      </w:pPr>
      <w:rPr>
        <w:spacing w:val="0"/>
        <w:w w:val="100"/>
      </w:rPr>
    </w:lvl>
  </w:abstractNum>
  <w:abstractNum w:abstractNumId="57">
    <w:nsid w:val="34735BF3"/>
    <w:multiLevelType w:val="singleLevel"/>
    <w:tmpl w:val="3788CFB8"/>
    <w:lvl w:ilvl="0">
      <w:start w:val="21"/>
      <w:numFmt w:val="decimal"/>
      <w:lvlRestart w:val="0"/>
      <w:lvlText w:val="%1."/>
      <w:lvlJc w:val="left"/>
      <w:pPr>
        <w:tabs>
          <w:tab w:val="num" w:pos="1742"/>
        </w:tabs>
        <w:ind w:left="1267" w:firstLine="0"/>
      </w:pPr>
      <w:rPr>
        <w:spacing w:val="0"/>
        <w:w w:val="100"/>
      </w:rPr>
    </w:lvl>
  </w:abstractNum>
  <w:abstractNum w:abstractNumId="58">
    <w:nsid w:val="361448F5"/>
    <w:multiLevelType w:val="singleLevel"/>
    <w:tmpl w:val="A73E8232"/>
    <w:lvl w:ilvl="0">
      <w:start w:val="35"/>
      <w:numFmt w:val="decimal"/>
      <w:lvlText w:val="%1."/>
      <w:lvlJc w:val="left"/>
      <w:pPr>
        <w:tabs>
          <w:tab w:val="num" w:pos="360"/>
        </w:tabs>
        <w:ind w:left="360" w:hanging="360"/>
      </w:pPr>
    </w:lvl>
  </w:abstractNum>
  <w:abstractNum w:abstractNumId="59">
    <w:nsid w:val="362F7487"/>
    <w:multiLevelType w:val="singleLevel"/>
    <w:tmpl w:val="F0440C2A"/>
    <w:lvl w:ilvl="0">
      <w:start w:val="1"/>
      <w:numFmt w:val="decimal"/>
      <w:lvlText w:val="%1."/>
      <w:lvlJc w:val="left"/>
      <w:pPr>
        <w:tabs>
          <w:tab w:val="num" w:pos="397"/>
        </w:tabs>
        <w:ind w:left="397" w:hanging="397"/>
      </w:pPr>
      <w:rPr>
        <w:color w:val="000000"/>
      </w:rPr>
    </w:lvl>
  </w:abstractNum>
  <w:abstractNum w:abstractNumId="60">
    <w:nsid w:val="363C4C82"/>
    <w:multiLevelType w:val="multilevel"/>
    <w:tmpl w:val="E63E8126"/>
    <w:lvl w:ilvl="0">
      <w:start w:val="204"/>
      <w:numFmt w:val="decimal"/>
      <w:lvlText w:val="%1."/>
      <w:lvlJc w:val="left"/>
      <w:pPr>
        <w:tabs>
          <w:tab w:val="num" w:pos="1173"/>
        </w:tabs>
        <w:ind w:left="1173" w:hanging="465"/>
      </w:pPr>
      <w:rPr>
        <w:rFonts w:hint="default"/>
      </w:rPr>
    </w:lvl>
    <w:lvl w:ilvl="1" w:tentative="1">
      <w:start w:val="1"/>
      <w:numFmt w:val="lowerLetter"/>
      <w:lvlText w:val="%2."/>
      <w:lvlJc w:val="left"/>
      <w:pPr>
        <w:tabs>
          <w:tab w:val="num" w:pos="1788"/>
        </w:tabs>
        <w:ind w:left="1788" w:hanging="360"/>
      </w:pPr>
    </w:lvl>
    <w:lvl w:ilvl="2" w:tentative="1">
      <w:start w:val="1"/>
      <w:numFmt w:val="lowerRoman"/>
      <w:lvlText w:val="%3."/>
      <w:lvlJc w:val="right"/>
      <w:pPr>
        <w:tabs>
          <w:tab w:val="num" w:pos="2508"/>
        </w:tabs>
        <w:ind w:left="2508" w:hanging="180"/>
      </w:pPr>
    </w:lvl>
    <w:lvl w:ilvl="3" w:tentative="1">
      <w:start w:val="1"/>
      <w:numFmt w:val="decimal"/>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Roman"/>
      <w:lvlText w:val="%6."/>
      <w:lvlJc w:val="right"/>
      <w:pPr>
        <w:tabs>
          <w:tab w:val="num" w:pos="4668"/>
        </w:tabs>
        <w:ind w:left="4668" w:hanging="180"/>
      </w:pPr>
    </w:lvl>
    <w:lvl w:ilvl="6" w:tentative="1">
      <w:start w:val="1"/>
      <w:numFmt w:val="decimal"/>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Roman"/>
      <w:lvlText w:val="%9."/>
      <w:lvlJc w:val="right"/>
      <w:pPr>
        <w:tabs>
          <w:tab w:val="num" w:pos="6828"/>
        </w:tabs>
        <w:ind w:left="6828" w:hanging="180"/>
      </w:pPr>
    </w:lvl>
  </w:abstractNum>
  <w:abstractNum w:abstractNumId="61">
    <w:nsid w:val="36B27A7B"/>
    <w:multiLevelType w:val="singleLevel"/>
    <w:tmpl w:val="0C0A0017"/>
    <w:lvl w:ilvl="0">
      <w:start w:val="1"/>
      <w:numFmt w:val="lowerLetter"/>
      <w:lvlText w:val="%1)"/>
      <w:lvlJc w:val="left"/>
      <w:pPr>
        <w:tabs>
          <w:tab w:val="num" w:pos="360"/>
        </w:tabs>
        <w:ind w:left="360" w:hanging="360"/>
      </w:pPr>
    </w:lvl>
  </w:abstractNum>
  <w:abstractNum w:abstractNumId="62">
    <w:nsid w:val="36FE66A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3">
    <w:nsid w:val="38777E5C"/>
    <w:multiLevelType w:val="multilevel"/>
    <w:tmpl w:val="DF30ECDC"/>
    <w:lvl w:ilvl="0">
      <w:start w:val="1"/>
      <w:numFmt w:val="bullet"/>
      <w:lvlText w:val=""/>
      <w:lvlJc w:val="left"/>
      <w:pPr>
        <w:tabs>
          <w:tab w:val="num" w:pos="1068"/>
        </w:tabs>
        <w:ind w:left="1068" w:hanging="360"/>
      </w:pPr>
      <w:rPr>
        <w:rFonts w:ascii="Symbol" w:hAnsi="Symbol" w:hint="default"/>
      </w:rPr>
    </w:lvl>
    <w:lvl w:ilvl="1" w:tentative="1">
      <w:start w:val="1"/>
      <w:numFmt w:val="bullet"/>
      <w:lvlText w:val="o"/>
      <w:lvlJc w:val="left"/>
      <w:pPr>
        <w:tabs>
          <w:tab w:val="num" w:pos="1788"/>
        </w:tabs>
        <w:ind w:left="1788" w:hanging="360"/>
      </w:pPr>
      <w:rPr>
        <w:rFonts w:ascii="Courier New" w:hAnsi="Courier New" w:hint="default"/>
      </w:rPr>
    </w:lvl>
    <w:lvl w:ilvl="2" w:tentative="1">
      <w:start w:val="1"/>
      <w:numFmt w:val="bullet"/>
      <w:lvlText w:val=""/>
      <w:lvlJc w:val="left"/>
      <w:pPr>
        <w:tabs>
          <w:tab w:val="num" w:pos="2508"/>
        </w:tabs>
        <w:ind w:left="2508" w:hanging="360"/>
      </w:pPr>
      <w:rPr>
        <w:rFonts w:ascii="Wingdings" w:hAnsi="Wingdings" w:hint="default"/>
      </w:rPr>
    </w:lvl>
    <w:lvl w:ilvl="3" w:tentative="1">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64">
    <w:nsid w:val="38F72930"/>
    <w:multiLevelType w:val="singleLevel"/>
    <w:tmpl w:val="3788CFB8"/>
    <w:lvl w:ilvl="0">
      <w:start w:val="21"/>
      <w:numFmt w:val="decimal"/>
      <w:lvlRestart w:val="0"/>
      <w:lvlText w:val="%1."/>
      <w:lvlJc w:val="left"/>
      <w:pPr>
        <w:tabs>
          <w:tab w:val="num" w:pos="1742"/>
        </w:tabs>
        <w:ind w:left="1267" w:firstLine="0"/>
      </w:pPr>
      <w:rPr>
        <w:spacing w:val="0"/>
        <w:w w:val="100"/>
      </w:rPr>
    </w:lvl>
  </w:abstractNum>
  <w:abstractNum w:abstractNumId="65">
    <w:nsid w:val="396A5AED"/>
    <w:multiLevelType w:val="singleLevel"/>
    <w:tmpl w:val="3788CFB8"/>
    <w:lvl w:ilvl="0">
      <w:start w:val="21"/>
      <w:numFmt w:val="decimal"/>
      <w:lvlRestart w:val="0"/>
      <w:lvlText w:val="%1."/>
      <w:lvlJc w:val="left"/>
      <w:pPr>
        <w:tabs>
          <w:tab w:val="num" w:pos="1742"/>
        </w:tabs>
        <w:ind w:left="1267" w:firstLine="0"/>
      </w:pPr>
      <w:rPr>
        <w:spacing w:val="0"/>
        <w:w w:val="100"/>
      </w:rPr>
    </w:lvl>
  </w:abstractNum>
  <w:abstractNum w:abstractNumId="66">
    <w:nsid w:val="39FB23AC"/>
    <w:multiLevelType w:val="multilevel"/>
    <w:tmpl w:val="7F4A96EA"/>
    <w:lvl w:ilvl="0">
      <w:start w:val="1"/>
      <w:numFmt w:val="bullet"/>
      <w:lvlText w:val=""/>
      <w:lvlJc w:val="left"/>
      <w:pPr>
        <w:tabs>
          <w:tab w:val="num" w:pos="1068"/>
        </w:tabs>
        <w:ind w:left="1068" w:hanging="360"/>
      </w:pPr>
      <w:rPr>
        <w:rFonts w:ascii="Symbol" w:hAnsi="Symbol" w:hint="default"/>
      </w:rPr>
    </w:lvl>
    <w:lvl w:ilvl="1">
      <w:start w:val="1"/>
      <w:numFmt w:val="bullet"/>
      <w:lvlText w:val="o"/>
      <w:lvlJc w:val="left"/>
      <w:pPr>
        <w:tabs>
          <w:tab w:val="num" w:pos="1788"/>
        </w:tabs>
        <w:ind w:left="1788" w:hanging="360"/>
      </w:pPr>
      <w:rPr>
        <w:rFonts w:ascii="Courier New" w:hAnsi="Courier New" w:hint="default"/>
      </w:rPr>
    </w:lvl>
    <w:lvl w:ilvl="2" w:tentative="1">
      <w:start w:val="1"/>
      <w:numFmt w:val="bullet"/>
      <w:lvlText w:val=""/>
      <w:lvlJc w:val="left"/>
      <w:pPr>
        <w:tabs>
          <w:tab w:val="num" w:pos="2508"/>
        </w:tabs>
        <w:ind w:left="2508" w:hanging="360"/>
      </w:pPr>
      <w:rPr>
        <w:rFonts w:ascii="Wingdings" w:hAnsi="Wingdings" w:hint="default"/>
      </w:rPr>
    </w:lvl>
    <w:lvl w:ilvl="3" w:tentative="1">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67">
    <w:nsid w:val="3A9D4F2A"/>
    <w:multiLevelType w:val="singleLevel"/>
    <w:tmpl w:val="0C0A0017"/>
    <w:lvl w:ilvl="0">
      <w:start w:val="1"/>
      <w:numFmt w:val="lowerLetter"/>
      <w:lvlText w:val="%1)"/>
      <w:lvlJc w:val="left"/>
      <w:pPr>
        <w:tabs>
          <w:tab w:val="num" w:pos="360"/>
        </w:tabs>
        <w:ind w:left="360" w:hanging="360"/>
      </w:pPr>
    </w:lvl>
  </w:abstractNum>
  <w:abstractNum w:abstractNumId="68">
    <w:nsid w:val="3BDB7111"/>
    <w:multiLevelType w:val="multilevel"/>
    <w:tmpl w:val="BBCE4E6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9">
    <w:nsid w:val="3C0F49AA"/>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0">
    <w:nsid w:val="3C9903FC"/>
    <w:multiLevelType w:val="multilevel"/>
    <w:tmpl w:val="A1387114"/>
    <w:lvl w:ilvl="0">
      <w:start w:val="58"/>
      <w:numFmt w:val="decimal"/>
      <w:lvlText w:val="%1."/>
      <w:lvlJc w:val="left"/>
      <w:pPr>
        <w:tabs>
          <w:tab w:val="num" w:pos="717"/>
        </w:tabs>
        <w:ind w:left="717" w:hanging="360"/>
      </w:pPr>
      <w:rPr>
        <w:rFonts w:hint="default"/>
      </w:rPr>
    </w:lvl>
    <w:lvl w:ilvl="1" w:tentative="1">
      <w:start w:val="1"/>
      <w:numFmt w:val="lowerLetter"/>
      <w:lvlText w:val="%2."/>
      <w:lvlJc w:val="left"/>
      <w:pPr>
        <w:tabs>
          <w:tab w:val="num" w:pos="1437"/>
        </w:tabs>
        <w:ind w:left="1437" w:hanging="360"/>
      </w:pPr>
    </w:lvl>
    <w:lvl w:ilvl="2" w:tentative="1">
      <w:start w:val="1"/>
      <w:numFmt w:val="lowerRoman"/>
      <w:lvlText w:val="%3."/>
      <w:lvlJc w:val="right"/>
      <w:pPr>
        <w:tabs>
          <w:tab w:val="num" w:pos="2157"/>
        </w:tabs>
        <w:ind w:left="2157" w:hanging="180"/>
      </w:pPr>
    </w:lvl>
    <w:lvl w:ilvl="3" w:tentative="1">
      <w:start w:val="1"/>
      <w:numFmt w:val="decimal"/>
      <w:lvlText w:val="%4."/>
      <w:lvlJc w:val="left"/>
      <w:pPr>
        <w:tabs>
          <w:tab w:val="num" w:pos="2877"/>
        </w:tabs>
        <w:ind w:left="2877" w:hanging="360"/>
      </w:pPr>
    </w:lvl>
    <w:lvl w:ilvl="4" w:tentative="1">
      <w:start w:val="1"/>
      <w:numFmt w:val="lowerLetter"/>
      <w:lvlText w:val="%5."/>
      <w:lvlJc w:val="left"/>
      <w:pPr>
        <w:tabs>
          <w:tab w:val="num" w:pos="3597"/>
        </w:tabs>
        <w:ind w:left="3597" w:hanging="360"/>
      </w:pPr>
    </w:lvl>
    <w:lvl w:ilvl="5" w:tentative="1">
      <w:start w:val="1"/>
      <w:numFmt w:val="lowerRoman"/>
      <w:lvlText w:val="%6."/>
      <w:lvlJc w:val="right"/>
      <w:pPr>
        <w:tabs>
          <w:tab w:val="num" w:pos="4317"/>
        </w:tabs>
        <w:ind w:left="4317" w:hanging="180"/>
      </w:pPr>
    </w:lvl>
    <w:lvl w:ilvl="6" w:tentative="1">
      <w:start w:val="1"/>
      <w:numFmt w:val="decimal"/>
      <w:lvlText w:val="%7."/>
      <w:lvlJc w:val="left"/>
      <w:pPr>
        <w:tabs>
          <w:tab w:val="num" w:pos="5037"/>
        </w:tabs>
        <w:ind w:left="5037" w:hanging="360"/>
      </w:pPr>
    </w:lvl>
    <w:lvl w:ilvl="7" w:tentative="1">
      <w:start w:val="1"/>
      <w:numFmt w:val="lowerLetter"/>
      <w:lvlText w:val="%8."/>
      <w:lvlJc w:val="left"/>
      <w:pPr>
        <w:tabs>
          <w:tab w:val="num" w:pos="5757"/>
        </w:tabs>
        <w:ind w:left="5757" w:hanging="360"/>
      </w:pPr>
    </w:lvl>
    <w:lvl w:ilvl="8" w:tentative="1">
      <w:start w:val="1"/>
      <w:numFmt w:val="lowerRoman"/>
      <w:lvlText w:val="%9."/>
      <w:lvlJc w:val="right"/>
      <w:pPr>
        <w:tabs>
          <w:tab w:val="num" w:pos="6477"/>
        </w:tabs>
        <w:ind w:left="6477" w:hanging="180"/>
      </w:pPr>
    </w:lvl>
  </w:abstractNum>
  <w:abstractNum w:abstractNumId="71">
    <w:nsid w:val="3CBB20F6"/>
    <w:multiLevelType w:val="singleLevel"/>
    <w:tmpl w:val="8B9EBAA8"/>
    <w:lvl w:ilvl="0">
      <w:start w:val="42"/>
      <w:numFmt w:val="decimal"/>
      <w:lvlText w:val="%1."/>
      <w:lvlJc w:val="left"/>
      <w:pPr>
        <w:tabs>
          <w:tab w:val="num" w:pos="397"/>
        </w:tabs>
        <w:ind w:left="397" w:hanging="397"/>
      </w:pPr>
      <w:rPr>
        <w:color w:val="000000"/>
        <w:sz w:val="24"/>
      </w:rPr>
    </w:lvl>
  </w:abstractNum>
  <w:abstractNum w:abstractNumId="72">
    <w:nsid w:val="3D564142"/>
    <w:multiLevelType w:val="multilevel"/>
    <w:tmpl w:val="93907D3E"/>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3">
    <w:nsid w:val="3DE774A0"/>
    <w:multiLevelType w:val="multilevel"/>
    <w:tmpl w:val="98128F20"/>
    <w:lvl w:ilvl="0">
      <w:start w:val="188"/>
      <w:numFmt w:val="decimal"/>
      <w:lvlText w:val="%1."/>
      <w:lvlJc w:val="left"/>
      <w:pPr>
        <w:tabs>
          <w:tab w:val="num" w:pos="825"/>
        </w:tabs>
        <w:ind w:left="825" w:hanging="46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4">
    <w:nsid w:val="3DF06F8B"/>
    <w:multiLevelType w:val="singleLevel"/>
    <w:tmpl w:val="E6F62478"/>
    <w:lvl w:ilvl="0">
      <w:start w:val="24"/>
      <w:numFmt w:val="decimal"/>
      <w:lvlText w:val="%1."/>
      <w:lvlJc w:val="left"/>
      <w:pPr>
        <w:tabs>
          <w:tab w:val="num" w:pos="360"/>
        </w:tabs>
        <w:ind w:left="360" w:hanging="360"/>
      </w:pPr>
    </w:lvl>
  </w:abstractNum>
  <w:abstractNum w:abstractNumId="75">
    <w:nsid w:val="3E73051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6">
    <w:nsid w:val="3EBE3486"/>
    <w:multiLevelType w:val="multilevel"/>
    <w:tmpl w:val="6D8A9F88"/>
    <w:lvl w:ilvl="0">
      <w:start w:val="1"/>
      <w:numFmt w:val="bullet"/>
      <w:lvlText w:val=""/>
      <w:lvlJc w:val="left"/>
      <w:pPr>
        <w:tabs>
          <w:tab w:val="num" w:pos="1071"/>
        </w:tabs>
        <w:ind w:left="1071" w:hanging="360"/>
      </w:pPr>
      <w:rPr>
        <w:rFonts w:ascii="Symbol" w:hAnsi="Symbol" w:hint="default"/>
      </w:rPr>
    </w:lvl>
    <w:lvl w:ilvl="1">
      <w:start w:val="1"/>
      <w:numFmt w:val="decimal"/>
      <w:lvlText w:val="%2."/>
      <w:lvlJc w:val="left"/>
      <w:pPr>
        <w:tabs>
          <w:tab w:val="num" w:pos="1791"/>
        </w:tabs>
        <w:ind w:left="1791" w:hanging="360"/>
      </w:pPr>
    </w:lvl>
    <w:lvl w:ilvl="2">
      <w:start w:val="1"/>
      <w:numFmt w:val="decimal"/>
      <w:lvlText w:val="%3."/>
      <w:lvlJc w:val="left"/>
      <w:pPr>
        <w:tabs>
          <w:tab w:val="num" w:pos="2511"/>
        </w:tabs>
        <w:ind w:left="2511" w:hanging="360"/>
      </w:pPr>
    </w:lvl>
    <w:lvl w:ilvl="3">
      <w:start w:val="1"/>
      <w:numFmt w:val="decimal"/>
      <w:lvlText w:val="%4."/>
      <w:lvlJc w:val="left"/>
      <w:pPr>
        <w:tabs>
          <w:tab w:val="num" w:pos="3231"/>
        </w:tabs>
        <w:ind w:left="3231" w:hanging="360"/>
      </w:pPr>
    </w:lvl>
    <w:lvl w:ilvl="4">
      <w:start w:val="1"/>
      <w:numFmt w:val="decimal"/>
      <w:lvlText w:val="%5."/>
      <w:lvlJc w:val="left"/>
      <w:pPr>
        <w:tabs>
          <w:tab w:val="num" w:pos="3951"/>
        </w:tabs>
        <w:ind w:left="3951" w:hanging="360"/>
      </w:pPr>
    </w:lvl>
    <w:lvl w:ilvl="5">
      <w:start w:val="1"/>
      <w:numFmt w:val="decimal"/>
      <w:lvlText w:val="%6."/>
      <w:lvlJc w:val="left"/>
      <w:pPr>
        <w:tabs>
          <w:tab w:val="num" w:pos="4671"/>
        </w:tabs>
        <w:ind w:left="4671" w:hanging="360"/>
      </w:pPr>
    </w:lvl>
    <w:lvl w:ilvl="6">
      <w:start w:val="1"/>
      <w:numFmt w:val="decimal"/>
      <w:lvlText w:val="%7."/>
      <w:lvlJc w:val="left"/>
      <w:pPr>
        <w:tabs>
          <w:tab w:val="num" w:pos="5391"/>
        </w:tabs>
        <w:ind w:left="5391" w:hanging="360"/>
      </w:pPr>
    </w:lvl>
    <w:lvl w:ilvl="7">
      <w:start w:val="1"/>
      <w:numFmt w:val="decimal"/>
      <w:lvlText w:val="%8."/>
      <w:lvlJc w:val="left"/>
      <w:pPr>
        <w:tabs>
          <w:tab w:val="num" w:pos="6111"/>
        </w:tabs>
        <w:ind w:left="6111" w:hanging="360"/>
      </w:pPr>
    </w:lvl>
    <w:lvl w:ilvl="8">
      <w:start w:val="1"/>
      <w:numFmt w:val="decimal"/>
      <w:lvlText w:val="%9."/>
      <w:lvlJc w:val="left"/>
      <w:pPr>
        <w:tabs>
          <w:tab w:val="num" w:pos="6831"/>
        </w:tabs>
        <w:ind w:left="6831" w:hanging="360"/>
      </w:pPr>
    </w:lvl>
  </w:abstractNum>
  <w:abstractNum w:abstractNumId="77">
    <w:nsid w:val="3F781686"/>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8">
    <w:nsid w:val="3FA26312"/>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79">
    <w:nsid w:val="417B3CD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0">
    <w:nsid w:val="41CD15AC"/>
    <w:multiLevelType w:val="multilevel"/>
    <w:tmpl w:val="1F2642BE"/>
    <w:lvl w:ilvl="0">
      <w:start w:val="1"/>
      <w:numFmt w:val="bullet"/>
      <w:lvlText w:val=""/>
      <w:lvlJc w:val="left"/>
      <w:pPr>
        <w:tabs>
          <w:tab w:val="num" w:pos="780"/>
        </w:tabs>
        <w:ind w:left="780" w:hanging="360"/>
      </w:pPr>
      <w:rPr>
        <w:rFonts w:ascii="Symbol" w:hAnsi="Symbol" w:hint="default"/>
      </w:rPr>
    </w:lvl>
    <w:lvl w:ilvl="1">
      <w:start w:val="1"/>
      <w:numFmt w:val="bullet"/>
      <w:lvlText w:val="o"/>
      <w:lvlJc w:val="left"/>
      <w:pPr>
        <w:tabs>
          <w:tab w:val="num" w:pos="1500"/>
        </w:tabs>
        <w:ind w:left="1500" w:hanging="360"/>
      </w:pPr>
      <w:rPr>
        <w:rFonts w:ascii="Courier New" w:hAnsi="Courier New" w:hint="default"/>
      </w:rPr>
    </w:lvl>
    <w:lvl w:ilvl="2" w:tentative="1">
      <w:start w:val="1"/>
      <w:numFmt w:val="bullet"/>
      <w:lvlText w:val=""/>
      <w:lvlJc w:val="left"/>
      <w:pPr>
        <w:tabs>
          <w:tab w:val="num" w:pos="2220"/>
        </w:tabs>
        <w:ind w:left="2220" w:hanging="360"/>
      </w:pPr>
      <w:rPr>
        <w:rFonts w:ascii="Wingdings" w:hAnsi="Wingdings" w:hint="default"/>
      </w:rPr>
    </w:lvl>
    <w:lvl w:ilvl="3" w:tentative="1">
      <w:start w:val="1"/>
      <w:numFmt w:val="bullet"/>
      <w:lvlText w:val=""/>
      <w:lvlJc w:val="left"/>
      <w:pPr>
        <w:tabs>
          <w:tab w:val="num" w:pos="2940"/>
        </w:tabs>
        <w:ind w:left="2940" w:hanging="360"/>
      </w:pPr>
      <w:rPr>
        <w:rFonts w:ascii="Symbol" w:hAnsi="Symbol" w:hint="default"/>
      </w:rPr>
    </w:lvl>
    <w:lvl w:ilvl="4" w:tentative="1">
      <w:start w:val="1"/>
      <w:numFmt w:val="bullet"/>
      <w:lvlText w:val="o"/>
      <w:lvlJc w:val="left"/>
      <w:pPr>
        <w:tabs>
          <w:tab w:val="num" w:pos="3660"/>
        </w:tabs>
        <w:ind w:left="3660" w:hanging="360"/>
      </w:pPr>
      <w:rPr>
        <w:rFonts w:ascii="Courier New" w:hAnsi="Courier New" w:hint="default"/>
      </w:rPr>
    </w:lvl>
    <w:lvl w:ilvl="5" w:tentative="1">
      <w:start w:val="1"/>
      <w:numFmt w:val="bullet"/>
      <w:lvlText w:val=""/>
      <w:lvlJc w:val="left"/>
      <w:pPr>
        <w:tabs>
          <w:tab w:val="num" w:pos="4380"/>
        </w:tabs>
        <w:ind w:left="4380" w:hanging="360"/>
      </w:pPr>
      <w:rPr>
        <w:rFonts w:ascii="Wingdings" w:hAnsi="Wingdings" w:hint="default"/>
      </w:rPr>
    </w:lvl>
    <w:lvl w:ilvl="6" w:tentative="1">
      <w:start w:val="1"/>
      <w:numFmt w:val="bullet"/>
      <w:lvlText w:val=""/>
      <w:lvlJc w:val="left"/>
      <w:pPr>
        <w:tabs>
          <w:tab w:val="num" w:pos="5100"/>
        </w:tabs>
        <w:ind w:left="5100" w:hanging="360"/>
      </w:pPr>
      <w:rPr>
        <w:rFonts w:ascii="Symbol" w:hAnsi="Symbol" w:hint="default"/>
      </w:rPr>
    </w:lvl>
    <w:lvl w:ilvl="7" w:tentative="1">
      <w:start w:val="1"/>
      <w:numFmt w:val="bullet"/>
      <w:lvlText w:val="o"/>
      <w:lvlJc w:val="left"/>
      <w:pPr>
        <w:tabs>
          <w:tab w:val="num" w:pos="5820"/>
        </w:tabs>
        <w:ind w:left="5820" w:hanging="360"/>
      </w:pPr>
      <w:rPr>
        <w:rFonts w:ascii="Courier New" w:hAnsi="Courier New" w:hint="default"/>
      </w:rPr>
    </w:lvl>
    <w:lvl w:ilvl="8" w:tentative="1">
      <w:start w:val="1"/>
      <w:numFmt w:val="bullet"/>
      <w:lvlText w:val=""/>
      <w:lvlJc w:val="left"/>
      <w:pPr>
        <w:tabs>
          <w:tab w:val="num" w:pos="6540"/>
        </w:tabs>
        <w:ind w:left="6540" w:hanging="360"/>
      </w:pPr>
      <w:rPr>
        <w:rFonts w:ascii="Wingdings" w:hAnsi="Wingdings" w:hint="default"/>
      </w:rPr>
    </w:lvl>
  </w:abstractNum>
  <w:abstractNum w:abstractNumId="81">
    <w:nsid w:val="436E1712"/>
    <w:multiLevelType w:val="singleLevel"/>
    <w:tmpl w:val="0C0A000F"/>
    <w:lvl w:ilvl="0">
      <w:start w:val="1"/>
      <w:numFmt w:val="decimal"/>
      <w:lvlText w:val="%1."/>
      <w:lvlJc w:val="left"/>
      <w:pPr>
        <w:tabs>
          <w:tab w:val="num" w:pos="360"/>
        </w:tabs>
        <w:ind w:left="360" w:hanging="360"/>
      </w:pPr>
    </w:lvl>
  </w:abstractNum>
  <w:abstractNum w:abstractNumId="82">
    <w:nsid w:val="43972841"/>
    <w:multiLevelType w:val="multilevel"/>
    <w:tmpl w:val="A98ABCEA"/>
    <w:lvl w:ilvl="0">
      <w:start w:val="48"/>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3">
    <w:nsid w:val="448E4858"/>
    <w:multiLevelType w:val="multilevel"/>
    <w:tmpl w:val="57DADAEC"/>
    <w:lvl w:ilvl="0">
      <w:start w:val="4"/>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4">
    <w:nsid w:val="45871215"/>
    <w:multiLevelType w:val="singleLevel"/>
    <w:tmpl w:val="0C0A000F"/>
    <w:lvl w:ilvl="0">
      <w:start w:val="1"/>
      <w:numFmt w:val="decimal"/>
      <w:lvlText w:val="%1."/>
      <w:lvlJc w:val="left"/>
      <w:pPr>
        <w:tabs>
          <w:tab w:val="num" w:pos="360"/>
        </w:tabs>
        <w:ind w:left="360" w:hanging="360"/>
      </w:pPr>
    </w:lvl>
  </w:abstractNum>
  <w:abstractNum w:abstractNumId="85">
    <w:nsid w:val="45C5609C"/>
    <w:multiLevelType w:val="singleLevel"/>
    <w:tmpl w:val="3788CFB8"/>
    <w:lvl w:ilvl="0">
      <w:start w:val="21"/>
      <w:numFmt w:val="decimal"/>
      <w:lvlRestart w:val="0"/>
      <w:lvlText w:val="%1."/>
      <w:lvlJc w:val="left"/>
      <w:pPr>
        <w:tabs>
          <w:tab w:val="num" w:pos="1742"/>
        </w:tabs>
        <w:ind w:left="1267" w:firstLine="0"/>
      </w:pPr>
      <w:rPr>
        <w:spacing w:val="0"/>
        <w:w w:val="100"/>
      </w:rPr>
    </w:lvl>
  </w:abstractNum>
  <w:abstractNum w:abstractNumId="86">
    <w:nsid w:val="464C1A8F"/>
    <w:multiLevelType w:val="multilevel"/>
    <w:tmpl w:val="12602ED6"/>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87">
    <w:nsid w:val="4812232D"/>
    <w:multiLevelType w:val="multilevel"/>
    <w:tmpl w:val="3BA473A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8">
    <w:nsid w:val="485A6CFA"/>
    <w:multiLevelType w:val="multilevel"/>
    <w:tmpl w:val="FAEE32D0"/>
    <w:lvl w:ilvl="0">
      <w:start w:val="19"/>
      <w:numFmt w:val="decimal"/>
      <w:lvlText w:val="%1."/>
      <w:lvlJc w:val="left"/>
      <w:pPr>
        <w:tabs>
          <w:tab w:val="num" w:pos="930"/>
        </w:tabs>
        <w:ind w:left="930" w:hanging="57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9">
    <w:nsid w:val="487445D1"/>
    <w:multiLevelType w:val="multilevel"/>
    <w:tmpl w:val="2ECEEDE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0">
    <w:nsid w:val="4930708E"/>
    <w:multiLevelType w:val="multilevel"/>
    <w:tmpl w:val="9EB6586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1">
    <w:nsid w:val="49352AA1"/>
    <w:multiLevelType w:val="singleLevel"/>
    <w:tmpl w:val="0C0A000F"/>
    <w:lvl w:ilvl="0">
      <w:start w:val="1"/>
      <w:numFmt w:val="decimal"/>
      <w:lvlText w:val="%1."/>
      <w:lvlJc w:val="left"/>
      <w:pPr>
        <w:tabs>
          <w:tab w:val="num" w:pos="360"/>
        </w:tabs>
        <w:ind w:left="360" w:hanging="360"/>
      </w:pPr>
    </w:lvl>
  </w:abstractNum>
  <w:abstractNum w:abstractNumId="92">
    <w:nsid w:val="49B85DE8"/>
    <w:multiLevelType w:val="singleLevel"/>
    <w:tmpl w:val="3788CFB8"/>
    <w:lvl w:ilvl="0">
      <w:start w:val="21"/>
      <w:numFmt w:val="decimal"/>
      <w:lvlRestart w:val="0"/>
      <w:lvlText w:val="%1."/>
      <w:lvlJc w:val="left"/>
      <w:pPr>
        <w:tabs>
          <w:tab w:val="num" w:pos="1742"/>
        </w:tabs>
        <w:ind w:left="1267" w:firstLine="0"/>
      </w:pPr>
      <w:rPr>
        <w:spacing w:val="0"/>
        <w:w w:val="100"/>
      </w:rPr>
    </w:lvl>
  </w:abstractNum>
  <w:abstractNum w:abstractNumId="93">
    <w:nsid w:val="49BD0BC6"/>
    <w:multiLevelType w:val="multilevel"/>
    <w:tmpl w:val="DB32BD94"/>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4">
    <w:nsid w:val="4A0142C7"/>
    <w:multiLevelType w:val="multilevel"/>
    <w:tmpl w:val="C0D42806"/>
    <w:lvl w:ilvl="0">
      <w:start w:val="45"/>
      <w:numFmt w:val="decimal"/>
      <w:lvlText w:val="%1"/>
      <w:lvlJc w:val="left"/>
      <w:pPr>
        <w:tabs>
          <w:tab w:val="num" w:pos="720"/>
        </w:tabs>
        <w:ind w:left="720" w:hanging="360"/>
      </w:pPr>
      <w:rPr>
        <w:rFonts w:hint="default"/>
        <w:b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5">
    <w:nsid w:val="4AD17C37"/>
    <w:multiLevelType w:val="singleLevel"/>
    <w:tmpl w:val="0C0A000F"/>
    <w:lvl w:ilvl="0">
      <w:start w:val="1"/>
      <w:numFmt w:val="decimal"/>
      <w:lvlText w:val="%1."/>
      <w:lvlJc w:val="left"/>
      <w:pPr>
        <w:tabs>
          <w:tab w:val="num" w:pos="360"/>
        </w:tabs>
        <w:ind w:left="360" w:hanging="360"/>
      </w:pPr>
    </w:lvl>
  </w:abstractNum>
  <w:abstractNum w:abstractNumId="96">
    <w:nsid w:val="4AD50BF5"/>
    <w:multiLevelType w:val="multilevel"/>
    <w:tmpl w:val="E47E5A80"/>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7">
    <w:nsid w:val="4C2B657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8">
    <w:nsid w:val="4C547C60"/>
    <w:multiLevelType w:val="multilevel"/>
    <w:tmpl w:val="8544149A"/>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99">
    <w:nsid w:val="4C7A2506"/>
    <w:multiLevelType w:val="multilevel"/>
    <w:tmpl w:val="25C2F508"/>
    <w:lvl w:ilvl="0">
      <w:start w:val="1"/>
      <w:numFmt w:val="decimal"/>
      <w:lvlText w:val="%1."/>
      <w:lvlJc w:val="left"/>
      <w:pPr>
        <w:tabs>
          <w:tab w:val="num" w:pos="927"/>
        </w:tabs>
        <w:ind w:left="907" w:hanging="34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0">
    <w:nsid w:val="4CE64BD1"/>
    <w:multiLevelType w:val="singleLevel"/>
    <w:tmpl w:val="05002E46"/>
    <w:lvl w:ilvl="0">
      <w:start w:val="93"/>
      <w:numFmt w:val="decimal"/>
      <w:lvlText w:val="%1."/>
      <w:lvlJc w:val="left"/>
      <w:pPr>
        <w:tabs>
          <w:tab w:val="num" w:pos="360"/>
        </w:tabs>
        <w:ind w:left="360" w:hanging="360"/>
      </w:pPr>
    </w:lvl>
  </w:abstractNum>
  <w:abstractNum w:abstractNumId="101">
    <w:nsid w:val="4DD10800"/>
    <w:multiLevelType w:val="multilevel"/>
    <w:tmpl w:val="552868DE"/>
    <w:lvl w:ilvl="0">
      <w:start w:val="19"/>
      <w:numFmt w:val="decimal"/>
      <w:lvlText w:val="%1."/>
      <w:lvlJc w:val="left"/>
      <w:pPr>
        <w:tabs>
          <w:tab w:val="num" w:pos="570"/>
        </w:tabs>
        <w:ind w:left="570" w:hanging="570"/>
      </w:pPr>
      <w:rPr>
        <w:rFonts w:hint="default"/>
      </w:rPr>
    </w:lvl>
    <w:lvl w:ilvl="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02">
    <w:nsid w:val="4DF02E6A"/>
    <w:multiLevelType w:val="multilevel"/>
    <w:tmpl w:val="8F624B54"/>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03">
    <w:nsid w:val="4E7A6044"/>
    <w:multiLevelType w:val="singleLevel"/>
    <w:tmpl w:val="6ACA1DDE"/>
    <w:lvl w:ilvl="0">
      <w:start w:val="44"/>
      <w:numFmt w:val="decimal"/>
      <w:lvlText w:val="%1."/>
      <w:lvlJc w:val="left"/>
      <w:pPr>
        <w:tabs>
          <w:tab w:val="num" w:pos="360"/>
        </w:tabs>
        <w:ind w:left="360" w:hanging="360"/>
      </w:pPr>
    </w:lvl>
  </w:abstractNum>
  <w:abstractNum w:abstractNumId="104">
    <w:nsid w:val="4F94295D"/>
    <w:multiLevelType w:val="multilevel"/>
    <w:tmpl w:val="0D1686B8"/>
    <w:lvl w:ilvl="0">
      <w:start w:val="1"/>
      <w:numFmt w:val="decimal"/>
      <w:lvlText w:val="%1."/>
      <w:lvlJc w:val="left"/>
      <w:pPr>
        <w:tabs>
          <w:tab w:val="num" w:pos="720"/>
        </w:tabs>
        <w:ind w:left="720" w:hanging="360"/>
      </w:pPr>
    </w:lvl>
    <w:lvl w:ilvl="1">
      <w:start w:val="10"/>
      <w:numFmt w:val="decimal"/>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5">
    <w:nsid w:val="4FD97B26"/>
    <w:multiLevelType w:val="multilevel"/>
    <w:tmpl w:val="63BA62D6"/>
    <w:lvl w:ilvl="0">
      <w:start w:val="1"/>
      <w:numFmt w:val="decimal"/>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06">
    <w:nsid w:val="52136006"/>
    <w:multiLevelType w:val="singleLevel"/>
    <w:tmpl w:val="44A6FE6A"/>
    <w:lvl w:ilvl="0">
      <w:start w:val="1"/>
      <w:numFmt w:val="lowerLetter"/>
      <w:lvlText w:val="%1)"/>
      <w:lvlJc w:val="left"/>
      <w:pPr>
        <w:tabs>
          <w:tab w:val="num" w:pos="1627"/>
        </w:tabs>
        <w:ind w:left="1627" w:hanging="360"/>
      </w:pPr>
      <w:rPr>
        <w:rFonts w:hint="default"/>
        <w:b/>
      </w:rPr>
    </w:lvl>
  </w:abstractNum>
  <w:abstractNum w:abstractNumId="107">
    <w:nsid w:val="525A0C5A"/>
    <w:multiLevelType w:val="multilevel"/>
    <w:tmpl w:val="04B86EC4"/>
    <w:lvl w:ilvl="0">
      <w:start w:val="1"/>
      <w:numFmt w:val="bullet"/>
      <w:lvlText w:val=""/>
      <w:lvlJc w:val="left"/>
      <w:pPr>
        <w:tabs>
          <w:tab w:val="num" w:pos="1068"/>
        </w:tabs>
        <w:ind w:left="1068" w:hanging="360"/>
      </w:pPr>
      <w:rPr>
        <w:rFonts w:ascii="Symbol" w:hAnsi="Symbol" w:hint="default"/>
      </w:rPr>
    </w:lvl>
    <w:lvl w:ilvl="1" w:tentative="1">
      <w:start w:val="1"/>
      <w:numFmt w:val="bullet"/>
      <w:lvlText w:val="o"/>
      <w:lvlJc w:val="left"/>
      <w:pPr>
        <w:tabs>
          <w:tab w:val="num" w:pos="1788"/>
        </w:tabs>
        <w:ind w:left="1788" w:hanging="360"/>
      </w:pPr>
      <w:rPr>
        <w:rFonts w:ascii="Courier New" w:hAnsi="Courier New" w:hint="default"/>
      </w:rPr>
    </w:lvl>
    <w:lvl w:ilvl="2" w:tentative="1">
      <w:start w:val="1"/>
      <w:numFmt w:val="bullet"/>
      <w:lvlText w:val=""/>
      <w:lvlJc w:val="left"/>
      <w:pPr>
        <w:tabs>
          <w:tab w:val="num" w:pos="2508"/>
        </w:tabs>
        <w:ind w:left="2508" w:hanging="360"/>
      </w:pPr>
      <w:rPr>
        <w:rFonts w:ascii="Wingdings" w:hAnsi="Wingdings" w:hint="default"/>
      </w:rPr>
    </w:lvl>
    <w:lvl w:ilvl="3" w:tentative="1">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108">
    <w:nsid w:val="52C87A31"/>
    <w:multiLevelType w:val="singleLevel"/>
    <w:tmpl w:val="D7E893A2"/>
    <w:lvl w:ilvl="0">
      <w:start w:val="1"/>
      <w:numFmt w:val="lowerLetter"/>
      <w:lvlText w:val="%1)"/>
      <w:lvlJc w:val="left"/>
      <w:pPr>
        <w:tabs>
          <w:tab w:val="num" w:pos="1627"/>
        </w:tabs>
        <w:ind w:left="1627" w:hanging="360"/>
      </w:pPr>
      <w:rPr>
        <w:rFonts w:hint="default"/>
      </w:rPr>
    </w:lvl>
  </w:abstractNum>
  <w:abstractNum w:abstractNumId="109">
    <w:nsid w:val="534A7C54"/>
    <w:multiLevelType w:val="multilevel"/>
    <w:tmpl w:val="D0FA84E4"/>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110">
    <w:nsid w:val="53B516D0"/>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111">
    <w:nsid w:val="59613379"/>
    <w:multiLevelType w:val="singleLevel"/>
    <w:tmpl w:val="556CA126"/>
    <w:lvl w:ilvl="0">
      <w:start w:val="24"/>
      <w:numFmt w:val="decimal"/>
      <w:lvlText w:val="%1."/>
      <w:lvlJc w:val="left"/>
      <w:pPr>
        <w:tabs>
          <w:tab w:val="num" w:pos="360"/>
        </w:tabs>
        <w:ind w:left="360" w:hanging="360"/>
      </w:pPr>
      <w:rPr>
        <w:b w:val="0"/>
        <w:i w:val="0"/>
      </w:rPr>
    </w:lvl>
  </w:abstractNum>
  <w:abstractNum w:abstractNumId="112">
    <w:nsid w:val="599A26B6"/>
    <w:multiLevelType w:val="singleLevel"/>
    <w:tmpl w:val="0C0A0017"/>
    <w:lvl w:ilvl="0">
      <w:start w:val="1"/>
      <w:numFmt w:val="lowerLetter"/>
      <w:lvlText w:val="%1)"/>
      <w:lvlJc w:val="left"/>
      <w:pPr>
        <w:tabs>
          <w:tab w:val="num" w:pos="360"/>
        </w:tabs>
        <w:ind w:left="360" w:hanging="360"/>
      </w:pPr>
    </w:lvl>
  </w:abstractNum>
  <w:abstractNum w:abstractNumId="113">
    <w:nsid w:val="5B267AA8"/>
    <w:multiLevelType w:val="multilevel"/>
    <w:tmpl w:val="81566208"/>
    <w:lvl w:ilvl="0">
      <w:start w:val="1"/>
      <w:numFmt w:val="decimal"/>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14">
    <w:nsid w:val="5B825FA3"/>
    <w:multiLevelType w:val="singleLevel"/>
    <w:tmpl w:val="0C0A000F"/>
    <w:lvl w:ilvl="0">
      <w:start w:val="1"/>
      <w:numFmt w:val="decimal"/>
      <w:lvlText w:val="%1."/>
      <w:lvlJc w:val="left"/>
      <w:pPr>
        <w:tabs>
          <w:tab w:val="num" w:pos="360"/>
        </w:tabs>
        <w:ind w:left="360" w:hanging="360"/>
      </w:pPr>
    </w:lvl>
  </w:abstractNum>
  <w:abstractNum w:abstractNumId="115">
    <w:nsid w:val="5BF91C4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6">
    <w:nsid w:val="5C5E42BE"/>
    <w:multiLevelType w:val="multilevel"/>
    <w:tmpl w:val="5CFEEAFE"/>
    <w:lvl w:ilvl="0">
      <w:start w:val="1"/>
      <w:numFmt w:val="bullet"/>
      <w:lvlText w:val=""/>
      <w:lvlJc w:val="left"/>
      <w:pPr>
        <w:tabs>
          <w:tab w:val="num" w:pos="578"/>
        </w:tabs>
        <w:ind w:left="578" w:hanging="360"/>
      </w:pPr>
      <w:rPr>
        <w:rFonts w:ascii="Symbol" w:hAnsi="Symbol" w:hint="default"/>
      </w:rPr>
    </w:lvl>
    <w:lvl w:ilvl="1">
      <w:start w:val="1"/>
      <w:numFmt w:val="bullet"/>
      <w:lvlText w:val="o"/>
      <w:lvlJc w:val="left"/>
      <w:pPr>
        <w:tabs>
          <w:tab w:val="num" w:pos="1298"/>
        </w:tabs>
        <w:ind w:left="1298" w:hanging="360"/>
      </w:pPr>
      <w:rPr>
        <w:rFonts w:ascii="Courier New" w:hAnsi="Courier New" w:hint="default"/>
      </w:rPr>
    </w:lvl>
    <w:lvl w:ilvl="2" w:tentative="1">
      <w:start w:val="1"/>
      <w:numFmt w:val="bullet"/>
      <w:lvlText w:val=""/>
      <w:lvlJc w:val="left"/>
      <w:pPr>
        <w:tabs>
          <w:tab w:val="num" w:pos="2018"/>
        </w:tabs>
        <w:ind w:left="2018" w:hanging="360"/>
      </w:pPr>
      <w:rPr>
        <w:rFonts w:ascii="Wingdings" w:hAnsi="Wingdings" w:hint="default"/>
      </w:rPr>
    </w:lvl>
    <w:lvl w:ilvl="3" w:tentative="1">
      <w:start w:val="1"/>
      <w:numFmt w:val="bullet"/>
      <w:lvlText w:val=""/>
      <w:lvlJc w:val="left"/>
      <w:pPr>
        <w:tabs>
          <w:tab w:val="num" w:pos="2738"/>
        </w:tabs>
        <w:ind w:left="2738" w:hanging="360"/>
      </w:pPr>
      <w:rPr>
        <w:rFonts w:ascii="Symbol" w:hAnsi="Symbol" w:hint="default"/>
      </w:rPr>
    </w:lvl>
    <w:lvl w:ilvl="4" w:tentative="1">
      <w:start w:val="1"/>
      <w:numFmt w:val="bullet"/>
      <w:lvlText w:val="o"/>
      <w:lvlJc w:val="left"/>
      <w:pPr>
        <w:tabs>
          <w:tab w:val="num" w:pos="3458"/>
        </w:tabs>
        <w:ind w:left="3458" w:hanging="360"/>
      </w:pPr>
      <w:rPr>
        <w:rFonts w:ascii="Courier New" w:hAnsi="Courier New" w:hint="default"/>
      </w:rPr>
    </w:lvl>
    <w:lvl w:ilvl="5" w:tentative="1">
      <w:start w:val="1"/>
      <w:numFmt w:val="bullet"/>
      <w:lvlText w:val=""/>
      <w:lvlJc w:val="left"/>
      <w:pPr>
        <w:tabs>
          <w:tab w:val="num" w:pos="4178"/>
        </w:tabs>
        <w:ind w:left="4178" w:hanging="360"/>
      </w:pPr>
      <w:rPr>
        <w:rFonts w:ascii="Wingdings" w:hAnsi="Wingdings" w:hint="default"/>
      </w:rPr>
    </w:lvl>
    <w:lvl w:ilvl="6" w:tentative="1">
      <w:start w:val="1"/>
      <w:numFmt w:val="bullet"/>
      <w:lvlText w:val=""/>
      <w:lvlJc w:val="left"/>
      <w:pPr>
        <w:tabs>
          <w:tab w:val="num" w:pos="4898"/>
        </w:tabs>
        <w:ind w:left="4898" w:hanging="360"/>
      </w:pPr>
      <w:rPr>
        <w:rFonts w:ascii="Symbol" w:hAnsi="Symbol" w:hint="default"/>
      </w:rPr>
    </w:lvl>
    <w:lvl w:ilvl="7" w:tentative="1">
      <w:start w:val="1"/>
      <w:numFmt w:val="bullet"/>
      <w:lvlText w:val="o"/>
      <w:lvlJc w:val="left"/>
      <w:pPr>
        <w:tabs>
          <w:tab w:val="num" w:pos="5618"/>
        </w:tabs>
        <w:ind w:left="5618" w:hanging="360"/>
      </w:pPr>
      <w:rPr>
        <w:rFonts w:ascii="Courier New" w:hAnsi="Courier New" w:hint="default"/>
      </w:rPr>
    </w:lvl>
    <w:lvl w:ilvl="8" w:tentative="1">
      <w:start w:val="1"/>
      <w:numFmt w:val="bullet"/>
      <w:lvlText w:val=""/>
      <w:lvlJc w:val="left"/>
      <w:pPr>
        <w:tabs>
          <w:tab w:val="num" w:pos="6338"/>
        </w:tabs>
        <w:ind w:left="6338" w:hanging="360"/>
      </w:pPr>
      <w:rPr>
        <w:rFonts w:ascii="Wingdings" w:hAnsi="Wingdings" w:hint="default"/>
      </w:rPr>
    </w:lvl>
  </w:abstractNum>
  <w:abstractNum w:abstractNumId="117">
    <w:nsid w:val="5D91459B"/>
    <w:multiLevelType w:val="multilevel"/>
    <w:tmpl w:val="3FFE715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8">
    <w:nsid w:val="5F005CC1"/>
    <w:multiLevelType w:val="multilevel"/>
    <w:tmpl w:val="540CAA58"/>
    <w:lvl w:ilvl="0">
      <w:start w:val="1"/>
      <w:numFmt w:val="decimal"/>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19">
    <w:nsid w:val="5F0B03B6"/>
    <w:multiLevelType w:val="multilevel"/>
    <w:tmpl w:val="2836EF5A"/>
    <w:lvl w:ilvl="0">
      <w:start w:val="1"/>
      <w:numFmt w:val="bullet"/>
      <w:lvlText w:val=""/>
      <w:lvlJc w:val="left"/>
      <w:pPr>
        <w:tabs>
          <w:tab w:val="num" w:pos="1428"/>
        </w:tabs>
        <w:ind w:left="1428" w:hanging="360"/>
      </w:pPr>
      <w:rPr>
        <w:rFonts w:ascii="Symbol" w:hAnsi="Symbol" w:hint="default"/>
      </w:rPr>
    </w:lvl>
    <w:lvl w:ilvl="1" w:tentative="1">
      <w:start w:val="1"/>
      <w:numFmt w:val="bullet"/>
      <w:lvlText w:val="o"/>
      <w:lvlJc w:val="left"/>
      <w:pPr>
        <w:tabs>
          <w:tab w:val="num" w:pos="2148"/>
        </w:tabs>
        <w:ind w:left="2148" w:hanging="360"/>
      </w:pPr>
      <w:rPr>
        <w:rFonts w:ascii="Courier New" w:hAnsi="Courier New" w:hint="default"/>
      </w:rPr>
    </w:lvl>
    <w:lvl w:ilvl="2" w:tentative="1">
      <w:start w:val="1"/>
      <w:numFmt w:val="bullet"/>
      <w:lvlText w:val=""/>
      <w:lvlJc w:val="left"/>
      <w:pPr>
        <w:tabs>
          <w:tab w:val="num" w:pos="2868"/>
        </w:tabs>
        <w:ind w:left="2868" w:hanging="360"/>
      </w:pPr>
      <w:rPr>
        <w:rFonts w:ascii="Wingdings" w:hAnsi="Wingdings" w:hint="default"/>
      </w:rPr>
    </w:lvl>
    <w:lvl w:ilvl="3" w:tentative="1">
      <w:start w:val="1"/>
      <w:numFmt w:val="bullet"/>
      <w:lvlText w:val=""/>
      <w:lvlJc w:val="left"/>
      <w:pPr>
        <w:tabs>
          <w:tab w:val="num" w:pos="3588"/>
        </w:tabs>
        <w:ind w:left="3588" w:hanging="360"/>
      </w:pPr>
      <w:rPr>
        <w:rFonts w:ascii="Symbol" w:hAnsi="Symbol" w:hint="default"/>
      </w:rPr>
    </w:lvl>
    <w:lvl w:ilvl="4" w:tentative="1">
      <w:start w:val="1"/>
      <w:numFmt w:val="bullet"/>
      <w:lvlText w:val="o"/>
      <w:lvlJc w:val="left"/>
      <w:pPr>
        <w:tabs>
          <w:tab w:val="num" w:pos="4308"/>
        </w:tabs>
        <w:ind w:left="4308" w:hanging="360"/>
      </w:pPr>
      <w:rPr>
        <w:rFonts w:ascii="Courier New" w:hAnsi="Courier New" w:hint="default"/>
      </w:rPr>
    </w:lvl>
    <w:lvl w:ilvl="5" w:tentative="1">
      <w:start w:val="1"/>
      <w:numFmt w:val="bullet"/>
      <w:lvlText w:val=""/>
      <w:lvlJc w:val="left"/>
      <w:pPr>
        <w:tabs>
          <w:tab w:val="num" w:pos="5028"/>
        </w:tabs>
        <w:ind w:left="5028" w:hanging="360"/>
      </w:pPr>
      <w:rPr>
        <w:rFonts w:ascii="Wingdings" w:hAnsi="Wingdings" w:hint="default"/>
      </w:rPr>
    </w:lvl>
    <w:lvl w:ilvl="6" w:tentative="1">
      <w:start w:val="1"/>
      <w:numFmt w:val="bullet"/>
      <w:lvlText w:val=""/>
      <w:lvlJc w:val="left"/>
      <w:pPr>
        <w:tabs>
          <w:tab w:val="num" w:pos="5748"/>
        </w:tabs>
        <w:ind w:left="5748" w:hanging="360"/>
      </w:pPr>
      <w:rPr>
        <w:rFonts w:ascii="Symbol" w:hAnsi="Symbol" w:hint="default"/>
      </w:rPr>
    </w:lvl>
    <w:lvl w:ilvl="7" w:tentative="1">
      <w:start w:val="1"/>
      <w:numFmt w:val="bullet"/>
      <w:lvlText w:val="o"/>
      <w:lvlJc w:val="left"/>
      <w:pPr>
        <w:tabs>
          <w:tab w:val="num" w:pos="6468"/>
        </w:tabs>
        <w:ind w:left="6468" w:hanging="360"/>
      </w:pPr>
      <w:rPr>
        <w:rFonts w:ascii="Courier New" w:hAnsi="Courier New" w:hint="default"/>
      </w:rPr>
    </w:lvl>
    <w:lvl w:ilvl="8" w:tentative="1">
      <w:start w:val="1"/>
      <w:numFmt w:val="bullet"/>
      <w:lvlText w:val=""/>
      <w:lvlJc w:val="left"/>
      <w:pPr>
        <w:tabs>
          <w:tab w:val="num" w:pos="7188"/>
        </w:tabs>
        <w:ind w:left="7188" w:hanging="360"/>
      </w:pPr>
      <w:rPr>
        <w:rFonts w:ascii="Wingdings" w:hAnsi="Wingdings" w:hint="default"/>
      </w:rPr>
    </w:lvl>
  </w:abstractNum>
  <w:abstractNum w:abstractNumId="120">
    <w:nsid w:val="610B3EA7"/>
    <w:multiLevelType w:val="singleLevel"/>
    <w:tmpl w:val="D58C114A"/>
    <w:lvl w:ilvl="0">
      <w:start w:val="48"/>
      <w:numFmt w:val="decimal"/>
      <w:lvlText w:val="%1."/>
      <w:lvlJc w:val="left"/>
      <w:pPr>
        <w:tabs>
          <w:tab w:val="num" w:pos="360"/>
        </w:tabs>
        <w:ind w:left="360" w:hanging="360"/>
      </w:pPr>
    </w:lvl>
  </w:abstractNum>
  <w:abstractNum w:abstractNumId="121">
    <w:nsid w:val="612472C8"/>
    <w:multiLevelType w:val="singleLevel"/>
    <w:tmpl w:val="59743FD6"/>
    <w:lvl w:ilvl="0">
      <w:start w:val="1"/>
      <w:numFmt w:val="lowerLetter"/>
      <w:lvlText w:val="%1)"/>
      <w:lvlJc w:val="left"/>
      <w:pPr>
        <w:tabs>
          <w:tab w:val="num" w:pos="1188"/>
        </w:tabs>
        <w:ind w:left="1188" w:hanging="480"/>
      </w:pPr>
    </w:lvl>
  </w:abstractNum>
  <w:abstractNum w:abstractNumId="122">
    <w:nsid w:val="61AA7185"/>
    <w:multiLevelType w:val="singleLevel"/>
    <w:tmpl w:val="3788CFB8"/>
    <w:lvl w:ilvl="0">
      <w:start w:val="21"/>
      <w:numFmt w:val="decimal"/>
      <w:lvlRestart w:val="0"/>
      <w:lvlText w:val="%1."/>
      <w:lvlJc w:val="left"/>
      <w:pPr>
        <w:tabs>
          <w:tab w:val="num" w:pos="1742"/>
        </w:tabs>
        <w:ind w:left="1267" w:firstLine="0"/>
      </w:pPr>
      <w:rPr>
        <w:spacing w:val="0"/>
        <w:w w:val="100"/>
      </w:rPr>
    </w:lvl>
  </w:abstractNum>
  <w:abstractNum w:abstractNumId="123">
    <w:nsid w:val="62C6179A"/>
    <w:multiLevelType w:val="singleLevel"/>
    <w:tmpl w:val="3788CFB8"/>
    <w:lvl w:ilvl="0">
      <w:start w:val="21"/>
      <w:numFmt w:val="decimal"/>
      <w:lvlRestart w:val="0"/>
      <w:lvlText w:val="%1."/>
      <w:lvlJc w:val="left"/>
      <w:pPr>
        <w:tabs>
          <w:tab w:val="num" w:pos="1742"/>
        </w:tabs>
        <w:ind w:left="1267" w:firstLine="0"/>
      </w:pPr>
      <w:rPr>
        <w:spacing w:val="0"/>
        <w:w w:val="100"/>
      </w:rPr>
    </w:lvl>
  </w:abstractNum>
  <w:abstractNum w:abstractNumId="124">
    <w:nsid w:val="63697528"/>
    <w:multiLevelType w:val="singleLevel"/>
    <w:tmpl w:val="605E4AFA"/>
    <w:lvl w:ilvl="0">
      <w:start w:val="1"/>
      <w:numFmt w:val="decimal"/>
      <w:lvlText w:val="%1."/>
      <w:lvlJc w:val="left"/>
      <w:pPr>
        <w:tabs>
          <w:tab w:val="num" w:pos="360"/>
        </w:tabs>
        <w:ind w:left="360" w:hanging="360"/>
      </w:pPr>
      <w:rPr>
        <w:b w:val="0"/>
        <w:i w:val="0"/>
      </w:rPr>
    </w:lvl>
  </w:abstractNum>
  <w:abstractNum w:abstractNumId="125">
    <w:nsid w:val="63E92202"/>
    <w:multiLevelType w:val="multilevel"/>
    <w:tmpl w:val="B328A206"/>
    <w:lvl w:ilvl="0">
      <w:start w:val="10"/>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26">
    <w:nsid w:val="641718E2"/>
    <w:multiLevelType w:val="multilevel"/>
    <w:tmpl w:val="75942598"/>
    <w:lvl w:ilvl="0">
      <w:start w:val="1"/>
      <w:numFmt w:val="bullet"/>
      <w:lvlText w:val=""/>
      <w:lvlJc w:val="left"/>
      <w:pPr>
        <w:tabs>
          <w:tab w:val="num" w:pos="1825"/>
        </w:tabs>
        <w:ind w:left="1825" w:hanging="360"/>
      </w:pPr>
      <w:rPr>
        <w:rFonts w:ascii="Symbol" w:hAnsi="Symbol" w:hint="default"/>
      </w:rPr>
    </w:lvl>
    <w:lvl w:ilvl="1" w:tentative="1">
      <w:start w:val="1"/>
      <w:numFmt w:val="bullet"/>
      <w:lvlText w:val="o"/>
      <w:lvlJc w:val="left"/>
      <w:pPr>
        <w:tabs>
          <w:tab w:val="num" w:pos="2545"/>
        </w:tabs>
        <w:ind w:left="2545" w:hanging="360"/>
      </w:pPr>
      <w:rPr>
        <w:rFonts w:ascii="Courier New" w:hAnsi="Courier New" w:hint="default"/>
      </w:rPr>
    </w:lvl>
    <w:lvl w:ilvl="2" w:tentative="1">
      <w:start w:val="1"/>
      <w:numFmt w:val="bullet"/>
      <w:lvlText w:val=""/>
      <w:lvlJc w:val="left"/>
      <w:pPr>
        <w:tabs>
          <w:tab w:val="num" w:pos="3265"/>
        </w:tabs>
        <w:ind w:left="3265" w:hanging="360"/>
      </w:pPr>
      <w:rPr>
        <w:rFonts w:ascii="Wingdings" w:hAnsi="Wingdings" w:hint="default"/>
      </w:rPr>
    </w:lvl>
    <w:lvl w:ilvl="3" w:tentative="1">
      <w:start w:val="1"/>
      <w:numFmt w:val="bullet"/>
      <w:lvlText w:val=""/>
      <w:lvlJc w:val="left"/>
      <w:pPr>
        <w:tabs>
          <w:tab w:val="num" w:pos="3985"/>
        </w:tabs>
        <w:ind w:left="3985" w:hanging="360"/>
      </w:pPr>
      <w:rPr>
        <w:rFonts w:ascii="Symbol" w:hAnsi="Symbol" w:hint="default"/>
      </w:rPr>
    </w:lvl>
    <w:lvl w:ilvl="4" w:tentative="1">
      <w:start w:val="1"/>
      <w:numFmt w:val="bullet"/>
      <w:lvlText w:val="o"/>
      <w:lvlJc w:val="left"/>
      <w:pPr>
        <w:tabs>
          <w:tab w:val="num" w:pos="4705"/>
        </w:tabs>
        <w:ind w:left="4705" w:hanging="360"/>
      </w:pPr>
      <w:rPr>
        <w:rFonts w:ascii="Courier New" w:hAnsi="Courier New" w:hint="default"/>
      </w:rPr>
    </w:lvl>
    <w:lvl w:ilvl="5" w:tentative="1">
      <w:start w:val="1"/>
      <w:numFmt w:val="bullet"/>
      <w:lvlText w:val=""/>
      <w:lvlJc w:val="left"/>
      <w:pPr>
        <w:tabs>
          <w:tab w:val="num" w:pos="5425"/>
        </w:tabs>
        <w:ind w:left="5425" w:hanging="360"/>
      </w:pPr>
      <w:rPr>
        <w:rFonts w:ascii="Wingdings" w:hAnsi="Wingdings" w:hint="default"/>
      </w:rPr>
    </w:lvl>
    <w:lvl w:ilvl="6" w:tentative="1">
      <w:start w:val="1"/>
      <w:numFmt w:val="bullet"/>
      <w:lvlText w:val=""/>
      <w:lvlJc w:val="left"/>
      <w:pPr>
        <w:tabs>
          <w:tab w:val="num" w:pos="6145"/>
        </w:tabs>
        <w:ind w:left="6145" w:hanging="360"/>
      </w:pPr>
      <w:rPr>
        <w:rFonts w:ascii="Symbol" w:hAnsi="Symbol" w:hint="default"/>
      </w:rPr>
    </w:lvl>
    <w:lvl w:ilvl="7" w:tentative="1">
      <w:start w:val="1"/>
      <w:numFmt w:val="bullet"/>
      <w:lvlText w:val="o"/>
      <w:lvlJc w:val="left"/>
      <w:pPr>
        <w:tabs>
          <w:tab w:val="num" w:pos="6865"/>
        </w:tabs>
        <w:ind w:left="6865" w:hanging="360"/>
      </w:pPr>
      <w:rPr>
        <w:rFonts w:ascii="Courier New" w:hAnsi="Courier New" w:hint="default"/>
      </w:rPr>
    </w:lvl>
    <w:lvl w:ilvl="8" w:tentative="1">
      <w:start w:val="1"/>
      <w:numFmt w:val="bullet"/>
      <w:lvlText w:val=""/>
      <w:lvlJc w:val="left"/>
      <w:pPr>
        <w:tabs>
          <w:tab w:val="num" w:pos="7585"/>
        </w:tabs>
        <w:ind w:left="7585" w:hanging="360"/>
      </w:pPr>
      <w:rPr>
        <w:rFonts w:ascii="Wingdings" w:hAnsi="Wingdings" w:hint="default"/>
      </w:rPr>
    </w:lvl>
  </w:abstractNum>
  <w:abstractNum w:abstractNumId="127">
    <w:nsid w:val="6455705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28">
    <w:nsid w:val="684C0C36"/>
    <w:multiLevelType w:val="multilevel"/>
    <w:tmpl w:val="D6A2C0A6"/>
    <w:lvl w:ilvl="0">
      <w:start w:val="70"/>
      <w:numFmt w:val="decimal"/>
      <w:lvlText w:val="%1."/>
      <w:lvlJc w:val="left"/>
      <w:pPr>
        <w:tabs>
          <w:tab w:val="num" w:pos="717"/>
        </w:tabs>
        <w:ind w:left="717" w:hanging="360"/>
      </w:pPr>
      <w:rPr>
        <w:rFonts w:hint="default"/>
      </w:rPr>
    </w:lvl>
    <w:lvl w:ilvl="1" w:tentative="1">
      <w:start w:val="1"/>
      <w:numFmt w:val="lowerLetter"/>
      <w:lvlText w:val="%2."/>
      <w:lvlJc w:val="left"/>
      <w:pPr>
        <w:tabs>
          <w:tab w:val="num" w:pos="1437"/>
        </w:tabs>
        <w:ind w:left="1437" w:hanging="360"/>
      </w:pPr>
    </w:lvl>
    <w:lvl w:ilvl="2" w:tentative="1">
      <w:start w:val="1"/>
      <w:numFmt w:val="lowerRoman"/>
      <w:lvlText w:val="%3."/>
      <w:lvlJc w:val="right"/>
      <w:pPr>
        <w:tabs>
          <w:tab w:val="num" w:pos="2157"/>
        </w:tabs>
        <w:ind w:left="2157" w:hanging="180"/>
      </w:pPr>
    </w:lvl>
    <w:lvl w:ilvl="3" w:tentative="1">
      <w:start w:val="1"/>
      <w:numFmt w:val="decimal"/>
      <w:lvlText w:val="%4."/>
      <w:lvlJc w:val="left"/>
      <w:pPr>
        <w:tabs>
          <w:tab w:val="num" w:pos="2877"/>
        </w:tabs>
        <w:ind w:left="2877" w:hanging="360"/>
      </w:pPr>
    </w:lvl>
    <w:lvl w:ilvl="4" w:tentative="1">
      <w:start w:val="1"/>
      <w:numFmt w:val="lowerLetter"/>
      <w:lvlText w:val="%5."/>
      <w:lvlJc w:val="left"/>
      <w:pPr>
        <w:tabs>
          <w:tab w:val="num" w:pos="3597"/>
        </w:tabs>
        <w:ind w:left="3597" w:hanging="360"/>
      </w:pPr>
    </w:lvl>
    <w:lvl w:ilvl="5" w:tentative="1">
      <w:start w:val="1"/>
      <w:numFmt w:val="lowerRoman"/>
      <w:lvlText w:val="%6."/>
      <w:lvlJc w:val="right"/>
      <w:pPr>
        <w:tabs>
          <w:tab w:val="num" w:pos="4317"/>
        </w:tabs>
        <w:ind w:left="4317" w:hanging="180"/>
      </w:pPr>
    </w:lvl>
    <w:lvl w:ilvl="6" w:tentative="1">
      <w:start w:val="1"/>
      <w:numFmt w:val="decimal"/>
      <w:lvlText w:val="%7."/>
      <w:lvlJc w:val="left"/>
      <w:pPr>
        <w:tabs>
          <w:tab w:val="num" w:pos="5037"/>
        </w:tabs>
        <w:ind w:left="5037" w:hanging="360"/>
      </w:pPr>
    </w:lvl>
    <w:lvl w:ilvl="7" w:tentative="1">
      <w:start w:val="1"/>
      <w:numFmt w:val="lowerLetter"/>
      <w:lvlText w:val="%8."/>
      <w:lvlJc w:val="left"/>
      <w:pPr>
        <w:tabs>
          <w:tab w:val="num" w:pos="5757"/>
        </w:tabs>
        <w:ind w:left="5757" w:hanging="360"/>
      </w:pPr>
    </w:lvl>
    <w:lvl w:ilvl="8" w:tentative="1">
      <w:start w:val="1"/>
      <w:numFmt w:val="lowerRoman"/>
      <w:lvlText w:val="%9."/>
      <w:lvlJc w:val="right"/>
      <w:pPr>
        <w:tabs>
          <w:tab w:val="num" w:pos="6477"/>
        </w:tabs>
        <w:ind w:left="6477" w:hanging="180"/>
      </w:pPr>
    </w:lvl>
  </w:abstractNum>
  <w:abstractNum w:abstractNumId="129">
    <w:nsid w:val="68C2217F"/>
    <w:multiLevelType w:val="singleLevel"/>
    <w:tmpl w:val="B1B4BFA2"/>
    <w:lvl w:ilvl="0">
      <w:start w:val="1"/>
      <w:numFmt w:val="decimal"/>
      <w:lvlText w:val="%1."/>
      <w:lvlJc w:val="left"/>
      <w:pPr>
        <w:tabs>
          <w:tab w:val="num" w:pos="360"/>
        </w:tabs>
        <w:ind w:left="360" w:hanging="360"/>
      </w:pPr>
    </w:lvl>
  </w:abstractNum>
  <w:abstractNum w:abstractNumId="130">
    <w:nsid w:val="691E79B4"/>
    <w:multiLevelType w:val="singleLevel"/>
    <w:tmpl w:val="3544FC8C"/>
    <w:lvl w:ilvl="0">
      <w:start w:val="1"/>
      <w:numFmt w:val="decimal"/>
      <w:lvlRestart w:val="0"/>
      <w:lvlText w:val="%1."/>
      <w:lvlJc w:val="left"/>
      <w:pPr>
        <w:tabs>
          <w:tab w:val="num" w:pos="475"/>
        </w:tabs>
        <w:ind w:left="0" w:firstLine="0"/>
      </w:pPr>
      <w:rPr>
        <w:spacing w:val="0"/>
        <w:w w:val="100"/>
      </w:rPr>
    </w:lvl>
  </w:abstractNum>
  <w:abstractNum w:abstractNumId="131">
    <w:nsid w:val="69786383"/>
    <w:multiLevelType w:val="multilevel"/>
    <w:tmpl w:val="E554533A"/>
    <w:lvl w:ilvl="0">
      <w:start w:val="55"/>
      <w:numFmt w:val="decimal"/>
      <w:lvlText w:val="%1."/>
      <w:lvlJc w:val="left"/>
      <w:pPr>
        <w:tabs>
          <w:tab w:val="num" w:pos="930"/>
        </w:tabs>
        <w:ind w:left="930" w:hanging="57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2">
    <w:nsid w:val="6B794F7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33">
    <w:nsid w:val="6BB30A04"/>
    <w:multiLevelType w:val="singleLevel"/>
    <w:tmpl w:val="9BCC5352"/>
    <w:lvl w:ilvl="0">
      <w:start w:val="81"/>
      <w:numFmt w:val="decimal"/>
      <w:lvlText w:val="%1."/>
      <w:lvlJc w:val="left"/>
      <w:pPr>
        <w:tabs>
          <w:tab w:val="num" w:pos="360"/>
        </w:tabs>
        <w:ind w:left="360" w:hanging="360"/>
      </w:pPr>
    </w:lvl>
  </w:abstractNum>
  <w:abstractNum w:abstractNumId="134">
    <w:nsid w:val="6C292F6B"/>
    <w:multiLevelType w:val="singleLevel"/>
    <w:tmpl w:val="0C0A0017"/>
    <w:lvl w:ilvl="0">
      <w:start w:val="1"/>
      <w:numFmt w:val="lowerLetter"/>
      <w:lvlText w:val="%1)"/>
      <w:lvlJc w:val="left"/>
      <w:pPr>
        <w:tabs>
          <w:tab w:val="num" w:pos="360"/>
        </w:tabs>
        <w:ind w:left="360" w:hanging="360"/>
      </w:pPr>
    </w:lvl>
  </w:abstractNum>
  <w:abstractNum w:abstractNumId="135">
    <w:nsid w:val="6E76030F"/>
    <w:multiLevelType w:val="multilevel"/>
    <w:tmpl w:val="75D60228"/>
    <w:lvl w:ilvl="0">
      <w:start w:val="18"/>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6">
    <w:nsid w:val="6EFD2496"/>
    <w:multiLevelType w:val="multilevel"/>
    <w:tmpl w:val="2DCE8098"/>
    <w:lvl w:ilvl="0">
      <w:start w:val="12"/>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7">
    <w:nsid w:val="6F5443BE"/>
    <w:multiLevelType w:val="multilevel"/>
    <w:tmpl w:val="050AB97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8">
    <w:nsid w:val="6F863E91"/>
    <w:multiLevelType w:val="multilevel"/>
    <w:tmpl w:val="FB02022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9">
    <w:nsid w:val="7016413E"/>
    <w:multiLevelType w:val="multilevel"/>
    <w:tmpl w:val="327C3B68"/>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0">
    <w:nsid w:val="702D40AD"/>
    <w:multiLevelType w:val="multilevel"/>
    <w:tmpl w:val="0D26AAFE"/>
    <w:lvl w:ilvl="0">
      <w:start w:val="43"/>
      <w:numFmt w:val="decimal"/>
      <w:lvlText w:val="%1."/>
      <w:lvlJc w:val="left"/>
      <w:pPr>
        <w:tabs>
          <w:tab w:val="num" w:pos="720"/>
        </w:tabs>
        <w:ind w:left="720" w:hanging="360"/>
      </w:pPr>
      <w:rPr>
        <w:rFonts w:hint="default"/>
        <w:color w:val="FF000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1">
    <w:nsid w:val="70455674"/>
    <w:multiLevelType w:val="singleLevel"/>
    <w:tmpl w:val="8CD67E62"/>
    <w:lvl w:ilvl="0">
      <w:start w:val="95"/>
      <w:numFmt w:val="decimal"/>
      <w:lvlText w:val="%1."/>
      <w:lvlJc w:val="left"/>
      <w:pPr>
        <w:tabs>
          <w:tab w:val="num" w:pos="360"/>
        </w:tabs>
        <w:ind w:left="360" w:hanging="360"/>
      </w:pPr>
    </w:lvl>
  </w:abstractNum>
  <w:abstractNum w:abstractNumId="142">
    <w:nsid w:val="70497AD5"/>
    <w:multiLevelType w:val="singleLevel"/>
    <w:tmpl w:val="4844DCDE"/>
    <w:lvl w:ilvl="0">
      <w:start w:val="1"/>
      <w:numFmt w:val="bullet"/>
      <w:lvlText w:val=""/>
      <w:lvlJc w:val="left"/>
      <w:pPr>
        <w:tabs>
          <w:tab w:val="num" w:pos="360"/>
        </w:tabs>
        <w:ind w:left="360" w:hanging="360"/>
      </w:pPr>
      <w:rPr>
        <w:rFonts w:ascii="Symbol" w:hAnsi="Symbol" w:hint="default"/>
      </w:rPr>
    </w:lvl>
  </w:abstractNum>
  <w:abstractNum w:abstractNumId="143">
    <w:nsid w:val="70C63406"/>
    <w:multiLevelType w:val="singleLevel"/>
    <w:tmpl w:val="3544FC8C"/>
    <w:lvl w:ilvl="0">
      <w:start w:val="1"/>
      <w:numFmt w:val="decimal"/>
      <w:lvlRestart w:val="0"/>
      <w:lvlText w:val="%1."/>
      <w:lvlJc w:val="left"/>
      <w:pPr>
        <w:tabs>
          <w:tab w:val="num" w:pos="475"/>
        </w:tabs>
        <w:ind w:left="0" w:firstLine="0"/>
      </w:pPr>
      <w:rPr>
        <w:spacing w:val="0"/>
        <w:w w:val="100"/>
      </w:rPr>
    </w:lvl>
  </w:abstractNum>
  <w:abstractNum w:abstractNumId="144">
    <w:nsid w:val="71A51641"/>
    <w:multiLevelType w:val="multilevel"/>
    <w:tmpl w:val="69EE5AD4"/>
    <w:lvl w:ilvl="0">
      <w:start w:val="10"/>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5">
    <w:nsid w:val="71D244A9"/>
    <w:multiLevelType w:val="multilevel"/>
    <w:tmpl w:val="879E361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6">
    <w:nsid w:val="72F60942"/>
    <w:multiLevelType w:val="multilevel"/>
    <w:tmpl w:val="FED6DB52"/>
    <w:lvl w:ilvl="0">
      <w:start w:val="1"/>
      <w:numFmt w:val="bullet"/>
      <w:lvlText w:val=""/>
      <w:lvlJc w:val="left"/>
      <w:pPr>
        <w:tabs>
          <w:tab w:val="num" w:pos="786"/>
        </w:tabs>
        <w:ind w:left="766" w:hanging="340"/>
      </w:pPr>
      <w:rPr>
        <w:rFonts w:ascii="Symbol" w:hAnsi="Symbol" w:hint="default"/>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7">
    <w:nsid w:val="73B06818"/>
    <w:multiLevelType w:val="multilevel"/>
    <w:tmpl w:val="A4C6E31E"/>
    <w:lvl w:ilvl="0">
      <w:start w:val="1"/>
      <w:numFmt w:val="bullet"/>
      <w:lvlText w:val=""/>
      <w:lvlJc w:val="left"/>
      <w:pPr>
        <w:tabs>
          <w:tab w:val="num" w:pos="1068"/>
        </w:tabs>
        <w:ind w:left="1068" w:hanging="360"/>
      </w:pPr>
      <w:rPr>
        <w:rFonts w:ascii="Symbol" w:hAnsi="Symbol" w:hint="default"/>
      </w:rPr>
    </w:lvl>
    <w:lvl w:ilvl="1" w:tentative="1">
      <w:start w:val="1"/>
      <w:numFmt w:val="bullet"/>
      <w:lvlText w:val="o"/>
      <w:lvlJc w:val="left"/>
      <w:pPr>
        <w:tabs>
          <w:tab w:val="num" w:pos="1788"/>
        </w:tabs>
        <w:ind w:left="1788" w:hanging="360"/>
      </w:pPr>
      <w:rPr>
        <w:rFonts w:ascii="Courier New" w:hAnsi="Courier New" w:cs="Wingdings" w:hint="default"/>
      </w:rPr>
    </w:lvl>
    <w:lvl w:ilvl="2" w:tentative="1">
      <w:start w:val="1"/>
      <w:numFmt w:val="bullet"/>
      <w:lvlText w:val=""/>
      <w:lvlJc w:val="left"/>
      <w:pPr>
        <w:tabs>
          <w:tab w:val="num" w:pos="2508"/>
        </w:tabs>
        <w:ind w:left="2508" w:hanging="360"/>
      </w:pPr>
      <w:rPr>
        <w:rFonts w:ascii="Wingdings" w:hAnsi="Wingdings" w:hint="default"/>
      </w:rPr>
    </w:lvl>
    <w:lvl w:ilvl="3" w:tentative="1">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cs="Wingdings"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cs="Wingdings"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148">
    <w:nsid w:val="745E0BAC"/>
    <w:multiLevelType w:val="multilevel"/>
    <w:tmpl w:val="0C7EB9D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9">
    <w:nsid w:val="76C35CB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50">
    <w:nsid w:val="76DE7A08"/>
    <w:multiLevelType w:val="multilevel"/>
    <w:tmpl w:val="C88AEF5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1">
    <w:nsid w:val="77B80EB6"/>
    <w:multiLevelType w:val="singleLevel"/>
    <w:tmpl w:val="0C0A0017"/>
    <w:lvl w:ilvl="0">
      <w:start w:val="1"/>
      <w:numFmt w:val="lowerLetter"/>
      <w:lvlText w:val="%1)"/>
      <w:lvlJc w:val="left"/>
      <w:pPr>
        <w:tabs>
          <w:tab w:val="num" w:pos="360"/>
        </w:tabs>
        <w:ind w:left="360" w:hanging="360"/>
      </w:pPr>
    </w:lvl>
  </w:abstractNum>
  <w:abstractNum w:abstractNumId="152">
    <w:nsid w:val="784E15C9"/>
    <w:multiLevelType w:val="multilevel"/>
    <w:tmpl w:val="8D4AF2C2"/>
    <w:lvl w:ilvl="0">
      <w:start w:val="10"/>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3">
    <w:nsid w:val="797B35F3"/>
    <w:multiLevelType w:val="singleLevel"/>
    <w:tmpl w:val="0B0AF8F4"/>
    <w:lvl w:ilvl="0">
      <w:start w:val="1"/>
      <w:numFmt w:val="lowerLetter"/>
      <w:lvlText w:val="%1)"/>
      <w:lvlJc w:val="left"/>
      <w:pPr>
        <w:tabs>
          <w:tab w:val="num" w:pos="360"/>
        </w:tabs>
        <w:ind w:left="360" w:hanging="360"/>
      </w:pPr>
    </w:lvl>
  </w:abstractNum>
  <w:abstractNum w:abstractNumId="154">
    <w:nsid w:val="79893F7A"/>
    <w:multiLevelType w:val="multilevel"/>
    <w:tmpl w:val="FA52B8F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5">
    <w:nsid w:val="79E46C6C"/>
    <w:multiLevelType w:val="multilevel"/>
    <w:tmpl w:val="533A397E"/>
    <w:lvl w:ilvl="0">
      <w:start w:val="1"/>
      <w:numFmt w:val="decimal"/>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56">
    <w:nsid w:val="7AD464A6"/>
    <w:multiLevelType w:val="multilevel"/>
    <w:tmpl w:val="B914C966"/>
    <w:lvl w:ilvl="0">
      <w:start w:val="12"/>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7">
    <w:nsid w:val="7BB65483"/>
    <w:multiLevelType w:val="multilevel"/>
    <w:tmpl w:val="FC5601D4"/>
    <w:lvl w:ilvl="0">
      <w:start w:val="19"/>
      <w:numFmt w:val="decimal"/>
      <w:lvlText w:val="%1."/>
      <w:lvlJc w:val="left"/>
      <w:pPr>
        <w:tabs>
          <w:tab w:val="num" w:pos="570"/>
        </w:tabs>
        <w:ind w:left="570" w:hanging="57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58">
    <w:nsid w:val="7CB9068B"/>
    <w:multiLevelType w:val="multilevel"/>
    <w:tmpl w:val="4AA4FAF0"/>
    <w:lvl w:ilvl="0">
      <w:start w:val="1"/>
      <w:numFmt w:val="bullet"/>
      <w:lvlText w:val=""/>
      <w:lvlJc w:val="left"/>
      <w:pPr>
        <w:tabs>
          <w:tab w:val="num" w:pos="1428"/>
        </w:tabs>
        <w:ind w:left="1428" w:hanging="360"/>
      </w:pPr>
      <w:rPr>
        <w:rFonts w:ascii="Symbol" w:hAnsi="Symbol" w:hint="default"/>
      </w:rPr>
    </w:lvl>
    <w:lvl w:ilvl="1" w:tentative="1">
      <w:start w:val="1"/>
      <w:numFmt w:val="bullet"/>
      <w:lvlText w:val="o"/>
      <w:lvlJc w:val="left"/>
      <w:pPr>
        <w:tabs>
          <w:tab w:val="num" w:pos="2148"/>
        </w:tabs>
        <w:ind w:left="2148" w:hanging="360"/>
      </w:pPr>
      <w:rPr>
        <w:rFonts w:ascii="Courier New" w:hAnsi="Courier New" w:hint="default"/>
      </w:rPr>
    </w:lvl>
    <w:lvl w:ilvl="2" w:tentative="1">
      <w:start w:val="1"/>
      <w:numFmt w:val="bullet"/>
      <w:lvlText w:val=""/>
      <w:lvlJc w:val="left"/>
      <w:pPr>
        <w:tabs>
          <w:tab w:val="num" w:pos="2868"/>
        </w:tabs>
        <w:ind w:left="2868" w:hanging="360"/>
      </w:pPr>
      <w:rPr>
        <w:rFonts w:ascii="Wingdings" w:hAnsi="Wingdings" w:hint="default"/>
      </w:rPr>
    </w:lvl>
    <w:lvl w:ilvl="3" w:tentative="1">
      <w:start w:val="1"/>
      <w:numFmt w:val="bullet"/>
      <w:lvlText w:val=""/>
      <w:lvlJc w:val="left"/>
      <w:pPr>
        <w:tabs>
          <w:tab w:val="num" w:pos="3588"/>
        </w:tabs>
        <w:ind w:left="3588" w:hanging="360"/>
      </w:pPr>
      <w:rPr>
        <w:rFonts w:ascii="Symbol" w:hAnsi="Symbol" w:hint="default"/>
      </w:rPr>
    </w:lvl>
    <w:lvl w:ilvl="4" w:tentative="1">
      <w:start w:val="1"/>
      <w:numFmt w:val="bullet"/>
      <w:lvlText w:val="o"/>
      <w:lvlJc w:val="left"/>
      <w:pPr>
        <w:tabs>
          <w:tab w:val="num" w:pos="4308"/>
        </w:tabs>
        <w:ind w:left="4308" w:hanging="360"/>
      </w:pPr>
      <w:rPr>
        <w:rFonts w:ascii="Courier New" w:hAnsi="Courier New" w:hint="default"/>
      </w:rPr>
    </w:lvl>
    <w:lvl w:ilvl="5" w:tentative="1">
      <w:start w:val="1"/>
      <w:numFmt w:val="bullet"/>
      <w:lvlText w:val=""/>
      <w:lvlJc w:val="left"/>
      <w:pPr>
        <w:tabs>
          <w:tab w:val="num" w:pos="5028"/>
        </w:tabs>
        <w:ind w:left="5028" w:hanging="360"/>
      </w:pPr>
      <w:rPr>
        <w:rFonts w:ascii="Wingdings" w:hAnsi="Wingdings" w:hint="default"/>
      </w:rPr>
    </w:lvl>
    <w:lvl w:ilvl="6" w:tentative="1">
      <w:start w:val="1"/>
      <w:numFmt w:val="bullet"/>
      <w:lvlText w:val=""/>
      <w:lvlJc w:val="left"/>
      <w:pPr>
        <w:tabs>
          <w:tab w:val="num" w:pos="5748"/>
        </w:tabs>
        <w:ind w:left="5748" w:hanging="360"/>
      </w:pPr>
      <w:rPr>
        <w:rFonts w:ascii="Symbol" w:hAnsi="Symbol" w:hint="default"/>
      </w:rPr>
    </w:lvl>
    <w:lvl w:ilvl="7" w:tentative="1">
      <w:start w:val="1"/>
      <w:numFmt w:val="bullet"/>
      <w:lvlText w:val="o"/>
      <w:lvlJc w:val="left"/>
      <w:pPr>
        <w:tabs>
          <w:tab w:val="num" w:pos="6468"/>
        </w:tabs>
        <w:ind w:left="6468" w:hanging="360"/>
      </w:pPr>
      <w:rPr>
        <w:rFonts w:ascii="Courier New" w:hAnsi="Courier New" w:hint="default"/>
      </w:rPr>
    </w:lvl>
    <w:lvl w:ilvl="8" w:tentative="1">
      <w:start w:val="1"/>
      <w:numFmt w:val="bullet"/>
      <w:lvlText w:val=""/>
      <w:lvlJc w:val="left"/>
      <w:pPr>
        <w:tabs>
          <w:tab w:val="num" w:pos="7188"/>
        </w:tabs>
        <w:ind w:left="7188" w:hanging="360"/>
      </w:pPr>
      <w:rPr>
        <w:rFonts w:ascii="Wingdings" w:hAnsi="Wingdings" w:hint="default"/>
      </w:rPr>
    </w:lvl>
  </w:abstractNum>
  <w:abstractNum w:abstractNumId="159">
    <w:nsid w:val="7D1F548F"/>
    <w:multiLevelType w:val="singleLevel"/>
    <w:tmpl w:val="0C0A0017"/>
    <w:lvl w:ilvl="0">
      <w:start w:val="1"/>
      <w:numFmt w:val="lowerLetter"/>
      <w:lvlText w:val="%1)"/>
      <w:lvlJc w:val="left"/>
      <w:pPr>
        <w:tabs>
          <w:tab w:val="num" w:pos="360"/>
        </w:tabs>
        <w:ind w:left="360" w:hanging="360"/>
      </w:pPr>
    </w:lvl>
  </w:abstractNum>
  <w:abstractNum w:abstractNumId="160">
    <w:nsid w:val="7E7F15A3"/>
    <w:multiLevelType w:val="singleLevel"/>
    <w:tmpl w:val="F53A3CC6"/>
    <w:lvl w:ilvl="0">
      <w:start w:val="1"/>
      <w:numFmt w:val="decimal"/>
      <w:lvlText w:val="%1."/>
      <w:lvlJc w:val="left"/>
      <w:pPr>
        <w:tabs>
          <w:tab w:val="num" w:pos="360"/>
        </w:tabs>
        <w:ind w:left="360" w:hanging="360"/>
      </w:pPr>
      <w:rPr>
        <w:b w:val="0"/>
        <w:i w:val="0"/>
      </w:rPr>
    </w:lvl>
  </w:abstractNum>
  <w:abstractNum w:abstractNumId="161">
    <w:nsid w:val="7F996C52"/>
    <w:multiLevelType w:val="multilevel"/>
    <w:tmpl w:val="44723450"/>
    <w:lvl w:ilvl="0">
      <w:start w:val="204"/>
      <w:numFmt w:val="decimal"/>
      <w:lvlText w:val="%1."/>
      <w:lvlJc w:val="left"/>
      <w:pPr>
        <w:tabs>
          <w:tab w:val="num" w:pos="825"/>
        </w:tabs>
        <w:ind w:left="825" w:hanging="46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2">
    <w:nsid w:val="7FFC4979"/>
    <w:multiLevelType w:val="multilevel"/>
    <w:tmpl w:val="C848093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74"/>
  </w:num>
  <w:num w:numId="4">
    <w:abstractNumId w:val="74"/>
    <w:lvlOverride w:ilvl="0">
      <w:startOverride w:val="24"/>
    </w:lvlOverride>
  </w:num>
  <w:num w:numId="5">
    <w:abstractNumId w:val="129"/>
  </w:num>
  <w:num w:numId="6">
    <w:abstractNumId w:val="129"/>
    <w:lvlOverride w:ilvl="0">
      <w:startOverride w:val="1"/>
    </w:lvlOverride>
  </w:num>
  <w:num w:numId="7">
    <w:abstractNumId w:val="50"/>
  </w:num>
  <w:num w:numId="8">
    <w:abstractNumId w:val="50"/>
    <w:lvlOverride w:ilvl="0">
      <w:startOverride w:val="1"/>
    </w:lvlOverride>
  </w:num>
  <w:num w:numId="9">
    <w:abstractNumId w:val="13"/>
  </w:num>
  <w:num w:numId="10">
    <w:abstractNumId w:val="13"/>
    <w:lvlOverride w:ilvl="0">
      <w:startOverride w:val="1"/>
    </w:lvlOverride>
  </w:num>
  <w:num w:numId="11">
    <w:abstractNumId w:val="160"/>
  </w:num>
  <w:num w:numId="12">
    <w:abstractNumId w:val="160"/>
    <w:lvlOverride w:ilvl="0">
      <w:startOverride w:val="1"/>
    </w:lvlOverride>
  </w:num>
  <w:num w:numId="13">
    <w:abstractNumId w:val="153"/>
  </w:num>
  <w:num w:numId="14">
    <w:abstractNumId w:val="153"/>
    <w:lvlOverride w:ilvl="0">
      <w:startOverride w:val="1"/>
    </w:lvlOverride>
  </w:num>
  <w:num w:numId="15">
    <w:abstractNumId w:val="111"/>
  </w:num>
  <w:num w:numId="16">
    <w:abstractNumId w:val="111"/>
    <w:lvlOverride w:ilvl="0">
      <w:startOverride w:val="24"/>
    </w:lvlOverride>
  </w:num>
  <w:num w:numId="17">
    <w:abstractNumId w:val="76"/>
  </w:num>
  <w:num w:numId="18">
    <w:abstractNumId w:val="7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4"/>
  </w:num>
  <w:num w:numId="20">
    <w:abstractNumId w:val="134"/>
    <w:lvlOverride w:ilvl="0">
      <w:startOverride w:val="1"/>
    </w:lvlOverride>
  </w:num>
  <w:num w:numId="21">
    <w:abstractNumId w:val="142"/>
  </w:num>
  <w:num w:numId="22">
    <w:abstractNumId w:val="142"/>
    <w:lvlOverride w:ilvl="0"/>
  </w:num>
  <w:num w:numId="23">
    <w:abstractNumId w:val="84"/>
  </w:num>
  <w:num w:numId="24">
    <w:abstractNumId w:val="84"/>
    <w:lvlOverride w:ilvl="0">
      <w:startOverride w:val="1"/>
    </w:lvlOverride>
  </w:num>
  <w:num w:numId="25">
    <w:abstractNumId w:val="95"/>
  </w:num>
  <w:num w:numId="26">
    <w:abstractNumId w:val="95"/>
    <w:lvlOverride w:ilvl="0">
      <w:startOverride w:val="1"/>
    </w:lvlOverride>
  </w:num>
  <w:num w:numId="27">
    <w:abstractNumId w:val="121"/>
  </w:num>
  <w:num w:numId="28">
    <w:abstractNumId w:val="121"/>
    <w:lvlOverride w:ilvl="0">
      <w:startOverride w:val="1"/>
    </w:lvlOverride>
  </w:num>
  <w:num w:numId="29">
    <w:abstractNumId w:val="58"/>
  </w:num>
  <w:num w:numId="30">
    <w:abstractNumId w:val="58"/>
    <w:lvlOverride w:ilvl="0">
      <w:startOverride w:val="35"/>
    </w:lvlOverride>
  </w:num>
  <w:num w:numId="31">
    <w:abstractNumId w:val="149"/>
  </w:num>
  <w:num w:numId="32">
    <w:abstractNumId w:val="149"/>
    <w:lvlOverride w:ilvl="0"/>
  </w:num>
  <w:num w:numId="33">
    <w:abstractNumId w:val="77"/>
  </w:num>
  <w:num w:numId="34">
    <w:abstractNumId w:val="77"/>
    <w:lvlOverride w:ilvl="0"/>
  </w:num>
  <w:num w:numId="35">
    <w:abstractNumId w:val="97"/>
  </w:num>
  <w:num w:numId="36">
    <w:abstractNumId w:val="97"/>
    <w:lvlOverride w:ilvl="0"/>
  </w:num>
  <w:num w:numId="37">
    <w:abstractNumId w:val="112"/>
  </w:num>
  <w:num w:numId="38">
    <w:abstractNumId w:val="112"/>
    <w:lvlOverride w:ilvl="0">
      <w:startOverride w:val="1"/>
    </w:lvlOverride>
  </w:num>
  <w:num w:numId="39">
    <w:abstractNumId w:val="71"/>
  </w:num>
  <w:num w:numId="40">
    <w:abstractNumId w:val="71"/>
    <w:lvlOverride w:ilvl="0">
      <w:startOverride w:val="42"/>
    </w:lvlOverride>
  </w:num>
  <w:num w:numId="41">
    <w:abstractNumId w:val="81"/>
  </w:num>
  <w:num w:numId="42">
    <w:abstractNumId w:val="81"/>
    <w:lvlOverride w:ilvl="0">
      <w:startOverride w:val="1"/>
    </w:lvlOverride>
  </w:num>
  <w:num w:numId="43">
    <w:abstractNumId w:val="61"/>
  </w:num>
  <w:num w:numId="44">
    <w:abstractNumId w:val="61"/>
    <w:lvlOverride w:ilvl="0">
      <w:startOverride w:val="1"/>
    </w:lvlOverride>
  </w:num>
  <w:num w:numId="45">
    <w:abstractNumId w:val="12"/>
  </w:num>
  <w:num w:numId="46">
    <w:abstractNumId w:val="12"/>
    <w:lvlOverride w:ilvl="0">
      <w:startOverride w:val="1"/>
    </w:lvlOverride>
  </w:num>
  <w:num w:numId="47">
    <w:abstractNumId w:val="29"/>
  </w:num>
  <w:num w:numId="48">
    <w:abstractNumId w:val="29"/>
    <w:lvlOverride w:ilvl="0">
      <w:startOverride w:val="3"/>
    </w:lvlOverride>
  </w:num>
  <w:num w:numId="49">
    <w:abstractNumId w:val="103"/>
  </w:num>
  <w:num w:numId="50">
    <w:abstractNumId w:val="103"/>
    <w:lvlOverride w:ilvl="0">
      <w:startOverride w:val="44"/>
    </w:lvlOverride>
  </w:num>
  <w:num w:numId="51">
    <w:abstractNumId w:val="18"/>
  </w:num>
  <w:num w:numId="52">
    <w:abstractNumId w:val="18"/>
    <w:lvlOverride w:ilvl="0">
      <w:startOverride w:val="46"/>
    </w:lvlOverride>
  </w:num>
  <w:num w:numId="53">
    <w:abstractNumId w:val="146"/>
  </w:num>
  <w:num w:numId="54">
    <w:abstractNumId w:val="14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75"/>
  </w:num>
  <w:num w:numId="56">
    <w:abstractNumId w:val="75"/>
    <w:lvlOverride w:ilvl="0"/>
  </w:num>
  <w:num w:numId="57">
    <w:abstractNumId w:val="115"/>
  </w:num>
  <w:num w:numId="58">
    <w:abstractNumId w:val="115"/>
    <w:lvlOverride w:ilvl="0"/>
  </w:num>
  <w:num w:numId="59">
    <w:abstractNumId w:val="120"/>
  </w:num>
  <w:num w:numId="60">
    <w:abstractNumId w:val="120"/>
    <w:lvlOverride w:ilvl="0">
      <w:startOverride w:val="48"/>
    </w:lvlOverride>
  </w:num>
  <w:num w:numId="61">
    <w:abstractNumId w:val="127"/>
  </w:num>
  <w:num w:numId="62">
    <w:abstractNumId w:val="127"/>
    <w:lvlOverride w:ilvl="0"/>
  </w:num>
  <w:num w:numId="63">
    <w:abstractNumId w:val="132"/>
  </w:num>
  <w:num w:numId="64">
    <w:abstractNumId w:val="132"/>
    <w:lvlOverride w:ilvl="0"/>
  </w:num>
  <w:num w:numId="65">
    <w:abstractNumId w:val="31"/>
  </w:num>
  <w:num w:numId="66">
    <w:abstractNumId w:val="31"/>
    <w:lvlOverride w:ilvl="0"/>
  </w:num>
  <w:num w:numId="67">
    <w:abstractNumId w:val="48"/>
  </w:num>
  <w:num w:numId="68">
    <w:abstractNumId w:val="48"/>
    <w:lvlOverride w:ilvl="0"/>
  </w:num>
  <w:num w:numId="69">
    <w:abstractNumId w:val="78"/>
  </w:num>
  <w:num w:numId="70">
    <w:abstractNumId w:val="59"/>
  </w:num>
  <w:num w:numId="71">
    <w:abstractNumId w:val="59"/>
    <w:lvlOverride w:ilvl="0">
      <w:startOverride w:val="1"/>
    </w:lvlOverride>
  </w:num>
  <w:num w:numId="72">
    <w:abstractNumId w:val="69"/>
  </w:num>
  <w:num w:numId="73">
    <w:abstractNumId w:val="69"/>
    <w:lvlOverride w:ilvl="0"/>
  </w:num>
  <w:num w:numId="74">
    <w:abstractNumId w:val="62"/>
  </w:num>
  <w:num w:numId="75">
    <w:abstractNumId w:val="62"/>
    <w:lvlOverride w:ilvl="0"/>
  </w:num>
  <w:num w:numId="76">
    <w:abstractNumId w:val="124"/>
  </w:num>
  <w:num w:numId="77">
    <w:abstractNumId w:val="124"/>
    <w:lvlOverride w:ilvl="0">
      <w:startOverride w:val="1"/>
    </w:lvlOverride>
  </w:num>
  <w:num w:numId="78">
    <w:abstractNumId w:val="27"/>
  </w:num>
  <w:num w:numId="79">
    <w:abstractNumId w:val="110"/>
  </w:num>
  <w:num w:numId="80">
    <w:abstractNumId w:val="42"/>
  </w:num>
  <w:num w:numId="81">
    <w:abstractNumId w:val="42"/>
    <w:lvlOverride w:ilvl="0"/>
  </w:num>
  <w:num w:numId="82">
    <w:abstractNumId w:val="79"/>
  </w:num>
  <w:num w:numId="83">
    <w:abstractNumId w:val="79"/>
    <w:lvlOverride w:ilvl="0"/>
  </w:num>
  <w:num w:numId="84">
    <w:abstractNumId w:val="53"/>
  </w:num>
  <w:num w:numId="85">
    <w:abstractNumId w:val="53"/>
    <w:lvlOverride w:ilvl="0"/>
  </w:num>
  <w:num w:numId="86">
    <w:abstractNumId w:val="9"/>
  </w:num>
  <w:num w:numId="87">
    <w:abstractNumId w:val="159"/>
  </w:num>
  <w:num w:numId="88">
    <w:abstractNumId w:val="159"/>
    <w:lvlOverride w:ilvl="0">
      <w:startOverride w:val="1"/>
    </w:lvlOverride>
  </w:num>
  <w:num w:numId="89">
    <w:abstractNumId w:val="32"/>
  </w:num>
  <w:num w:numId="90">
    <w:abstractNumId w:val="32"/>
    <w:lvlOverride w:ilvl="0">
      <w:startOverride w:val="73"/>
    </w:lvlOverride>
  </w:num>
  <w:num w:numId="91">
    <w:abstractNumId w:val="3"/>
  </w:num>
  <w:num w:numId="92">
    <w:abstractNumId w:val="3"/>
    <w:lvlOverride w:ilvl="0">
      <w:startOverride w:val="1"/>
    </w:lvlOverride>
  </w:num>
  <w:num w:numId="93">
    <w:abstractNumId w:val="67"/>
  </w:num>
  <w:num w:numId="94">
    <w:abstractNumId w:val="67"/>
    <w:lvlOverride w:ilvl="0">
      <w:startOverride w:val="1"/>
    </w:lvlOverride>
  </w:num>
  <w:num w:numId="95">
    <w:abstractNumId w:val="133"/>
  </w:num>
  <w:num w:numId="96">
    <w:abstractNumId w:val="133"/>
    <w:lvlOverride w:ilvl="0">
      <w:startOverride w:val="81"/>
    </w:lvlOverride>
  </w:num>
  <w:num w:numId="97">
    <w:abstractNumId w:val="6"/>
  </w:num>
  <w:num w:numId="98">
    <w:abstractNumId w:val="6"/>
    <w:lvlOverride w:ilvl="0">
      <w:startOverride w:val="89"/>
    </w:lvlOverride>
  </w:num>
  <w:num w:numId="99">
    <w:abstractNumId w:val="100"/>
  </w:num>
  <w:num w:numId="100">
    <w:abstractNumId w:val="100"/>
    <w:lvlOverride w:ilvl="0">
      <w:startOverride w:val="93"/>
    </w:lvlOverride>
  </w:num>
  <w:num w:numId="101">
    <w:abstractNumId w:val="91"/>
  </w:num>
  <w:num w:numId="102">
    <w:abstractNumId w:val="91"/>
    <w:lvlOverride w:ilvl="0">
      <w:startOverride w:val="1"/>
    </w:lvlOverride>
  </w:num>
  <w:num w:numId="103">
    <w:abstractNumId w:val="114"/>
  </w:num>
  <w:num w:numId="104">
    <w:abstractNumId w:val="114"/>
    <w:lvlOverride w:ilvl="0">
      <w:startOverride w:val="1"/>
    </w:lvlOverride>
  </w:num>
  <w:num w:numId="105">
    <w:abstractNumId w:val="151"/>
  </w:num>
  <w:num w:numId="106">
    <w:abstractNumId w:val="151"/>
    <w:lvlOverride w:ilvl="0">
      <w:startOverride w:val="1"/>
    </w:lvlOverride>
  </w:num>
  <w:num w:numId="107">
    <w:abstractNumId w:val="141"/>
  </w:num>
  <w:num w:numId="108">
    <w:abstractNumId w:val="141"/>
    <w:lvlOverride w:ilvl="0">
      <w:startOverride w:val="95"/>
    </w:lvlOverride>
  </w:num>
  <w:num w:numId="109">
    <w:abstractNumId w:val="93"/>
  </w:num>
  <w:num w:numId="110">
    <w:abstractNumId w:val="35"/>
  </w:num>
  <w:num w:numId="111">
    <w:abstractNumId w:val="8"/>
  </w:num>
  <w:num w:numId="112">
    <w:abstractNumId w:val="144"/>
  </w:num>
  <w:num w:numId="113">
    <w:abstractNumId w:val="156"/>
  </w:num>
  <w:num w:numId="114">
    <w:abstractNumId w:val="136"/>
  </w:num>
  <w:num w:numId="115">
    <w:abstractNumId w:val="28"/>
  </w:num>
  <w:num w:numId="116">
    <w:abstractNumId w:val="49"/>
  </w:num>
  <w:num w:numId="117">
    <w:abstractNumId w:val="83"/>
  </w:num>
  <w:num w:numId="118">
    <w:abstractNumId w:val="5"/>
  </w:num>
  <w:num w:numId="119">
    <w:abstractNumId w:val="4"/>
  </w:num>
  <w:num w:numId="120">
    <w:abstractNumId w:val="68"/>
  </w:num>
  <w:num w:numId="121">
    <w:abstractNumId w:val="140"/>
  </w:num>
  <w:num w:numId="122">
    <w:abstractNumId w:val="131"/>
  </w:num>
  <w:num w:numId="123">
    <w:abstractNumId w:val="70"/>
  </w:num>
  <w:num w:numId="124">
    <w:abstractNumId w:val="128"/>
  </w:num>
  <w:num w:numId="125">
    <w:abstractNumId w:val="55"/>
  </w:num>
  <w:num w:numId="126">
    <w:abstractNumId w:val="94"/>
  </w:num>
  <w:num w:numId="127">
    <w:abstractNumId w:val="116"/>
  </w:num>
  <w:num w:numId="128">
    <w:abstractNumId w:val="36"/>
  </w:num>
  <w:num w:numId="129">
    <w:abstractNumId w:val="26"/>
  </w:num>
  <w:num w:numId="130">
    <w:abstractNumId w:val="86"/>
  </w:num>
  <w:num w:numId="131">
    <w:abstractNumId w:val="145"/>
  </w:num>
  <w:num w:numId="132">
    <w:abstractNumId w:val="102"/>
  </w:num>
  <w:num w:numId="133">
    <w:abstractNumId w:val="40"/>
  </w:num>
  <w:num w:numId="134">
    <w:abstractNumId w:val="30"/>
  </w:num>
  <w:num w:numId="135">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6">
    <w:abstractNumId w:val="147"/>
  </w:num>
  <w:num w:numId="137">
    <w:abstractNumId w:val="43"/>
  </w:num>
  <w:num w:numId="138">
    <w:abstractNumId w:val="118"/>
  </w:num>
  <w:num w:numId="139">
    <w:abstractNumId w:val="104"/>
  </w:num>
  <w:num w:numId="140">
    <w:abstractNumId w:val="113"/>
  </w:num>
  <w:num w:numId="141">
    <w:abstractNumId w:val="17"/>
  </w:num>
  <w:num w:numId="142">
    <w:abstractNumId w:val="38"/>
  </w:num>
  <w:num w:numId="143">
    <w:abstractNumId w:val="139"/>
  </w:num>
  <w:num w:numId="144">
    <w:abstractNumId w:val="72"/>
  </w:num>
  <w:num w:numId="145">
    <w:abstractNumId w:val="11"/>
  </w:num>
  <w:num w:numId="146">
    <w:abstractNumId w:val="105"/>
  </w:num>
  <w:num w:numId="147">
    <w:abstractNumId w:val="33"/>
  </w:num>
  <w:num w:numId="148">
    <w:abstractNumId w:val="155"/>
  </w:num>
  <w:num w:numId="149">
    <w:abstractNumId w:val="138"/>
  </w:num>
  <w:num w:numId="150">
    <w:abstractNumId w:val="47"/>
  </w:num>
  <w:num w:numId="151">
    <w:abstractNumId w:val="23"/>
  </w:num>
  <w:num w:numId="152">
    <w:abstractNumId w:val="52"/>
  </w:num>
  <w:num w:numId="153">
    <w:abstractNumId w:val="10"/>
  </w:num>
  <w:num w:numId="154">
    <w:abstractNumId w:val="87"/>
  </w:num>
  <w:num w:numId="155">
    <w:abstractNumId w:val="137"/>
  </w:num>
  <w:num w:numId="156">
    <w:abstractNumId w:val="88"/>
  </w:num>
  <w:num w:numId="157">
    <w:abstractNumId w:val="107"/>
  </w:num>
  <w:num w:numId="158">
    <w:abstractNumId w:val="126"/>
  </w:num>
  <w:num w:numId="159">
    <w:abstractNumId w:val="117"/>
  </w:num>
  <w:num w:numId="160">
    <w:abstractNumId w:val="152"/>
  </w:num>
  <w:num w:numId="161">
    <w:abstractNumId w:val="125"/>
  </w:num>
  <w:num w:numId="162">
    <w:abstractNumId w:val="34"/>
  </w:num>
  <w:num w:numId="163">
    <w:abstractNumId w:val="44"/>
  </w:num>
  <w:num w:numId="164">
    <w:abstractNumId w:val="7"/>
  </w:num>
  <w:num w:numId="165">
    <w:abstractNumId w:val="157"/>
  </w:num>
  <w:num w:numId="166">
    <w:abstractNumId w:val="101"/>
  </w:num>
  <w:num w:numId="167">
    <w:abstractNumId w:val="89"/>
  </w:num>
  <w:num w:numId="168">
    <w:abstractNumId w:val="46"/>
  </w:num>
  <w:num w:numId="169">
    <w:abstractNumId w:val="45"/>
  </w:num>
  <w:num w:numId="170">
    <w:abstractNumId w:val="37"/>
  </w:num>
  <w:num w:numId="171">
    <w:abstractNumId w:val="25"/>
  </w:num>
  <w:num w:numId="172">
    <w:abstractNumId w:val="154"/>
  </w:num>
  <w:num w:numId="173">
    <w:abstractNumId w:val="51"/>
  </w:num>
  <w:num w:numId="174">
    <w:abstractNumId w:val="90"/>
  </w:num>
  <w:num w:numId="175">
    <w:abstractNumId w:val="150"/>
  </w:num>
  <w:num w:numId="176">
    <w:abstractNumId w:val="109"/>
  </w:num>
  <w:num w:numId="177">
    <w:abstractNumId w:val="98"/>
  </w:num>
  <w:num w:numId="178">
    <w:abstractNumId w:val="119"/>
  </w:num>
  <w:num w:numId="179">
    <w:abstractNumId w:val="162"/>
  </w:num>
  <w:num w:numId="180">
    <w:abstractNumId w:val="22"/>
  </w:num>
  <w:num w:numId="181">
    <w:abstractNumId w:val="63"/>
  </w:num>
  <w:num w:numId="182">
    <w:abstractNumId w:val="41"/>
  </w:num>
  <w:num w:numId="183">
    <w:abstractNumId w:val="39"/>
  </w:num>
  <w:num w:numId="184">
    <w:abstractNumId w:val="80"/>
  </w:num>
  <w:num w:numId="185">
    <w:abstractNumId w:val="148"/>
  </w:num>
  <w:num w:numId="186">
    <w:abstractNumId w:val="15"/>
  </w:num>
  <w:num w:numId="187">
    <w:abstractNumId w:val="96"/>
  </w:num>
  <w:num w:numId="188">
    <w:abstractNumId w:val="66"/>
  </w:num>
  <w:num w:numId="189">
    <w:abstractNumId w:val="20"/>
  </w:num>
  <w:num w:numId="190">
    <w:abstractNumId w:val="16"/>
  </w:num>
  <w:num w:numId="191">
    <w:abstractNumId w:val="73"/>
  </w:num>
  <w:num w:numId="192">
    <w:abstractNumId w:val="19"/>
  </w:num>
  <w:num w:numId="193">
    <w:abstractNumId w:val="60"/>
  </w:num>
  <w:num w:numId="194">
    <w:abstractNumId w:val="161"/>
  </w:num>
  <w:num w:numId="195">
    <w:abstractNumId w:val="24"/>
  </w:num>
  <w:num w:numId="196">
    <w:abstractNumId w:val="135"/>
  </w:num>
  <w:num w:numId="197">
    <w:abstractNumId w:val="14"/>
  </w:num>
  <w:num w:numId="198">
    <w:abstractNumId w:val="82"/>
  </w:num>
  <w:num w:numId="199">
    <w:abstractNumId w:val="158"/>
  </w:num>
  <w:num w:numId="200">
    <w:abstractNumId w:val="130"/>
  </w:num>
  <w:num w:numId="201">
    <w:abstractNumId w:val="108"/>
  </w:num>
  <w:num w:numId="202">
    <w:abstractNumId w:val="21"/>
  </w:num>
  <w:num w:numId="203">
    <w:abstractNumId w:val="106"/>
  </w:num>
  <w:num w:numId="204">
    <w:abstractNumId w:val="143"/>
  </w:num>
  <w:num w:numId="205">
    <w:abstractNumId w:val="57"/>
  </w:num>
  <w:num w:numId="206">
    <w:abstractNumId w:val="92"/>
  </w:num>
  <w:num w:numId="207">
    <w:abstractNumId w:val="123"/>
  </w:num>
  <w:num w:numId="208">
    <w:abstractNumId w:val="56"/>
  </w:num>
  <w:num w:numId="209">
    <w:abstractNumId w:val="64"/>
  </w:num>
  <w:num w:numId="210">
    <w:abstractNumId w:val="122"/>
  </w:num>
  <w:num w:numId="211">
    <w:abstractNumId w:val="85"/>
  </w:num>
  <w:num w:numId="212">
    <w:abstractNumId w:val="2"/>
  </w:num>
  <w:num w:numId="213">
    <w:abstractNumId w:val="65"/>
  </w:num>
  <w:num w:numId="214">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9/09/2005 14:23:50"/>
    <w:docVar w:name="DocCategory" w:val="Doc"/>
    <w:docVar w:name="DocType" w:val="Final"/>
    <w:docVar w:name="JobNo" w:val="0444575S"/>
    <w:docVar w:name="OandT" w:val="mar"/>
    <w:docVar w:name="Symbol1" w:val="CEDAW/C/VEN/4-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paragraph" w:styleId="Heading3">
    <w:name w:val="heading 3"/>
    <w:basedOn w:val="Normal"/>
    <w:next w:val="Normal"/>
    <w:qFormat/>
    <w:pPr>
      <w:keepNext/>
      <w:suppressAutoHyphens w:val="0"/>
      <w:spacing w:before="120" w:after="120" w:line="240" w:lineRule="auto"/>
      <w:ind w:left="851"/>
      <w:jc w:val="both"/>
      <w:outlineLvl w:val="2"/>
    </w:pPr>
    <w:rPr>
      <w:rFonts w:ascii="Arial" w:hAnsi="Arial"/>
      <w:b/>
      <w:spacing w:val="0"/>
      <w:w w:val="100"/>
      <w:kern w:val="0"/>
      <w:sz w:val="24"/>
      <w:u w:val="single"/>
      <w:lang w:val="es-VE"/>
    </w:rPr>
  </w:style>
  <w:style w:type="paragraph" w:styleId="Heading4">
    <w:name w:val="heading 4"/>
    <w:basedOn w:val="Normal"/>
    <w:next w:val="Normal"/>
    <w:qFormat/>
    <w:pPr>
      <w:keepNext/>
      <w:tabs>
        <w:tab w:val="left" w:pos="-1560"/>
        <w:tab w:val="left" w:pos="-1134"/>
        <w:tab w:val="left" w:pos="-851"/>
      </w:tabs>
      <w:suppressAutoHyphens w:val="0"/>
      <w:spacing w:line="360" w:lineRule="auto"/>
      <w:ind w:left="851" w:right="288"/>
      <w:jc w:val="both"/>
      <w:outlineLvl w:val="3"/>
    </w:pPr>
    <w:rPr>
      <w:rFonts w:ascii="Arial" w:hAnsi="Arial"/>
      <w:spacing w:val="0"/>
      <w:w w:val="100"/>
      <w:kern w:val="0"/>
      <w:sz w:val="24"/>
      <w:lang w:val="es-VE"/>
    </w:rPr>
  </w:style>
  <w:style w:type="paragraph" w:styleId="Heading8">
    <w:name w:val="heading 8"/>
    <w:basedOn w:val="Normal"/>
    <w:next w:val="Normal"/>
    <w:qFormat/>
    <w:pPr>
      <w:keepNext/>
      <w:suppressAutoHyphens w:val="0"/>
      <w:spacing w:line="360" w:lineRule="auto"/>
      <w:jc w:val="center"/>
      <w:outlineLvl w:val="7"/>
    </w:pPr>
    <w:rPr>
      <w:rFonts w:ascii="Arial" w:hAnsi="Arial"/>
      <w:b/>
      <w:spacing w:val="0"/>
      <w:w w:val="100"/>
      <w:kern w:val="0"/>
      <w:sz w:val="24"/>
      <w:lang w:val="es-VE"/>
    </w:rPr>
  </w:style>
  <w:style w:type="paragraph" w:styleId="Heading9">
    <w:name w:val="heading 9"/>
    <w:basedOn w:val="Normal"/>
    <w:next w:val="Normal"/>
    <w:qFormat/>
    <w:pPr>
      <w:keepNext/>
      <w:suppressAutoHyphens w:val="0"/>
      <w:spacing w:line="360" w:lineRule="auto"/>
      <w:jc w:val="both"/>
      <w:outlineLvl w:val="8"/>
    </w:pPr>
    <w:rPr>
      <w:rFonts w:ascii="Arial" w:hAnsi="Arial"/>
      <w:b/>
      <w:spacing w:val="0"/>
      <w:w w:val="100"/>
      <w:kern w:val="0"/>
      <w:sz w:val="24"/>
      <w:lang w:val="es-V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odyTextIndent3">
    <w:name w:val="Body Text Indent 3"/>
    <w:basedOn w:val="Normal"/>
    <w:semiHidden/>
    <w:pPr>
      <w:tabs>
        <w:tab w:val="left" w:pos="360"/>
      </w:tabs>
      <w:suppressAutoHyphens w:val="0"/>
      <w:spacing w:line="360" w:lineRule="auto"/>
      <w:ind w:left="360"/>
      <w:jc w:val="both"/>
    </w:pPr>
    <w:rPr>
      <w:rFonts w:ascii="Arial" w:hAnsi="Arial"/>
      <w:spacing w:val="0"/>
      <w:w w:val="100"/>
      <w:kern w:val="0"/>
      <w:sz w:val="24"/>
      <w:lang w:val="es-VE"/>
    </w:rPr>
  </w:style>
  <w:style w:type="paragraph" w:styleId="BodyTextIndent">
    <w:name w:val="Body Text Indent"/>
    <w:basedOn w:val="Normal"/>
    <w:semiHidden/>
    <w:pPr>
      <w:suppressAutoHyphens w:val="0"/>
      <w:spacing w:line="360" w:lineRule="auto"/>
      <w:ind w:left="708"/>
      <w:jc w:val="both"/>
    </w:pPr>
    <w:rPr>
      <w:rFonts w:ascii="Arial" w:hAnsi="Arial"/>
      <w:spacing w:val="0"/>
      <w:w w:val="100"/>
      <w:kern w:val="0"/>
      <w:sz w:val="24"/>
      <w:lang w:val="es-VE"/>
    </w:rPr>
  </w:style>
  <w:style w:type="paragraph" w:customStyle="1" w:styleId="BodyTextIndent21">
    <w:name w:val="Body Text Indent 21"/>
    <w:basedOn w:val="Normal"/>
    <w:pPr>
      <w:suppressAutoHyphens w:val="0"/>
      <w:spacing w:line="360" w:lineRule="auto"/>
      <w:ind w:left="426"/>
      <w:jc w:val="both"/>
    </w:pPr>
    <w:rPr>
      <w:rFonts w:ascii="Arial" w:hAnsi="Arial"/>
      <w:spacing w:val="0"/>
      <w:w w:val="100"/>
      <w:kern w:val="0"/>
      <w:sz w:val="24"/>
      <w:lang w:val="es-VE"/>
    </w:rPr>
  </w:style>
  <w:style w:type="paragraph" w:styleId="BodyText">
    <w:name w:val="Body Text"/>
    <w:basedOn w:val="Normal"/>
    <w:semiHidden/>
    <w:pPr>
      <w:suppressAutoHyphens w:val="0"/>
      <w:spacing w:after="240" w:line="240" w:lineRule="atLeast"/>
      <w:ind w:left="1080"/>
      <w:jc w:val="both"/>
    </w:pPr>
    <w:rPr>
      <w:rFonts w:ascii="Arial" w:hAnsi="Arial"/>
      <w:spacing w:val="-5"/>
      <w:w w:val="100"/>
      <w:kern w:val="0"/>
      <w:lang w:val="es-VE"/>
    </w:rPr>
  </w:style>
  <w:style w:type="paragraph" w:styleId="BodyText2">
    <w:name w:val="Body Text 2"/>
    <w:basedOn w:val="Normal"/>
    <w:semiHidden/>
    <w:pPr>
      <w:suppressAutoHyphens w:val="0"/>
      <w:spacing w:line="240" w:lineRule="auto"/>
      <w:jc w:val="both"/>
    </w:pPr>
    <w:rPr>
      <w:rFonts w:ascii="Arial" w:hAnsi="Arial"/>
      <w:b/>
      <w:spacing w:val="0"/>
      <w:w w:val="100"/>
      <w:kern w:val="0"/>
      <w:sz w:val="24"/>
      <w:lang w:val="es-VE"/>
    </w:rPr>
  </w:style>
  <w:style w:type="paragraph" w:styleId="BodyText3">
    <w:name w:val="Body Text 3"/>
    <w:basedOn w:val="Normal"/>
    <w:semiHidden/>
    <w:pPr>
      <w:suppressAutoHyphens w:val="0"/>
      <w:spacing w:line="360" w:lineRule="auto"/>
      <w:ind w:right="170"/>
      <w:jc w:val="both"/>
    </w:pPr>
    <w:rPr>
      <w:rFonts w:ascii="Arial" w:hAnsi="Arial"/>
      <w:spacing w:val="0"/>
      <w:w w:val="100"/>
      <w:kern w:val="0"/>
      <w:sz w:val="24"/>
      <w:lang w:val="es-V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3.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oleObject" Target="embeddings/oleObject1.bin"/><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wm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151</TotalTime>
  <Pages>49</Pages>
  <Words>20556</Words>
  <Characters>117171</Characters>
  <Application>Microsoft Office Word</Application>
  <DocSecurity>4</DocSecurity>
  <Lines>976</Lines>
  <Paragraphs>234</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143894</CharactersWithSpaces>
  <SharedDoc>false</SharedDoc>
  <HLinks>
    <vt:vector size="6" baseType="variant">
      <vt:variant>
        <vt:i4>4522087</vt:i4>
      </vt:variant>
      <vt:variant>
        <vt:i4>144885</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ramirez, marcela</dc:creator>
  <cp:keywords/>
  <dc:description/>
  <cp:lastModifiedBy>Barrezueta, Piedad</cp:lastModifiedBy>
  <cp:revision>60</cp:revision>
  <cp:lastPrinted>2005-09-09T17:43:00Z</cp:lastPrinted>
  <dcterms:created xsi:type="dcterms:W3CDTF">2005-09-09T12:23:00Z</dcterms:created>
  <dcterms:modified xsi:type="dcterms:W3CDTF">2005-09-12T07:49:00Z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0444575</vt:lpwstr>
  </property>
  <property fmtid="{D5CDD505-2E9C-101B-9397-08002B2CF9AE}" pid="3" name="Symbol1">
    <vt:lpwstr>CEDAW/C/VEN/4-6*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49</vt:lpwstr>
  </property>
  <property fmtid="{D5CDD505-2E9C-101B-9397-08002B2CF9AE}" pid="8" name="Operator">
    <vt:lpwstr>mar</vt:lpwstr>
  </property>
</Properties>
</file>