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92899" w14:textId="77777777" w:rsidR="0073655F" w:rsidRPr="00476921" w:rsidRDefault="0073655F" w:rsidP="0073655F">
      <w:pPr>
        <w:spacing w:line="60" w:lineRule="exact"/>
        <w:rPr>
          <w:sz w:val="2"/>
        </w:rPr>
        <w:sectPr w:rsidR="0073655F" w:rsidRPr="00476921" w:rsidSect="000E481F">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476921">
        <w:rPr>
          <w:rStyle w:val="ad"/>
        </w:rPr>
        <w:commentReference w:id="0"/>
      </w:r>
    </w:p>
    <w:p w14:paraId="46E2B963" w14:textId="77777777" w:rsidR="00C22874" w:rsidRPr="00476921" w:rsidRDefault="00C22874" w:rsidP="008C5F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476921">
        <w:rPr>
          <w:rFonts w:hint="eastAsia"/>
        </w:rPr>
        <w:t>消除对妇女歧视委员会</w:t>
      </w:r>
    </w:p>
    <w:p w14:paraId="2715D0C2" w14:textId="5F74FA5F" w:rsidR="006F3562" w:rsidRPr="00476921" w:rsidRDefault="006F3562" w:rsidP="006F35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476921">
        <w:rPr>
          <w:noProof/>
        </w:rPr>
        <mc:AlternateContent>
          <mc:Choice Requires="wps">
            <w:drawing>
              <wp:anchor distT="0" distB="0" distL="114300" distR="114300" simplePos="0" relativeHeight="251661312" behindDoc="0" locked="0" layoutInCell="1" allowOverlap="1" wp14:anchorId="13C3C13C" wp14:editId="36C99E6F">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607EB7C7"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476921">
        <w:rPr>
          <w:sz w:val="18"/>
        </w:rPr>
        <w:tab/>
      </w:r>
      <w:r w:rsidR="00FA2C6E" w:rsidRPr="00476921">
        <w:rPr>
          <w:sz w:val="18"/>
        </w:rPr>
        <w:t>*</w:t>
      </w:r>
      <w:r w:rsidRPr="00476921">
        <w:rPr>
          <w:sz w:val="18"/>
        </w:rPr>
        <w:tab/>
      </w:r>
      <w:r w:rsidR="00FA2C6E" w:rsidRPr="00476921">
        <w:rPr>
          <w:rFonts w:hint="eastAsia"/>
          <w:sz w:val="18"/>
        </w:rPr>
        <w:t>委员会第八十三届会议</w:t>
      </w:r>
      <w:r w:rsidR="00FA2C6E" w:rsidRPr="00476921">
        <w:rPr>
          <w:rFonts w:hint="eastAsia"/>
          <w:sz w:val="18"/>
        </w:rPr>
        <w:t>(2022</w:t>
      </w:r>
      <w:r w:rsidR="00FA2C6E" w:rsidRPr="00476921">
        <w:rPr>
          <w:rFonts w:hint="eastAsia"/>
          <w:sz w:val="18"/>
        </w:rPr>
        <w:t>年</w:t>
      </w:r>
      <w:r w:rsidR="00FA2C6E" w:rsidRPr="00476921">
        <w:rPr>
          <w:rFonts w:hint="eastAsia"/>
          <w:sz w:val="18"/>
        </w:rPr>
        <w:t>10</w:t>
      </w:r>
      <w:r w:rsidR="00FA2C6E" w:rsidRPr="00476921">
        <w:rPr>
          <w:rFonts w:hint="eastAsia"/>
          <w:sz w:val="18"/>
        </w:rPr>
        <w:t>月</w:t>
      </w:r>
      <w:r w:rsidR="00FA2C6E" w:rsidRPr="00476921">
        <w:rPr>
          <w:rFonts w:hint="eastAsia"/>
          <w:sz w:val="18"/>
        </w:rPr>
        <w:t>10</w:t>
      </w:r>
      <w:r w:rsidR="00FA2C6E" w:rsidRPr="00476921">
        <w:rPr>
          <w:rFonts w:hint="eastAsia"/>
          <w:sz w:val="18"/>
        </w:rPr>
        <w:t>日至</w:t>
      </w:r>
      <w:r w:rsidR="00FA2C6E" w:rsidRPr="00476921">
        <w:rPr>
          <w:rFonts w:hint="eastAsia"/>
          <w:sz w:val="18"/>
        </w:rPr>
        <w:t>28</w:t>
      </w:r>
      <w:r w:rsidR="00FA2C6E" w:rsidRPr="00476921">
        <w:rPr>
          <w:rFonts w:hint="eastAsia"/>
          <w:sz w:val="18"/>
        </w:rPr>
        <w:t>日</w:t>
      </w:r>
      <w:r w:rsidR="00FA2C6E" w:rsidRPr="00476921">
        <w:rPr>
          <w:rFonts w:hint="eastAsia"/>
          <w:sz w:val="18"/>
        </w:rPr>
        <w:t>)</w:t>
      </w:r>
      <w:r w:rsidR="00FA2C6E" w:rsidRPr="00476921">
        <w:rPr>
          <w:rFonts w:hint="eastAsia"/>
          <w:sz w:val="18"/>
        </w:rPr>
        <w:t>通过。</w:t>
      </w:r>
    </w:p>
    <w:p w14:paraId="02EEEE66" w14:textId="77777777" w:rsidR="00C22874" w:rsidRPr="00476921" w:rsidRDefault="00C22874" w:rsidP="008C5F8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476921">
        <w:rPr>
          <w:rFonts w:hint="eastAsia"/>
        </w:rPr>
        <w:tab/>
      </w:r>
      <w:r w:rsidRPr="00476921">
        <w:rPr>
          <w:rFonts w:hint="eastAsia"/>
        </w:rPr>
        <w:tab/>
      </w:r>
      <w:r w:rsidRPr="00476921">
        <w:rPr>
          <w:rFonts w:hint="eastAsia"/>
        </w:rPr>
        <w:t>关于瑞士第六次定期报告的结论性意见</w:t>
      </w:r>
      <w:r w:rsidRPr="00476921">
        <w:rPr>
          <w:rFonts w:hint="eastAsia"/>
        </w:rPr>
        <w:t>*</w:t>
      </w:r>
    </w:p>
    <w:p w14:paraId="62F106D6" w14:textId="46D1B3AE" w:rsidR="00C22874" w:rsidRPr="00476921" w:rsidRDefault="00C22874" w:rsidP="00C22874">
      <w:pPr>
        <w:pStyle w:val="SingleTxt"/>
      </w:pPr>
      <w:r w:rsidRPr="00476921">
        <w:rPr>
          <w:rFonts w:hint="eastAsia"/>
        </w:rPr>
        <w:t>1.</w:t>
      </w:r>
      <w:r w:rsidRPr="00476921">
        <w:rPr>
          <w:rFonts w:hint="eastAsia"/>
        </w:rPr>
        <w:tab/>
        <w:t>2022</w:t>
      </w:r>
      <w:r w:rsidRPr="00476921">
        <w:rPr>
          <w:rFonts w:hint="eastAsia"/>
        </w:rPr>
        <w:t>年</w:t>
      </w:r>
      <w:r w:rsidRPr="00476921">
        <w:rPr>
          <w:rFonts w:hint="eastAsia"/>
        </w:rPr>
        <w:t>10</w:t>
      </w:r>
      <w:r w:rsidRPr="00476921">
        <w:rPr>
          <w:rFonts w:hint="eastAsia"/>
        </w:rPr>
        <w:t>月</w:t>
      </w:r>
      <w:r w:rsidRPr="00476921">
        <w:rPr>
          <w:rFonts w:hint="eastAsia"/>
        </w:rPr>
        <w:t>21</w:t>
      </w:r>
      <w:r w:rsidRPr="00476921">
        <w:rPr>
          <w:rFonts w:hint="eastAsia"/>
        </w:rPr>
        <w:t>日，消除对妇女歧视委员会举行了第</w:t>
      </w:r>
      <w:r w:rsidRPr="00476921">
        <w:rPr>
          <w:rFonts w:hint="eastAsia"/>
        </w:rPr>
        <w:t>1927</w:t>
      </w:r>
      <w:r w:rsidRPr="00476921">
        <w:rPr>
          <w:rFonts w:hint="eastAsia"/>
        </w:rPr>
        <w:t>和</w:t>
      </w:r>
      <w:r w:rsidRPr="00476921">
        <w:rPr>
          <w:rFonts w:hint="eastAsia"/>
        </w:rPr>
        <w:t>1928</w:t>
      </w:r>
      <w:r w:rsidRPr="00476921">
        <w:rPr>
          <w:rFonts w:hint="eastAsia"/>
        </w:rPr>
        <w:t>次会议</w:t>
      </w:r>
      <w:r w:rsidRPr="00476921">
        <w:rPr>
          <w:rFonts w:hint="eastAsia"/>
        </w:rPr>
        <w:t>(</w:t>
      </w:r>
      <w:r w:rsidRPr="00476921">
        <w:rPr>
          <w:rFonts w:hint="eastAsia"/>
        </w:rPr>
        <w:t>见</w:t>
      </w:r>
      <w:hyperlink r:id="rId18" w:history="1">
        <w:r w:rsidRPr="00476921">
          <w:rPr>
            <w:rStyle w:val="af4"/>
            <w:rFonts w:hint="eastAsia"/>
          </w:rPr>
          <w:t>CEDAW/C/SR.1927</w:t>
        </w:r>
      </w:hyperlink>
      <w:r w:rsidRPr="00476921">
        <w:rPr>
          <w:rFonts w:hint="eastAsia"/>
        </w:rPr>
        <w:t>和</w:t>
      </w:r>
      <w:hyperlink r:id="rId19" w:history="1">
        <w:r w:rsidRPr="00476921">
          <w:rPr>
            <w:rStyle w:val="af4"/>
            <w:rFonts w:hint="eastAsia"/>
          </w:rPr>
          <w:t>CEDAW/C/SR.1928</w:t>
        </w:r>
      </w:hyperlink>
      <w:r w:rsidRPr="00476921">
        <w:rPr>
          <w:rFonts w:hint="eastAsia"/>
        </w:rPr>
        <w:t>)</w:t>
      </w:r>
      <w:r w:rsidRPr="00476921">
        <w:rPr>
          <w:rFonts w:hint="eastAsia"/>
        </w:rPr>
        <w:t>，审议了瑞士的第六次定期报告</w:t>
      </w:r>
      <w:r w:rsidRPr="00476921">
        <w:rPr>
          <w:rFonts w:hint="eastAsia"/>
        </w:rPr>
        <w:t>(</w:t>
      </w:r>
      <w:hyperlink r:id="rId20" w:history="1">
        <w:r w:rsidRPr="00476921">
          <w:rPr>
            <w:rStyle w:val="af4"/>
            <w:rFonts w:hint="eastAsia"/>
          </w:rPr>
          <w:t>CEDAW/C/CHE/6</w:t>
        </w:r>
      </w:hyperlink>
      <w:r w:rsidRPr="00476921">
        <w:rPr>
          <w:rFonts w:hint="eastAsia"/>
        </w:rPr>
        <w:t>)</w:t>
      </w:r>
      <w:r w:rsidRPr="00476921">
        <w:rPr>
          <w:rFonts w:hint="eastAsia"/>
        </w:rPr>
        <w:t>。</w:t>
      </w:r>
    </w:p>
    <w:p w14:paraId="53A01DDA" w14:textId="77777777" w:rsidR="00C22874" w:rsidRPr="00476921" w:rsidRDefault="00C22874" w:rsidP="008C5F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t>A.</w:t>
      </w:r>
      <w:r w:rsidRPr="00476921">
        <w:rPr>
          <w:rFonts w:hint="eastAsia"/>
        </w:rPr>
        <w:tab/>
      </w:r>
      <w:r w:rsidRPr="00476921">
        <w:rPr>
          <w:rFonts w:hint="eastAsia"/>
        </w:rPr>
        <w:t>导言</w:t>
      </w:r>
    </w:p>
    <w:p w14:paraId="40A6136E" w14:textId="3713C089" w:rsidR="00C22874" w:rsidRPr="00476921" w:rsidRDefault="00C22874" w:rsidP="00C22874">
      <w:pPr>
        <w:pStyle w:val="SingleTxt"/>
      </w:pPr>
      <w:r w:rsidRPr="00476921">
        <w:rPr>
          <w:rFonts w:hint="eastAsia"/>
        </w:rPr>
        <w:t>2.</w:t>
      </w:r>
      <w:r w:rsidRPr="00476921">
        <w:rPr>
          <w:rFonts w:hint="eastAsia"/>
        </w:rPr>
        <w:tab/>
      </w:r>
      <w:r w:rsidRPr="00476921">
        <w:rPr>
          <w:rFonts w:hint="eastAsia"/>
        </w:rPr>
        <w:t>委员会赞赏缔约国提交了第六次定期报告。该报告是根据报告前的议题和问题清单</w:t>
      </w:r>
      <w:r w:rsidRPr="00476921">
        <w:rPr>
          <w:rFonts w:hint="eastAsia"/>
        </w:rPr>
        <w:t>(</w:t>
      </w:r>
      <w:hyperlink r:id="rId21" w:history="1">
        <w:r w:rsidRPr="00476921">
          <w:rPr>
            <w:rStyle w:val="af4"/>
            <w:rFonts w:hint="eastAsia"/>
          </w:rPr>
          <w:t>CEDAW/C/CHE/QPR/6</w:t>
        </w:r>
      </w:hyperlink>
      <w:r w:rsidRPr="00476921">
        <w:rPr>
          <w:rFonts w:hint="eastAsia"/>
        </w:rPr>
        <w:t>)</w:t>
      </w:r>
      <w:r w:rsidRPr="00476921">
        <w:rPr>
          <w:rFonts w:hint="eastAsia"/>
        </w:rPr>
        <w:t>编写的。委</w:t>
      </w:r>
      <w:r w:rsidRPr="00476921">
        <w:rPr>
          <w:rFonts w:hint="eastAsia"/>
        </w:rPr>
        <w:lastRenderedPageBreak/>
        <w:t>员会还赞赏缔约国就委员会先前的结论性意见提交的后续报告</w:t>
      </w:r>
      <w:r w:rsidRPr="00476921">
        <w:rPr>
          <w:rFonts w:hint="eastAsia"/>
        </w:rPr>
        <w:t>(</w:t>
      </w:r>
      <w:hyperlink r:id="rId22" w:history="1">
        <w:r w:rsidRPr="00476921">
          <w:rPr>
            <w:rStyle w:val="af4"/>
            <w:rFonts w:hint="eastAsia"/>
          </w:rPr>
          <w:t>CEDAW/C/CHE/CO/4-5/Add.1</w:t>
        </w:r>
      </w:hyperlink>
      <w:r w:rsidRPr="00476921">
        <w:rPr>
          <w:rFonts w:hint="eastAsia"/>
        </w:rPr>
        <w:t>)</w:t>
      </w:r>
      <w:r w:rsidRPr="00476921">
        <w:rPr>
          <w:rFonts w:hint="eastAsia"/>
        </w:rPr>
        <w:t>。委员会欢迎该国代表团的口头介绍以及在对话期间对委员会口头提出的问题作出的进一步说明。</w:t>
      </w:r>
    </w:p>
    <w:p w14:paraId="3E4437A1" w14:textId="764B658D" w:rsidR="00C22874" w:rsidRPr="00476921" w:rsidRDefault="00C22874" w:rsidP="00C22874">
      <w:pPr>
        <w:pStyle w:val="SingleTxt"/>
      </w:pPr>
      <w:r w:rsidRPr="00476921">
        <w:rPr>
          <w:rFonts w:hint="eastAsia"/>
        </w:rPr>
        <w:t>3.</w:t>
      </w:r>
      <w:r w:rsidRPr="00476921">
        <w:rPr>
          <w:rFonts w:hint="eastAsia"/>
        </w:rPr>
        <w:tab/>
      </w:r>
      <w:r w:rsidRPr="00476921">
        <w:rPr>
          <w:rFonts w:hint="eastAsia"/>
        </w:rPr>
        <w:t>委员</w:t>
      </w:r>
      <w:r w:rsidRPr="00803DED">
        <w:rPr>
          <w:rFonts w:hint="eastAsia"/>
          <w:spacing w:val="4"/>
        </w:rPr>
        <w:t>会赞扬缔约国派出了由联邦性别平等办公室</w:t>
      </w:r>
      <w:r w:rsidRPr="00476921">
        <w:rPr>
          <w:rFonts w:hint="eastAsia"/>
        </w:rPr>
        <w:t>主任西尔维</w:t>
      </w:r>
      <w:r w:rsidR="00803DED">
        <w:rPr>
          <w:rFonts w:hint="eastAsia"/>
        </w:rPr>
        <w:t>·</w:t>
      </w:r>
      <w:r w:rsidRPr="00476921">
        <w:rPr>
          <w:rFonts w:hint="eastAsia"/>
        </w:rPr>
        <w:t>杜雷尔率领的多部门代表团，其中包括瑞士性别平等代表会议、联邦性别平等办公室、联邦社会保险办公室、联邦司法办公室、联邦警察办公室、联邦公共卫生办公室、经济事务国务秘书处、移民事务国务秘书处、外交部人权外交科、联邦统计局和瑞士常驻联合国日内瓦办事处和其他国际组织代表团的代表。</w:t>
      </w:r>
    </w:p>
    <w:p w14:paraId="5A16FF11" w14:textId="77777777" w:rsidR="00C22874" w:rsidRPr="00476921" w:rsidRDefault="00C22874" w:rsidP="008C5F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lastRenderedPageBreak/>
        <w:tab/>
        <w:t>B.</w:t>
      </w:r>
      <w:r w:rsidRPr="00476921">
        <w:rPr>
          <w:rFonts w:hint="eastAsia"/>
        </w:rPr>
        <w:tab/>
      </w:r>
      <w:r w:rsidRPr="00476921">
        <w:rPr>
          <w:rFonts w:hint="eastAsia"/>
        </w:rPr>
        <w:t>积极方面</w:t>
      </w:r>
    </w:p>
    <w:p w14:paraId="3F441860" w14:textId="79F29D1F" w:rsidR="00C22874" w:rsidRPr="00476921" w:rsidRDefault="00C22874" w:rsidP="00C22874">
      <w:pPr>
        <w:pStyle w:val="SingleTxt"/>
      </w:pPr>
      <w:r w:rsidRPr="00476921">
        <w:rPr>
          <w:rFonts w:hint="eastAsia"/>
        </w:rPr>
        <w:t>4.</w:t>
      </w:r>
      <w:r w:rsidRPr="00476921">
        <w:rPr>
          <w:rFonts w:hint="eastAsia"/>
        </w:rPr>
        <w:tab/>
      </w:r>
      <w:r w:rsidRPr="00476921">
        <w:rPr>
          <w:rFonts w:hint="eastAsia"/>
        </w:rPr>
        <w:t>委员会欢迎自</w:t>
      </w:r>
      <w:r w:rsidRPr="00476921">
        <w:rPr>
          <w:rFonts w:hint="eastAsia"/>
        </w:rPr>
        <w:t>2016</w:t>
      </w:r>
      <w:r w:rsidRPr="00476921">
        <w:rPr>
          <w:rFonts w:hint="eastAsia"/>
        </w:rPr>
        <w:t>年审议缔约国第四次和第五次合并定期报告</w:t>
      </w:r>
      <w:r w:rsidRPr="00476921">
        <w:rPr>
          <w:rFonts w:hint="eastAsia"/>
        </w:rPr>
        <w:t>(</w:t>
      </w:r>
      <w:hyperlink r:id="rId23" w:history="1">
        <w:r w:rsidRPr="00476921">
          <w:rPr>
            <w:rStyle w:val="af4"/>
            <w:rFonts w:hint="eastAsia"/>
          </w:rPr>
          <w:t>CEDAW/C/CHE/CO/4-5</w:t>
        </w:r>
      </w:hyperlink>
      <w:r w:rsidRPr="00476921">
        <w:rPr>
          <w:rFonts w:hint="eastAsia"/>
        </w:rPr>
        <w:t>和</w:t>
      </w:r>
      <w:hyperlink r:id="rId24" w:history="1">
        <w:r w:rsidRPr="00476921">
          <w:rPr>
            <w:rStyle w:val="af4"/>
            <w:rFonts w:hint="eastAsia"/>
          </w:rPr>
          <w:t>CEDAW/C/CHE/CO/4-5/Corr.1</w:t>
        </w:r>
      </w:hyperlink>
      <w:r w:rsidRPr="00476921">
        <w:rPr>
          <w:rFonts w:hint="eastAsia"/>
        </w:rPr>
        <w:t>)</w:t>
      </w:r>
      <w:r w:rsidRPr="00476921">
        <w:rPr>
          <w:rFonts w:hint="eastAsia"/>
        </w:rPr>
        <w:t>以来在进行立法改革方面取得的进展，特别是通过了以下法律：</w:t>
      </w:r>
    </w:p>
    <w:p w14:paraId="3267F59D" w14:textId="66147891"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hint="eastAsia"/>
        </w:rPr>
        <w:t>在</w:t>
      </w:r>
      <w:r w:rsidR="00C22874" w:rsidRPr="00476921">
        <w:rPr>
          <w:rFonts w:hint="eastAsia"/>
        </w:rPr>
        <w:t>2021</w:t>
      </w:r>
      <w:r w:rsidR="00C22874" w:rsidRPr="00476921">
        <w:rPr>
          <w:rFonts w:hint="eastAsia"/>
        </w:rPr>
        <w:t>年的全民投票中获得压倒性多数之后，</w:t>
      </w:r>
      <w:r w:rsidR="00C22874" w:rsidRPr="00476921">
        <w:rPr>
          <w:rFonts w:hint="eastAsia"/>
        </w:rPr>
        <w:t>2022</w:t>
      </w:r>
      <w:r w:rsidR="00C22874" w:rsidRPr="00476921">
        <w:rPr>
          <w:rFonts w:hint="eastAsia"/>
        </w:rPr>
        <w:t>年通过了承认同性婚姻的法律修正案；</w:t>
      </w:r>
    </w:p>
    <w:p w14:paraId="59466099" w14:textId="3A623834" w:rsidR="00C22874" w:rsidRPr="00476921" w:rsidRDefault="008C5F80" w:rsidP="00C22874">
      <w:pPr>
        <w:pStyle w:val="SingleTxt"/>
      </w:pPr>
      <w:r w:rsidRPr="00476921">
        <w:tab/>
      </w:r>
      <w:r w:rsidR="00C22874" w:rsidRPr="00476921">
        <w:rPr>
          <w:rFonts w:hint="eastAsia"/>
        </w:rPr>
        <w:t>(b)</w:t>
      </w:r>
      <w:r w:rsidR="00C22874" w:rsidRPr="00476921">
        <w:rPr>
          <w:rFonts w:hint="eastAsia"/>
        </w:rPr>
        <w:tab/>
        <w:t>2020</w:t>
      </w:r>
      <w:r w:rsidR="00C22874" w:rsidRPr="00476921">
        <w:rPr>
          <w:rFonts w:hint="eastAsia"/>
        </w:rPr>
        <w:t>年通过了《性别平等法》修正，以加强同值工作同等报酬原则；</w:t>
      </w:r>
    </w:p>
    <w:p w14:paraId="7BF4C23E" w14:textId="65130173" w:rsidR="00C22874" w:rsidRPr="00476921" w:rsidRDefault="008C5F80" w:rsidP="00C22874">
      <w:pPr>
        <w:pStyle w:val="SingleTxt"/>
      </w:pPr>
      <w:r w:rsidRPr="00476921">
        <w:tab/>
      </w:r>
      <w:r w:rsidR="00C22874" w:rsidRPr="00476921">
        <w:rPr>
          <w:rFonts w:hint="eastAsia"/>
        </w:rPr>
        <w:t>(c)</w:t>
      </w:r>
      <w:r w:rsidR="00C22874" w:rsidRPr="00476921">
        <w:rPr>
          <w:rFonts w:hint="eastAsia"/>
        </w:rPr>
        <w:tab/>
        <w:t>2019-2023</w:t>
      </w:r>
      <w:r w:rsidR="00C22874" w:rsidRPr="00476921">
        <w:rPr>
          <w:rFonts w:hint="eastAsia"/>
        </w:rPr>
        <w:t>年立法方案，包括四项与平等相关的措施；</w:t>
      </w:r>
    </w:p>
    <w:p w14:paraId="77CCBD9B" w14:textId="252B7B76" w:rsidR="00C22874" w:rsidRPr="00476921" w:rsidRDefault="008C5F80" w:rsidP="00F35B66">
      <w:pPr>
        <w:pStyle w:val="SingleTxt"/>
      </w:pPr>
      <w:r w:rsidRPr="00476921">
        <w:rPr>
          <w:sz w:val="20"/>
        </w:rPr>
        <w:lastRenderedPageBreak/>
        <w:tab/>
      </w:r>
      <w:r w:rsidR="00C22874" w:rsidRPr="00476921">
        <w:rPr>
          <w:rFonts w:hint="eastAsia"/>
        </w:rPr>
        <w:t>(d)</w:t>
      </w:r>
      <w:r w:rsidR="00C22874" w:rsidRPr="00476921">
        <w:rPr>
          <w:rFonts w:hint="eastAsia"/>
        </w:rPr>
        <w:tab/>
        <w:t>2018</w:t>
      </w:r>
      <w:r w:rsidR="00C22874" w:rsidRPr="00476921">
        <w:rPr>
          <w:rFonts w:hint="eastAsia"/>
        </w:rPr>
        <w:t>年通过了加强对暴力包括对妇女的性别暴力的受害者保护的联邦法律。</w:t>
      </w:r>
    </w:p>
    <w:p w14:paraId="0492D188" w14:textId="77777777" w:rsidR="00C22874" w:rsidRPr="00476921" w:rsidRDefault="00C22874" w:rsidP="00C22874">
      <w:pPr>
        <w:pStyle w:val="SingleTxt"/>
      </w:pPr>
      <w:r w:rsidRPr="00476921">
        <w:rPr>
          <w:rFonts w:hint="eastAsia"/>
        </w:rPr>
        <w:t>5.</w:t>
      </w:r>
      <w:r w:rsidRPr="00476921">
        <w:rPr>
          <w:rFonts w:hint="eastAsia"/>
        </w:rPr>
        <w:tab/>
      </w:r>
      <w:r w:rsidRPr="00476921">
        <w:rPr>
          <w:rFonts w:hint="eastAsia"/>
        </w:rPr>
        <w:t>委员会欢迎缔约国努力改进其体制和政策框架，以加速消除对妇女的歧视，促进性别平等，例如通过了以下文件和计划：</w:t>
      </w:r>
    </w:p>
    <w:p w14:paraId="0F7D0961" w14:textId="102C19D0" w:rsidR="00C22874" w:rsidRPr="00476921" w:rsidRDefault="008C5F80" w:rsidP="00C22874">
      <w:pPr>
        <w:pStyle w:val="SingleTxt"/>
      </w:pPr>
      <w:r w:rsidRPr="00476921">
        <w:tab/>
      </w:r>
      <w:r w:rsidR="00C22874" w:rsidRPr="00476921">
        <w:rPr>
          <w:rFonts w:hint="eastAsia"/>
        </w:rPr>
        <w:t>(a)</w:t>
      </w:r>
      <w:r w:rsidR="00C22874" w:rsidRPr="00476921">
        <w:rPr>
          <w:rFonts w:hint="eastAsia"/>
        </w:rPr>
        <w:tab/>
        <w:t>2022-2026</w:t>
      </w:r>
      <w:r w:rsidR="00C22874" w:rsidRPr="00476921">
        <w:rPr>
          <w:rFonts w:hint="eastAsia"/>
        </w:rPr>
        <w:t>年执行《欧洲委员会预防和打击暴力侵害妇女行为及家庭暴力公约》</w:t>
      </w:r>
      <w:r w:rsidR="00C22874" w:rsidRPr="00476921">
        <w:rPr>
          <w:rFonts w:hint="eastAsia"/>
        </w:rPr>
        <w:t>(</w:t>
      </w:r>
      <w:r w:rsidR="00C22874" w:rsidRPr="00476921">
        <w:rPr>
          <w:rFonts w:hint="eastAsia"/>
        </w:rPr>
        <w:t>《伊斯坦布尔公约》</w:t>
      </w:r>
      <w:r w:rsidR="00C22874" w:rsidRPr="00476921">
        <w:rPr>
          <w:rFonts w:hint="eastAsia"/>
        </w:rPr>
        <w:t>)</w:t>
      </w:r>
      <w:r w:rsidR="00C22874" w:rsidRPr="00476921">
        <w:rPr>
          <w:rFonts w:hint="eastAsia"/>
        </w:rPr>
        <w:t>国家行动计划；</w:t>
      </w:r>
    </w:p>
    <w:p w14:paraId="4ADD7FD7" w14:textId="06E70008"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hint="eastAsia"/>
        </w:rPr>
        <w:t>《</w:t>
      </w:r>
      <w:r w:rsidR="00C22874" w:rsidRPr="00476921">
        <w:rPr>
          <w:rFonts w:hint="eastAsia"/>
        </w:rPr>
        <w:t>2030</w:t>
      </w:r>
      <w:r w:rsidR="00C22874" w:rsidRPr="00476921">
        <w:rPr>
          <w:rFonts w:hint="eastAsia"/>
        </w:rPr>
        <w:t>年性别平等战略》及相关行动计划；</w:t>
      </w:r>
    </w:p>
    <w:p w14:paraId="2E7E3E63" w14:textId="66F8E09C"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hint="eastAsia"/>
        </w:rPr>
        <w:t>《</w:t>
      </w:r>
      <w:r w:rsidR="00C22874" w:rsidRPr="00476921">
        <w:rPr>
          <w:rFonts w:hint="eastAsia"/>
        </w:rPr>
        <w:t>2030</w:t>
      </w:r>
      <w:r w:rsidR="00C22874" w:rsidRPr="00476921">
        <w:rPr>
          <w:rFonts w:hint="eastAsia"/>
        </w:rPr>
        <w:t>年可持续发展战略》及相关行动计划，其中性别平等问题占据突出地位；</w:t>
      </w:r>
    </w:p>
    <w:p w14:paraId="3C2C294B" w14:textId="6B82AF10" w:rsidR="00C22874" w:rsidRPr="00476921" w:rsidRDefault="008C5F80" w:rsidP="00C22874">
      <w:pPr>
        <w:pStyle w:val="SingleTxt"/>
      </w:pPr>
      <w:r w:rsidRPr="00476921">
        <w:lastRenderedPageBreak/>
        <w:tab/>
      </w:r>
      <w:r w:rsidR="00C22874" w:rsidRPr="00476921">
        <w:rPr>
          <w:rFonts w:hint="eastAsia"/>
        </w:rPr>
        <w:t>(d)</w:t>
      </w:r>
      <w:r w:rsidR="00C22874" w:rsidRPr="00476921">
        <w:rPr>
          <w:rFonts w:hint="eastAsia"/>
        </w:rPr>
        <w:tab/>
      </w:r>
      <w:r w:rsidR="00C22874" w:rsidRPr="00476921">
        <w:rPr>
          <w:rFonts w:hint="eastAsia"/>
        </w:rPr>
        <w:t>执行安全理事会关于妇女与和平与安全的第</w:t>
      </w:r>
      <w:hyperlink r:id="rId25" w:history="1">
        <w:r w:rsidR="00C22874" w:rsidRPr="00476921">
          <w:rPr>
            <w:rStyle w:val="af4"/>
            <w:rFonts w:hint="eastAsia"/>
          </w:rPr>
          <w:t>1325(2000)</w:t>
        </w:r>
      </w:hyperlink>
      <w:r w:rsidR="00C22874" w:rsidRPr="00476921">
        <w:rPr>
          <w:rFonts w:hint="eastAsia"/>
        </w:rPr>
        <w:t>号决议的</w:t>
      </w:r>
      <w:r w:rsidR="00C22874" w:rsidRPr="00476921">
        <w:rPr>
          <w:rFonts w:hint="eastAsia"/>
        </w:rPr>
        <w:t>2018-2022</w:t>
      </w:r>
      <w:r w:rsidR="00C22874" w:rsidRPr="00476921">
        <w:rPr>
          <w:rFonts w:hint="eastAsia"/>
        </w:rPr>
        <w:t>年国家行动计划。</w:t>
      </w:r>
    </w:p>
    <w:p w14:paraId="0538E71C" w14:textId="77777777" w:rsidR="00C22874" w:rsidRPr="00476921" w:rsidRDefault="00C22874" w:rsidP="00C22874">
      <w:pPr>
        <w:pStyle w:val="SingleTxt"/>
      </w:pPr>
      <w:r w:rsidRPr="00476921">
        <w:rPr>
          <w:rFonts w:hint="eastAsia"/>
        </w:rPr>
        <w:t>6.</w:t>
      </w:r>
      <w:r w:rsidRPr="00476921">
        <w:rPr>
          <w:rFonts w:hint="eastAsia"/>
        </w:rPr>
        <w:tab/>
      </w:r>
      <w:r w:rsidRPr="00476921">
        <w:rPr>
          <w:rFonts w:hint="eastAsia"/>
        </w:rPr>
        <w:t>委员会欢迎缔约国自审议上次报告以来，于</w:t>
      </w:r>
      <w:r w:rsidRPr="00476921">
        <w:rPr>
          <w:rFonts w:hint="eastAsia"/>
        </w:rPr>
        <w:t>2017</w:t>
      </w:r>
      <w:r w:rsidRPr="00476921">
        <w:rPr>
          <w:rFonts w:hint="eastAsia"/>
        </w:rPr>
        <w:t>年批准了《伊斯坦布尔公约》。该公约于</w:t>
      </w:r>
      <w:r w:rsidRPr="00476921">
        <w:rPr>
          <w:rFonts w:hint="eastAsia"/>
        </w:rPr>
        <w:t>2018</w:t>
      </w:r>
      <w:r w:rsidRPr="00476921">
        <w:rPr>
          <w:rFonts w:hint="eastAsia"/>
        </w:rPr>
        <w:t>年生效。</w:t>
      </w:r>
    </w:p>
    <w:p w14:paraId="7306CDDF" w14:textId="77777777" w:rsidR="00C22874" w:rsidRPr="00476921" w:rsidRDefault="00C22874" w:rsidP="008C5F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t>C.</w:t>
      </w:r>
      <w:r w:rsidRPr="00476921">
        <w:rPr>
          <w:rFonts w:hint="eastAsia"/>
        </w:rPr>
        <w:tab/>
      </w:r>
      <w:r w:rsidRPr="00476921">
        <w:rPr>
          <w:rFonts w:hint="eastAsia"/>
        </w:rPr>
        <w:t>可持续发展目标</w:t>
      </w:r>
    </w:p>
    <w:p w14:paraId="6714E6C2" w14:textId="77777777" w:rsidR="00C22874" w:rsidRPr="00476921" w:rsidRDefault="00C22874" w:rsidP="00C22874">
      <w:pPr>
        <w:pStyle w:val="SingleTxt"/>
      </w:pPr>
      <w:r w:rsidRPr="00476921">
        <w:rPr>
          <w:rFonts w:hint="eastAsia"/>
        </w:rPr>
        <w:t>7.</w:t>
      </w:r>
      <w:r w:rsidRPr="00476921">
        <w:rPr>
          <w:rFonts w:hint="eastAsia"/>
        </w:rPr>
        <w:tab/>
      </w:r>
      <w:r w:rsidRPr="00476921">
        <w:rPr>
          <w:rFonts w:eastAsia="黑体"/>
        </w:rPr>
        <w:t>委员会欢迎国际社会对可持续发展目标的支持，并呼吁在执行《</w:t>
      </w:r>
      <w:r w:rsidRPr="00476921">
        <w:rPr>
          <w:rFonts w:eastAsia="黑体"/>
        </w:rPr>
        <w:t>2030</w:t>
      </w:r>
      <w:r w:rsidRPr="00476921">
        <w:rPr>
          <w:rFonts w:eastAsia="黑体"/>
        </w:rPr>
        <w:t>年可持续发展议程》的整个过程中，根据《公约》的规定，实现法律上和事实上的性别平等。委员会回顾目标</w:t>
      </w:r>
      <w:r w:rsidRPr="00476921">
        <w:rPr>
          <w:rFonts w:eastAsia="黑体"/>
        </w:rPr>
        <w:t>5</w:t>
      </w:r>
      <w:r w:rsidRPr="00476921">
        <w:rPr>
          <w:rFonts w:eastAsia="黑体"/>
        </w:rPr>
        <w:t>的重要性以及将平等和不歧视原则纳入所有</w:t>
      </w:r>
      <w:r w:rsidRPr="00476921">
        <w:rPr>
          <w:rFonts w:eastAsia="黑体"/>
        </w:rPr>
        <w:t>17</w:t>
      </w:r>
      <w:r w:rsidRPr="00476921">
        <w:rPr>
          <w:rFonts w:eastAsia="黑体"/>
        </w:rPr>
        <w:t>项可持续发展目标的重要性。委员会敦促缔约国承认妇女是缔约国可持续发展的推动力，并为此采取相关政策和战略。</w:t>
      </w:r>
    </w:p>
    <w:p w14:paraId="27E59F55" w14:textId="77777777" w:rsidR="00C22874" w:rsidRPr="00476921" w:rsidRDefault="00C22874" w:rsidP="008C5F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t>D.</w:t>
      </w:r>
      <w:r w:rsidRPr="00476921">
        <w:rPr>
          <w:rFonts w:hint="eastAsia"/>
        </w:rPr>
        <w:tab/>
      </w:r>
      <w:r w:rsidRPr="00476921">
        <w:rPr>
          <w:rFonts w:hint="eastAsia"/>
        </w:rPr>
        <w:t>议会</w:t>
      </w:r>
    </w:p>
    <w:p w14:paraId="2F1E4736" w14:textId="0F82DBF2" w:rsidR="00C22874" w:rsidRPr="00476921" w:rsidRDefault="00C22874" w:rsidP="008C5F80">
      <w:pPr>
        <w:pStyle w:val="SingleTxt"/>
      </w:pPr>
      <w:r w:rsidRPr="00476921">
        <w:rPr>
          <w:rFonts w:hint="eastAsia"/>
        </w:rPr>
        <w:t>8.</w:t>
      </w:r>
      <w:r w:rsidRPr="00476921">
        <w:rPr>
          <w:rFonts w:hint="eastAsia"/>
        </w:rPr>
        <w:tab/>
      </w:r>
      <w:r w:rsidRPr="00476921">
        <w:rPr>
          <w:rFonts w:eastAsia="黑体" w:hint="eastAsia"/>
        </w:rPr>
        <w:t>委员会强调立法权在确保充分执行《公约》方面的关键作用</w:t>
      </w:r>
      <w:r w:rsidRPr="00476921">
        <w:rPr>
          <w:rFonts w:eastAsia="黑体" w:hint="eastAsia"/>
        </w:rPr>
        <w:t>(</w:t>
      </w:r>
      <w:r w:rsidRPr="00476921">
        <w:rPr>
          <w:rFonts w:eastAsia="黑体" w:hint="eastAsia"/>
        </w:rPr>
        <w:t>见</w:t>
      </w:r>
      <w:hyperlink r:id="rId26" w:history="1">
        <w:r w:rsidRPr="00476921">
          <w:rPr>
            <w:rStyle w:val="af4"/>
            <w:rFonts w:eastAsia="黑体" w:hint="eastAsia"/>
          </w:rPr>
          <w:t>A/65/38</w:t>
        </w:r>
      </w:hyperlink>
      <w:r w:rsidRPr="00476921">
        <w:rPr>
          <w:rFonts w:eastAsia="黑体" w:hint="eastAsia"/>
        </w:rPr>
        <w:t>，第二部分，附件六</w:t>
      </w:r>
      <w:r w:rsidRPr="00476921">
        <w:rPr>
          <w:rFonts w:eastAsia="黑体" w:hint="eastAsia"/>
        </w:rPr>
        <w:t>)</w:t>
      </w:r>
      <w:r w:rsidRPr="00476921">
        <w:rPr>
          <w:rFonts w:eastAsia="黑体" w:hint="eastAsia"/>
        </w:rPr>
        <w:t>。委员会请</w:t>
      </w:r>
      <w:r w:rsidR="00AE769E">
        <w:rPr>
          <w:rFonts w:eastAsia="黑体" w:hint="eastAsia"/>
        </w:rPr>
        <w:t>联邦议会</w:t>
      </w:r>
      <w:r w:rsidRPr="00476921">
        <w:rPr>
          <w:rFonts w:eastAsia="黑体" w:hint="eastAsia"/>
        </w:rPr>
        <w:t>根据其任务规定，从现在起到根据《公约》提交下一次定期报告期间，采取必要步骤，落实本结论性意见。</w:t>
      </w:r>
    </w:p>
    <w:p w14:paraId="379EB976" w14:textId="77777777" w:rsidR="00C22874" w:rsidRPr="00476921" w:rsidRDefault="00C22874" w:rsidP="008C5F8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476921">
        <w:rPr>
          <w:rFonts w:hint="eastAsia"/>
        </w:rPr>
        <w:tab/>
        <w:t>E.</w:t>
      </w:r>
      <w:r w:rsidRPr="00476921">
        <w:rPr>
          <w:rFonts w:hint="eastAsia"/>
        </w:rPr>
        <w:tab/>
      </w:r>
      <w:r w:rsidRPr="00476921">
        <w:rPr>
          <w:rFonts w:hint="eastAsia"/>
        </w:rPr>
        <w:t>主要关切领域和建议</w:t>
      </w:r>
    </w:p>
    <w:p w14:paraId="5F3DAB59" w14:textId="25D694CD"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476921">
        <w:rPr>
          <w:rFonts w:hint="eastAsia"/>
        </w:rPr>
        <w:tab/>
      </w:r>
      <w:r w:rsidRPr="00476921">
        <w:rPr>
          <w:rFonts w:hint="eastAsia"/>
        </w:rPr>
        <w:tab/>
      </w:r>
      <w:r w:rsidRPr="00476921">
        <w:rPr>
          <w:rFonts w:hint="eastAsia"/>
        </w:rPr>
        <w:t>保留</w:t>
      </w:r>
    </w:p>
    <w:p w14:paraId="5BE35A1C" w14:textId="77777777" w:rsidR="00C22874" w:rsidRPr="00476921" w:rsidRDefault="00C22874" w:rsidP="00C22874">
      <w:pPr>
        <w:pStyle w:val="SingleTxt"/>
      </w:pPr>
      <w:r w:rsidRPr="00476921">
        <w:rPr>
          <w:rFonts w:hint="eastAsia"/>
        </w:rPr>
        <w:t>9.</w:t>
      </w:r>
      <w:r w:rsidRPr="00476921">
        <w:rPr>
          <w:rFonts w:hint="eastAsia"/>
        </w:rPr>
        <w:tab/>
      </w:r>
      <w:r w:rsidRPr="00476921">
        <w:rPr>
          <w:rFonts w:hint="eastAsia"/>
        </w:rPr>
        <w:t>委员会重申关注缔约国尚未撤销对第十五条第二款和第十六条第一款</w:t>
      </w:r>
      <w:r w:rsidRPr="00476921">
        <w:rPr>
          <w:rFonts w:hint="eastAsia"/>
        </w:rPr>
        <w:t>(h)</w:t>
      </w:r>
      <w:r w:rsidRPr="00476921">
        <w:rPr>
          <w:rFonts w:hint="eastAsia"/>
        </w:rPr>
        <w:t>项的保留。</w:t>
      </w:r>
    </w:p>
    <w:p w14:paraId="3C04C9C6" w14:textId="70C8674E" w:rsidR="00C22874" w:rsidRPr="00476921" w:rsidRDefault="00C22874" w:rsidP="00C22874">
      <w:pPr>
        <w:pStyle w:val="SingleTxt"/>
      </w:pPr>
      <w:r w:rsidRPr="00476921">
        <w:rPr>
          <w:rFonts w:hint="eastAsia"/>
        </w:rPr>
        <w:t>10.</w:t>
      </w:r>
      <w:r w:rsidRPr="00476921">
        <w:rPr>
          <w:rFonts w:hint="eastAsia"/>
        </w:rPr>
        <w:tab/>
      </w:r>
      <w:r w:rsidRPr="00476921">
        <w:rPr>
          <w:rFonts w:eastAsia="黑体" w:hint="eastAsia"/>
        </w:rPr>
        <w:t>委员会回顾其先前的结论性意见，</w:t>
      </w:r>
      <w:r w:rsidRPr="00476921">
        <w:rPr>
          <w:rFonts w:eastAsia="黑体" w:hint="eastAsia"/>
        </w:rPr>
        <w:t>(</w:t>
      </w:r>
      <w:r w:rsidRPr="00476921">
        <w:rPr>
          <w:rFonts w:eastAsia="黑体" w:hint="eastAsia"/>
        </w:rPr>
        <w:t>见</w:t>
      </w:r>
      <w:hyperlink r:id="rId27" w:history="1">
        <w:r w:rsidRPr="00476921">
          <w:rPr>
            <w:rStyle w:val="af4"/>
            <w:rFonts w:eastAsia="黑体" w:hint="eastAsia"/>
          </w:rPr>
          <w:t>CEDAW/C/CHE/CO/3</w:t>
        </w:r>
      </w:hyperlink>
      <w:r w:rsidRPr="00476921">
        <w:rPr>
          <w:rFonts w:eastAsia="黑体" w:hint="eastAsia"/>
        </w:rPr>
        <w:t>，第</w:t>
      </w:r>
      <w:r w:rsidRPr="00476921">
        <w:rPr>
          <w:rFonts w:eastAsia="黑体" w:hint="eastAsia"/>
        </w:rPr>
        <w:t>12</w:t>
      </w:r>
      <w:r w:rsidRPr="00476921">
        <w:rPr>
          <w:rFonts w:eastAsia="黑体" w:hint="eastAsia"/>
        </w:rPr>
        <w:t>段；</w:t>
      </w:r>
      <w:hyperlink r:id="rId28" w:history="1">
        <w:r w:rsidRPr="00476921">
          <w:rPr>
            <w:rStyle w:val="af4"/>
            <w:rFonts w:eastAsia="黑体" w:hint="eastAsia"/>
          </w:rPr>
          <w:t>CEDAW/C/CHE/CO/4-5</w:t>
        </w:r>
      </w:hyperlink>
      <w:r w:rsidRPr="00476921">
        <w:rPr>
          <w:rFonts w:eastAsia="黑体" w:hint="eastAsia"/>
        </w:rPr>
        <w:t>，第</w:t>
      </w:r>
      <w:r w:rsidRPr="00476921">
        <w:rPr>
          <w:rFonts w:eastAsia="黑体" w:hint="eastAsia"/>
        </w:rPr>
        <w:t>9</w:t>
      </w:r>
      <w:r w:rsidRPr="00476921">
        <w:rPr>
          <w:rFonts w:eastAsia="黑体" w:hint="eastAsia"/>
        </w:rPr>
        <w:t>段</w:t>
      </w:r>
      <w:r w:rsidRPr="00476921">
        <w:rPr>
          <w:rFonts w:eastAsia="黑体" w:hint="eastAsia"/>
        </w:rPr>
        <w:t>)</w:t>
      </w:r>
      <w:r w:rsidRPr="00476921">
        <w:rPr>
          <w:rFonts w:eastAsia="黑体" w:hint="eastAsia"/>
        </w:rPr>
        <w:t>，并敦促缔约国在下次定期报告中，如果仍然相关，撤销对第十五条第二款和第十六条第一款</w:t>
      </w:r>
      <w:r w:rsidRPr="00476921">
        <w:rPr>
          <w:rFonts w:eastAsia="黑体" w:hint="eastAsia"/>
        </w:rPr>
        <w:t>(h)</w:t>
      </w:r>
      <w:r w:rsidRPr="00476921">
        <w:rPr>
          <w:rFonts w:eastAsia="黑体" w:hint="eastAsia"/>
        </w:rPr>
        <w:t>项的保留，事关</w:t>
      </w:r>
      <w:r w:rsidRPr="00476921">
        <w:rPr>
          <w:rFonts w:eastAsia="黑体" w:hint="eastAsia"/>
        </w:rPr>
        <w:t>1988</w:t>
      </w:r>
      <w:r w:rsidRPr="00476921">
        <w:rPr>
          <w:rFonts w:eastAsia="黑体" w:hint="eastAsia"/>
        </w:rPr>
        <w:t>年</w:t>
      </w:r>
      <w:r w:rsidRPr="00476921">
        <w:rPr>
          <w:rFonts w:eastAsia="黑体" w:hint="eastAsia"/>
        </w:rPr>
        <w:t>1</w:t>
      </w:r>
      <w:r w:rsidRPr="00476921">
        <w:rPr>
          <w:rFonts w:eastAsia="黑体" w:hint="eastAsia"/>
        </w:rPr>
        <w:t>月</w:t>
      </w:r>
      <w:r w:rsidRPr="00476921">
        <w:rPr>
          <w:rFonts w:eastAsia="黑体" w:hint="eastAsia"/>
        </w:rPr>
        <w:t>1</w:t>
      </w:r>
      <w:r w:rsidRPr="00476921">
        <w:rPr>
          <w:rFonts w:eastAsia="黑体" w:hint="eastAsia"/>
        </w:rPr>
        <w:t>日前适用的婚姻制度的法律。</w:t>
      </w:r>
    </w:p>
    <w:p w14:paraId="1EBD9676"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《公约》的执行和宣传</w:t>
      </w:r>
    </w:p>
    <w:p w14:paraId="6A41E510" w14:textId="77777777" w:rsidR="00C22874" w:rsidRPr="00476921" w:rsidRDefault="00C22874" w:rsidP="00C22874">
      <w:pPr>
        <w:pStyle w:val="SingleTxt"/>
      </w:pPr>
      <w:r w:rsidRPr="00476921">
        <w:rPr>
          <w:rFonts w:hint="eastAsia"/>
        </w:rPr>
        <w:t>11.</w:t>
      </w:r>
      <w:r w:rsidRPr="00476921">
        <w:rPr>
          <w:rFonts w:hint="eastAsia"/>
        </w:rPr>
        <w:tab/>
      </w:r>
      <w:r w:rsidRPr="00476921">
        <w:rPr>
          <w:rFonts w:hint="eastAsia"/>
        </w:rPr>
        <w:t>委员会欢迎缔约国采取措施，包括《公约》部门间工作组采取的措施，在联邦一级加强《公约》的执行和宣传。该工作组由不同的联邦办公室组成，由联邦</w:t>
      </w:r>
      <w:r w:rsidRPr="006F363A">
        <w:rPr>
          <w:rFonts w:hint="eastAsia"/>
          <w:spacing w:val="-2"/>
        </w:rPr>
        <w:t>性别平等办公室领导。委员会注意到在地方一级为提高《公约》知名度所作的努力，特别是在社区行动计划和通过新立法的计划中提及《公约》。委员会承认瑞士各州相对于联邦的独立性，但关切地注意到各州在执行《公约》方面存在巨大差异。</w:t>
      </w:r>
    </w:p>
    <w:p w14:paraId="7CFD797D" w14:textId="77777777" w:rsidR="00C22874" w:rsidRPr="00476921" w:rsidRDefault="00C22874" w:rsidP="00C22874">
      <w:pPr>
        <w:pStyle w:val="SingleTxt"/>
      </w:pPr>
      <w:r w:rsidRPr="00476921">
        <w:rPr>
          <w:rFonts w:hint="eastAsia"/>
        </w:rPr>
        <w:t>12.</w:t>
      </w:r>
      <w:r w:rsidRPr="00476921">
        <w:rPr>
          <w:rFonts w:hint="eastAsia"/>
        </w:rPr>
        <w:tab/>
      </w:r>
      <w:r w:rsidRPr="00476921">
        <w:rPr>
          <w:rFonts w:eastAsia="黑体" w:hint="eastAsia"/>
        </w:rPr>
        <w:t>委员会考虑到联邦的法律责任和领导作用，建议缔约国加强各级机构之间的有效协调，以确保《公约》得到统一执行，并在缔约国全境平等保护妇女权利。</w:t>
      </w:r>
    </w:p>
    <w:p w14:paraId="232AB915" w14:textId="77777777" w:rsidR="00C22874" w:rsidRPr="00476921" w:rsidRDefault="00C22874" w:rsidP="00C22874">
      <w:pPr>
        <w:pStyle w:val="SingleTxt"/>
      </w:pPr>
      <w:r w:rsidRPr="00476921">
        <w:rPr>
          <w:rFonts w:hint="eastAsia"/>
        </w:rPr>
        <w:t>13.</w:t>
      </w:r>
      <w:r w:rsidRPr="00476921">
        <w:rPr>
          <w:rFonts w:hint="eastAsia"/>
        </w:rPr>
        <w:tab/>
      </w:r>
      <w:r w:rsidRPr="00476921">
        <w:rPr>
          <w:rFonts w:hint="eastAsia"/>
        </w:rPr>
        <w:t>委员会注意到缔约国为提高对《公约》的认识所采取的措施，例如推出了一部介绍录像。然而委员会感到关切的是，缔约国妇女对《公约》规定的权利以及她们为争取这些权利可利用的补救办法认识不足。</w:t>
      </w:r>
    </w:p>
    <w:p w14:paraId="390B1A18" w14:textId="77777777" w:rsidR="00C22874" w:rsidRPr="00476921" w:rsidRDefault="00C22874" w:rsidP="00C22874">
      <w:pPr>
        <w:pStyle w:val="SingleTxt"/>
      </w:pPr>
      <w:r w:rsidRPr="00476921">
        <w:rPr>
          <w:rFonts w:hint="eastAsia"/>
        </w:rPr>
        <w:t>14.</w:t>
      </w:r>
      <w:r w:rsidRPr="00476921">
        <w:rPr>
          <w:rFonts w:hint="eastAsia"/>
        </w:rPr>
        <w:tab/>
      </w:r>
      <w:r w:rsidRPr="00476921">
        <w:rPr>
          <w:rFonts w:eastAsia="黑体" w:hint="eastAsia"/>
        </w:rPr>
        <w:t>委员会建议缔约国继续采取并加强措施，提高对《公约》、委员会在《任择议定书》下的判例、委员会的一般性建议及其对缔约国的建议的认识，包括更多地使用数字工具。</w:t>
      </w:r>
    </w:p>
    <w:p w14:paraId="79F4DEC9"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《公约》的直接适用</w:t>
      </w:r>
    </w:p>
    <w:p w14:paraId="4213BD94" w14:textId="77777777" w:rsidR="00C22874" w:rsidRPr="00476921" w:rsidRDefault="00C22874" w:rsidP="00C22874">
      <w:pPr>
        <w:pStyle w:val="SingleTxt"/>
      </w:pPr>
      <w:r w:rsidRPr="00476921">
        <w:rPr>
          <w:rFonts w:hint="eastAsia"/>
        </w:rPr>
        <w:t>15.</w:t>
      </w:r>
      <w:r w:rsidRPr="00476921">
        <w:rPr>
          <w:rFonts w:hint="eastAsia"/>
        </w:rPr>
        <w:tab/>
      </w:r>
      <w:r w:rsidRPr="00476921">
        <w:rPr>
          <w:rFonts w:hint="eastAsia"/>
        </w:rPr>
        <w:t>委员会欢迎联邦妇女问题委员会为法律从业人员出版《公约》指南。委员会注意到，根据缔约国的理论，已批准的国际文书可直接适用，只要文书的规范足够具体和无条件拟订，即可直接应用于执法当局。然而委员会关切地注意到，缔约国第六次定期报告中的资料表明，各州法院很少援引《公约》或委员会的决定和建议。委员会还感到关切的是，缔约国代表团提供的资料表明，直接适用《公约》的法院案件为数不多。具体而言，委员会关切地注意到：</w:t>
      </w:r>
    </w:p>
    <w:p w14:paraId="0A5CBAA6" w14:textId="4A38FD66"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hint="eastAsia"/>
        </w:rPr>
        <w:t>《公约》在法律诉讼中的直接适用仍然有限，而且是自由裁量的。这也表明司法部门对《公约》的了解不足；</w:t>
      </w:r>
    </w:p>
    <w:p w14:paraId="22712AA7" w14:textId="075DFEDC"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hint="eastAsia"/>
        </w:rPr>
        <w:t>缺乏关于直接适用《公约》的判例或其他司法指导。这似乎也不是法官系统培训的一部分；</w:t>
      </w:r>
    </w:p>
    <w:p w14:paraId="6A7E12EB" w14:textId="3C06F85E"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hint="eastAsia"/>
        </w:rPr>
        <w:t>缺乏关于直接适用《公约》的法庭判例数量的数据。</w:t>
      </w:r>
    </w:p>
    <w:p w14:paraId="01A8C1CD" w14:textId="533013E5" w:rsidR="00C22874" w:rsidRPr="00476921" w:rsidRDefault="00C22874" w:rsidP="00C22874">
      <w:pPr>
        <w:pStyle w:val="SingleTxt"/>
      </w:pPr>
      <w:r w:rsidRPr="00476921">
        <w:rPr>
          <w:rFonts w:hint="eastAsia"/>
        </w:rPr>
        <w:t>16.</w:t>
      </w:r>
      <w:r w:rsidRPr="00476921">
        <w:rPr>
          <w:rFonts w:hint="eastAsia"/>
        </w:rPr>
        <w:tab/>
      </w:r>
      <w:r w:rsidRPr="00476921">
        <w:rPr>
          <w:rFonts w:eastAsia="黑体" w:hint="eastAsia"/>
        </w:rPr>
        <w:t>委员会回顾其先前的建议</w:t>
      </w:r>
      <w:r w:rsidRPr="00476921">
        <w:rPr>
          <w:rFonts w:eastAsia="黑体" w:hint="eastAsia"/>
        </w:rPr>
        <w:t>(</w:t>
      </w:r>
      <w:hyperlink r:id="rId29" w:history="1">
        <w:r w:rsidRPr="00476921">
          <w:rPr>
            <w:rStyle w:val="af4"/>
            <w:rFonts w:eastAsia="黑体" w:hint="eastAsia"/>
          </w:rPr>
          <w:t>CEDAW/C/CHE/CO/4-5</w:t>
        </w:r>
      </w:hyperlink>
      <w:r w:rsidRPr="00476921">
        <w:rPr>
          <w:rFonts w:eastAsia="黑体" w:hint="eastAsia"/>
        </w:rPr>
        <w:t>，第</w:t>
      </w:r>
      <w:r w:rsidRPr="00476921">
        <w:rPr>
          <w:rFonts w:eastAsia="黑体" w:hint="eastAsia"/>
        </w:rPr>
        <w:t>13</w:t>
      </w:r>
      <w:r w:rsidRPr="00476921">
        <w:rPr>
          <w:rFonts w:eastAsia="黑体" w:hint="eastAsia"/>
        </w:rPr>
        <w:t>段</w:t>
      </w:r>
      <w:r w:rsidRPr="00476921">
        <w:rPr>
          <w:rFonts w:eastAsia="黑体" w:hint="eastAsia"/>
        </w:rPr>
        <w:t>)</w:t>
      </w:r>
      <w:r w:rsidRPr="00476921">
        <w:rPr>
          <w:rFonts w:eastAsia="黑体" w:hint="eastAsia"/>
        </w:rPr>
        <w:t>，建议缔约国采取措施，确保法院将《公约》</w:t>
      </w:r>
      <w:r w:rsidR="00AE769E">
        <w:rPr>
          <w:rFonts w:eastAsia="黑体" w:hint="eastAsia"/>
        </w:rPr>
        <w:t>适用于司法和行政诉讼</w:t>
      </w:r>
      <w:r w:rsidRPr="00476921">
        <w:rPr>
          <w:rFonts w:eastAsia="黑体" w:hint="eastAsia"/>
        </w:rPr>
        <w:t>。委员会特别建议缔约国：</w:t>
      </w:r>
    </w:p>
    <w:p w14:paraId="421F95B0" w14:textId="7272FBB2"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为法官、检察官、律师和执法人员开展在法律诉讼中直接适用和使用《公约》的系统能力建设；</w:t>
      </w:r>
    </w:p>
    <w:p w14:paraId="50BE4DF7" w14:textId="402EDBCB"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收集在联邦、州和市镇各级直接应用《公约》的法庭判例的数据。</w:t>
      </w:r>
    </w:p>
    <w:p w14:paraId="2FC1D78B"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域外国家义务</w:t>
      </w:r>
    </w:p>
    <w:p w14:paraId="3A76CF08" w14:textId="77777777" w:rsidR="00C22874" w:rsidRPr="00476921" w:rsidRDefault="00C22874" w:rsidP="00C22874">
      <w:pPr>
        <w:pStyle w:val="SingleTxt"/>
      </w:pPr>
      <w:r w:rsidRPr="00476921">
        <w:rPr>
          <w:rFonts w:hint="eastAsia"/>
        </w:rPr>
        <w:t>17.</w:t>
      </w:r>
      <w:r w:rsidRPr="00476921">
        <w:rPr>
          <w:rFonts w:hint="eastAsia"/>
        </w:rPr>
        <w:tab/>
      </w:r>
      <w:r w:rsidRPr="00476921">
        <w:rPr>
          <w:rFonts w:hint="eastAsia"/>
        </w:rPr>
        <w:t>委员会欢迎缔约国对普遍保护人权的国际承诺。然而委员会关切地注意到，缔约国为了维护知识产权，阻止了世界贸易组织关于公平获得疫苗的提议，而且许多妇女受到疫苗获得受阻的后果的不成比例的影响，因为她们传统的照料责任和作为应急响应人员的过高代表性直接使她们容易感染冠状病毒病</w:t>
      </w:r>
      <w:r w:rsidRPr="00476921">
        <w:rPr>
          <w:rFonts w:hint="eastAsia"/>
        </w:rPr>
        <w:t>(COVID-19)</w:t>
      </w:r>
      <w:r w:rsidRPr="00476921">
        <w:rPr>
          <w:rFonts w:hint="eastAsia"/>
        </w:rPr>
        <w:t>。</w:t>
      </w:r>
    </w:p>
    <w:p w14:paraId="7AF13015" w14:textId="77777777" w:rsidR="00C22874" w:rsidRPr="00476921" w:rsidRDefault="00C22874" w:rsidP="00C22874">
      <w:pPr>
        <w:pStyle w:val="SingleTxt"/>
      </w:pPr>
      <w:r w:rsidRPr="00476921">
        <w:rPr>
          <w:rFonts w:hint="eastAsia"/>
        </w:rPr>
        <w:t>18.</w:t>
      </w:r>
      <w:r w:rsidRPr="00476921">
        <w:rPr>
          <w:rFonts w:hint="eastAsia"/>
        </w:rPr>
        <w:tab/>
      </w:r>
      <w:r w:rsidRPr="00476921">
        <w:rPr>
          <w:rFonts w:eastAsia="黑体" w:hint="eastAsia"/>
        </w:rPr>
        <w:t>委员会建议缔约国采取一切必要措施，支持和促进全球妇女获得疫苗。</w:t>
      </w:r>
    </w:p>
    <w:p w14:paraId="11CE8F17" w14:textId="77777777" w:rsidR="00C22874" w:rsidRPr="00476921" w:rsidRDefault="00C22874" w:rsidP="00C22874">
      <w:pPr>
        <w:pStyle w:val="SingleTxt"/>
      </w:pPr>
      <w:r w:rsidRPr="00476921">
        <w:rPr>
          <w:rFonts w:hint="eastAsia"/>
        </w:rPr>
        <w:t>19.</w:t>
      </w:r>
      <w:r w:rsidRPr="00476921">
        <w:rPr>
          <w:rFonts w:hint="eastAsia"/>
        </w:rPr>
        <w:tab/>
      </w:r>
      <w:r w:rsidRPr="00476921">
        <w:rPr>
          <w:rFonts w:hint="eastAsia"/>
        </w:rPr>
        <w:t>委员会欢迎缔约国努力为参加日内瓦国际会议的妇女提供签证。然而委员会感到遗憾的是，许多妇女，特别是来自全球南方的妇女，面临着昂贵和繁琐的签证申请手续。这对边缘化妇女的代表性构成了相当大的障碍。</w:t>
      </w:r>
    </w:p>
    <w:p w14:paraId="3C5429C4" w14:textId="77777777" w:rsidR="00C22874" w:rsidRPr="00476921" w:rsidRDefault="00C22874" w:rsidP="00C22874">
      <w:pPr>
        <w:pStyle w:val="SingleTxt"/>
      </w:pPr>
      <w:r w:rsidRPr="00476921">
        <w:rPr>
          <w:rFonts w:hint="eastAsia"/>
        </w:rPr>
        <w:t>20.</w:t>
      </w:r>
      <w:r w:rsidRPr="00476921">
        <w:rPr>
          <w:rFonts w:hint="eastAsia"/>
        </w:rPr>
        <w:tab/>
      </w:r>
      <w:r w:rsidRPr="00476921">
        <w:rPr>
          <w:rFonts w:eastAsia="黑体" w:hint="eastAsia"/>
        </w:rPr>
        <w:t>委</w:t>
      </w:r>
      <w:r w:rsidRPr="00476921">
        <w:rPr>
          <w:rFonts w:eastAsia="黑体" w:hint="eastAsia"/>
          <w:spacing w:val="-4"/>
        </w:rPr>
        <w:t>员会建议缔约国便利签证申请手续，使所有地区的妇女都能参加国际会</w:t>
      </w:r>
      <w:r w:rsidRPr="00476921">
        <w:rPr>
          <w:rFonts w:eastAsia="黑体" w:hint="eastAsia"/>
        </w:rPr>
        <w:t>议。</w:t>
      </w:r>
    </w:p>
    <w:p w14:paraId="03D317D4" w14:textId="77777777" w:rsidR="00C22874" w:rsidRPr="00476921" w:rsidRDefault="00C22874" w:rsidP="00C22874">
      <w:pPr>
        <w:pStyle w:val="SingleTxt"/>
      </w:pPr>
      <w:r w:rsidRPr="00476921">
        <w:rPr>
          <w:rFonts w:hint="eastAsia"/>
        </w:rPr>
        <w:t>21.</w:t>
      </w:r>
      <w:r w:rsidRPr="00476921">
        <w:rPr>
          <w:rFonts w:hint="eastAsia"/>
        </w:rPr>
        <w:tab/>
      </w:r>
      <w:r w:rsidRPr="00476921">
        <w:rPr>
          <w:rFonts w:hint="eastAsia"/>
        </w:rPr>
        <w:t>委员会关切地注意到，缔约国的税收和金融保密政策可能对其他国家特别是全球南方国家最大限度地调动现有资源以落实妇女权利的能力产生不利影响。</w:t>
      </w:r>
    </w:p>
    <w:p w14:paraId="5445C867" w14:textId="76781C11" w:rsidR="00C22874" w:rsidRPr="00476921" w:rsidRDefault="00C22874" w:rsidP="00C22874">
      <w:pPr>
        <w:pStyle w:val="SingleTxt"/>
      </w:pPr>
      <w:r w:rsidRPr="00476921">
        <w:rPr>
          <w:rFonts w:hint="eastAsia"/>
        </w:rPr>
        <w:t>22.</w:t>
      </w:r>
      <w:r w:rsidRPr="00476921">
        <w:rPr>
          <w:rFonts w:hint="eastAsia"/>
        </w:rPr>
        <w:tab/>
      </w:r>
      <w:r w:rsidRPr="00476921">
        <w:rPr>
          <w:rFonts w:eastAsia="黑体" w:hint="eastAsia"/>
        </w:rPr>
        <w:t>委员会重申其先前的结论性意见</w:t>
      </w:r>
      <w:r w:rsidRPr="00476921">
        <w:rPr>
          <w:rFonts w:eastAsia="黑体" w:hint="eastAsia"/>
        </w:rPr>
        <w:t>(</w:t>
      </w:r>
      <w:hyperlink r:id="rId30" w:history="1">
        <w:r w:rsidRPr="00476921">
          <w:rPr>
            <w:rStyle w:val="af4"/>
            <w:rFonts w:eastAsia="黑体" w:hint="eastAsia"/>
          </w:rPr>
          <w:t>CEDAW/C/CHE/CO/4-5</w:t>
        </w:r>
      </w:hyperlink>
      <w:r w:rsidRPr="00476921">
        <w:rPr>
          <w:rFonts w:eastAsia="黑体" w:hint="eastAsia"/>
        </w:rPr>
        <w:t>，第</w:t>
      </w:r>
      <w:r w:rsidRPr="00476921">
        <w:rPr>
          <w:rFonts w:eastAsia="黑体" w:hint="eastAsia"/>
        </w:rPr>
        <w:t>41(a)</w:t>
      </w:r>
      <w:r w:rsidRPr="00476921">
        <w:rPr>
          <w:rFonts w:eastAsia="黑体" w:hint="eastAsia"/>
        </w:rPr>
        <w:t>段</w:t>
      </w:r>
      <w:r w:rsidRPr="00476921">
        <w:rPr>
          <w:rFonts w:eastAsia="黑体" w:hint="eastAsia"/>
        </w:rPr>
        <w:t>)</w:t>
      </w:r>
      <w:r w:rsidRPr="00476921">
        <w:rPr>
          <w:rFonts w:eastAsia="黑体" w:hint="eastAsia"/>
        </w:rPr>
        <w:t>，并建议缔约国就其金融保密和公司税收政策对妇女权利和实质性平等的域外影响进行独立、参与式和定期的影响评估，确保此类评估公正进行，并公开披露评估方法和结果。</w:t>
      </w:r>
    </w:p>
    <w:p w14:paraId="1425ED97"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妇女诉诸司法</w:t>
      </w:r>
    </w:p>
    <w:p w14:paraId="0E1868FD" w14:textId="77777777" w:rsidR="00C22874" w:rsidRPr="00476921" w:rsidRDefault="00C22874" w:rsidP="00C22874">
      <w:pPr>
        <w:pStyle w:val="SingleTxt"/>
      </w:pPr>
      <w:r w:rsidRPr="00476921">
        <w:rPr>
          <w:rFonts w:hint="eastAsia"/>
        </w:rPr>
        <w:t>23.</w:t>
      </w:r>
      <w:r w:rsidRPr="00476921">
        <w:rPr>
          <w:rFonts w:hint="eastAsia"/>
        </w:rPr>
        <w:tab/>
      </w:r>
      <w:r w:rsidRPr="00476921">
        <w:rPr>
          <w:rFonts w:hint="eastAsia"/>
        </w:rPr>
        <w:t>委员会感到遗憾的是，并未收到关于接受免费法律援助的妇女人数的统计资料。委员会指出，根据瑞士人权专家中心</w:t>
      </w:r>
      <w:r w:rsidRPr="00476921">
        <w:rPr>
          <w:rFonts w:hint="eastAsia"/>
        </w:rPr>
        <w:t>2019</w:t>
      </w:r>
      <w:r w:rsidRPr="00476921">
        <w:rPr>
          <w:rFonts w:hint="eastAsia"/>
        </w:rPr>
        <w:t>年的一项研究，妇女在联邦法院诉讼中成为当事人的比例明显低于男子。</w:t>
      </w:r>
    </w:p>
    <w:p w14:paraId="59806F0D" w14:textId="77777777" w:rsidR="00C22874" w:rsidRPr="00476921" w:rsidRDefault="00C22874" w:rsidP="00C22874">
      <w:pPr>
        <w:pStyle w:val="SingleTxt"/>
      </w:pPr>
      <w:r w:rsidRPr="00476921">
        <w:rPr>
          <w:rFonts w:hint="eastAsia"/>
        </w:rPr>
        <w:t>24.</w:t>
      </w:r>
      <w:r w:rsidRPr="00476921">
        <w:rPr>
          <w:rFonts w:hint="eastAsia"/>
        </w:rPr>
        <w:tab/>
      </w:r>
      <w:r w:rsidRPr="00476921">
        <w:rPr>
          <w:rFonts w:eastAsia="黑体" w:hint="eastAsia"/>
        </w:rPr>
        <w:t>委员会建议缔约国收集关于免费法律援助利用情况的统计资料。委员会还建议缔约国对妇女参与法律诉讼的障碍因素以及她们在申请免费法律援助时可能遇到的任何障碍进行性别分析。</w:t>
      </w:r>
    </w:p>
    <w:p w14:paraId="2F3127F4" w14:textId="77777777" w:rsidR="00C22874" w:rsidRPr="00476921" w:rsidRDefault="00C22874" w:rsidP="00C22874">
      <w:pPr>
        <w:pStyle w:val="SingleTxt"/>
      </w:pPr>
      <w:r w:rsidRPr="00476921">
        <w:rPr>
          <w:rFonts w:hint="eastAsia"/>
        </w:rPr>
        <w:t>25.</w:t>
      </w:r>
      <w:r w:rsidRPr="00476921">
        <w:rPr>
          <w:rFonts w:hint="eastAsia"/>
        </w:rPr>
        <w:tab/>
      </w:r>
      <w:r w:rsidRPr="00476921">
        <w:rPr>
          <w:rFonts w:hint="eastAsia"/>
        </w:rPr>
        <w:t>委员会对司法机构内的性别成见感到关切，这些成见阻碍了性别暴力的妇女受害者提起诉讼。</w:t>
      </w:r>
    </w:p>
    <w:p w14:paraId="0BD69A81" w14:textId="77777777" w:rsidR="00C22874" w:rsidRPr="00476921" w:rsidRDefault="00C22874" w:rsidP="00C22874">
      <w:pPr>
        <w:pStyle w:val="SingleTxt"/>
      </w:pPr>
      <w:r w:rsidRPr="00476921">
        <w:rPr>
          <w:rFonts w:hint="eastAsia"/>
        </w:rPr>
        <w:t>26.</w:t>
      </w:r>
      <w:r w:rsidRPr="00476921">
        <w:rPr>
          <w:rFonts w:hint="eastAsia"/>
        </w:rPr>
        <w:tab/>
      </w:r>
      <w:r w:rsidRPr="00476921">
        <w:rPr>
          <w:rFonts w:eastAsia="黑体" w:hint="eastAsia"/>
        </w:rPr>
        <w:t>委</w:t>
      </w:r>
      <w:r w:rsidRPr="00476921">
        <w:rPr>
          <w:rFonts w:eastAsia="黑体" w:hint="eastAsia"/>
          <w:spacing w:val="-4"/>
        </w:rPr>
        <w:t>员会回顾其关于妇女诉诸司法的第</w:t>
      </w:r>
      <w:r w:rsidRPr="00476921">
        <w:rPr>
          <w:rFonts w:eastAsia="黑体" w:hint="eastAsia"/>
          <w:spacing w:val="-4"/>
        </w:rPr>
        <w:t>33</w:t>
      </w:r>
      <w:r w:rsidRPr="00476921">
        <w:rPr>
          <w:rFonts w:eastAsia="黑体" w:hint="eastAsia"/>
          <w:spacing w:val="-4"/>
        </w:rPr>
        <w:t>号一般性建议</w:t>
      </w:r>
      <w:r w:rsidRPr="00476921">
        <w:rPr>
          <w:rFonts w:eastAsia="黑体" w:hint="eastAsia"/>
          <w:spacing w:val="-4"/>
        </w:rPr>
        <w:t>(2015</w:t>
      </w:r>
      <w:r w:rsidRPr="00476921">
        <w:rPr>
          <w:rFonts w:eastAsia="黑体" w:hint="eastAsia"/>
          <w:spacing w:val="-4"/>
        </w:rPr>
        <w:t>年</w:t>
      </w:r>
      <w:r w:rsidRPr="00476921">
        <w:rPr>
          <w:rFonts w:eastAsia="黑体" w:hint="eastAsia"/>
          <w:spacing w:val="-4"/>
        </w:rPr>
        <w:t>)</w:t>
      </w:r>
      <w:r w:rsidRPr="00476921">
        <w:rPr>
          <w:rFonts w:eastAsia="黑体" w:hint="eastAsia"/>
          <w:spacing w:val="-4"/>
        </w:rPr>
        <w:t>，建议缔约国</w:t>
      </w:r>
      <w:r w:rsidRPr="00476921">
        <w:rPr>
          <w:rFonts w:eastAsia="黑体" w:hint="eastAsia"/>
        </w:rPr>
        <w:t>：</w:t>
      </w:r>
    </w:p>
    <w:p w14:paraId="42F1F8B1" w14:textId="0E735DEB"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采取措施，包括为所有司法系统人员和法律专业学生开展关于妇女权利和性别平等的提高认识和能力建设方案，以消除司法部门的性别偏见和歧视性性别成见；</w:t>
      </w:r>
    </w:p>
    <w:p w14:paraId="57DE701F" w14:textId="7AE6C288"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确保这些措施特别解决妇女作为法律诉讼当事方和证人的声音、论点和证词的可信度和重要性，以及在被认为对妇女适当的行为方面的司法偏见。</w:t>
      </w:r>
    </w:p>
    <w:p w14:paraId="0B803C97"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妇女与和平与安全</w:t>
      </w:r>
    </w:p>
    <w:p w14:paraId="51A132D6" w14:textId="78D9BD3F" w:rsidR="00C22874" w:rsidRPr="00476921" w:rsidRDefault="00C22874" w:rsidP="00C22874">
      <w:pPr>
        <w:pStyle w:val="SingleTxt"/>
      </w:pPr>
      <w:r w:rsidRPr="00476921">
        <w:rPr>
          <w:rFonts w:hint="eastAsia"/>
        </w:rPr>
        <w:t>27.</w:t>
      </w:r>
      <w:r w:rsidRPr="00476921">
        <w:rPr>
          <w:rFonts w:hint="eastAsia"/>
        </w:rPr>
        <w:tab/>
      </w:r>
      <w:r w:rsidRPr="00476921">
        <w:rPr>
          <w:rFonts w:hint="eastAsia"/>
        </w:rPr>
        <w:t>委</w:t>
      </w:r>
      <w:r w:rsidRPr="00476921">
        <w:rPr>
          <w:rFonts w:hint="eastAsia"/>
          <w:spacing w:val="-4"/>
        </w:rPr>
        <w:t>员会欢迎缔约国为执行安全理事会关于妇女与和平与安全的第</w:t>
      </w:r>
      <w:hyperlink r:id="rId31" w:history="1">
        <w:r w:rsidRPr="00476921">
          <w:rPr>
            <w:rStyle w:val="af4"/>
            <w:rFonts w:hint="eastAsia"/>
          </w:rPr>
          <w:t>1325(2000)</w:t>
        </w:r>
      </w:hyperlink>
      <w:r w:rsidRPr="00476921">
        <w:rPr>
          <w:rFonts w:hint="eastAsia"/>
        </w:rPr>
        <w:t>号决议连续通过了四项国家行动计划。委员会关切地注意到，缺乏关于参加谈判代表团和联合国和平特派团的妇女人数和作用的资料。</w:t>
      </w:r>
    </w:p>
    <w:p w14:paraId="30282E9C" w14:textId="6E2C8108" w:rsidR="001B30EF" w:rsidRDefault="00C22874" w:rsidP="00C22874">
      <w:pPr>
        <w:pStyle w:val="SingleTxt"/>
        <w:rPr>
          <w:rFonts w:eastAsia="黑体"/>
        </w:rPr>
      </w:pPr>
      <w:r w:rsidRPr="00476921">
        <w:rPr>
          <w:rFonts w:hint="eastAsia"/>
        </w:rPr>
        <w:t>28.</w:t>
      </w:r>
      <w:r w:rsidRPr="00476921">
        <w:rPr>
          <w:rFonts w:hint="eastAsia"/>
        </w:rPr>
        <w:tab/>
      </w:r>
      <w:r w:rsidRPr="00476921">
        <w:rPr>
          <w:rFonts w:eastAsia="黑体" w:hint="eastAsia"/>
        </w:rPr>
        <w:t>委员会建议缔约国继续并加强努力，确保妇女平等参加和平进程谈判代表团和联合国和平特派团，包括在决策层，并收集这方面的统计资料。</w:t>
      </w:r>
    </w:p>
    <w:p w14:paraId="3C5EF7C2" w14:textId="77777777" w:rsidR="001B30EF" w:rsidRDefault="001B30EF">
      <w:pPr>
        <w:spacing w:line="240" w:lineRule="auto"/>
        <w:jc w:val="left"/>
        <w:rPr>
          <w:rFonts w:eastAsia="黑体"/>
        </w:rPr>
      </w:pPr>
      <w:r>
        <w:rPr>
          <w:rFonts w:eastAsia="黑体"/>
        </w:rPr>
        <w:br w:type="page"/>
      </w:r>
    </w:p>
    <w:p w14:paraId="1090DB9C"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提高妇女地位国家机构</w:t>
      </w:r>
    </w:p>
    <w:p w14:paraId="2045A759" w14:textId="77777777" w:rsidR="00C22874" w:rsidRPr="00476921" w:rsidRDefault="00C22874" w:rsidP="00C22874">
      <w:pPr>
        <w:pStyle w:val="SingleTxt"/>
      </w:pPr>
      <w:r w:rsidRPr="00476921">
        <w:rPr>
          <w:rFonts w:hint="eastAsia"/>
        </w:rPr>
        <w:t>29.</w:t>
      </w:r>
      <w:r w:rsidRPr="00476921">
        <w:rPr>
          <w:rFonts w:hint="eastAsia"/>
        </w:rPr>
        <w:tab/>
      </w:r>
      <w:r w:rsidRPr="00476921">
        <w:rPr>
          <w:rFonts w:hint="eastAsia"/>
        </w:rPr>
        <w:t>委员会欢迎缔约国《</w:t>
      </w:r>
      <w:r w:rsidRPr="00476921">
        <w:rPr>
          <w:rFonts w:hint="eastAsia"/>
        </w:rPr>
        <w:t>2030</w:t>
      </w:r>
      <w:r w:rsidRPr="00476921">
        <w:rPr>
          <w:rFonts w:hint="eastAsia"/>
        </w:rPr>
        <w:t>年性别平等战略》。这一战略以跨部门视角为基础，论及妇女在所有生活领域的状况。还欢迎缔约国计划定期评估和改进为执行该战略而采取的措施。然而委员会关切地注意到，虽然促进性别平等的预算编制是可持续发展目标</w:t>
      </w:r>
      <w:r w:rsidRPr="00476921">
        <w:rPr>
          <w:rFonts w:hint="eastAsia"/>
        </w:rPr>
        <w:t>5</w:t>
      </w:r>
      <w:r w:rsidRPr="00476921">
        <w:rPr>
          <w:rFonts w:hint="eastAsia"/>
        </w:rPr>
        <w:t>的一部分，是实现性别平等的一个工具，但它没有被纳入《</w:t>
      </w:r>
      <w:r w:rsidRPr="00476921">
        <w:rPr>
          <w:rFonts w:hint="eastAsia"/>
        </w:rPr>
        <w:t>2030</w:t>
      </w:r>
      <w:r w:rsidRPr="00476921">
        <w:rPr>
          <w:rFonts w:hint="eastAsia"/>
        </w:rPr>
        <w:t>年性别平等战略》，而且议会在这方面的一项动议被否决。</w:t>
      </w:r>
    </w:p>
    <w:p w14:paraId="2B31B33C" w14:textId="77777777" w:rsidR="00C22874" w:rsidRPr="00476921" w:rsidRDefault="00C22874" w:rsidP="00C22874">
      <w:pPr>
        <w:pStyle w:val="SingleTxt"/>
      </w:pPr>
      <w:r w:rsidRPr="00476921">
        <w:rPr>
          <w:rFonts w:hint="eastAsia"/>
        </w:rPr>
        <w:t>30.</w:t>
      </w:r>
      <w:r w:rsidRPr="00476921">
        <w:rPr>
          <w:rFonts w:hint="eastAsia"/>
        </w:rPr>
        <w:tab/>
      </w:r>
      <w:r w:rsidRPr="00476921">
        <w:rPr>
          <w:rFonts w:eastAsia="黑体" w:hint="eastAsia"/>
        </w:rPr>
        <w:t>委员会建议缔约国在各级采用系统的促进性别平等的预算编制，以确保财政拨款平等惠及妇女和男子。</w:t>
      </w:r>
    </w:p>
    <w:p w14:paraId="2CB5DD97" w14:textId="77777777" w:rsidR="00C22874" w:rsidRPr="00476921" w:rsidRDefault="00C22874" w:rsidP="00C22874">
      <w:pPr>
        <w:pStyle w:val="SingleTxt"/>
      </w:pPr>
      <w:r w:rsidRPr="00476921">
        <w:rPr>
          <w:rFonts w:hint="eastAsia"/>
        </w:rPr>
        <w:t>31.</w:t>
      </w:r>
      <w:r w:rsidRPr="00476921">
        <w:rPr>
          <w:rFonts w:hint="eastAsia"/>
        </w:rPr>
        <w:tab/>
      </w:r>
      <w:r w:rsidRPr="00476921">
        <w:rPr>
          <w:rFonts w:hint="eastAsia"/>
        </w:rPr>
        <w:t>委</w:t>
      </w:r>
      <w:r w:rsidRPr="00476921">
        <w:rPr>
          <w:rFonts w:hint="eastAsia"/>
          <w:spacing w:val="4"/>
        </w:rPr>
        <w:t>员会注意到，缔约国为保护妇女权利和性别平等的项目和机构划拨了资</w:t>
      </w:r>
      <w:r w:rsidRPr="00476921">
        <w:rPr>
          <w:rFonts w:hint="eastAsia"/>
        </w:rPr>
        <w:t>金，包括通过了在楚格州、提契诺州和汝拉州执行平等行动计划的专项预算，并增加了格拉鲁斯州的预算。然而委员会关切地注意到：</w:t>
      </w:r>
    </w:p>
    <w:p w14:paraId="5802A6B2" w14:textId="1AACE931"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hint="eastAsia"/>
        </w:rPr>
        <w:t>有</w:t>
      </w:r>
      <w:r w:rsidR="00C22874" w:rsidRPr="00476921">
        <w:rPr>
          <w:rFonts w:hint="eastAsia"/>
        </w:rPr>
        <w:t>6</w:t>
      </w:r>
      <w:r w:rsidR="00C22874" w:rsidRPr="00476921">
        <w:rPr>
          <w:rFonts w:hint="eastAsia"/>
        </w:rPr>
        <w:t>个州没有设立平等办公室</w:t>
      </w:r>
      <w:r w:rsidR="00C22874" w:rsidRPr="00476921">
        <w:rPr>
          <w:rFonts w:hint="eastAsia"/>
        </w:rPr>
        <w:t>(</w:t>
      </w:r>
      <w:r w:rsidR="00C22874" w:rsidRPr="00476921">
        <w:rPr>
          <w:rFonts w:hint="eastAsia"/>
        </w:rPr>
        <w:t>内阿彭策尔、下瓦尔登、上瓦尔登、沙夫豪森、图尔高和楚格</w:t>
      </w:r>
      <w:r w:rsidR="00C22874" w:rsidRPr="00476921">
        <w:rPr>
          <w:rFonts w:hint="eastAsia"/>
        </w:rPr>
        <w:t>)</w:t>
      </w:r>
      <w:r w:rsidR="00C22874" w:rsidRPr="00476921">
        <w:rPr>
          <w:rFonts w:hint="eastAsia"/>
        </w:rPr>
        <w:t>；上瓦尔登的平等办公室已经关闭；伯尔尼州和苏黎世州的平等办公室的存在或预算受到质疑；阿尔高州的平等办公室被与老年人办公室合并，为的是减少行政费用；</w:t>
      </w:r>
    </w:p>
    <w:p w14:paraId="78C1E762" w14:textId="767ACE9F"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hint="eastAsia"/>
        </w:rPr>
        <w:t>各州在落实男女同性恋、双性恋、跨性者和间性者妇女权利方面的能力的扩大，并没有系统地与更多的资源分配相匹配。</w:t>
      </w:r>
    </w:p>
    <w:p w14:paraId="41D689F2" w14:textId="77777777" w:rsidR="00C22874" w:rsidRPr="00476921" w:rsidRDefault="00C22874" w:rsidP="00C22874">
      <w:pPr>
        <w:pStyle w:val="SingleTxt"/>
      </w:pPr>
      <w:r w:rsidRPr="00476921">
        <w:rPr>
          <w:rFonts w:hint="eastAsia"/>
        </w:rPr>
        <w:t>32.</w:t>
      </w:r>
      <w:r w:rsidRPr="00476921">
        <w:rPr>
          <w:rFonts w:hint="eastAsia"/>
        </w:rPr>
        <w:tab/>
      </w:r>
      <w:r w:rsidRPr="00476921">
        <w:rPr>
          <w:rFonts w:eastAsia="黑体" w:hint="eastAsia"/>
        </w:rPr>
        <w:t>委员会建议缔约国：</w:t>
      </w:r>
    </w:p>
    <w:p w14:paraId="5E76DFC1" w14:textId="60559116"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消除各州在落实妇女权利和性别平等方面的供资差异，确保每个州都设立性别平等办公室；</w:t>
      </w:r>
    </w:p>
    <w:p w14:paraId="1172DCF6" w14:textId="4DABE56A"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确保为扩大各州落实男女同性恋、双性恋、跨性者和间性者妇女权利的能力提供充足的额外资源。</w:t>
      </w:r>
    </w:p>
    <w:p w14:paraId="7E9387C7" w14:textId="77777777" w:rsidR="00C22874" w:rsidRPr="00476921" w:rsidRDefault="00C22874" w:rsidP="00C22874">
      <w:pPr>
        <w:pStyle w:val="SingleTxt"/>
      </w:pPr>
      <w:r w:rsidRPr="00476921">
        <w:rPr>
          <w:rFonts w:hint="eastAsia"/>
        </w:rPr>
        <w:t>33.</w:t>
      </w:r>
      <w:r w:rsidRPr="00476921">
        <w:rPr>
          <w:rFonts w:hint="eastAsia"/>
        </w:rPr>
        <w:tab/>
      </w:r>
      <w:r w:rsidRPr="00476921">
        <w:rPr>
          <w:rFonts w:hint="eastAsia"/>
        </w:rPr>
        <w:t>委员会注意到，据代表团称，联邦政府正计划将性别平等观点纳入其数字化战略。</w:t>
      </w:r>
    </w:p>
    <w:p w14:paraId="7CCCE941" w14:textId="77777777" w:rsidR="00C22874" w:rsidRPr="00476921" w:rsidRDefault="00C22874" w:rsidP="00C22874">
      <w:pPr>
        <w:pStyle w:val="SingleTxt"/>
      </w:pPr>
      <w:r w:rsidRPr="00476921">
        <w:rPr>
          <w:rFonts w:hint="eastAsia"/>
        </w:rPr>
        <w:t>34.</w:t>
      </w:r>
      <w:r w:rsidRPr="00476921">
        <w:rPr>
          <w:rFonts w:hint="eastAsia"/>
        </w:rPr>
        <w:tab/>
      </w:r>
      <w:r w:rsidRPr="00476921">
        <w:rPr>
          <w:rFonts w:eastAsia="黑体" w:hint="eastAsia"/>
        </w:rPr>
        <w:t>委员会建议缔约国将性别平等观点纳入其数字化战略。委员会还建议缔约国采取针对性的措施，避免数字化中的性别偏见，防止性别数字差距，并让妇女充分参与制定数字解决办法。</w:t>
      </w:r>
    </w:p>
    <w:p w14:paraId="5C1D6E81"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暂行特别措施</w:t>
      </w:r>
    </w:p>
    <w:p w14:paraId="7025297F" w14:textId="559D8D90" w:rsidR="00C22874" w:rsidRPr="00476921" w:rsidRDefault="00C22874" w:rsidP="00C22874">
      <w:pPr>
        <w:pStyle w:val="SingleTxt"/>
      </w:pPr>
      <w:r w:rsidRPr="00476921">
        <w:rPr>
          <w:rFonts w:hint="eastAsia"/>
        </w:rPr>
        <w:t>35.</w:t>
      </w:r>
      <w:r w:rsidRPr="00476921">
        <w:rPr>
          <w:rFonts w:hint="eastAsia"/>
        </w:rPr>
        <w:tab/>
      </w:r>
      <w:r w:rsidRPr="00476921">
        <w:rPr>
          <w:rFonts w:hint="eastAsia"/>
        </w:rPr>
        <w:t>委员会欢迎</w:t>
      </w:r>
      <w:r w:rsidRPr="00476921">
        <w:rPr>
          <w:rFonts w:hint="eastAsia"/>
        </w:rPr>
        <w:t>2021</w:t>
      </w:r>
      <w:r w:rsidRPr="00476921">
        <w:rPr>
          <w:rFonts w:hint="eastAsia"/>
        </w:rPr>
        <w:t>年在雇员人数超过</w:t>
      </w:r>
      <w:r w:rsidRPr="00476921">
        <w:rPr>
          <w:rFonts w:hint="eastAsia"/>
        </w:rPr>
        <w:t>250</w:t>
      </w:r>
      <w:r w:rsidRPr="00476921">
        <w:rPr>
          <w:rFonts w:hint="eastAsia"/>
        </w:rPr>
        <w:t>人的公司实行董事会中妇女代表占</w:t>
      </w:r>
      <w:r w:rsidRPr="00476921">
        <w:rPr>
          <w:rFonts w:hint="eastAsia"/>
        </w:rPr>
        <w:t>30</w:t>
      </w:r>
      <w:r w:rsidR="00AF188A" w:rsidRPr="00476921">
        <w:rPr>
          <w:rFonts w:hint="eastAsia"/>
        </w:rPr>
        <w:t>%</w:t>
      </w:r>
      <w:r w:rsidRPr="00476921">
        <w:rPr>
          <w:rFonts w:hint="eastAsia"/>
        </w:rPr>
        <w:t>的配额和执行董事会中妇女代表占</w:t>
      </w:r>
      <w:r w:rsidRPr="00476921">
        <w:rPr>
          <w:rFonts w:hint="eastAsia"/>
        </w:rPr>
        <w:t>20</w:t>
      </w:r>
      <w:r w:rsidR="00AF188A" w:rsidRPr="00476921">
        <w:rPr>
          <w:rFonts w:hint="eastAsia"/>
        </w:rPr>
        <w:t>%</w:t>
      </w:r>
      <w:r w:rsidRPr="00476921">
        <w:rPr>
          <w:rFonts w:hint="eastAsia"/>
        </w:rPr>
        <w:t>的配额。委员会还注意到，《</w:t>
      </w:r>
      <w:r w:rsidRPr="00476921">
        <w:rPr>
          <w:rFonts w:hint="eastAsia"/>
        </w:rPr>
        <w:t>2030</w:t>
      </w:r>
      <w:r w:rsidRPr="00476921">
        <w:rPr>
          <w:rFonts w:hint="eastAsia"/>
        </w:rPr>
        <w:t>年性别平等战略》规定，妇女在与联邦政府有关联的公司管理机构中的代表率配额为</w:t>
      </w:r>
      <w:r w:rsidRPr="00476921">
        <w:rPr>
          <w:rFonts w:hint="eastAsia"/>
        </w:rPr>
        <w:t>40</w:t>
      </w:r>
      <w:r w:rsidR="00AF188A" w:rsidRPr="00476921">
        <w:rPr>
          <w:rFonts w:hint="eastAsia"/>
        </w:rPr>
        <w:t>%</w:t>
      </w:r>
      <w:r w:rsidRPr="00476921">
        <w:rPr>
          <w:rFonts w:hint="eastAsia"/>
        </w:rPr>
        <w:t>(</w:t>
      </w:r>
      <w:r w:rsidRPr="00476921">
        <w:rPr>
          <w:rFonts w:hint="eastAsia"/>
        </w:rPr>
        <w:t>根据</w:t>
      </w:r>
      <w:r w:rsidRPr="00476921">
        <w:rPr>
          <w:rFonts w:hint="eastAsia"/>
        </w:rPr>
        <w:t>RS No.172.220.12</w:t>
      </w:r>
      <w:r w:rsidRPr="00476921">
        <w:rPr>
          <w:rFonts w:hint="eastAsia"/>
        </w:rPr>
        <w:t>号命令第</w:t>
      </w:r>
      <w:r w:rsidRPr="00476921">
        <w:rPr>
          <w:rFonts w:hint="eastAsia"/>
        </w:rPr>
        <w:t>2</w:t>
      </w:r>
      <w:r w:rsidRPr="00476921">
        <w:rPr>
          <w:rFonts w:hint="eastAsia"/>
        </w:rPr>
        <w:t>条第</w:t>
      </w:r>
      <w:r w:rsidRPr="00476921">
        <w:rPr>
          <w:rFonts w:hint="eastAsia"/>
        </w:rPr>
        <w:t>2</w:t>
      </w:r>
      <w:r w:rsidRPr="00476921">
        <w:rPr>
          <w:rFonts w:hint="eastAsia"/>
        </w:rPr>
        <w:t>款，与联邦公司和机构最高管理层和管理机构成员商定的薪酬和其他合同条件</w:t>
      </w:r>
      <w:r w:rsidRPr="00476921">
        <w:rPr>
          <w:rFonts w:hint="eastAsia"/>
        </w:rPr>
        <w:t>)</w:t>
      </w:r>
      <w:r w:rsidRPr="00476921">
        <w:rPr>
          <w:rFonts w:hint="eastAsia"/>
        </w:rPr>
        <w:t>。然而委员会关切地注意到，旨在促进弱势妇女群体，包括移民妇女、难民妇女和残疾妇女平等参与就业等社会不同领域的举措不足以克服她们面临的障碍。</w:t>
      </w:r>
    </w:p>
    <w:p w14:paraId="5CB5D6C9" w14:textId="77777777" w:rsidR="00C22874" w:rsidRPr="00476921" w:rsidRDefault="00C22874" w:rsidP="00C22874">
      <w:pPr>
        <w:pStyle w:val="SingleTxt"/>
      </w:pPr>
      <w:r w:rsidRPr="00476921">
        <w:rPr>
          <w:rFonts w:hint="eastAsia"/>
        </w:rPr>
        <w:t>36.</w:t>
      </w:r>
      <w:r w:rsidRPr="00476921">
        <w:rPr>
          <w:rFonts w:hint="eastAsia"/>
        </w:rPr>
        <w:tab/>
      </w:r>
      <w:r w:rsidRPr="00476921">
        <w:rPr>
          <w:rFonts w:eastAsia="黑体" w:hint="eastAsia"/>
        </w:rPr>
        <w:t>委员会建议缔约国：</w:t>
      </w:r>
    </w:p>
    <w:p w14:paraId="46FDBB5B" w14:textId="5A3483C0"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根据《公约》第四条和关于暂行特别措施的第</w:t>
      </w:r>
      <w:r w:rsidR="00C22874" w:rsidRPr="00476921">
        <w:rPr>
          <w:rFonts w:eastAsia="黑体" w:hint="eastAsia"/>
        </w:rPr>
        <w:t>25</w:t>
      </w:r>
      <w:r w:rsidR="00C22874" w:rsidRPr="00476921">
        <w:rPr>
          <w:rFonts w:eastAsia="黑体" w:hint="eastAsia"/>
        </w:rPr>
        <w:t>号一般性建议</w:t>
      </w:r>
      <w:r w:rsidR="00C22874" w:rsidRPr="00476921">
        <w:rPr>
          <w:rFonts w:eastAsia="黑体" w:hint="eastAsia"/>
        </w:rPr>
        <w:t>(2004</w:t>
      </w:r>
      <w:r w:rsidR="00C22874" w:rsidRPr="00476921">
        <w:rPr>
          <w:rFonts w:eastAsia="黑体" w:hint="eastAsia"/>
        </w:rPr>
        <w:t>年</w:t>
      </w:r>
      <w:r w:rsidR="00C22874" w:rsidRPr="00476921">
        <w:rPr>
          <w:rFonts w:eastAsia="黑体" w:hint="eastAsia"/>
        </w:rPr>
        <w:t>)</w:t>
      </w:r>
      <w:r w:rsidR="00C22874" w:rsidRPr="00476921">
        <w:rPr>
          <w:rFonts w:eastAsia="黑体" w:hint="eastAsia"/>
        </w:rPr>
        <w:t>，采取暂行特别措施，如外联和支助方案、针对性的招聘和配额，以促进在就业、领导职位和政治等弱势妇女代表性不足和处于不利地位的所有领域的实质性男女平等；</w:t>
      </w:r>
    </w:p>
    <w:p w14:paraId="0F095FD6" w14:textId="2BAF3F6F"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在公众中开展提高认识方案，宣传法定配额的必要性，特别是实现必要的结构、社会和文化变革，以纠正过去和现在对妇女歧视的形式和影响。</w:t>
      </w:r>
    </w:p>
    <w:p w14:paraId="75AE5D0C"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陈规定型观念</w:t>
      </w:r>
    </w:p>
    <w:p w14:paraId="3D347A10" w14:textId="77777777" w:rsidR="00C22874" w:rsidRPr="00476921" w:rsidRDefault="00C22874" w:rsidP="00C22874">
      <w:pPr>
        <w:pStyle w:val="SingleTxt"/>
      </w:pPr>
      <w:r w:rsidRPr="00476921">
        <w:rPr>
          <w:rFonts w:hint="eastAsia"/>
        </w:rPr>
        <w:t>37.</w:t>
      </w:r>
      <w:r w:rsidRPr="00476921">
        <w:rPr>
          <w:rFonts w:hint="eastAsia"/>
        </w:rPr>
        <w:tab/>
      </w:r>
      <w:r w:rsidRPr="00476921">
        <w:rPr>
          <w:rFonts w:hint="eastAsia"/>
        </w:rPr>
        <w:t>委员会关切地注意到，缔约国对妇女和男子在家庭和社会中的作用和责任仍然存在歧视性的定型观念。委员会还感到关切的是：</w:t>
      </w:r>
    </w:p>
    <w:p w14:paraId="213B9673" w14:textId="574F8F4A"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hint="eastAsia"/>
        </w:rPr>
        <w:t>对少数群体妇女和移民妇女的偏见和相互交织的歧视，妨碍她们平等参与社会；</w:t>
      </w:r>
    </w:p>
    <w:p w14:paraId="06077D11" w14:textId="2238EC7E"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hint="eastAsia"/>
        </w:rPr>
        <w:t>缺乏具体的立法来尊重关于性别平等和媒体机构敏感性的标准；</w:t>
      </w:r>
    </w:p>
    <w:p w14:paraId="6855ACFF" w14:textId="7CD552BF"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hint="eastAsia"/>
        </w:rPr>
        <w:t>媒体中对妇女的陈规定型观念和媒体专业人员中妇女人数不足；</w:t>
      </w:r>
    </w:p>
    <w:p w14:paraId="39DA98D7" w14:textId="00064730" w:rsidR="00C22874" w:rsidRPr="00476921" w:rsidRDefault="008C5F80" w:rsidP="00C22874">
      <w:pPr>
        <w:pStyle w:val="SingleTxt"/>
      </w:pPr>
      <w:r w:rsidRPr="00476921">
        <w:tab/>
      </w:r>
      <w:r w:rsidR="00C22874" w:rsidRPr="00476921">
        <w:rPr>
          <w:rFonts w:hint="eastAsia"/>
        </w:rPr>
        <w:t>(d)</w:t>
      </w:r>
      <w:r w:rsidR="00C22874" w:rsidRPr="00476921">
        <w:rPr>
          <w:rFonts w:hint="eastAsia"/>
        </w:rPr>
        <w:tab/>
        <w:t>80</w:t>
      </w:r>
      <w:r w:rsidR="00AF188A" w:rsidRPr="00476921">
        <w:rPr>
          <w:rFonts w:hint="eastAsia"/>
        </w:rPr>
        <w:t>%</w:t>
      </w:r>
      <w:r w:rsidR="00C22874" w:rsidRPr="00476921">
        <w:rPr>
          <w:rFonts w:hint="eastAsia"/>
        </w:rPr>
        <w:t>的网上仇恨言论针对妇女为，而且没有明确禁止性别歧视和厌恶女性的仇恨言论。</w:t>
      </w:r>
    </w:p>
    <w:p w14:paraId="122640A8" w14:textId="543E0A81" w:rsidR="00C22874" w:rsidRPr="00476921" w:rsidRDefault="00C22874" w:rsidP="00C22874">
      <w:pPr>
        <w:pStyle w:val="SingleTxt"/>
      </w:pPr>
      <w:r w:rsidRPr="00476921">
        <w:rPr>
          <w:rFonts w:hint="eastAsia"/>
        </w:rPr>
        <w:t>38.</w:t>
      </w:r>
      <w:r w:rsidRPr="00476921">
        <w:rPr>
          <w:rFonts w:hint="eastAsia"/>
        </w:rPr>
        <w:tab/>
      </w:r>
      <w:r w:rsidRPr="00476921">
        <w:rPr>
          <w:rFonts w:eastAsia="黑体" w:hint="eastAsia"/>
        </w:rPr>
        <w:t>委员会回顾其先前的建议</w:t>
      </w:r>
      <w:r w:rsidRPr="00476921">
        <w:rPr>
          <w:rFonts w:eastAsia="黑体" w:hint="eastAsia"/>
        </w:rPr>
        <w:t>(</w:t>
      </w:r>
      <w:hyperlink r:id="rId32" w:history="1">
        <w:r w:rsidRPr="00476921">
          <w:rPr>
            <w:rStyle w:val="af4"/>
            <w:rFonts w:eastAsia="黑体" w:hint="eastAsia"/>
          </w:rPr>
          <w:t>CEDAW/C/CHE/CO/4-5</w:t>
        </w:r>
      </w:hyperlink>
      <w:r w:rsidRPr="00476921">
        <w:rPr>
          <w:rFonts w:eastAsia="黑体" w:hint="eastAsia"/>
        </w:rPr>
        <w:t>，第</w:t>
      </w:r>
      <w:r w:rsidRPr="00476921">
        <w:rPr>
          <w:rFonts w:eastAsia="黑体" w:hint="eastAsia"/>
        </w:rPr>
        <w:t>23</w:t>
      </w:r>
      <w:r w:rsidRPr="00476921">
        <w:rPr>
          <w:rFonts w:eastAsia="黑体" w:hint="eastAsia"/>
        </w:rPr>
        <w:t>段</w:t>
      </w:r>
      <w:r w:rsidRPr="00476921">
        <w:rPr>
          <w:rFonts w:eastAsia="黑体" w:hint="eastAsia"/>
        </w:rPr>
        <w:t>)</w:t>
      </w:r>
      <w:r w:rsidRPr="00476921">
        <w:rPr>
          <w:rFonts w:eastAsia="黑体" w:hint="eastAsia"/>
        </w:rPr>
        <w:t>，建议缔约国在所有领域防止和消除歧视性性别成见，包括：</w:t>
      </w:r>
    </w:p>
    <w:p w14:paraId="608B2A9F" w14:textId="528DDE16"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开展提高认识和教育运动，消除关于妇女和男子在家庭和社会中的作用和责任的歧视性定型观念；</w:t>
      </w:r>
    </w:p>
    <w:p w14:paraId="55EEFB70" w14:textId="278DD5A6"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收集并分析关于对少数群体妇女和移民妇女的成见和歧视的数据，以便制定和执行有效打击这些现象的政策和方案；</w:t>
      </w:r>
    </w:p>
    <w:p w14:paraId="4C30E42F" w14:textId="074A0B1D"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eastAsia="黑体" w:hint="eastAsia"/>
        </w:rPr>
        <w:t>采取暂行特别措施，加速实现《公约》所涉所有领域的实质性男女平等，作为消除性别成见的补充措施；</w:t>
      </w:r>
    </w:p>
    <w:p w14:paraId="0AAEB984" w14:textId="3E9907CA" w:rsidR="00C22874" w:rsidRPr="00476921" w:rsidRDefault="008C5F80" w:rsidP="00C22874">
      <w:pPr>
        <w:pStyle w:val="SingleTxt"/>
      </w:pPr>
      <w:r w:rsidRPr="00476921">
        <w:tab/>
      </w:r>
      <w:r w:rsidR="00C22874" w:rsidRPr="00476921">
        <w:rPr>
          <w:rFonts w:hint="eastAsia"/>
        </w:rPr>
        <w:t>(d)</w:t>
      </w:r>
      <w:r w:rsidR="00C22874" w:rsidRPr="00476921">
        <w:rPr>
          <w:rFonts w:hint="eastAsia"/>
        </w:rPr>
        <w:tab/>
      </w:r>
      <w:r w:rsidR="00C22874" w:rsidRPr="00476921">
        <w:rPr>
          <w:rFonts w:eastAsia="黑体" w:hint="eastAsia"/>
        </w:rPr>
        <w:t>在联邦一级通过防止性别歧视广告的立法，类似于</w:t>
      </w:r>
      <w:r w:rsidR="00C22874" w:rsidRPr="00476921">
        <w:rPr>
          <w:rFonts w:eastAsia="黑体" w:hint="eastAsia"/>
        </w:rPr>
        <w:t>2019</w:t>
      </w:r>
      <w:r w:rsidR="00C22874" w:rsidRPr="00476921">
        <w:rPr>
          <w:rFonts w:eastAsia="黑体" w:hint="eastAsia"/>
        </w:rPr>
        <w:t>年在沃州通过的防止性别歧视广告的法律；</w:t>
      </w:r>
    </w:p>
    <w:p w14:paraId="6C0FB9A5" w14:textId="0FCCA953" w:rsidR="00C22874" w:rsidRPr="00476921" w:rsidRDefault="008C5F80" w:rsidP="00C22874">
      <w:pPr>
        <w:pStyle w:val="SingleTxt"/>
      </w:pPr>
      <w:r w:rsidRPr="00476921">
        <w:tab/>
      </w:r>
      <w:r w:rsidR="00C22874" w:rsidRPr="00476921">
        <w:rPr>
          <w:rFonts w:hint="eastAsia"/>
        </w:rPr>
        <w:t>(e)</w:t>
      </w:r>
      <w:r w:rsidR="00C22874" w:rsidRPr="00476921">
        <w:rPr>
          <w:rFonts w:hint="eastAsia"/>
        </w:rPr>
        <w:tab/>
      </w:r>
      <w:r w:rsidR="00C22874" w:rsidRPr="00476921">
        <w:rPr>
          <w:rFonts w:eastAsia="黑体" w:hint="eastAsia"/>
        </w:rPr>
        <w:t>深入分析媒体报道中的性别偏见；</w:t>
      </w:r>
    </w:p>
    <w:p w14:paraId="3251CDBA" w14:textId="39889FEE" w:rsidR="00C22874" w:rsidRPr="00476921" w:rsidRDefault="008C5F80" w:rsidP="00C22874">
      <w:pPr>
        <w:pStyle w:val="SingleTxt"/>
      </w:pPr>
      <w:r w:rsidRPr="00476921">
        <w:tab/>
      </w:r>
      <w:r w:rsidR="00C22874" w:rsidRPr="00476921">
        <w:rPr>
          <w:rFonts w:hint="eastAsia"/>
        </w:rPr>
        <w:t>(f)</w:t>
      </w:r>
      <w:r w:rsidR="00C22874" w:rsidRPr="00476921">
        <w:rPr>
          <w:rFonts w:hint="eastAsia"/>
        </w:rPr>
        <w:tab/>
      </w:r>
      <w:r w:rsidR="00C22874" w:rsidRPr="00476921">
        <w:rPr>
          <w:rFonts w:eastAsia="黑体" w:hint="eastAsia"/>
        </w:rPr>
        <w:t>通过立法，明确禁止基于性别歧视和厌女症的仇恨言论，类似于《刑法》第</w:t>
      </w:r>
      <w:r w:rsidR="00C22874" w:rsidRPr="00476921">
        <w:rPr>
          <w:rFonts w:eastAsia="黑体" w:hint="eastAsia"/>
        </w:rPr>
        <w:t>261</w:t>
      </w:r>
      <w:r w:rsidR="00C22874" w:rsidRPr="00476921">
        <w:rPr>
          <w:rFonts w:eastAsia="黑体" w:hint="eastAsia"/>
        </w:rPr>
        <w:t>条之二禁止基于种族主义的仇恨言论。</w:t>
      </w:r>
    </w:p>
    <w:p w14:paraId="074E29DF"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有害习俗</w:t>
      </w:r>
    </w:p>
    <w:p w14:paraId="5CA9068F" w14:textId="77777777" w:rsidR="00C22874" w:rsidRPr="00476921" w:rsidRDefault="00C22874" w:rsidP="00C22874">
      <w:pPr>
        <w:pStyle w:val="SingleTxt"/>
      </w:pPr>
      <w:r w:rsidRPr="00476921">
        <w:rPr>
          <w:rFonts w:hint="eastAsia"/>
        </w:rPr>
        <w:t>39.</w:t>
      </w:r>
      <w:r w:rsidRPr="00476921">
        <w:rPr>
          <w:rFonts w:hint="eastAsia"/>
        </w:rPr>
        <w:tab/>
      </w:r>
      <w:r w:rsidRPr="00476921">
        <w:rPr>
          <w:rFonts w:hint="eastAsia"/>
        </w:rPr>
        <w:t>委员会注意到，缔约国每年给瑞士反对切割女性生殖器网络认捐</w:t>
      </w:r>
      <w:r w:rsidRPr="00476921">
        <w:rPr>
          <w:rFonts w:hint="eastAsia"/>
        </w:rPr>
        <w:t>240 000</w:t>
      </w:r>
      <w:r w:rsidRPr="00476921">
        <w:rPr>
          <w:rFonts w:hint="eastAsia"/>
        </w:rPr>
        <w:t>瑞士法郎，直至</w:t>
      </w:r>
      <w:r w:rsidRPr="00476921">
        <w:rPr>
          <w:rFonts w:hint="eastAsia"/>
        </w:rPr>
        <w:t>2023</w:t>
      </w:r>
      <w:r w:rsidRPr="00476921">
        <w:rPr>
          <w:rFonts w:hint="eastAsia"/>
        </w:rPr>
        <w:t>年</w:t>
      </w:r>
      <w:r w:rsidRPr="00476921">
        <w:rPr>
          <w:rFonts w:hint="eastAsia"/>
        </w:rPr>
        <w:t>12</w:t>
      </w:r>
      <w:r w:rsidRPr="00476921">
        <w:rPr>
          <w:rFonts w:hint="eastAsia"/>
        </w:rPr>
        <w:t>月。委员会还注意到，代表团表示，担心遭受女性生殖器切割是在缔约国寻求庇护的公认理由。然而委员会关切地注意到，尽管禁止切割女性生殖器，但根据</w:t>
      </w:r>
      <w:r w:rsidRPr="00476921">
        <w:rPr>
          <w:rFonts w:hint="eastAsia"/>
        </w:rPr>
        <w:t>2018</w:t>
      </w:r>
      <w:r w:rsidRPr="00476921">
        <w:rPr>
          <w:rFonts w:hint="eastAsia"/>
        </w:rPr>
        <w:t>年的估计，约有</w:t>
      </w:r>
      <w:r w:rsidRPr="00476921">
        <w:rPr>
          <w:rFonts w:hint="eastAsia"/>
        </w:rPr>
        <w:t>22 000</w:t>
      </w:r>
      <w:r w:rsidRPr="00476921">
        <w:rPr>
          <w:rFonts w:hint="eastAsia"/>
        </w:rPr>
        <w:t>名妇女和女童受到切割女性生殖器的影响或威胁。此外，缔约国对切割女性生殖器案件的报告、调查、起诉和定罪数量很少。</w:t>
      </w:r>
    </w:p>
    <w:p w14:paraId="5B6D7EC7" w14:textId="77777777" w:rsidR="00C22874" w:rsidRPr="00476921" w:rsidRDefault="00C22874" w:rsidP="00C22874">
      <w:pPr>
        <w:pStyle w:val="SingleTxt"/>
      </w:pPr>
      <w:r w:rsidRPr="00476921">
        <w:rPr>
          <w:rFonts w:hint="eastAsia"/>
        </w:rPr>
        <w:t>40.</w:t>
      </w:r>
      <w:r w:rsidRPr="00476921">
        <w:rPr>
          <w:rFonts w:hint="eastAsia"/>
        </w:rPr>
        <w:tab/>
      </w:r>
      <w:r w:rsidRPr="00476921">
        <w:rPr>
          <w:rFonts w:eastAsia="黑体" w:hint="eastAsia"/>
        </w:rPr>
        <w:t>委员会建议缔约国：</w:t>
      </w:r>
    </w:p>
    <w:p w14:paraId="12A5888A" w14:textId="29578181"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开展提高认识运动，并在边境哨所、机场和火车站等地为女性生殖器切割的受害者或面临风险的妇女和女童提供性别敏感的报告机制；</w:t>
      </w:r>
    </w:p>
    <w:p w14:paraId="7373CD5A" w14:textId="1D0FFD9E"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向保健专业人员提供有关女性生殖器切割问题的强制性培训。</w:t>
      </w:r>
    </w:p>
    <w:p w14:paraId="3C99F0E1"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对妇女的性别暴力</w:t>
      </w:r>
    </w:p>
    <w:p w14:paraId="78BAB2E3" w14:textId="77777777" w:rsidR="00C22874" w:rsidRPr="00476921" w:rsidRDefault="00C22874" w:rsidP="00C22874">
      <w:pPr>
        <w:pStyle w:val="SingleTxt"/>
      </w:pPr>
      <w:r w:rsidRPr="00476921">
        <w:rPr>
          <w:rFonts w:hint="eastAsia"/>
        </w:rPr>
        <w:t>41.</w:t>
      </w:r>
      <w:r w:rsidRPr="00476921">
        <w:rPr>
          <w:rFonts w:hint="eastAsia"/>
        </w:rPr>
        <w:tab/>
      </w:r>
      <w:r w:rsidRPr="00476921">
        <w:rPr>
          <w:rFonts w:hint="eastAsia"/>
        </w:rPr>
        <w:t>委员会欢迎缔约国于</w:t>
      </w:r>
      <w:r w:rsidRPr="00476921">
        <w:rPr>
          <w:rFonts w:hint="eastAsia"/>
        </w:rPr>
        <w:t>2017</w:t>
      </w:r>
      <w:r w:rsidRPr="00476921">
        <w:rPr>
          <w:rFonts w:hint="eastAsia"/>
        </w:rPr>
        <w:t>年批准《伊斯坦布尔公约》和相关的执行计划。委员会还注意到，</w:t>
      </w:r>
      <w:r w:rsidRPr="00476921">
        <w:rPr>
          <w:rFonts w:hint="eastAsia"/>
        </w:rPr>
        <w:t>2018</w:t>
      </w:r>
      <w:r w:rsidRPr="00476921">
        <w:rPr>
          <w:rFonts w:hint="eastAsia"/>
        </w:rPr>
        <w:t>年通过了加强保护暴力受害者的联邦法律。该法律废除了调解程序和收取法庭费用的要求。委员会还注意到，打击性别暴力行为是《</w:t>
      </w:r>
      <w:r w:rsidRPr="00476921">
        <w:rPr>
          <w:rFonts w:hint="eastAsia"/>
        </w:rPr>
        <w:t>2030</w:t>
      </w:r>
      <w:r w:rsidRPr="00476921">
        <w:rPr>
          <w:rFonts w:hint="eastAsia"/>
        </w:rPr>
        <w:t>年性别平等战略》的一个优先事项，而且自</w:t>
      </w:r>
      <w:r w:rsidRPr="00476921">
        <w:rPr>
          <w:rFonts w:hint="eastAsia"/>
        </w:rPr>
        <w:t>2021</w:t>
      </w:r>
      <w:r w:rsidRPr="00476921">
        <w:rPr>
          <w:rFonts w:hint="eastAsia"/>
        </w:rPr>
        <w:t>年以来，缔约国向开展预防和消除对妇女的性别暴力项目的组织提供资金。委员会还欢迎增加受害者援助和收容所的预算，并在苏黎世州推出在线咨询服务。然而委员会关切地注意到：</w:t>
      </w:r>
    </w:p>
    <w:p w14:paraId="2D6DB5C9" w14:textId="38C3BCC9"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hint="eastAsia"/>
        </w:rPr>
        <w:t>缔约国境内对妇女的家庭暴力和性暴力以及对妇女和女童的性骚扰和盯梢骚扰十分普遍，但报告不足；</w:t>
      </w:r>
    </w:p>
    <w:p w14:paraId="64E3BBA8" w14:textId="48D31D42"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hint="eastAsia"/>
        </w:rPr>
        <w:t>国务委员会法律事务委员会目前提出的修订和加强将强奸定为刑事犯罪的立法提案中并未包含根据国际标准以未经同意为基础的强奸定义；</w:t>
      </w:r>
    </w:p>
    <w:p w14:paraId="0FA2FB7E" w14:textId="31F7BEE3"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hint="eastAsia"/>
        </w:rPr>
        <w:t>《刑法》第</w:t>
      </w:r>
      <w:r w:rsidR="00C22874" w:rsidRPr="00476921">
        <w:rPr>
          <w:rFonts w:hint="eastAsia"/>
        </w:rPr>
        <w:t>192</w:t>
      </w:r>
      <w:r w:rsidR="00C22874" w:rsidRPr="00476921">
        <w:rPr>
          <w:rFonts w:hint="eastAsia"/>
        </w:rPr>
        <w:t>条第</w:t>
      </w:r>
      <w:r w:rsidR="00C22874" w:rsidRPr="00476921">
        <w:rPr>
          <w:rFonts w:hint="eastAsia"/>
        </w:rPr>
        <w:t>2</w:t>
      </w:r>
      <w:r w:rsidR="00C22874" w:rsidRPr="00476921">
        <w:rPr>
          <w:rFonts w:hint="eastAsia"/>
        </w:rPr>
        <w:t>款、第</w:t>
      </w:r>
      <w:r w:rsidR="00C22874" w:rsidRPr="00476921">
        <w:rPr>
          <w:rFonts w:hint="eastAsia"/>
        </w:rPr>
        <w:t>193</w:t>
      </w:r>
      <w:r w:rsidR="00C22874" w:rsidRPr="00476921">
        <w:rPr>
          <w:rFonts w:hint="eastAsia"/>
        </w:rPr>
        <w:t>条第</w:t>
      </w:r>
      <w:r w:rsidR="00C22874" w:rsidRPr="00476921">
        <w:rPr>
          <w:rFonts w:hint="eastAsia"/>
        </w:rPr>
        <w:t>2</w:t>
      </w:r>
      <w:r w:rsidR="00C22874" w:rsidRPr="00476921">
        <w:rPr>
          <w:rFonts w:hint="eastAsia"/>
        </w:rPr>
        <w:t>款、第</w:t>
      </w:r>
      <w:r w:rsidR="00C22874" w:rsidRPr="00476921">
        <w:rPr>
          <w:rFonts w:hint="eastAsia"/>
        </w:rPr>
        <w:t>187</w:t>
      </w:r>
      <w:r w:rsidR="00C22874" w:rsidRPr="00476921">
        <w:rPr>
          <w:rFonts w:hint="eastAsia"/>
        </w:rPr>
        <w:t>条第</w:t>
      </w:r>
      <w:r w:rsidR="00C22874" w:rsidRPr="00476921">
        <w:rPr>
          <w:rFonts w:hint="eastAsia"/>
        </w:rPr>
        <w:t>3</w:t>
      </w:r>
      <w:r w:rsidR="00C22874" w:rsidRPr="00476921">
        <w:rPr>
          <w:rFonts w:hint="eastAsia"/>
        </w:rPr>
        <w:t>款和第</w:t>
      </w:r>
      <w:r w:rsidR="00C22874" w:rsidRPr="00476921">
        <w:rPr>
          <w:rFonts w:hint="eastAsia"/>
        </w:rPr>
        <w:t>188</w:t>
      </w:r>
      <w:r w:rsidR="00C22874" w:rsidRPr="00476921">
        <w:rPr>
          <w:rFonts w:hint="eastAsia"/>
        </w:rPr>
        <w:t>条第</w:t>
      </w:r>
      <w:r w:rsidR="00C22874" w:rsidRPr="00476921">
        <w:rPr>
          <w:rFonts w:hint="eastAsia"/>
        </w:rPr>
        <w:t>2</w:t>
      </w:r>
      <w:r w:rsidR="00C22874" w:rsidRPr="00476921">
        <w:rPr>
          <w:rFonts w:hint="eastAsia"/>
        </w:rPr>
        <w:t>款规定，如果犯罪者与受害者结婚或登记为伴侣，即使受害者是儿童，法官可酌情考虑减轻处罚或完全无罪释放</w:t>
      </w:r>
      <w:r w:rsidR="00C22874" w:rsidRPr="00476921">
        <w:rPr>
          <w:rFonts w:hint="eastAsia"/>
        </w:rPr>
        <w:t>(</w:t>
      </w:r>
      <w:r w:rsidR="00C22874" w:rsidRPr="00476921">
        <w:rPr>
          <w:rFonts w:hint="eastAsia"/>
        </w:rPr>
        <w:t>第</w:t>
      </w:r>
      <w:r w:rsidR="00C22874" w:rsidRPr="00476921">
        <w:rPr>
          <w:rFonts w:hint="eastAsia"/>
        </w:rPr>
        <w:t>187</w:t>
      </w:r>
      <w:r w:rsidR="00C22874" w:rsidRPr="00476921">
        <w:rPr>
          <w:rFonts w:hint="eastAsia"/>
        </w:rPr>
        <w:t>条第</w:t>
      </w:r>
      <w:r w:rsidR="00C22874" w:rsidRPr="00476921">
        <w:rPr>
          <w:rFonts w:hint="eastAsia"/>
        </w:rPr>
        <w:t>3</w:t>
      </w:r>
      <w:r w:rsidR="00C22874" w:rsidRPr="00476921">
        <w:rPr>
          <w:rFonts w:hint="eastAsia"/>
        </w:rPr>
        <w:t>款</w:t>
      </w:r>
      <w:r w:rsidR="00C22874" w:rsidRPr="00476921">
        <w:rPr>
          <w:rFonts w:hint="eastAsia"/>
        </w:rPr>
        <w:t>)</w:t>
      </w:r>
      <w:r w:rsidR="00C22874" w:rsidRPr="00476921">
        <w:rPr>
          <w:rFonts w:hint="eastAsia"/>
        </w:rPr>
        <w:t>；</w:t>
      </w:r>
    </w:p>
    <w:p w14:paraId="7A96D3FB" w14:textId="0862E6B5" w:rsidR="00C22874" w:rsidRPr="00476921" w:rsidRDefault="008C5F80" w:rsidP="00C22874">
      <w:pPr>
        <w:pStyle w:val="SingleTxt"/>
      </w:pPr>
      <w:r w:rsidRPr="00476921">
        <w:tab/>
      </w:r>
      <w:r w:rsidR="00C22874" w:rsidRPr="00476921">
        <w:rPr>
          <w:rFonts w:hint="eastAsia"/>
        </w:rPr>
        <w:t>(d)</w:t>
      </w:r>
      <w:r w:rsidR="00C22874" w:rsidRPr="00476921">
        <w:rPr>
          <w:rFonts w:hint="eastAsia"/>
        </w:rPr>
        <w:tab/>
      </w:r>
      <w:r w:rsidR="00C22874" w:rsidRPr="00476921">
        <w:rPr>
          <w:rFonts w:hint="eastAsia"/>
        </w:rPr>
        <w:t>根据苏黎世应用科学大学的一项研究，各州强奸罪的定罪率差别很大；</w:t>
      </w:r>
    </w:p>
    <w:p w14:paraId="074F41C4" w14:textId="553951DE" w:rsidR="00C22874" w:rsidRPr="00476921" w:rsidRDefault="008C5F80" w:rsidP="00C22874">
      <w:pPr>
        <w:pStyle w:val="SingleTxt"/>
      </w:pPr>
      <w:r w:rsidRPr="00476921">
        <w:tab/>
      </w:r>
      <w:r w:rsidR="00C22874" w:rsidRPr="00476921">
        <w:rPr>
          <w:rFonts w:hint="eastAsia"/>
        </w:rPr>
        <w:t>(e)</w:t>
      </w:r>
      <w:r w:rsidR="00C22874" w:rsidRPr="00476921">
        <w:rPr>
          <w:rFonts w:hint="eastAsia"/>
        </w:rPr>
        <w:tab/>
      </w:r>
      <w:r w:rsidR="00C22874" w:rsidRPr="00476921">
        <w:rPr>
          <w:rFonts w:hint="eastAsia"/>
        </w:rPr>
        <w:t>如果妇女的居留身份与其丈夫的居留身份相关联，并且由于家庭暴力而脱离这一关系，则只有在其丈夫是瑞士国民或永久居留权持有人，并且只有在暴力达到严格的严重程度时，才能延长其居留许可，而且只有在某些条件下才能延长；</w:t>
      </w:r>
    </w:p>
    <w:p w14:paraId="069AC02B" w14:textId="5D4BFE0D" w:rsidR="00C22874" w:rsidRPr="00476921" w:rsidRDefault="008C5F80" w:rsidP="00C22874">
      <w:pPr>
        <w:pStyle w:val="SingleTxt"/>
      </w:pPr>
      <w:r w:rsidRPr="00476921">
        <w:tab/>
      </w:r>
      <w:r w:rsidR="00C22874" w:rsidRPr="00476921">
        <w:rPr>
          <w:rFonts w:hint="eastAsia"/>
        </w:rPr>
        <w:t>(f)</w:t>
      </w:r>
      <w:r w:rsidR="00C22874" w:rsidRPr="00476921">
        <w:rPr>
          <w:rFonts w:hint="eastAsia"/>
        </w:rPr>
        <w:tab/>
      </w:r>
      <w:r w:rsidR="00C22874" w:rsidRPr="00476921">
        <w:rPr>
          <w:rFonts w:hint="eastAsia"/>
        </w:rPr>
        <w:t>根据</w:t>
      </w:r>
      <w:r w:rsidR="00C22874" w:rsidRPr="00476921">
        <w:rPr>
          <w:rFonts w:hint="eastAsia"/>
        </w:rPr>
        <w:t>2019</w:t>
      </w:r>
      <w:r w:rsidR="00C22874" w:rsidRPr="00476921">
        <w:rPr>
          <w:rFonts w:hint="eastAsia"/>
        </w:rPr>
        <w:t>年州社会</w:t>
      </w:r>
      <w:r w:rsidR="00AE769E">
        <w:rPr>
          <w:rFonts w:hint="eastAsia"/>
        </w:rPr>
        <w:t>事</w:t>
      </w:r>
      <w:r w:rsidR="00C22874" w:rsidRPr="00476921">
        <w:rPr>
          <w:rFonts w:hint="eastAsia"/>
        </w:rPr>
        <w:t>务主任会议的分析，各州在为收容所和应急住所提供资金以及避难所容量方面存在重大差异。</w:t>
      </w:r>
    </w:p>
    <w:p w14:paraId="79CADB6E" w14:textId="6B25D100" w:rsidR="00C22874" w:rsidRPr="00476921" w:rsidRDefault="00C22874" w:rsidP="00C22874">
      <w:pPr>
        <w:pStyle w:val="SingleTxt"/>
      </w:pPr>
      <w:r w:rsidRPr="00476921">
        <w:rPr>
          <w:rFonts w:hint="eastAsia"/>
        </w:rPr>
        <w:t>42.</w:t>
      </w:r>
      <w:r w:rsidRPr="00476921">
        <w:rPr>
          <w:rFonts w:hint="eastAsia"/>
        </w:rPr>
        <w:tab/>
      </w:r>
      <w:r w:rsidRPr="00476921">
        <w:rPr>
          <w:rFonts w:eastAsia="黑体" w:hint="eastAsia"/>
        </w:rPr>
        <w:t>委员会回顾关于对妇女的性别暴力的第</w:t>
      </w:r>
      <w:r w:rsidRPr="00476921">
        <w:rPr>
          <w:rFonts w:eastAsia="黑体" w:hint="eastAsia"/>
        </w:rPr>
        <w:t>35</w:t>
      </w:r>
      <w:r w:rsidRPr="00476921">
        <w:rPr>
          <w:rFonts w:eastAsia="黑体" w:hint="eastAsia"/>
        </w:rPr>
        <w:t>号一般性建议</w:t>
      </w:r>
      <w:r w:rsidRPr="00476921">
        <w:rPr>
          <w:rFonts w:eastAsia="黑体" w:hint="eastAsia"/>
        </w:rPr>
        <w:t>(2017</w:t>
      </w:r>
      <w:r w:rsidRPr="00476921">
        <w:rPr>
          <w:rFonts w:eastAsia="黑体" w:hint="eastAsia"/>
        </w:rPr>
        <w:t>年，更新第</w:t>
      </w:r>
      <w:r w:rsidRPr="00476921">
        <w:rPr>
          <w:rFonts w:eastAsia="黑体" w:hint="eastAsia"/>
        </w:rPr>
        <w:t>19</w:t>
      </w:r>
      <w:r w:rsidRPr="00476921">
        <w:rPr>
          <w:rFonts w:eastAsia="黑体" w:hint="eastAsia"/>
        </w:rPr>
        <w:t>号一般性建议</w:t>
      </w:r>
      <w:r w:rsidRPr="00476921">
        <w:rPr>
          <w:rFonts w:eastAsia="黑体" w:hint="eastAsia"/>
        </w:rPr>
        <w:t>)</w:t>
      </w:r>
      <w:r w:rsidRPr="00476921">
        <w:rPr>
          <w:rFonts w:eastAsia="黑体" w:hint="eastAsia"/>
        </w:rPr>
        <w:t>及其先前的建议</w:t>
      </w:r>
      <w:r w:rsidRPr="00476921">
        <w:rPr>
          <w:rFonts w:eastAsia="黑体" w:hint="eastAsia"/>
        </w:rPr>
        <w:t>(</w:t>
      </w:r>
      <w:hyperlink r:id="rId33" w:history="1">
        <w:r w:rsidRPr="00476921">
          <w:rPr>
            <w:rStyle w:val="af4"/>
            <w:rFonts w:eastAsia="黑体" w:hint="eastAsia"/>
          </w:rPr>
          <w:t>CEDAW/C/CHE/CO/4-5</w:t>
        </w:r>
      </w:hyperlink>
      <w:r w:rsidRPr="00476921">
        <w:rPr>
          <w:rFonts w:eastAsia="黑体" w:hint="eastAsia"/>
        </w:rPr>
        <w:t>，第</w:t>
      </w:r>
      <w:r w:rsidRPr="00476921">
        <w:rPr>
          <w:rFonts w:eastAsia="黑体" w:hint="eastAsia"/>
        </w:rPr>
        <w:t>27</w:t>
      </w:r>
      <w:r w:rsidRPr="00476921">
        <w:rPr>
          <w:rFonts w:eastAsia="黑体" w:hint="eastAsia"/>
        </w:rPr>
        <w:t>段</w:t>
      </w:r>
      <w:r w:rsidRPr="00476921">
        <w:rPr>
          <w:rFonts w:eastAsia="黑体" w:hint="eastAsia"/>
        </w:rPr>
        <w:t>)</w:t>
      </w:r>
      <w:r w:rsidRPr="00476921">
        <w:rPr>
          <w:rFonts w:eastAsia="黑体" w:hint="eastAsia"/>
        </w:rPr>
        <w:t>，建议缔约国加强努力，打击一切形式的对妇女和女童的性别暴力，特别关注弱势妇女和女童群体。委员会还建议缔约国：</w:t>
      </w:r>
    </w:p>
    <w:p w14:paraId="7650F26F" w14:textId="004CA79E"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为执法、司法、社会工作者和医疗专业人员提供系统的能力建设，使其掌握性别敏感的调查和审讯方法，以防止二次伤害，并确保报告性别暴力的妇女能够获得充分、性别敏感和文化敏感的支助服务，并受到保护，免遭报复和经济贫困；</w:t>
      </w:r>
    </w:p>
    <w:p w14:paraId="1A7186AF" w14:textId="17C70030"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进行分析，查明对妇女的性别暴力报告不足的原因，以便制定针对性措施，鼓励和便利报告；</w:t>
      </w:r>
    </w:p>
    <w:p w14:paraId="1048B2E1" w14:textId="485EF639"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eastAsia="黑体" w:hint="eastAsia"/>
        </w:rPr>
        <w:t>通过立法，将所有与盯梢骚扰有关的罪行具体定为刑事犯罪；</w:t>
      </w:r>
    </w:p>
    <w:p w14:paraId="50032A45" w14:textId="7E18C72B" w:rsidR="00C22874" w:rsidRPr="00476921" w:rsidRDefault="008C5F80" w:rsidP="00C22874">
      <w:pPr>
        <w:pStyle w:val="SingleTxt"/>
      </w:pPr>
      <w:r w:rsidRPr="00476921">
        <w:tab/>
      </w:r>
      <w:r w:rsidR="00C22874" w:rsidRPr="00476921">
        <w:rPr>
          <w:rFonts w:hint="eastAsia"/>
        </w:rPr>
        <w:t>(d)</w:t>
      </w:r>
      <w:r w:rsidR="00C22874" w:rsidRPr="00476921">
        <w:rPr>
          <w:rFonts w:hint="eastAsia"/>
        </w:rPr>
        <w:tab/>
      </w:r>
      <w:r w:rsidR="00C22874" w:rsidRPr="00476921">
        <w:rPr>
          <w:rFonts w:eastAsia="黑体" w:hint="eastAsia"/>
        </w:rPr>
        <w:t>修订《刑法》中的强奸定义，根据国际标准将其建立在未经同意的基础上；修正《刑法》第</w:t>
      </w:r>
      <w:r w:rsidR="00C22874" w:rsidRPr="00476921">
        <w:rPr>
          <w:rFonts w:eastAsia="黑体" w:hint="eastAsia"/>
        </w:rPr>
        <w:t>192</w:t>
      </w:r>
      <w:r w:rsidR="00C22874" w:rsidRPr="00476921">
        <w:rPr>
          <w:rFonts w:eastAsia="黑体" w:hint="eastAsia"/>
        </w:rPr>
        <w:t>条第</w:t>
      </w:r>
      <w:r w:rsidR="00C22874" w:rsidRPr="00476921">
        <w:rPr>
          <w:rFonts w:eastAsia="黑体" w:hint="eastAsia"/>
        </w:rPr>
        <w:t>2</w:t>
      </w:r>
      <w:r w:rsidR="00C22874" w:rsidRPr="00476921">
        <w:rPr>
          <w:rFonts w:eastAsia="黑体" w:hint="eastAsia"/>
        </w:rPr>
        <w:t>款、第</w:t>
      </w:r>
      <w:r w:rsidR="00C22874" w:rsidRPr="00476921">
        <w:rPr>
          <w:rFonts w:eastAsia="黑体" w:hint="eastAsia"/>
        </w:rPr>
        <w:t>193</w:t>
      </w:r>
      <w:r w:rsidR="00C22874" w:rsidRPr="00476921">
        <w:rPr>
          <w:rFonts w:eastAsia="黑体" w:hint="eastAsia"/>
        </w:rPr>
        <w:t>条第</w:t>
      </w:r>
      <w:r w:rsidR="00C22874" w:rsidRPr="00476921">
        <w:rPr>
          <w:rFonts w:eastAsia="黑体" w:hint="eastAsia"/>
        </w:rPr>
        <w:t>2</w:t>
      </w:r>
      <w:r w:rsidR="00C22874" w:rsidRPr="00476921">
        <w:rPr>
          <w:rFonts w:eastAsia="黑体" w:hint="eastAsia"/>
        </w:rPr>
        <w:t>款、第</w:t>
      </w:r>
      <w:r w:rsidR="00C22874" w:rsidRPr="00476921">
        <w:rPr>
          <w:rFonts w:eastAsia="黑体" w:hint="eastAsia"/>
        </w:rPr>
        <w:t>187</w:t>
      </w:r>
      <w:r w:rsidR="00C22874" w:rsidRPr="00476921">
        <w:rPr>
          <w:rFonts w:eastAsia="黑体" w:hint="eastAsia"/>
        </w:rPr>
        <w:t>条第</w:t>
      </w:r>
      <w:r w:rsidR="00C22874" w:rsidRPr="00476921">
        <w:rPr>
          <w:rFonts w:eastAsia="黑体" w:hint="eastAsia"/>
        </w:rPr>
        <w:t>3</w:t>
      </w:r>
      <w:r w:rsidR="00C22874" w:rsidRPr="00476921">
        <w:rPr>
          <w:rFonts w:eastAsia="黑体" w:hint="eastAsia"/>
        </w:rPr>
        <w:t>款和第</w:t>
      </w:r>
      <w:r w:rsidR="00C22874" w:rsidRPr="00476921">
        <w:rPr>
          <w:rFonts w:eastAsia="黑体" w:hint="eastAsia"/>
        </w:rPr>
        <w:t>188</w:t>
      </w:r>
      <w:r w:rsidR="00C22874" w:rsidRPr="00476921">
        <w:rPr>
          <w:rFonts w:eastAsia="黑体" w:hint="eastAsia"/>
        </w:rPr>
        <w:t>条第</w:t>
      </w:r>
      <w:r w:rsidR="00C22874" w:rsidRPr="00476921">
        <w:rPr>
          <w:rFonts w:eastAsia="黑体" w:hint="eastAsia"/>
        </w:rPr>
        <w:t>2</w:t>
      </w:r>
      <w:r w:rsidR="00C22874" w:rsidRPr="00476921">
        <w:rPr>
          <w:rFonts w:eastAsia="黑体" w:hint="eastAsia"/>
        </w:rPr>
        <w:t>款，删除任何根据与受害者的婚姻或伙伴关系对性质比强奸轻的性犯罪的犯罪人减刑或无罪释放的司法裁量权的规定；</w:t>
      </w:r>
    </w:p>
    <w:p w14:paraId="24796C50" w14:textId="179DC691" w:rsidR="00C22874" w:rsidRPr="00476921" w:rsidRDefault="008C5F80" w:rsidP="00C22874">
      <w:pPr>
        <w:pStyle w:val="SingleTxt"/>
      </w:pPr>
      <w:r w:rsidRPr="00476921">
        <w:tab/>
      </w:r>
      <w:r w:rsidR="00C22874" w:rsidRPr="00476921">
        <w:rPr>
          <w:rFonts w:hint="eastAsia"/>
        </w:rPr>
        <w:t>(e)</w:t>
      </w:r>
      <w:r w:rsidR="00C22874" w:rsidRPr="00476921">
        <w:rPr>
          <w:rFonts w:hint="eastAsia"/>
        </w:rPr>
        <w:tab/>
      </w:r>
      <w:r w:rsidR="00C22874" w:rsidRPr="00476921">
        <w:rPr>
          <w:rFonts w:eastAsia="黑体" w:hint="eastAsia"/>
        </w:rPr>
        <w:t>进行分析，找出各州在强奸定罪方面存在明显差异的原因，以便采取有效的补救措施；</w:t>
      </w:r>
    </w:p>
    <w:p w14:paraId="613D0B55" w14:textId="475E11AA" w:rsidR="00C22874" w:rsidRPr="00476921" w:rsidRDefault="008C5F80" w:rsidP="00C22874">
      <w:pPr>
        <w:pStyle w:val="SingleTxt"/>
      </w:pPr>
      <w:r w:rsidRPr="00476921">
        <w:tab/>
      </w:r>
      <w:r w:rsidR="00C22874" w:rsidRPr="00476921">
        <w:rPr>
          <w:rFonts w:hint="eastAsia"/>
        </w:rPr>
        <w:t>(f)</w:t>
      </w:r>
      <w:r w:rsidR="00C22874" w:rsidRPr="00476921">
        <w:rPr>
          <w:rFonts w:hint="eastAsia"/>
        </w:rPr>
        <w:tab/>
      </w:r>
      <w:r w:rsidR="00C22874" w:rsidRPr="00476921">
        <w:rPr>
          <w:rFonts w:eastAsia="黑体" w:hint="eastAsia"/>
        </w:rPr>
        <w:t>修订《</w:t>
      </w:r>
      <w:r w:rsidR="00AE769E">
        <w:rPr>
          <w:rFonts w:eastAsia="黑体" w:hint="eastAsia"/>
        </w:rPr>
        <w:t>外国国民和归化联邦法</w:t>
      </w:r>
      <w:r w:rsidR="00C22874" w:rsidRPr="00476921">
        <w:rPr>
          <w:rFonts w:eastAsia="黑体" w:hint="eastAsia"/>
        </w:rPr>
        <w:t>》第</w:t>
      </w:r>
      <w:r w:rsidR="00C22874" w:rsidRPr="00476921">
        <w:rPr>
          <w:rFonts w:eastAsia="黑体" w:hint="eastAsia"/>
        </w:rPr>
        <w:t>50</w:t>
      </w:r>
      <w:r w:rsidR="00C22874" w:rsidRPr="00476921">
        <w:rPr>
          <w:rFonts w:eastAsia="黑体" w:hint="eastAsia"/>
        </w:rPr>
        <w:t>条，以确保所有遭受家庭暴力或性暴力的妇女都能离开虐待她们的配偶，而不失去她们的居留身份，无论所遭受暴力的严重程度及其配偶的国籍或居留身份如何，因此，撤销对《欧洲委员会预防和打击暴力侵害妇女行为及家庭暴力公约》第</w:t>
      </w:r>
      <w:r w:rsidR="00C22874" w:rsidRPr="00476921">
        <w:rPr>
          <w:rFonts w:eastAsia="黑体" w:hint="eastAsia"/>
        </w:rPr>
        <w:t>59</w:t>
      </w:r>
      <w:r w:rsidR="00C22874" w:rsidRPr="00476921">
        <w:rPr>
          <w:rFonts w:eastAsia="黑体" w:hint="eastAsia"/>
        </w:rPr>
        <w:t>条的保留，并向移民局提供必要的能力建设；</w:t>
      </w:r>
    </w:p>
    <w:p w14:paraId="7DE8A6A6" w14:textId="7ED87188" w:rsidR="00C22874" w:rsidRPr="00476921" w:rsidRDefault="008C5F80" w:rsidP="00C22874">
      <w:pPr>
        <w:pStyle w:val="SingleTxt"/>
      </w:pPr>
      <w:r w:rsidRPr="00476921">
        <w:tab/>
      </w:r>
      <w:r w:rsidR="00C22874" w:rsidRPr="00476921">
        <w:rPr>
          <w:rFonts w:hint="eastAsia"/>
        </w:rPr>
        <w:t>(g)</w:t>
      </w:r>
      <w:r w:rsidR="00C22874" w:rsidRPr="00476921">
        <w:rPr>
          <w:rFonts w:hint="eastAsia"/>
        </w:rPr>
        <w:tab/>
      </w:r>
      <w:r w:rsidR="00C22874" w:rsidRPr="00476921">
        <w:rPr>
          <w:rFonts w:eastAsia="黑体" w:hint="eastAsia"/>
        </w:rPr>
        <w:t>落实州社会</w:t>
      </w:r>
      <w:r w:rsidR="004E40FE">
        <w:rPr>
          <w:rFonts w:eastAsia="黑体" w:hint="eastAsia"/>
        </w:rPr>
        <w:t>事</w:t>
      </w:r>
      <w:r w:rsidR="00C22874" w:rsidRPr="00476921">
        <w:rPr>
          <w:rFonts w:eastAsia="黑体" w:hint="eastAsia"/>
        </w:rPr>
        <w:t>务主任会议根据其对收容能力的分析提出的建议以及会议关于援助受害者的补充建议。</w:t>
      </w:r>
    </w:p>
    <w:p w14:paraId="614E2849"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贩运人口和利用卖淫营利</w:t>
      </w:r>
    </w:p>
    <w:p w14:paraId="0E6C6DA3" w14:textId="0308334D" w:rsidR="00C22874" w:rsidRPr="00476921" w:rsidRDefault="00C22874" w:rsidP="00C22874">
      <w:pPr>
        <w:pStyle w:val="SingleTxt"/>
      </w:pPr>
      <w:r w:rsidRPr="00476921">
        <w:rPr>
          <w:rFonts w:hint="eastAsia"/>
        </w:rPr>
        <w:t>43.</w:t>
      </w:r>
      <w:r w:rsidRPr="00476921">
        <w:rPr>
          <w:rFonts w:hint="eastAsia"/>
        </w:rPr>
        <w:tab/>
      </w:r>
      <w:r w:rsidRPr="00476921">
        <w:rPr>
          <w:rFonts w:hint="eastAsia"/>
        </w:rPr>
        <w:t>委</w:t>
      </w:r>
      <w:r w:rsidRPr="00476921">
        <w:rPr>
          <w:rFonts w:hint="eastAsia"/>
          <w:spacing w:val="4"/>
        </w:rPr>
        <w:t>员会欢迎缔约国努力打击贩运妇女和女童行为。然而委员会关切地注意</w:t>
      </w:r>
      <w:r w:rsidRPr="00476921">
        <w:rPr>
          <w:rFonts w:hint="eastAsia"/>
        </w:rPr>
        <w:t>到，贩运案件的起诉率和定罪率以及判刑率普遍较低，而且各州之间存在差异。委员会还注意到，一些州缺乏对贩运受害者的支助服务，这些受害者中</w:t>
      </w:r>
      <w:r w:rsidRPr="00476921">
        <w:rPr>
          <w:rFonts w:hint="eastAsia"/>
        </w:rPr>
        <w:t>86</w:t>
      </w:r>
      <w:r w:rsidR="00AF188A" w:rsidRPr="00476921">
        <w:rPr>
          <w:rFonts w:hint="eastAsia"/>
        </w:rPr>
        <w:t>%</w:t>
      </w:r>
      <w:r w:rsidRPr="00476921">
        <w:rPr>
          <w:rFonts w:hint="eastAsia"/>
        </w:rPr>
        <w:t>是妇女。委员会还关切地注意到：</w:t>
      </w:r>
    </w:p>
    <w:p w14:paraId="70B6B604" w14:textId="0BAE787C"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hint="eastAsia"/>
        </w:rPr>
        <w:t>《联合国打击跨国有组织犯罪公约关于预防、禁止和惩治贩运人口特别是妇女和儿童行为的补充议定书》中关于贩运人口的定义尚未充分纳入国内法，而且《刑法》第</w:t>
      </w:r>
      <w:r w:rsidR="00C22874" w:rsidRPr="00476921">
        <w:rPr>
          <w:rFonts w:hint="eastAsia"/>
        </w:rPr>
        <w:t>182</w:t>
      </w:r>
      <w:r w:rsidR="00C22874" w:rsidRPr="00476921">
        <w:rPr>
          <w:rFonts w:hint="eastAsia"/>
        </w:rPr>
        <w:t>条未明确提及贩运受害者同意剥削的无关性；</w:t>
      </w:r>
    </w:p>
    <w:p w14:paraId="2C71B350" w14:textId="3F50E060"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hint="eastAsia"/>
        </w:rPr>
        <w:t>没有居留身份的妇女，特别是申请被拒的寻求庇护妇女，在私人家庭、餐饮业、美甲店、乞讨或盗窃等犯罪活动中遭受劳动剥削的风险增加，而且因为《刑法》第</w:t>
      </w:r>
      <w:r w:rsidR="00C22874" w:rsidRPr="00476921">
        <w:rPr>
          <w:rFonts w:hint="eastAsia"/>
        </w:rPr>
        <w:t>182</w:t>
      </w:r>
      <w:r w:rsidR="00C22874" w:rsidRPr="00476921">
        <w:rPr>
          <w:rFonts w:hint="eastAsia"/>
        </w:rPr>
        <w:t>条没有明确界定劳动剥削，对这类案件的调查受到阻碍；</w:t>
      </w:r>
    </w:p>
    <w:p w14:paraId="20F8C148" w14:textId="1CBC869D"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hint="eastAsia"/>
        </w:rPr>
        <w:t>没有采取足够的措施查明贩运受害者，也没有全面的受害者保护方案规定具体的住宿、康复和重新融入社会措施、医疗、心理咨询和赔偿，包括对受害者的赔偿；</w:t>
      </w:r>
    </w:p>
    <w:p w14:paraId="021BA9FF" w14:textId="0784F04F" w:rsidR="00C22874" w:rsidRPr="00476921" w:rsidRDefault="008C5F80" w:rsidP="00C22874">
      <w:pPr>
        <w:pStyle w:val="SingleTxt"/>
      </w:pPr>
      <w:r w:rsidRPr="00476921">
        <w:tab/>
      </w:r>
      <w:r w:rsidR="00C22874" w:rsidRPr="00476921">
        <w:rPr>
          <w:rFonts w:hint="eastAsia"/>
        </w:rPr>
        <w:t>(d)</w:t>
      </w:r>
      <w:r w:rsidR="00C22874" w:rsidRPr="00476921">
        <w:rPr>
          <w:rFonts w:hint="eastAsia"/>
        </w:rPr>
        <w:tab/>
      </w:r>
      <w:r w:rsidR="00C22874" w:rsidRPr="00476921">
        <w:rPr>
          <w:rFonts w:hint="eastAsia"/>
        </w:rPr>
        <w:t>贩运受害者，特别是移民妇女，除非与警察和司法当局合作，否则无法自动获得临时居留证；</w:t>
      </w:r>
    </w:p>
    <w:p w14:paraId="7A555002" w14:textId="1203ADD1" w:rsidR="00C22874" w:rsidRPr="00476921" w:rsidRDefault="008C5F80" w:rsidP="00C22874">
      <w:pPr>
        <w:pStyle w:val="SingleTxt"/>
      </w:pPr>
      <w:r w:rsidRPr="00476921">
        <w:tab/>
      </w:r>
      <w:r w:rsidR="00C22874" w:rsidRPr="00476921">
        <w:rPr>
          <w:rFonts w:hint="eastAsia"/>
        </w:rPr>
        <w:t>(e)</w:t>
      </w:r>
      <w:r w:rsidR="00C22874" w:rsidRPr="00476921">
        <w:rPr>
          <w:rFonts w:hint="eastAsia"/>
        </w:rPr>
        <w:tab/>
      </w:r>
      <w:r w:rsidR="00C22874" w:rsidRPr="00476921">
        <w:rPr>
          <w:rFonts w:hint="eastAsia"/>
        </w:rPr>
        <w:t>《受害者援助法》规定，向贩运人口受害者提供经济支助的条件是犯罪时的居住地。</w:t>
      </w:r>
    </w:p>
    <w:p w14:paraId="35EB5BA9" w14:textId="24CFDA8C" w:rsidR="00C22874" w:rsidRPr="00476921" w:rsidRDefault="00C22874" w:rsidP="00C22874">
      <w:pPr>
        <w:pStyle w:val="SingleTxt"/>
      </w:pPr>
      <w:r w:rsidRPr="00476921">
        <w:rPr>
          <w:rFonts w:hint="eastAsia"/>
        </w:rPr>
        <w:t>44.</w:t>
      </w:r>
      <w:r w:rsidRPr="00476921">
        <w:rPr>
          <w:rFonts w:hint="eastAsia"/>
        </w:rPr>
        <w:tab/>
      </w:r>
      <w:r w:rsidRPr="00476921">
        <w:rPr>
          <w:rFonts w:eastAsia="黑体" w:hint="eastAsia"/>
        </w:rPr>
        <w:t>委员会回顾其关于全球移民背景下贩运妇女和女童问题的第</w:t>
      </w:r>
      <w:r w:rsidRPr="00476921">
        <w:rPr>
          <w:rFonts w:eastAsia="黑体" w:hint="eastAsia"/>
        </w:rPr>
        <w:t>38</w:t>
      </w:r>
      <w:r w:rsidRPr="00476921">
        <w:rPr>
          <w:rFonts w:eastAsia="黑体" w:hint="eastAsia"/>
        </w:rPr>
        <w:t>号一般性建议</w:t>
      </w:r>
      <w:r w:rsidRPr="00476921">
        <w:rPr>
          <w:rFonts w:eastAsia="黑体" w:hint="eastAsia"/>
        </w:rPr>
        <w:t>(2020</w:t>
      </w:r>
      <w:r w:rsidRPr="00476921">
        <w:rPr>
          <w:rFonts w:eastAsia="黑体" w:hint="eastAsia"/>
        </w:rPr>
        <w:t>年</w:t>
      </w:r>
      <w:r w:rsidRPr="00476921">
        <w:rPr>
          <w:rFonts w:eastAsia="黑体" w:hint="eastAsia"/>
        </w:rPr>
        <w:t>)</w:t>
      </w:r>
      <w:r w:rsidRPr="00476921">
        <w:rPr>
          <w:rFonts w:eastAsia="黑体" w:hint="eastAsia"/>
        </w:rPr>
        <w:t>及其以往的建议</w:t>
      </w:r>
      <w:r w:rsidRPr="00476921">
        <w:rPr>
          <w:rFonts w:eastAsia="黑体" w:hint="eastAsia"/>
        </w:rPr>
        <w:t>(</w:t>
      </w:r>
      <w:hyperlink r:id="rId34" w:history="1">
        <w:r w:rsidRPr="00476921">
          <w:rPr>
            <w:rStyle w:val="af4"/>
            <w:rFonts w:eastAsia="黑体" w:hint="eastAsia"/>
          </w:rPr>
          <w:t>CEDAW/C/CHE/CO/4-5</w:t>
        </w:r>
      </w:hyperlink>
      <w:r w:rsidRPr="00476921">
        <w:rPr>
          <w:rFonts w:eastAsia="黑体" w:hint="eastAsia"/>
        </w:rPr>
        <w:t>，第</w:t>
      </w:r>
      <w:r w:rsidRPr="00476921">
        <w:rPr>
          <w:rFonts w:eastAsia="黑体" w:hint="eastAsia"/>
        </w:rPr>
        <w:t>29</w:t>
      </w:r>
      <w:r w:rsidRPr="00476921">
        <w:rPr>
          <w:rFonts w:eastAsia="黑体" w:hint="eastAsia"/>
        </w:rPr>
        <w:t>段</w:t>
      </w:r>
      <w:r w:rsidRPr="00476921">
        <w:rPr>
          <w:rFonts w:eastAsia="黑体" w:hint="eastAsia"/>
        </w:rPr>
        <w:t>)</w:t>
      </w:r>
      <w:r w:rsidRPr="00476921">
        <w:rPr>
          <w:rFonts w:eastAsia="黑体" w:hint="eastAsia"/>
        </w:rPr>
        <w:t>，建议缔约国：</w:t>
      </w:r>
    </w:p>
    <w:p w14:paraId="21282169" w14:textId="322FD75C"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使立法完全符合《禁止贩运人口议定书》，并澄清《刑法》第</w:t>
      </w:r>
      <w:r w:rsidR="00C22874" w:rsidRPr="00476921">
        <w:rPr>
          <w:rFonts w:eastAsia="黑体" w:hint="eastAsia"/>
        </w:rPr>
        <w:t>182</w:t>
      </w:r>
      <w:r w:rsidR="00C22874" w:rsidRPr="00476921">
        <w:rPr>
          <w:rFonts w:eastAsia="黑体" w:hint="eastAsia"/>
        </w:rPr>
        <w:t>条中关于强迫劳动的法律定义；</w:t>
      </w:r>
    </w:p>
    <w:p w14:paraId="1B9689C5" w14:textId="7065B33E"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迅速通过新的</w:t>
      </w:r>
      <w:r w:rsidR="00C22874" w:rsidRPr="00476921">
        <w:rPr>
          <w:rFonts w:eastAsia="黑体" w:hint="eastAsia"/>
        </w:rPr>
        <w:t>2023-2027</w:t>
      </w:r>
      <w:r w:rsidR="00C22874" w:rsidRPr="00476921">
        <w:rPr>
          <w:rFonts w:eastAsia="黑体" w:hint="eastAsia"/>
        </w:rPr>
        <w:t>年防止贩运人口国家行动计划；</w:t>
      </w:r>
    </w:p>
    <w:p w14:paraId="79300F1F" w14:textId="089A5507"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eastAsia="黑体" w:hint="eastAsia"/>
        </w:rPr>
        <w:t>加强执法人员、社会工作者和医务人员的能力建设，使他们能够及早发现贩运活动受害者和面临风险的妇女和女童，特别是移民妇女和孤身女童，并将其转介到适当的服务机构；</w:t>
      </w:r>
    </w:p>
    <w:p w14:paraId="43C1202F" w14:textId="23BC98A1" w:rsidR="00C22874" w:rsidRPr="00476921" w:rsidRDefault="008C5F80" w:rsidP="00C22874">
      <w:pPr>
        <w:pStyle w:val="SingleTxt"/>
      </w:pPr>
      <w:r w:rsidRPr="00476921">
        <w:tab/>
      </w:r>
      <w:r w:rsidR="00C22874" w:rsidRPr="00476921">
        <w:rPr>
          <w:rFonts w:hint="eastAsia"/>
        </w:rPr>
        <w:t>(d)</w:t>
      </w:r>
      <w:r w:rsidR="00C22874" w:rsidRPr="00476921">
        <w:rPr>
          <w:rFonts w:hint="eastAsia"/>
        </w:rPr>
        <w:tab/>
      </w:r>
      <w:r w:rsidR="00C22874" w:rsidRPr="00476921">
        <w:rPr>
          <w:rFonts w:eastAsia="黑体" w:hint="eastAsia"/>
        </w:rPr>
        <w:t>开展分析，查明贩运案件起诉率和定罪率低、判刑低、各州差异明显以及几个州受害者支助服务有限的原因，以便为采取针对性的措施解决这一问题提供依据；</w:t>
      </w:r>
    </w:p>
    <w:p w14:paraId="62FC71BB" w14:textId="15381CFA" w:rsidR="00C22874" w:rsidRPr="00476921" w:rsidRDefault="008C5F80" w:rsidP="00C22874">
      <w:pPr>
        <w:pStyle w:val="SingleTxt"/>
      </w:pPr>
      <w:r w:rsidRPr="00476921">
        <w:tab/>
      </w:r>
      <w:r w:rsidR="00C22874" w:rsidRPr="00476921">
        <w:rPr>
          <w:rFonts w:hint="eastAsia"/>
        </w:rPr>
        <w:t>(e)</w:t>
      </w:r>
      <w:r w:rsidR="00C22874" w:rsidRPr="00476921">
        <w:rPr>
          <w:rFonts w:hint="eastAsia"/>
        </w:rPr>
        <w:tab/>
      </w:r>
      <w:r w:rsidR="00C22874" w:rsidRPr="00476921">
        <w:rPr>
          <w:rFonts w:eastAsia="黑体" w:hint="eastAsia"/>
        </w:rPr>
        <w:t>向所有贩运受害者发放临时居留证，无论其是否有能力或愿意与警方合作，并确保当局始终采取性别敏感和以受害者为中心的办法。</w:t>
      </w:r>
    </w:p>
    <w:p w14:paraId="09A3F7CA" w14:textId="424D6816" w:rsidR="00C22874" w:rsidRPr="00476921" w:rsidRDefault="00C22874" w:rsidP="00C22874">
      <w:pPr>
        <w:pStyle w:val="SingleTxt"/>
      </w:pPr>
      <w:r w:rsidRPr="00476921">
        <w:rPr>
          <w:rFonts w:hint="eastAsia"/>
        </w:rPr>
        <w:t>45.</w:t>
      </w:r>
      <w:r w:rsidRPr="00476921">
        <w:rPr>
          <w:rFonts w:hint="eastAsia"/>
        </w:rPr>
        <w:tab/>
      </w:r>
      <w:r w:rsidRPr="00476921">
        <w:rPr>
          <w:rFonts w:hint="eastAsia"/>
        </w:rPr>
        <w:t>委员会对缔约国境内众多的利用妇女卖淫营利事件表示关切。委员会关切地注意到，约</w:t>
      </w:r>
      <w:r w:rsidRPr="00476921">
        <w:rPr>
          <w:rFonts w:hint="eastAsia"/>
        </w:rPr>
        <w:t>85</w:t>
      </w:r>
      <w:r w:rsidR="00AF188A" w:rsidRPr="00476921">
        <w:rPr>
          <w:rFonts w:hint="eastAsia"/>
        </w:rPr>
        <w:t>%</w:t>
      </w:r>
      <w:r w:rsidRPr="00476921">
        <w:rPr>
          <w:rFonts w:hint="eastAsia"/>
        </w:rPr>
        <w:t>至</w:t>
      </w:r>
      <w:r w:rsidRPr="00476921">
        <w:rPr>
          <w:rFonts w:hint="eastAsia"/>
        </w:rPr>
        <w:t>95</w:t>
      </w:r>
      <w:r w:rsidR="00AF188A" w:rsidRPr="00476921">
        <w:rPr>
          <w:rFonts w:hint="eastAsia"/>
        </w:rPr>
        <w:t>%</w:t>
      </w:r>
      <w:r w:rsidRPr="00476921">
        <w:rPr>
          <w:rFonts w:hint="eastAsia"/>
        </w:rPr>
        <w:t>的卖淫妇女是移民妇女，往往没有正规身份。委员会还关切地注意到，越来越多居住在缔约国的妇女和女童通过所谓的“情郎”方法被诱拐进入卖淫业。委员会还关切地注意到：</w:t>
      </w:r>
    </w:p>
    <w:p w14:paraId="7265C696" w14:textId="01BD404D"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hint="eastAsia"/>
        </w:rPr>
        <w:t>贩运与利用妇女卖淫营利之间的联系。估计</w:t>
      </w:r>
      <w:r w:rsidR="004E40FE">
        <w:rPr>
          <w:rFonts w:hint="eastAsia"/>
        </w:rPr>
        <w:t>显示，</w:t>
      </w:r>
      <w:r w:rsidR="00C22874" w:rsidRPr="00476921">
        <w:rPr>
          <w:rFonts w:hint="eastAsia"/>
        </w:rPr>
        <w:t>大多数卖淫妇女都是被贩运到缔约国的；</w:t>
      </w:r>
    </w:p>
    <w:p w14:paraId="45807043" w14:textId="66DE8D73"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hint="eastAsia"/>
        </w:rPr>
        <w:t>有报告称，卖淫妇女经常遭受基于性别的身心暴力。根据苏黎世大学普通和社会精神病学系</w:t>
      </w:r>
      <w:r w:rsidR="00C22874" w:rsidRPr="00476921">
        <w:rPr>
          <w:rFonts w:hint="eastAsia"/>
        </w:rPr>
        <w:t>2010</w:t>
      </w:r>
      <w:r w:rsidR="00C22874" w:rsidRPr="00476921">
        <w:rPr>
          <w:rFonts w:hint="eastAsia"/>
        </w:rPr>
        <w:t>年的一项研究，许多卖淫妇女表现出与性别暴力和卖淫“压力”有关的精神障碍；</w:t>
      </w:r>
    </w:p>
    <w:p w14:paraId="6B5F9946" w14:textId="02E56D1E"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hint="eastAsia"/>
        </w:rPr>
        <w:t>没有任何制度可以帮助希望脱离卖淫的妇女。</w:t>
      </w:r>
    </w:p>
    <w:p w14:paraId="4D87F197" w14:textId="77777777" w:rsidR="00C22874" w:rsidRPr="00476921" w:rsidRDefault="00C22874" w:rsidP="00C22874">
      <w:pPr>
        <w:pStyle w:val="SingleTxt"/>
      </w:pPr>
      <w:r w:rsidRPr="00476921">
        <w:rPr>
          <w:rFonts w:hint="eastAsia"/>
        </w:rPr>
        <w:t>46.</w:t>
      </w:r>
      <w:r w:rsidRPr="00476921">
        <w:rPr>
          <w:rFonts w:hint="eastAsia"/>
        </w:rPr>
        <w:tab/>
      </w:r>
      <w:r w:rsidRPr="00476921">
        <w:rPr>
          <w:rFonts w:eastAsia="黑体" w:hint="eastAsia"/>
        </w:rPr>
        <w:t>委员会建议缔约国：</w:t>
      </w:r>
    </w:p>
    <w:p w14:paraId="734BFBB4" w14:textId="3697C070"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开展教育和提高认识方案，提高妇女和男子对卖淫妇女特别是移民妇女极易遭受性别暴力、剥削和种族歧视的认识，制定预防战略，减少缔约国对卖淫的需求；</w:t>
      </w:r>
    </w:p>
    <w:p w14:paraId="45041E07" w14:textId="76BE466E"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向希望脱离卖淫业的妇女提供脱离方案，包括替代就业机会，并确保这些方案包括了她们的子女；</w:t>
      </w:r>
    </w:p>
    <w:p w14:paraId="4A00D346" w14:textId="0C5D6E08" w:rsidR="001B30EF" w:rsidRDefault="008C5F80" w:rsidP="00C22874">
      <w:pPr>
        <w:pStyle w:val="SingleTxt"/>
        <w:rPr>
          <w:rFonts w:eastAsia="黑体"/>
        </w:rPr>
      </w:pPr>
      <w:r w:rsidRPr="00476921">
        <w:tab/>
      </w:r>
      <w:r w:rsidR="00C22874" w:rsidRPr="00476921">
        <w:rPr>
          <w:rFonts w:hint="eastAsia"/>
        </w:rPr>
        <w:t>(c)</w:t>
      </w:r>
      <w:r w:rsidR="00C22874" w:rsidRPr="00476921">
        <w:rPr>
          <w:rFonts w:hint="eastAsia"/>
        </w:rPr>
        <w:tab/>
      </w:r>
      <w:r w:rsidR="00C22874" w:rsidRPr="00476921">
        <w:rPr>
          <w:rFonts w:eastAsia="黑体" w:hint="eastAsia"/>
        </w:rPr>
        <w:t>确保脱离卖淫的妇女能够获得庇护和适当的支助服务。</w:t>
      </w:r>
    </w:p>
    <w:p w14:paraId="7752EF1C" w14:textId="77777777" w:rsidR="001B30EF" w:rsidRDefault="001B30EF">
      <w:pPr>
        <w:spacing w:line="240" w:lineRule="auto"/>
        <w:jc w:val="left"/>
        <w:rPr>
          <w:rFonts w:eastAsia="黑体"/>
        </w:rPr>
      </w:pPr>
      <w:r>
        <w:rPr>
          <w:rFonts w:eastAsia="黑体"/>
        </w:rPr>
        <w:br w:type="page"/>
      </w:r>
    </w:p>
    <w:p w14:paraId="1CB61161" w14:textId="4013EF52"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平等参与政治和公共生活</w:t>
      </w:r>
    </w:p>
    <w:p w14:paraId="0FC56DC3" w14:textId="1471DCD8" w:rsidR="00C22874" w:rsidRPr="00476921" w:rsidRDefault="00C22874" w:rsidP="00C22874">
      <w:pPr>
        <w:pStyle w:val="SingleTxt"/>
      </w:pPr>
      <w:r w:rsidRPr="00476921">
        <w:rPr>
          <w:rFonts w:hint="eastAsia"/>
        </w:rPr>
        <w:t>47.</w:t>
      </w:r>
      <w:r w:rsidRPr="00476921">
        <w:rPr>
          <w:rFonts w:hint="eastAsia"/>
        </w:rPr>
        <w:tab/>
      </w:r>
      <w:r w:rsidRPr="00476921">
        <w:rPr>
          <w:rFonts w:hint="eastAsia"/>
        </w:rPr>
        <w:t>委员会赞赏地注意到在</w:t>
      </w:r>
      <w:r w:rsidRPr="00476921">
        <w:rPr>
          <w:rFonts w:hint="eastAsia"/>
        </w:rPr>
        <w:t>2019</w:t>
      </w:r>
      <w:r w:rsidRPr="00476921">
        <w:rPr>
          <w:rFonts w:hint="eastAsia"/>
        </w:rPr>
        <w:t>年选举中，</w:t>
      </w:r>
      <w:r w:rsidRPr="00476921">
        <w:rPr>
          <w:rFonts w:hint="eastAsia"/>
        </w:rPr>
        <w:t>4</w:t>
      </w:r>
      <w:r w:rsidR="00296CF8" w:rsidRPr="00476921">
        <w:t>2</w:t>
      </w:r>
      <w:r w:rsidR="00AF188A" w:rsidRPr="00476921">
        <w:rPr>
          <w:rFonts w:hint="eastAsia"/>
        </w:rPr>
        <w:t>%</w:t>
      </w:r>
      <w:r w:rsidRPr="00476921">
        <w:rPr>
          <w:rFonts w:hint="eastAsia"/>
        </w:rPr>
        <w:t>的立法委员会候选人为妇女。然而委员会关切地注意到，妇女在国务委员会的代表率仍然很低，仅为</w:t>
      </w:r>
      <w:r w:rsidRPr="00476921">
        <w:rPr>
          <w:rFonts w:hint="eastAsia"/>
        </w:rPr>
        <w:t>26</w:t>
      </w:r>
      <w:r w:rsidR="00AF188A" w:rsidRPr="00476921">
        <w:rPr>
          <w:rFonts w:hint="eastAsia"/>
        </w:rPr>
        <w:t>%</w:t>
      </w:r>
      <w:r w:rsidRPr="00476921">
        <w:rPr>
          <w:rFonts w:hint="eastAsia"/>
        </w:rPr>
        <w:t>，而联邦一级的积极趋势尚未转化为州和市镇一级的积极趋势。委员会还关切地注意到：</w:t>
      </w:r>
    </w:p>
    <w:p w14:paraId="24109C2C" w14:textId="35B565F4"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hint="eastAsia"/>
        </w:rPr>
        <w:t>根据各国议会联盟和欧洲委员会议会的一项研究，在缔约国的政治生活中存在性别歧视、虐待和对妇女的性别暴力事件；</w:t>
      </w:r>
    </w:p>
    <w:p w14:paraId="2C43FEA8" w14:textId="0B151304"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hint="eastAsia"/>
        </w:rPr>
        <w:t>在选举前的媒体报道中，妇女候选人的代表性仍然不足，这是妇女参与政治和公共生活的主要障碍；</w:t>
      </w:r>
    </w:p>
    <w:p w14:paraId="478D2F20" w14:textId="42873DF8"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hint="eastAsia"/>
        </w:rPr>
        <w:t>国家委员会、国务委员会、州和市镇委员会对带薪产假的规定不一致或没有规定。</w:t>
      </w:r>
    </w:p>
    <w:p w14:paraId="0E55AC07" w14:textId="77777777" w:rsidR="00C22874" w:rsidRPr="00476921" w:rsidRDefault="00C22874" w:rsidP="00C22874">
      <w:pPr>
        <w:pStyle w:val="SingleTxt"/>
      </w:pPr>
      <w:r w:rsidRPr="00476921">
        <w:rPr>
          <w:rFonts w:hint="eastAsia"/>
        </w:rPr>
        <w:t>48.</w:t>
      </w:r>
      <w:r w:rsidRPr="00476921">
        <w:rPr>
          <w:rFonts w:hint="eastAsia"/>
        </w:rPr>
        <w:tab/>
      </w:r>
      <w:r w:rsidRPr="00476921">
        <w:rPr>
          <w:rFonts w:eastAsia="黑体" w:hint="eastAsia"/>
        </w:rPr>
        <w:t>委员会建议缔约国：</w:t>
      </w:r>
    </w:p>
    <w:p w14:paraId="07B55460" w14:textId="596131CD"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在联邦、州和社区各级立法议会中规定男女代表的最低配额，包括少数民族妇女的配额；</w:t>
      </w:r>
    </w:p>
    <w:p w14:paraId="52729375" w14:textId="00C07618"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为政治家、媒体和公众开展提高认识运动，使他们进一步认识到，妇女在与男子平等基础上充分、平等、自由和民主地参与政治和公共生活，是充分执行《公约》和建设现代民主社会的必要条件；</w:t>
      </w:r>
    </w:p>
    <w:p w14:paraId="108FCC45" w14:textId="727F2A6B"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eastAsia="黑体" w:hint="eastAsia"/>
        </w:rPr>
        <w:t>调查并起诉针对女政治家和女候选人的一切形式的骚扰和性别暴力，包括网上暴力和仇恨言论，并为受害者提供有效补救；</w:t>
      </w:r>
    </w:p>
    <w:p w14:paraId="779C2198" w14:textId="138B3174" w:rsidR="00C22874" w:rsidRPr="00476921" w:rsidRDefault="008C5F80" w:rsidP="00C22874">
      <w:pPr>
        <w:pStyle w:val="SingleTxt"/>
      </w:pPr>
      <w:r w:rsidRPr="00476921">
        <w:tab/>
      </w:r>
      <w:r w:rsidR="00C22874" w:rsidRPr="00476921">
        <w:rPr>
          <w:rFonts w:hint="eastAsia"/>
        </w:rPr>
        <w:t>(d)</w:t>
      </w:r>
      <w:r w:rsidR="00C22874" w:rsidRPr="00476921">
        <w:rPr>
          <w:rFonts w:hint="eastAsia"/>
        </w:rPr>
        <w:tab/>
      </w:r>
      <w:r w:rsidR="00C22874" w:rsidRPr="00476921">
        <w:rPr>
          <w:rFonts w:eastAsia="黑体" w:hint="eastAsia"/>
        </w:rPr>
        <w:t>巩固各级女议员的产假工资和产假代表条例，并为行政人员、政府成员和议会成员的子女建立托儿设施。</w:t>
      </w:r>
    </w:p>
    <w:p w14:paraId="3BC1BCB4" w14:textId="617CD93F" w:rsidR="00C22874" w:rsidRPr="00476921" w:rsidRDefault="00C22874" w:rsidP="00C22874">
      <w:pPr>
        <w:pStyle w:val="SingleTxt"/>
      </w:pPr>
      <w:r w:rsidRPr="00476921">
        <w:rPr>
          <w:rFonts w:hint="eastAsia"/>
        </w:rPr>
        <w:t>49.</w:t>
      </w:r>
      <w:r w:rsidRPr="00476921">
        <w:rPr>
          <w:rFonts w:hint="eastAsia"/>
        </w:rPr>
        <w:tab/>
      </w:r>
      <w:r w:rsidRPr="00476921">
        <w:rPr>
          <w:rFonts w:hint="eastAsia"/>
        </w:rPr>
        <w:t>委员会赞赏地注意到，</w:t>
      </w:r>
      <w:r w:rsidRPr="00476921">
        <w:rPr>
          <w:rFonts w:hint="eastAsia"/>
        </w:rPr>
        <w:t>2011</w:t>
      </w:r>
      <w:r w:rsidRPr="00476921">
        <w:rPr>
          <w:rFonts w:hint="eastAsia"/>
        </w:rPr>
        <w:t>年至</w:t>
      </w:r>
      <w:r w:rsidRPr="00476921">
        <w:rPr>
          <w:rFonts w:hint="eastAsia"/>
        </w:rPr>
        <w:t>2021</w:t>
      </w:r>
      <w:r w:rsidRPr="00476921">
        <w:rPr>
          <w:rFonts w:hint="eastAsia"/>
        </w:rPr>
        <w:t>年联邦外交部的妇女人数从</w:t>
      </w:r>
      <w:r w:rsidRPr="00476921">
        <w:rPr>
          <w:rFonts w:hint="eastAsia"/>
        </w:rPr>
        <w:t>47</w:t>
      </w:r>
      <w:r w:rsidR="00AF188A" w:rsidRPr="00476921">
        <w:rPr>
          <w:rFonts w:hint="eastAsia"/>
        </w:rPr>
        <w:t>%</w:t>
      </w:r>
      <w:r w:rsidRPr="00476921">
        <w:rPr>
          <w:rFonts w:hint="eastAsia"/>
        </w:rPr>
        <w:t>增至</w:t>
      </w:r>
      <w:r w:rsidRPr="00476921">
        <w:rPr>
          <w:rFonts w:hint="eastAsia"/>
        </w:rPr>
        <w:t>52</w:t>
      </w:r>
      <w:r w:rsidR="00AF188A" w:rsidRPr="00476921">
        <w:rPr>
          <w:rFonts w:hint="eastAsia"/>
        </w:rPr>
        <w:t>%</w:t>
      </w:r>
      <w:r w:rsidRPr="00476921">
        <w:rPr>
          <w:rFonts w:hint="eastAsia"/>
        </w:rPr>
        <w:t>。然而委员会关切地注意到，担任领导职务的妇女人数仍然很少，只有</w:t>
      </w:r>
      <w:r w:rsidRPr="00476921">
        <w:rPr>
          <w:rFonts w:hint="eastAsia"/>
        </w:rPr>
        <w:t>24</w:t>
      </w:r>
      <w:r w:rsidR="00AF188A" w:rsidRPr="00476921">
        <w:rPr>
          <w:rFonts w:hint="eastAsia"/>
        </w:rPr>
        <w:t>%</w:t>
      </w:r>
      <w:r w:rsidRPr="00476921">
        <w:rPr>
          <w:rFonts w:hint="eastAsia"/>
        </w:rPr>
        <w:t>的大使和</w:t>
      </w:r>
      <w:r w:rsidRPr="00476921">
        <w:rPr>
          <w:rFonts w:hint="eastAsia"/>
        </w:rPr>
        <w:t>20</w:t>
      </w:r>
      <w:r w:rsidR="00AF188A" w:rsidRPr="00476921">
        <w:rPr>
          <w:rFonts w:hint="eastAsia"/>
        </w:rPr>
        <w:t>%</w:t>
      </w:r>
      <w:r w:rsidRPr="00476921">
        <w:rPr>
          <w:rFonts w:hint="eastAsia"/>
        </w:rPr>
        <w:t>的使团团长是妇女。</w:t>
      </w:r>
    </w:p>
    <w:p w14:paraId="1271223B" w14:textId="77777777" w:rsidR="00C22874" w:rsidRPr="00476921" w:rsidRDefault="00C22874" w:rsidP="00C22874">
      <w:pPr>
        <w:pStyle w:val="SingleTxt"/>
      </w:pPr>
      <w:r w:rsidRPr="00476921">
        <w:rPr>
          <w:rFonts w:hint="eastAsia"/>
        </w:rPr>
        <w:t>50.</w:t>
      </w:r>
      <w:r w:rsidRPr="00476921">
        <w:rPr>
          <w:rFonts w:hint="eastAsia"/>
        </w:rPr>
        <w:tab/>
      </w:r>
      <w:r w:rsidRPr="00476921">
        <w:rPr>
          <w:rFonts w:eastAsia="黑体" w:hint="eastAsia"/>
        </w:rPr>
        <w:t>委员会建议缔约国加强努力，促进可持续、公平和包容的外交文化，包括通过外交服务考试确定征聘妇女的配额。</w:t>
      </w:r>
    </w:p>
    <w:p w14:paraId="193AE6EF"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教育</w:t>
      </w:r>
    </w:p>
    <w:p w14:paraId="03BA2CD4" w14:textId="77777777" w:rsidR="00C22874" w:rsidRPr="00476921" w:rsidRDefault="00C22874" w:rsidP="00C22874">
      <w:pPr>
        <w:pStyle w:val="SingleTxt"/>
      </w:pPr>
      <w:r w:rsidRPr="00476921">
        <w:rPr>
          <w:rFonts w:hint="eastAsia"/>
        </w:rPr>
        <w:t>51.</w:t>
      </w:r>
      <w:r w:rsidRPr="00476921">
        <w:rPr>
          <w:rFonts w:hint="eastAsia"/>
        </w:rPr>
        <w:tab/>
      </w:r>
      <w:r w:rsidRPr="00476921">
        <w:rPr>
          <w:rFonts w:hint="eastAsia"/>
        </w:rPr>
        <w:t>委员会注意到缔约国采取措施，在教育系统中促进对性别问题的敏感认识和性别平等。然而委员会关切地注意到，一些可由教师自由选择的教材仍然载有对妇女和男子的性别成见的描述。委员会还关切地注意到：</w:t>
      </w:r>
    </w:p>
    <w:p w14:paraId="185677DE" w14:textId="1EA0560F"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hint="eastAsia"/>
        </w:rPr>
        <w:t>学校制度要求</w:t>
      </w:r>
      <w:r w:rsidR="001672CB">
        <w:rPr>
          <w:rFonts w:hint="eastAsia"/>
        </w:rPr>
        <w:t>学</w:t>
      </w:r>
      <w:r w:rsidR="00C22874" w:rsidRPr="00476921">
        <w:rPr>
          <w:rFonts w:hint="eastAsia"/>
        </w:rPr>
        <w:t>生在很早的时候就作出职业选择，因为</w:t>
      </w:r>
      <w:r w:rsidR="001672CB">
        <w:rPr>
          <w:rFonts w:hint="eastAsia"/>
        </w:rPr>
        <w:t>他</w:t>
      </w:r>
      <w:r w:rsidR="00C22874" w:rsidRPr="00476921">
        <w:rPr>
          <w:rFonts w:hint="eastAsia"/>
        </w:rPr>
        <w:t>们特别容易受到性别成见的影响，</w:t>
      </w:r>
      <w:r w:rsidR="009D1D80">
        <w:rPr>
          <w:rFonts w:hint="eastAsia"/>
        </w:rPr>
        <w:t>导致女生</w:t>
      </w:r>
      <w:r w:rsidR="00C22874" w:rsidRPr="00476921">
        <w:rPr>
          <w:rFonts w:hint="eastAsia"/>
        </w:rPr>
        <w:t>往往选择传统的学习领域和职业道路，与传统的男性职业选择相比，这些领域和道路提供的收入和职业机会较少；</w:t>
      </w:r>
    </w:p>
    <w:p w14:paraId="484131A0" w14:textId="514019C8"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hint="eastAsia"/>
        </w:rPr>
        <w:t>在业士学位教育的核心教学大纲中缺乏性别观点。</w:t>
      </w:r>
    </w:p>
    <w:p w14:paraId="0819A6E3" w14:textId="77777777" w:rsidR="00C22874" w:rsidRPr="00476921" w:rsidRDefault="00C22874" w:rsidP="00C22874">
      <w:pPr>
        <w:pStyle w:val="SingleTxt"/>
      </w:pPr>
      <w:r w:rsidRPr="00476921">
        <w:rPr>
          <w:rFonts w:hint="eastAsia"/>
        </w:rPr>
        <w:t>52.</w:t>
      </w:r>
      <w:r w:rsidRPr="00476921">
        <w:rPr>
          <w:rFonts w:hint="eastAsia"/>
        </w:rPr>
        <w:tab/>
      </w:r>
      <w:r w:rsidRPr="00476921">
        <w:rPr>
          <w:rFonts w:eastAsia="黑体" w:hint="eastAsia"/>
        </w:rPr>
        <w:t>委员会回顾其关于女童和妇女受教育权的第</w:t>
      </w:r>
      <w:r w:rsidRPr="00476921">
        <w:rPr>
          <w:rFonts w:eastAsia="黑体" w:hint="eastAsia"/>
        </w:rPr>
        <w:t>36</w:t>
      </w:r>
      <w:r w:rsidRPr="00476921">
        <w:rPr>
          <w:rFonts w:eastAsia="黑体" w:hint="eastAsia"/>
        </w:rPr>
        <w:t>号一般性建议</w:t>
      </w:r>
      <w:r w:rsidRPr="00476921">
        <w:rPr>
          <w:rFonts w:eastAsia="黑体" w:hint="eastAsia"/>
        </w:rPr>
        <w:t>(2017</w:t>
      </w:r>
      <w:r w:rsidRPr="00476921">
        <w:rPr>
          <w:rFonts w:eastAsia="黑体" w:hint="eastAsia"/>
        </w:rPr>
        <w:t>年</w:t>
      </w:r>
      <w:r w:rsidRPr="00476921">
        <w:rPr>
          <w:rFonts w:eastAsia="黑体" w:hint="eastAsia"/>
        </w:rPr>
        <w:t>)</w:t>
      </w:r>
      <w:r w:rsidRPr="00476921">
        <w:rPr>
          <w:rFonts w:eastAsia="黑体" w:hint="eastAsia"/>
        </w:rPr>
        <w:t>，建议缔约国：</w:t>
      </w:r>
    </w:p>
    <w:p w14:paraId="5B240B2F" w14:textId="2329F7D5"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审</w:t>
      </w:r>
      <w:r w:rsidR="00C22874" w:rsidRPr="00476921">
        <w:rPr>
          <w:rFonts w:eastAsia="黑体" w:hint="eastAsia"/>
          <w:spacing w:val="-4"/>
        </w:rPr>
        <w:t>查现有的教材，以消除性别成见，促进性别平等和男女各方面的代表性</w:t>
      </w:r>
      <w:r w:rsidR="00C22874" w:rsidRPr="00476921">
        <w:rPr>
          <w:rFonts w:eastAsia="黑体" w:hint="eastAsia"/>
        </w:rPr>
        <w:t>；</w:t>
      </w:r>
    </w:p>
    <w:p w14:paraId="10CDF72C" w14:textId="08122DB5"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将关于妇女权利和性别平等以及关于必须查明和处理歧视性性别成见的教育纳入各级学校课程，并为教师和</w:t>
      </w:r>
      <w:r w:rsidR="009D1D80">
        <w:rPr>
          <w:rFonts w:eastAsia="黑体" w:hint="eastAsia"/>
        </w:rPr>
        <w:t>实习</w:t>
      </w:r>
      <w:r w:rsidR="00C22874" w:rsidRPr="00476921">
        <w:rPr>
          <w:rFonts w:eastAsia="黑体" w:hint="eastAsia"/>
        </w:rPr>
        <w:t>教师提供相应的系统培训；</w:t>
      </w:r>
    </w:p>
    <w:p w14:paraId="48901871" w14:textId="7C5B3EC0"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eastAsia="黑体" w:hint="eastAsia"/>
        </w:rPr>
        <w:t>继续促进妇女和女童进入非传统学科和职业道路，特别是科学、技术、工程、数学以及信息和通信技术领域；</w:t>
      </w:r>
    </w:p>
    <w:p w14:paraId="5B068F80"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就业</w:t>
      </w:r>
    </w:p>
    <w:p w14:paraId="25BC0349" w14:textId="77777777" w:rsidR="00C22874" w:rsidRPr="00476921" w:rsidRDefault="00C22874" w:rsidP="00C22874">
      <w:pPr>
        <w:pStyle w:val="SingleTxt"/>
      </w:pPr>
      <w:r w:rsidRPr="00476921">
        <w:rPr>
          <w:rFonts w:hint="eastAsia"/>
        </w:rPr>
        <w:t>53.</w:t>
      </w:r>
      <w:r w:rsidRPr="00476921">
        <w:rPr>
          <w:rFonts w:hint="eastAsia"/>
        </w:rPr>
        <w:tab/>
      </w:r>
      <w:r w:rsidRPr="00476921">
        <w:rPr>
          <w:rFonts w:hint="eastAsia"/>
        </w:rPr>
        <w:t>委员会欢迎</w:t>
      </w:r>
      <w:r w:rsidRPr="00476921">
        <w:rPr>
          <w:rFonts w:hint="eastAsia"/>
        </w:rPr>
        <w:t>2020</w:t>
      </w:r>
      <w:r w:rsidRPr="00476921">
        <w:rPr>
          <w:rFonts w:hint="eastAsia"/>
        </w:rPr>
        <w:t>年《性别平等法》修正案，其中规定雇员人数在</w:t>
      </w:r>
      <w:r w:rsidRPr="00476921">
        <w:rPr>
          <w:rFonts w:hint="eastAsia"/>
        </w:rPr>
        <w:t>100</w:t>
      </w:r>
      <w:r w:rsidRPr="00476921">
        <w:rPr>
          <w:rFonts w:hint="eastAsia"/>
        </w:rPr>
        <w:t>人或以上的雇主有义务每四年进行一次内部同工同酬分析。然而委员会关切地注意到，在缔约国占绝大多数的小公司就业的妇女没有从这一规定中受益，修正案没有规定制裁措施，一旦公司证明其工资不存在歧视，同工同酬分析要求就不再适用。委员会还关切地注意到，缔约国仍然存在基于性别的工资歧视。委员会还关切地注意到：</w:t>
      </w:r>
    </w:p>
    <w:p w14:paraId="38D6BC92" w14:textId="390692DB"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hint="eastAsia"/>
        </w:rPr>
        <w:t>妇女集中在传统以女性为主的低收入职业，妇女在领导职位上的代表性仍然不足；</w:t>
      </w:r>
    </w:p>
    <w:p w14:paraId="210CF798" w14:textId="4C3CB386"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hint="eastAsia"/>
        </w:rPr>
        <w:t>妇</w:t>
      </w:r>
      <w:r w:rsidR="00C22874" w:rsidRPr="00476921">
        <w:rPr>
          <w:rFonts w:hint="eastAsia"/>
          <w:spacing w:val="4"/>
        </w:rPr>
        <w:t>女在科技工作队伍中的参与率低，特别是在注重开发数字技术的部</w:t>
      </w:r>
      <w:r w:rsidR="00C22874" w:rsidRPr="00476921">
        <w:rPr>
          <w:rFonts w:hint="eastAsia"/>
        </w:rPr>
        <w:t>门，这助长了数字服务中性别偏见的产生和持续；</w:t>
      </w:r>
    </w:p>
    <w:p w14:paraId="098351CC" w14:textId="4FBFFEF6"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hint="eastAsia"/>
        </w:rPr>
        <w:t>尽管大学生中妇女占大多数，但妇女在大学内的就业人数不足；</w:t>
      </w:r>
    </w:p>
    <w:p w14:paraId="0DE5AED8" w14:textId="13A4F0B2" w:rsidR="00C22874" w:rsidRPr="00476921" w:rsidRDefault="008C5F80" w:rsidP="00C22874">
      <w:pPr>
        <w:pStyle w:val="SingleTxt"/>
      </w:pPr>
      <w:r w:rsidRPr="00476921">
        <w:tab/>
      </w:r>
      <w:r w:rsidR="00C22874" w:rsidRPr="00476921">
        <w:rPr>
          <w:rFonts w:hint="eastAsia"/>
        </w:rPr>
        <w:t>(d)</w:t>
      </w:r>
      <w:r w:rsidR="00C22874" w:rsidRPr="00476921">
        <w:rPr>
          <w:rFonts w:hint="eastAsia"/>
        </w:rPr>
        <w:tab/>
      </w:r>
      <w:r w:rsidR="00C22874" w:rsidRPr="00476921">
        <w:rPr>
          <w:rFonts w:hint="eastAsia"/>
        </w:rPr>
        <w:t>《性别平等法》未能充分保护妇女在劳动索赔中免遭报复。</w:t>
      </w:r>
    </w:p>
    <w:p w14:paraId="3F713CA1" w14:textId="77777777" w:rsidR="00C22874" w:rsidRPr="00476921" w:rsidRDefault="00C22874" w:rsidP="00C22874">
      <w:pPr>
        <w:pStyle w:val="SingleTxt"/>
      </w:pPr>
      <w:r w:rsidRPr="00476921">
        <w:rPr>
          <w:rFonts w:hint="eastAsia"/>
        </w:rPr>
        <w:t>54.</w:t>
      </w:r>
      <w:r w:rsidRPr="00476921">
        <w:rPr>
          <w:rFonts w:hint="eastAsia"/>
        </w:rPr>
        <w:tab/>
      </w:r>
      <w:r w:rsidRPr="00476921">
        <w:rPr>
          <w:rFonts w:eastAsia="黑体"/>
        </w:rPr>
        <w:t>委员会建议缔约国：</w:t>
      </w:r>
    </w:p>
    <w:p w14:paraId="762FD41C" w14:textId="39B2A186"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采用一个更有效的分析和处理性别工资歧视的制度，并规定有时限的目标，适用于所有公司，不论其规模大小，而且必须定期重复进行；</w:t>
      </w:r>
    </w:p>
    <w:p w14:paraId="23E93E65" w14:textId="14EB68C0"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提高护理工作等传统女性职业的工资，并开展提高认识方案，以提高对这些职业的重要性和社会赋予它们的价值的认识，并促进这些职业的性别平衡；</w:t>
      </w:r>
    </w:p>
    <w:p w14:paraId="460B64DC" w14:textId="261E43C6"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eastAsia="黑体" w:hint="eastAsia"/>
        </w:rPr>
        <w:t>采取针对性措施，如配额和优先招聘妇女，以增加妇女在学术界和科技界的就业；</w:t>
      </w:r>
    </w:p>
    <w:p w14:paraId="3E29204B" w14:textId="721ADB58" w:rsidR="00C22874" w:rsidRPr="00476921" w:rsidRDefault="008C5F80" w:rsidP="00C22874">
      <w:pPr>
        <w:pStyle w:val="SingleTxt"/>
        <w:rPr>
          <w:rFonts w:eastAsia="黑体"/>
        </w:rPr>
      </w:pPr>
      <w:r w:rsidRPr="00476921">
        <w:tab/>
      </w:r>
      <w:r w:rsidR="00C22874" w:rsidRPr="00476921">
        <w:rPr>
          <w:rFonts w:hint="eastAsia"/>
        </w:rPr>
        <w:t>(d)</w:t>
      </w:r>
      <w:r w:rsidR="00C22874" w:rsidRPr="00476921">
        <w:rPr>
          <w:rFonts w:hint="eastAsia"/>
        </w:rPr>
        <w:tab/>
      </w:r>
      <w:r w:rsidR="00C22874" w:rsidRPr="00476921">
        <w:rPr>
          <w:rFonts w:eastAsia="黑体" w:hint="eastAsia"/>
        </w:rPr>
        <w:t>通过立法修正案，确保妇女可以提出劳工索赔，而不必担心遭到报复或其他不利情况。</w:t>
      </w:r>
    </w:p>
    <w:p w14:paraId="4AC8A4F4"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卫生保健</w:t>
      </w:r>
    </w:p>
    <w:p w14:paraId="0E6CF7F7" w14:textId="77777777" w:rsidR="00C22874" w:rsidRPr="00476921" w:rsidRDefault="00C22874" w:rsidP="00C22874">
      <w:pPr>
        <w:pStyle w:val="SingleTxt"/>
      </w:pPr>
      <w:r w:rsidRPr="00476921">
        <w:rPr>
          <w:rFonts w:hint="eastAsia"/>
        </w:rPr>
        <w:t>55.</w:t>
      </w:r>
      <w:r w:rsidRPr="00476921">
        <w:rPr>
          <w:rFonts w:hint="eastAsia"/>
        </w:rPr>
        <w:tab/>
      </w:r>
      <w:r w:rsidRPr="00476921">
        <w:rPr>
          <w:rFonts w:hint="eastAsia"/>
        </w:rPr>
        <w:t>委员会欢迎缔约国努力确保妇女和女童获得高质量保健。然而委员会关切地注意到：</w:t>
      </w:r>
    </w:p>
    <w:p w14:paraId="0571719C" w14:textId="38002AF9"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hint="eastAsia"/>
        </w:rPr>
        <w:t>根据</w:t>
      </w:r>
      <w:r w:rsidR="00C22874" w:rsidRPr="00476921">
        <w:rPr>
          <w:rFonts w:hint="eastAsia"/>
        </w:rPr>
        <w:t>2018</w:t>
      </w:r>
      <w:r w:rsidR="00C22874" w:rsidRPr="00476921">
        <w:rPr>
          <w:rFonts w:hint="eastAsia"/>
        </w:rPr>
        <w:t>年的一项研究，许多保险公司向妇女，特别是</w:t>
      </w:r>
      <w:r w:rsidR="00C22874" w:rsidRPr="00476921">
        <w:rPr>
          <w:rFonts w:hint="eastAsia"/>
        </w:rPr>
        <w:t>30</w:t>
      </w:r>
      <w:r w:rsidR="00C22874" w:rsidRPr="00476921">
        <w:rPr>
          <w:rFonts w:hint="eastAsia"/>
        </w:rPr>
        <w:t>多岁的妇女，收取的与妇女生育能力有关的住院一揽子非基本保险计划的保费更高；</w:t>
      </w:r>
    </w:p>
    <w:p w14:paraId="6C202DF5" w14:textId="797D6433" w:rsidR="00C22874" w:rsidRPr="00476921" w:rsidRDefault="008C5F80" w:rsidP="00C22874">
      <w:pPr>
        <w:pStyle w:val="SingleTxt"/>
      </w:pPr>
      <w:r w:rsidRPr="00476921">
        <w:tab/>
      </w:r>
      <w:r w:rsidR="00C22874" w:rsidRPr="00476921">
        <w:rPr>
          <w:rFonts w:hint="eastAsia"/>
        </w:rPr>
        <w:t>(b)</w:t>
      </w:r>
      <w:r w:rsidR="00C22874" w:rsidRPr="00476921">
        <w:rPr>
          <w:rFonts w:hint="eastAsia"/>
        </w:rPr>
        <w:tab/>
        <w:t>2019</w:t>
      </w:r>
      <w:r w:rsidR="00C22874" w:rsidRPr="00476921">
        <w:rPr>
          <w:rFonts w:hint="eastAsia"/>
        </w:rPr>
        <w:t>年，国民议会否决了一项动议。该动议旨在纠正现行制度，即在雇主可决定为其雇员投保的非强制性病假医疗保险中，对女雇员收取高于男子的费率；</w:t>
      </w:r>
    </w:p>
    <w:p w14:paraId="29900A5D" w14:textId="5A79FF3F"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hint="eastAsia"/>
        </w:rPr>
        <w:t>非正常情况下的移民妇女实际上获得保健的机会有限，因为如果保健提供者向移民当局报告，她们将面临被驱逐的危险；</w:t>
      </w:r>
    </w:p>
    <w:p w14:paraId="15EA5D17" w14:textId="15420482" w:rsidR="00C22874" w:rsidRPr="00476921" w:rsidRDefault="008C5F80" w:rsidP="00C22874">
      <w:pPr>
        <w:pStyle w:val="SingleTxt"/>
      </w:pPr>
      <w:r w:rsidRPr="00476921">
        <w:tab/>
      </w:r>
      <w:r w:rsidR="00C22874" w:rsidRPr="00476921">
        <w:rPr>
          <w:rFonts w:hint="eastAsia"/>
        </w:rPr>
        <w:t>(d)</w:t>
      </w:r>
      <w:r w:rsidR="00C22874" w:rsidRPr="00476921">
        <w:rPr>
          <w:rFonts w:hint="eastAsia"/>
        </w:rPr>
        <w:tab/>
      </w:r>
      <w:r w:rsidR="00C22874" w:rsidRPr="00476921">
        <w:rPr>
          <w:rFonts w:hint="eastAsia"/>
        </w:rPr>
        <w:t>获得现代避孕药具的机会没有列入一揽子基本医疗保险计划，这对妇女和女童的影响特别大，特别是那些没有足够手段的妇女和女童，她们往往承担着避孕的责任；</w:t>
      </w:r>
    </w:p>
    <w:p w14:paraId="5B0203E2" w14:textId="20B3A2EE" w:rsidR="00C22874" w:rsidRPr="00476921" w:rsidRDefault="008C5F80" w:rsidP="00C22874">
      <w:pPr>
        <w:pStyle w:val="SingleTxt"/>
      </w:pPr>
      <w:r w:rsidRPr="00476921">
        <w:tab/>
      </w:r>
      <w:r w:rsidR="00C22874" w:rsidRPr="00476921">
        <w:rPr>
          <w:rFonts w:hint="eastAsia"/>
        </w:rPr>
        <w:t>(e)</w:t>
      </w:r>
      <w:r w:rsidR="00C22874" w:rsidRPr="00476921">
        <w:rPr>
          <w:rFonts w:hint="eastAsia"/>
        </w:rPr>
        <w:tab/>
      </w:r>
      <w:r w:rsidR="00C22874" w:rsidRPr="00476921">
        <w:rPr>
          <w:rFonts w:hint="eastAsia"/>
        </w:rPr>
        <w:t>感染艾滋病毒的低收入妇女获得应有质量的保健服务的机会有限；</w:t>
      </w:r>
    </w:p>
    <w:p w14:paraId="775BEEB5" w14:textId="267E44AD" w:rsidR="00C22874" w:rsidRPr="00476921" w:rsidRDefault="008C5F80" w:rsidP="00C22874">
      <w:pPr>
        <w:pStyle w:val="SingleTxt"/>
      </w:pPr>
      <w:r w:rsidRPr="00476921">
        <w:tab/>
      </w:r>
      <w:r w:rsidR="00C22874" w:rsidRPr="00476921">
        <w:rPr>
          <w:rFonts w:hint="eastAsia"/>
        </w:rPr>
        <w:t>(f)</w:t>
      </w:r>
      <w:r w:rsidR="00C22874" w:rsidRPr="00476921">
        <w:rPr>
          <w:rFonts w:hint="eastAsia"/>
        </w:rPr>
        <w:tab/>
      </w:r>
      <w:r w:rsidR="00C22874" w:rsidRPr="00476921">
        <w:rPr>
          <w:rFonts w:hint="eastAsia"/>
        </w:rPr>
        <w:t>对双性儿童进行不必要的手术干预，目的是使他们的生殖器“正常化”。</w:t>
      </w:r>
    </w:p>
    <w:p w14:paraId="1CE18E64" w14:textId="77777777" w:rsidR="00C22874" w:rsidRPr="00476921" w:rsidRDefault="00C22874" w:rsidP="00C22874">
      <w:pPr>
        <w:pStyle w:val="SingleTxt"/>
      </w:pPr>
      <w:r w:rsidRPr="00476921">
        <w:rPr>
          <w:rFonts w:hint="eastAsia"/>
        </w:rPr>
        <w:t>56.</w:t>
      </w:r>
      <w:r w:rsidRPr="00476921">
        <w:rPr>
          <w:rFonts w:hint="eastAsia"/>
        </w:rPr>
        <w:tab/>
      </w:r>
      <w:r w:rsidRPr="00476921">
        <w:rPr>
          <w:rFonts w:eastAsia="黑体" w:hint="eastAsia"/>
        </w:rPr>
        <w:t>委员会建议缔约国修订立法，禁止在保险费方面歧视妇女，并确保补贴与生育有关的额外医疗保险费用，以确保妇女不被视为默认的生育者，并确保生育妇女不受惩罚。委员会还建议缔约国：</w:t>
      </w:r>
    </w:p>
    <w:p w14:paraId="142056E4" w14:textId="551D6DDF"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确保非正规身份的移民妇女能够有效获得医院和保健服务，包括性保健和生殖保健服务，取消公共和私营保健提供者的任何报告义务；</w:t>
      </w:r>
    </w:p>
    <w:p w14:paraId="37B22406" w14:textId="650CF9B9"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免费提供现代避孕药具，并开展提高认识方案，促进人们认识到避孕是男女共同的责任；</w:t>
      </w:r>
    </w:p>
    <w:p w14:paraId="481CC0B0" w14:textId="3DD515C2"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eastAsia="黑体" w:hint="eastAsia"/>
        </w:rPr>
        <w:t>确保所有感染艾滋病毒</w:t>
      </w:r>
      <w:r w:rsidR="00C22874" w:rsidRPr="00476921">
        <w:rPr>
          <w:rFonts w:eastAsia="黑体" w:hint="eastAsia"/>
        </w:rPr>
        <w:t>/</w:t>
      </w:r>
      <w:r w:rsidR="00C22874" w:rsidRPr="00476921">
        <w:rPr>
          <w:rFonts w:eastAsia="黑体" w:hint="eastAsia"/>
        </w:rPr>
        <w:t>艾滋病的妇女和女童充分和免费获得抗逆转录病毒治疗；</w:t>
      </w:r>
    </w:p>
    <w:p w14:paraId="1218F6DC" w14:textId="32B08E5E" w:rsidR="00C22874" w:rsidRPr="00476921" w:rsidRDefault="008C5F80" w:rsidP="00C22874">
      <w:pPr>
        <w:pStyle w:val="SingleTxt"/>
      </w:pPr>
      <w:r w:rsidRPr="00476921">
        <w:tab/>
      </w:r>
      <w:r w:rsidR="00C22874" w:rsidRPr="00476921">
        <w:rPr>
          <w:rFonts w:hint="eastAsia"/>
        </w:rPr>
        <w:t>(d)</w:t>
      </w:r>
      <w:r w:rsidR="00C22874" w:rsidRPr="00476921">
        <w:rPr>
          <w:rFonts w:hint="eastAsia"/>
        </w:rPr>
        <w:tab/>
      </w:r>
      <w:r w:rsidR="00C22874" w:rsidRPr="00476921">
        <w:rPr>
          <w:rFonts w:eastAsia="黑体" w:hint="eastAsia"/>
        </w:rPr>
        <w:t>明</w:t>
      </w:r>
      <w:r w:rsidR="00C22874" w:rsidRPr="00476921">
        <w:rPr>
          <w:rFonts w:eastAsia="黑体" w:hint="eastAsia"/>
          <w:spacing w:val="-4"/>
        </w:rPr>
        <w:t>确规定对双性儿童生殖器的手术干预为刑事犯罪，除非医学上有必</w:t>
      </w:r>
      <w:r w:rsidR="00C22874" w:rsidRPr="00476921">
        <w:rPr>
          <w:rFonts w:eastAsia="黑体" w:hint="eastAsia"/>
        </w:rPr>
        <w:t>要。</w:t>
      </w:r>
    </w:p>
    <w:p w14:paraId="62C2FE02" w14:textId="77777777" w:rsidR="00C22874" w:rsidRPr="00476921" w:rsidRDefault="00C22874" w:rsidP="00C22874">
      <w:pPr>
        <w:pStyle w:val="SingleTxt"/>
      </w:pPr>
      <w:r w:rsidRPr="00476921">
        <w:rPr>
          <w:rFonts w:hint="eastAsia"/>
        </w:rPr>
        <w:t>57.</w:t>
      </w:r>
      <w:r w:rsidRPr="00476921">
        <w:rPr>
          <w:rFonts w:hint="eastAsia"/>
        </w:rPr>
        <w:tab/>
      </w:r>
      <w:r w:rsidRPr="00476921">
        <w:rPr>
          <w:rFonts w:hint="eastAsia"/>
        </w:rPr>
        <w:t>委员会关切地注意到，尽管未经本人自由和完全同意的绝育是被禁止的，但根据绝育法律第</w:t>
      </w:r>
      <w:r w:rsidRPr="00476921">
        <w:rPr>
          <w:rFonts w:hint="eastAsia"/>
        </w:rPr>
        <w:t>7</w:t>
      </w:r>
      <w:r w:rsidRPr="00476921">
        <w:rPr>
          <w:rFonts w:hint="eastAsia"/>
        </w:rPr>
        <w:t>条和第</w:t>
      </w:r>
      <w:r w:rsidRPr="00476921">
        <w:rPr>
          <w:rFonts w:hint="eastAsia"/>
        </w:rPr>
        <w:t>8</w:t>
      </w:r>
      <w:r w:rsidRPr="00476921">
        <w:rPr>
          <w:rFonts w:hint="eastAsia"/>
        </w:rPr>
        <w:t>条，却例外地允许给被视为“无辨别能力”的</w:t>
      </w:r>
      <w:r w:rsidRPr="00476921">
        <w:rPr>
          <w:rFonts w:hint="eastAsia"/>
        </w:rPr>
        <w:t>16</w:t>
      </w:r>
      <w:r w:rsidRPr="00476921">
        <w:rPr>
          <w:rFonts w:hint="eastAsia"/>
        </w:rPr>
        <w:t>岁及以上妇女和女童绝育。</w:t>
      </w:r>
    </w:p>
    <w:p w14:paraId="6D977362" w14:textId="54FFF5EA" w:rsidR="00C22874" w:rsidRPr="00476921" w:rsidRDefault="00C22874" w:rsidP="00C22874">
      <w:pPr>
        <w:pStyle w:val="SingleTxt"/>
      </w:pPr>
      <w:r w:rsidRPr="00476921">
        <w:rPr>
          <w:rFonts w:hint="eastAsia"/>
        </w:rPr>
        <w:t>58.</w:t>
      </w:r>
      <w:r w:rsidRPr="00476921">
        <w:rPr>
          <w:rFonts w:hint="eastAsia"/>
        </w:rPr>
        <w:tab/>
      </w:r>
      <w:r w:rsidRPr="00476921">
        <w:rPr>
          <w:rFonts w:eastAsia="黑体"/>
        </w:rPr>
        <w:t>委员会提及残疾人权利委员会的建议</w:t>
      </w:r>
      <w:r w:rsidRPr="00476921">
        <w:rPr>
          <w:rFonts w:eastAsia="黑体"/>
        </w:rPr>
        <w:t>(</w:t>
      </w:r>
      <w:hyperlink r:id="rId35" w:history="1">
        <w:r w:rsidRPr="00476921">
          <w:rPr>
            <w:rStyle w:val="af4"/>
            <w:rFonts w:eastAsia="黑体" w:hint="eastAsia"/>
          </w:rPr>
          <w:t>CRPD/C/CHE/CO/1</w:t>
        </w:r>
      </w:hyperlink>
      <w:r w:rsidRPr="00476921">
        <w:rPr>
          <w:rFonts w:eastAsia="黑体"/>
        </w:rPr>
        <w:t>，第</w:t>
      </w:r>
      <w:r w:rsidRPr="00476921">
        <w:rPr>
          <w:rFonts w:eastAsia="黑体"/>
        </w:rPr>
        <w:t>36</w:t>
      </w:r>
      <w:r w:rsidRPr="00476921">
        <w:rPr>
          <w:rFonts w:eastAsia="黑体"/>
        </w:rPr>
        <w:t>段</w:t>
      </w:r>
      <w:r w:rsidRPr="00476921">
        <w:rPr>
          <w:rFonts w:eastAsia="黑体"/>
        </w:rPr>
        <w:t>)</w:t>
      </w:r>
      <w:r w:rsidRPr="00476921">
        <w:rPr>
          <w:rFonts w:eastAsia="黑体"/>
        </w:rPr>
        <w:t>，建议缔约国：</w:t>
      </w:r>
    </w:p>
    <w:p w14:paraId="66325C94" w14:textId="3A526C4A"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禁止对残疾妇女和女童在未经其事先知情和自由同意的情况下进行绝育手术，无一例外；</w:t>
      </w:r>
    </w:p>
    <w:p w14:paraId="35167BD9" w14:textId="071118F2"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废除任何允许第三方替代同意的法律规定；</w:t>
      </w:r>
    </w:p>
    <w:p w14:paraId="3A9A04C1" w14:textId="5C446C34" w:rsidR="001B30EF" w:rsidRDefault="008C5F80" w:rsidP="00C22874">
      <w:pPr>
        <w:pStyle w:val="SingleTxt"/>
        <w:rPr>
          <w:rFonts w:eastAsia="黑体"/>
        </w:rPr>
      </w:pPr>
      <w:r w:rsidRPr="00476921">
        <w:tab/>
      </w:r>
      <w:r w:rsidR="00C22874" w:rsidRPr="00476921">
        <w:rPr>
          <w:rFonts w:hint="eastAsia"/>
        </w:rPr>
        <w:t>(c)</w:t>
      </w:r>
      <w:r w:rsidR="00C22874" w:rsidRPr="00476921">
        <w:rPr>
          <w:rFonts w:hint="eastAsia"/>
        </w:rPr>
        <w:tab/>
      </w:r>
      <w:r w:rsidR="00C22874" w:rsidRPr="00476921">
        <w:rPr>
          <w:rFonts w:eastAsia="黑体" w:hint="eastAsia"/>
        </w:rPr>
        <w:t>向被强制绝育的妇女和女童提供补救和支助。</w:t>
      </w:r>
    </w:p>
    <w:p w14:paraId="47F7FAF4" w14:textId="77777777" w:rsidR="001B30EF" w:rsidRDefault="001B30EF">
      <w:pPr>
        <w:spacing w:line="240" w:lineRule="auto"/>
        <w:jc w:val="left"/>
        <w:rPr>
          <w:rFonts w:eastAsia="黑体"/>
        </w:rPr>
      </w:pPr>
      <w:r>
        <w:rPr>
          <w:rFonts w:eastAsia="黑体"/>
        </w:rPr>
        <w:br w:type="page"/>
      </w:r>
    </w:p>
    <w:p w14:paraId="41B5408C"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增强经济权能和社会福利</w:t>
      </w:r>
    </w:p>
    <w:p w14:paraId="617A0BEE" w14:textId="77777777" w:rsidR="00C22874" w:rsidRPr="00476921" w:rsidRDefault="00C22874" w:rsidP="00C22874">
      <w:pPr>
        <w:pStyle w:val="SingleTxt"/>
      </w:pPr>
      <w:r w:rsidRPr="00476921">
        <w:rPr>
          <w:rFonts w:hint="eastAsia"/>
        </w:rPr>
        <w:t>59.</w:t>
      </w:r>
      <w:r w:rsidRPr="00476921">
        <w:rPr>
          <w:rFonts w:hint="eastAsia"/>
        </w:rPr>
        <w:tab/>
      </w:r>
      <w:r w:rsidRPr="00476921">
        <w:rPr>
          <w:rFonts w:hint="eastAsia"/>
        </w:rPr>
        <w:t>委员会关切缔约国有大量妇女生活贫困或面临贫困风险，她们失业率较高，集中从事非全职、不稳定的低收入工作，并承担着不成比例的无酬照护工作。委员会关切地注意到，这些因素还导致妇女的养恤金福利减少，从而导致老年贫困。委员会还关切地注意到：</w:t>
      </w:r>
    </w:p>
    <w:p w14:paraId="222897D5" w14:textId="412B6FE3"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hint="eastAsia"/>
        </w:rPr>
        <w:t>托儿所费用高昂，有时几乎相当于低收入妇女的全部工资；</w:t>
      </w:r>
    </w:p>
    <w:p w14:paraId="0A558F36" w14:textId="3A703FC4"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hint="eastAsia"/>
        </w:rPr>
        <w:t>将陪产假从两天延长到两周，虽然值得赞扬，但仍不足以促进男女平等分担育儿责任；</w:t>
      </w:r>
    </w:p>
    <w:p w14:paraId="0F63D360" w14:textId="7F4B160B"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hint="eastAsia"/>
        </w:rPr>
        <w:t>由于就业人数不足，领取全额残疾福利的残疾妇女人数很少；</w:t>
      </w:r>
    </w:p>
    <w:p w14:paraId="03B0CBAB" w14:textId="7E99AE03" w:rsidR="00C22874" w:rsidRPr="00476921" w:rsidRDefault="008C5F80" w:rsidP="00C22874">
      <w:pPr>
        <w:pStyle w:val="SingleTxt"/>
      </w:pPr>
      <w:r w:rsidRPr="00476921">
        <w:tab/>
      </w:r>
      <w:r w:rsidR="00C22874" w:rsidRPr="00476921">
        <w:rPr>
          <w:rFonts w:hint="eastAsia"/>
        </w:rPr>
        <w:t>(d)</w:t>
      </w:r>
      <w:r w:rsidR="00C22874" w:rsidRPr="00476921">
        <w:rPr>
          <w:rFonts w:hint="eastAsia"/>
        </w:rPr>
        <w:tab/>
      </w:r>
      <w:r w:rsidR="00C22874" w:rsidRPr="00476921">
        <w:rPr>
          <w:rFonts w:hint="eastAsia"/>
        </w:rPr>
        <w:t>社会没有充分理解生育保险的强制性地位，保险上限为每天</w:t>
      </w:r>
      <w:r w:rsidR="00C22874" w:rsidRPr="00476921">
        <w:rPr>
          <w:rFonts w:hint="eastAsia"/>
        </w:rPr>
        <w:t>196</w:t>
      </w:r>
      <w:r w:rsidR="00C22874" w:rsidRPr="00476921">
        <w:rPr>
          <w:rFonts w:hint="eastAsia"/>
        </w:rPr>
        <w:t>瑞士法郎，而军人或国防事业的强制性保险上限更高；</w:t>
      </w:r>
    </w:p>
    <w:p w14:paraId="3081FEAB" w14:textId="68B59968" w:rsidR="00C22874" w:rsidRPr="00476921" w:rsidRDefault="008C5F80" w:rsidP="00C22874">
      <w:pPr>
        <w:pStyle w:val="SingleTxt"/>
      </w:pPr>
      <w:r w:rsidRPr="00476921">
        <w:tab/>
      </w:r>
      <w:r w:rsidR="00C22874" w:rsidRPr="00476921">
        <w:rPr>
          <w:rFonts w:hint="eastAsia"/>
        </w:rPr>
        <w:t>(e)</w:t>
      </w:r>
      <w:r w:rsidR="00C22874" w:rsidRPr="00476921">
        <w:rPr>
          <w:rFonts w:hint="eastAsia"/>
        </w:rPr>
        <w:tab/>
      </w:r>
      <w:r w:rsidR="00C22874" w:rsidRPr="00476921">
        <w:rPr>
          <w:rFonts w:hint="eastAsia"/>
        </w:rPr>
        <w:t>与大公司相比，通常由女性妇女经营的小企业从</w:t>
      </w:r>
      <w:r w:rsidR="00C22874" w:rsidRPr="00476921">
        <w:rPr>
          <w:rFonts w:hint="eastAsia"/>
        </w:rPr>
        <w:t>COVID-19</w:t>
      </w:r>
      <w:r w:rsidR="00C22874" w:rsidRPr="00476921">
        <w:rPr>
          <w:rFonts w:hint="eastAsia"/>
        </w:rPr>
        <w:t>支持措施中受益较少。</w:t>
      </w:r>
    </w:p>
    <w:p w14:paraId="0613ABA9" w14:textId="77777777" w:rsidR="00C22874" w:rsidRPr="00476921" w:rsidRDefault="00C22874" w:rsidP="00C22874">
      <w:pPr>
        <w:pStyle w:val="SingleTxt"/>
      </w:pPr>
      <w:r w:rsidRPr="00476921">
        <w:rPr>
          <w:rFonts w:hint="eastAsia"/>
        </w:rPr>
        <w:t>60.</w:t>
      </w:r>
      <w:r w:rsidRPr="00476921">
        <w:rPr>
          <w:rFonts w:hint="eastAsia"/>
        </w:rPr>
        <w:tab/>
      </w:r>
      <w:r w:rsidRPr="00476921">
        <w:rPr>
          <w:rFonts w:eastAsia="黑体" w:hint="eastAsia"/>
        </w:rPr>
        <w:t>委员会建议缔约国：</w:t>
      </w:r>
    </w:p>
    <w:p w14:paraId="3BAD1516" w14:textId="19CB0F6A"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解决工资歧视、劳动隔离和妇女的无酬照护工作问题，并重新计算养恤金福利，以防止妇女陷入老年贫困，为此应停止第二支柱中目前的“协调扣减”</w:t>
      </w:r>
      <w:r w:rsidR="00C22874" w:rsidRPr="00476921">
        <w:rPr>
          <w:rFonts w:eastAsia="黑体" w:hint="eastAsia"/>
        </w:rPr>
        <w:t>(</w:t>
      </w:r>
      <w:r w:rsidR="00C22874" w:rsidRPr="00476921">
        <w:rPr>
          <w:rFonts w:eastAsia="黑体" w:hint="eastAsia"/>
        </w:rPr>
        <w:t>根据这种扣减，只有部分收入被视为应计养恤金收入</w:t>
      </w:r>
      <w:r w:rsidR="00C22874" w:rsidRPr="00476921">
        <w:rPr>
          <w:rFonts w:eastAsia="黑体" w:hint="eastAsia"/>
        </w:rPr>
        <w:t>)</w:t>
      </w:r>
      <w:r w:rsidR="00C22874" w:rsidRPr="00476921">
        <w:rPr>
          <w:rFonts w:eastAsia="黑体" w:hint="eastAsia"/>
        </w:rPr>
        <w:t>，补偿无酬照护工作，并在无酬照护工作期间将妇女完全保留在社会保障体系中；</w:t>
      </w:r>
    </w:p>
    <w:p w14:paraId="7A0ECAA6" w14:textId="1E1B06D0"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确保所有残疾妇女都能获得适当的残疾福利；</w:t>
      </w:r>
    </w:p>
    <w:p w14:paraId="24814475" w14:textId="0DE120F9" w:rsidR="00C22874" w:rsidRPr="00476921" w:rsidRDefault="008C5F80" w:rsidP="00C22874">
      <w:pPr>
        <w:pStyle w:val="SingleTxt"/>
      </w:pPr>
      <w:r w:rsidRPr="00476921">
        <w:tab/>
      </w:r>
      <w:r w:rsidR="00C22874" w:rsidRPr="00476921">
        <w:rPr>
          <w:rFonts w:hint="eastAsia"/>
        </w:rPr>
        <w:t>(c)</w:t>
      </w:r>
      <w:r w:rsidR="00C22874" w:rsidRPr="00476921">
        <w:rPr>
          <w:rFonts w:hint="eastAsia"/>
        </w:rPr>
        <w:tab/>
      </w:r>
      <w:r w:rsidR="00C22874" w:rsidRPr="00476921">
        <w:rPr>
          <w:rFonts w:eastAsia="黑体" w:hint="eastAsia"/>
        </w:rPr>
        <w:t>消除关于生育保险的强制性质以及其上限为每天</w:t>
      </w:r>
      <w:r w:rsidR="00C22874" w:rsidRPr="00476921">
        <w:rPr>
          <w:rFonts w:eastAsia="黑体" w:hint="eastAsia"/>
        </w:rPr>
        <w:t>196</w:t>
      </w:r>
      <w:r w:rsidR="00C22874" w:rsidRPr="00476921">
        <w:rPr>
          <w:rFonts w:eastAsia="黑体" w:hint="eastAsia"/>
        </w:rPr>
        <w:t>瑞士法郎的任何含糊之处；</w:t>
      </w:r>
    </w:p>
    <w:p w14:paraId="0E2C039D" w14:textId="10BAA7E8" w:rsidR="00C22874" w:rsidRPr="00476921" w:rsidRDefault="008C5F80" w:rsidP="00C22874">
      <w:pPr>
        <w:pStyle w:val="SingleTxt"/>
      </w:pPr>
      <w:r w:rsidRPr="00476921">
        <w:tab/>
      </w:r>
      <w:r w:rsidR="00C22874" w:rsidRPr="00476921">
        <w:rPr>
          <w:rFonts w:hint="eastAsia"/>
        </w:rPr>
        <w:t>(d)</w:t>
      </w:r>
      <w:r w:rsidR="00C22874" w:rsidRPr="00476921">
        <w:rPr>
          <w:rFonts w:hint="eastAsia"/>
        </w:rPr>
        <w:tab/>
      </w:r>
      <w:r w:rsidR="00C22874" w:rsidRPr="00476921">
        <w:rPr>
          <w:rFonts w:eastAsia="黑体" w:hint="eastAsia"/>
        </w:rPr>
        <w:t>确保由妇女经营的小企业受益于与大公司相当的充分的</w:t>
      </w:r>
      <w:r w:rsidR="00C22874" w:rsidRPr="00476921">
        <w:rPr>
          <w:rFonts w:eastAsia="黑体" w:hint="eastAsia"/>
        </w:rPr>
        <w:t>COVID-19</w:t>
      </w:r>
      <w:r w:rsidR="00C22874" w:rsidRPr="00476921">
        <w:rPr>
          <w:rFonts w:eastAsia="黑体" w:hint="eastAsia"/>
        </w:rPr>
        <w:t>支持和复苏措施。</w:t>
      </w:r>
    </w:p>
    <w:p w14:paraId="49935FF9"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农村妇女</w:t>
      </w:r>
    </w:p>
    <w:p w14:paraId="35D5A74E" w14:textId="61CBF978" w:rsidR="00C22874" w:rsidRPr="00476921" w:rsidRDefault="00C22874" w:rsidP="00C22874">
      <w:pPr>
        <w:pStyle w:val="SingleTxt"/>
      </w:pPr>
      <w:r w:rsidRPr="00476921">
        <w:rPr>
          <w:rFonts w:hint="eastAsia"/>
        </w:rPr>
        <w:t>61.</w:t>
      </w:r>
      <w:r w:rsidRPr="00476921">
        <w:rPr>
          <w:rFonts w:hint="eastAsia"/>
        </w:rPr>
        <w:tab/>
      </w:r>
      <w:r w:rsidRPr="00476921">
        <w:rPr>
          <w:rFonts w:hint="eastAsia"/>
        </w:rPr>
        <w:t>委员会关切地注意到，据估计，农业女工平均每周工作</w:t>
      </w:r>
      <w:r w:rsidRPr="00476921">
        <w:rPr>
          <w:rFonts w:hint="eastAsia"/>
        </w:rPr>
        <w:t>60</w:t>
      </w:r>
      <w:r w:rsidRPr="00476921">
        <w:rPr>
          <w:rFonts w:hint="eastAsia"/>
        </w:rPr>
        <w:t>小时以上，但其中只有</w:t>
      </w:r>
      <w:r w:rsidRPr="00476921">
        <w:rPr>
          <w:rFonts w:hint="eastAsia"/>
        </w:rPr>
        <w:t>30</w:t>
      </w:r>
      <w:r w:rsidR="00AF188A" w:rsidRPr="00476921">
        <w:rPr>
          <w:rFonts w:hint="eastAsia"/>
        </w:rPr>
        <w:t>%</w:t>
      </w:r>
      <w:r w:rsidRPr="00476921">
        <w:rPr>
          <w:rFonts w:hint="eastAsia"/>
        </w:rPr>
        <w:t>的人得到报酬和社会保障。</w:t>
      </w:r>
    </w:p>
    <w:p w14:paraId="608018A0" w14:textId="77777777" w:rsidR="00C22874" w:rsidRPr="00476921" w:rsidRDefault="00C22874" w:rsidP="00C22874">
      <w:pPr>
        <w:pStyle w:val="SingleTxt"/>
      </w:pPr>
      <w:r w:rsidRPr="00476921">
        <w:rPr>
          <w:rFonts w:hint="eastAsia"/>
        </w:rPr>
        <w:t>62.</w:t>
      </w:r>
      <w:r w:rsidRPr="00476921">
        <w:rPr>
          <w:rFonts w:hint="eastAsia"/>
        </w:rPr>
        <w:tab/>
      </w:r>
      <w:r w:rsidRPr="00476921">
        <w:rPr>
          <w:rFonts w:eastAsia="黑体" w:hint="eastAsia"/>
        </w:rPr>
        <w:t>委员会回顾关于农村妇女权利的第</w:t>
      </w:r>
      <w:r w:rsidRPr="00476921">
        <w:rPr>
          <w:rFonts w:eastAsia="黑体" w:hint="eastAsia"/>
        </w:rPr>
        <w:t>34</w:t>
      </w:r>
      <w:r w:rsidRPr="00476921">
        <w:rPr>
          <w:rFonts w:eastAsia="黑体" w:hint="eastAsia"/>
        </w:rPr>
        <w:t>号一般性建议</w:t>
      </w:r>
      <w:r w:rsidRPr="00476921">
        <w:rPr>
          <w:rFonts w:eastAsia="黑体" w:hint="eastAsia"/>
        </w:rPr>
        <w:t>(2016</w:t>
      </w:r>
      <w:r w:rsidRPr="00476921">
        <w:rPr>
          <w:rFonts w:eastAsia="黑体" w:hint="eastAsia"/>
        </w:rPr>
        <w:t>年</w:t>
      </w:r>
      <w:r w:rsidRPr="00476921">
        <w:rPr>
          <w:rFonts w:eastAsia="黑体" w:hint="eastAsia"/>
        </w:rPr>
        <w:t>)</w:t>
      </w:r>
      <w:r w:rsidRPr="00476921">
        <w:rPr>
          <w:rFonts w:eastAsia="黑体" w:hint="eastAsia"/>
        </w:rPr>
        <w:t>，建议缔约国将社会保障覆盖范围扩大到所有女农民和在农场工作的妇女的家庭成员，并建议她们在离婚时对农场产生的资产享有平等权利。</w:t>
      </w:r>
    </w:p>
    <w:p w14:paraId="2D3DA24B"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罗姆妇女</w:t>
      </w:r>
    </w:p>
    <w:p w14:paraId="3087EDDD" w14:textId="77777777" w:rsidR="00C22874" w:rsidRPr="00476921" w:rsidRDefault="00C22874" w:rsidP="00C22874">
      <w:pPr>
        <w:pStyle w:val="SingleTxt"/>
      </w:pPr>
      <w:r w:rsidRPr="00476921">
        <w:rPr>
          <w:rFonts w:hint="eastAsia"/>
        </w:rPr>
        <w:t>63.</w:t>
      </w:r>
      <w:r w:rsidRPr="00476921">
        <w:rPr>
          <w:rFonts w:hint="eastAsia"/>
        </w:rPr>
        <w:tab/>
      </w:r>
      <w:r w:rsidRPr="00476921">
        <w:rPr>
          <w:rFonts w:hint="eastAsia"/>
        </w:rPr>
        <w:t>委员会欢迎为加强罗姆妇女融入社会而采取的措施。然而委员会关切地注意到，她们在生活的各个领域继续面临交叉形式的歧视。</w:t>
      </w:r>
    </w:p>
    <w:p w14:paraId="69BD1039" w14:textId="77777777" w:rsidR="00C22874" w:rsidRPr="00476921" w:rsidRDefault="00C22874" w:rsidP="00C22874">
      <w:pPr>
        <w:pStyle w:val="SingleTxt"/>
      </w:pPr>
      <w:r w:rsidRPr="00476921">
        <w:rPr>
          <w:rFonts w:hint="eastAsia"/>
        </w:rPr>
        <w:t>64.</w:t>
      </w:r>
      <w:r w:rsidRPr="00476921">
        <w:rPr>
          <w:rFonts w:hint="eastAsia"/>
        </w:rPr>
        <w:tab/>
      </w:r>
      <w:r w:rsidRPr="00476921">
        <w:rPr>
          <w:rFonts w:eastAsia="黑体" w:hint="eastAsia"/>
        </w:rPr>
        <w:t>委员会建议缔约国加强措施，使罗姆妇女融入社会，解决她们的边缘化问题以及对她们的交叉形式歧视。</w:t>
      </w:r>
    </w:p>
    <w:p w14:paraId="15244BDA"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婚姻和家庭关系</w:t>
      </w:r>
    </w:p>
    <w:p w14:paraId="2C7EA850" w14:textId="77777777" w:rsidR="00C22874" w:rsidRPr="00476921" w:rsidRDefault="00C22874" w:rsidP="00C22874">
      <w:pPr>
        <w:pStyle w:val="SingleTxt"/>
      </w:pPr>
      <w:r w:rsidRPr="00476921">
        <w:rPr>
          <w:rFonts w:hint="eastAsia"/>
        </w:rPr>
        <w:t>65.</w:t>
      </w:r>
      <w:r w:rsidRPr="00476921">
        <w:rPr>
          <w:rFonts w:hint="eastAsia"/>
        </w:rPr>
        <w:tab/>
      </w:r>
      <w:r w:rsidRPr="00476921">
        <w:rPr>
          <w:rFonts w:hint="eastAsia"/>
        </w:rPr>
        <w:t>委员会关切地注意到，现行的已婚夫妇共同纳税制度常常导致低工资者</w:t>
      </w:r>
      <w:r w:rsidRPr="00476921">
        <w:rPr>
          <w:rFonts w:hint="eastAsia"/>
        </w:rPr>
        <w:t>(</w:t>
      </w:r>
      <w:r w:rsidRPr="00476921">
        <w:rPr>
          <w:rFonts w:hint="eastAsia"/>
        </w:rPr>
        <w:t>往往是妇女</w:t>
      </w:r>
      <w:r w:rsidRPr="00476921">
        <w:rPr>
          <w:rFonts w:hint="eastAsia"/>
        </w:rPr>
        <w:t>)</w:t>
      </w:r>
      <w:r w:rsidRPr="00476921">
        <w:rPr>
          <w:rFonts w:hint="eastAsia"/>
        </w:rPr>
        <w:t>减少工作时间，甚至放弃工作，以节省税款。委员会还关切地注意到，离婚或分居的妇女往往面临不利的经济后果，因为许多妇女在经济上依赖其伴侣，四分之一的单身母亲依赖社会福利，近三分之二的社会福利领取者是妇女。</w:t>
      </w:r>
    </w:p>
    <w:p w14:paraId="120BCECC" w14:textId="77777777" w:rsidR="00C22874" w:rsidRPr="00476921" w:rsidRDefault="00C22874" w:rsidP="00C22874">
      <w:pPr>
        <w:pStyle w:val="SingleTxt"/>
      </w:pPr>
      <w:r w:rsidRPr="00476921">
        <w:rPr>
          <w:rFonts w:hint="eastAsia"/>
        </w:rPr>
        <w:t>66.</w:t>
      </w:r>
      <w:r w:rsidRPr="00476921">
        <w:rPr>
          <w:rFonts w:hint="eastAsia"/>
        </w:rPr>
        <w:tab/>
      </w:r>
      <w:r w:rsidRPr="00476921">
        <w:rPr>
          <w:rFonts w:eastAsia="黑体" w:hint="eastAsia"/>
        </w:rPr>
        <w:t>委员会回顾关于婚姻、家庭关系及其解除的经济后果的第二十九号一般性建议</w:t>
      </w:r>
      <w:r w:rsidRPr="00476921">
        <w:rPr>
          <w:rFonts w:eastAsia="黑体" w:hint="eastAsia"/>
        </w:rPr>
        <w:t>(2013</w:t>
      </w:r>
      <w:r w:rsidRPr="00476921">
        <w:rPr>
          <w:rFonts w:eastAsia="黑体" w:hint="eastAsia"/>
        </w:rPr>
        <w:t>年</w:t>
      </w:r>
      <w:r w:rsidRPr="00476921">
        <w:rPr>
          <w:rFonts w:eastAsia="黑体" w:hint="eastAsia"/>
        </w:rPr>
        <w:t>)</w:t>
      </w:r>
      <w:r w:rsidRPr="00476921">
        <w:rPr>
          <w:rFonts w:eastAsia="黑体" w:hint="eastAsia"/>
        </w:rPr>
        <w:t>，建议缔约国：</w:t>
      </w:r>
    </w:p>
    <w:p w14:paraId="6A091165" w14:textId="475ABA95" w:rsidR="00C22874" w:rsidRPr="00476921" w:rsidRDefault="008C5F80" w:rsidP="00C22874">
      <w:pPr>
        <w:pStyle w:val="SingleTxt"/>
      </w:pPr>
      <w:r w:rsidRPr="00476921">
        <w:tab/>
      </w:r>
      <w:r w:rsidR="00C22874" w:rsidRPr="00476921">
        <w:rPr>
          <w:rFonts w:hint="eastAsia"/>
        </w:rPr>
        <w:t>(a)</w:t>
      </w:r>
      <w:r w:rsidR="00C22874" w:rsidRPr="00476921">
        <w:rPr>
          <w:rFonts w:hint="eastAsia"/>
        </w:rPr>
        <w:tab/>
      </w:r>
      <w:r w:rsidR="00C22874" w:rsidRPr="00476921">
        <w:rPr>
          <w:rFonts w:eastAsia="黑体" w:hint="eastAsia"/>
        </w:rPr>
        <w:t>采用目前正在讨论的个人税收制度；</w:t>
      </w:r>
    </w:p>
    <w:p w14:paraId="78ED2CC0" w14:textId="7EB4C19D" w:rsidR="00C22874" w:rsidRPr="00476921" w:rsidRDefault="008C5F80" w:rsidP="00C22874">
      <w:pPr>
        <w:pStyle w:val="SingleTxt"/>
      </w:pPr>
      <w:r w:rsidRPr="00476921">
        <w:tab/>
      </w:r>
      <w:r w:rsidR="00C22874" w:rsidRPr="00476921">
        <w:rPr>
          <w:rFonts w:hint="eastAsia"/>
        </w:rPr>
        <w:t>(b)</w:t>
      </w:r>
      <w:r w:rsidR="00C22874" w:rsidRPr="00476921">
        <w:rPr>
          <w:rFonts w:hint="eastAsia"/>
        </w:rPr>
        <w:tab/>
      </w:r>
      <w:r w:rsidR="00C22874" w:rsidRPr="00476921">
        <w:rPr>
          <w:rFonts w:eastAsia="黑体" w:hint="eastAsia"/>
        </w:rPr>
        <w:t>通过加强妇女的经济独立性、强制履行赡养费和子女抚养义务、增加单身母亲和离婚后贫困妇女的社会福利，解决妇女经济贫困和依赖的不同根源。</w:t>
      </w:r>
    </w:p>
    <w:p w14:paraId="3DDAB284" w14:textId="77777777" w:rsidR="00C22874" w:rsidRPr="00476921" w:rsidRDefault="00C22874" w:rsidP="00C22874">
      <w:pPr>
        <w:pStyle w:val="SingleTxt"/>
      </w:pPr>
      <w:r w:rsidRPr="00476921">
        <w:rPr>
          <w:rFonts w:hint="eastAsia"/>
        </w:rPr>
        <w:t>67.</w:t>
      </w:r>
      <w:r w:rsidRPr="00476921">
        <w:rPr>
          <w:rFonts w:hint="eastAsia"/>
        </w:rPr>
        <w:tab/>
      </w:r>
      <w:r w:rsidRPr="00476921">
        <w:rPr>
          <w:rFonts w:hint="eastAsia"/>
        </w:rPr>
        <w:t>委员会关切地注意到，虽然法定结婚年龄为</w:t>
      </w:r>
      <w:r w:rsidRPr="00476921">
        <w:rPr>
          <w:rFonts w:hint="eastAsia"/>
        </w:rPr>
        <w:t>18</w:t>
      </w:r>
      <w:r w:rsidRPr="00476921">
        <w:rPr>
          <w:rFonts w:hint="eastAsia"/>
        </w:rPr>
        <w:t>岁，但考虑到儿童的最大利益，</w:t>
      </w:r>
      <w:r w:rsidRPr="00476921">
        <w:rPr>
          <w:rFonts w:hint="eastAsia"/>
        </w:rPr>
        <w:t>16</w:t>
      </w:r>
      <w:r w:rsidRPr="00476921">
        <w:rPr>
          <w:rFonts w:hint="eastAsia"/>
        </w:rPr>
        <w:t>岁童婚作为例外情况被允许。</w:t>
      </w:r>
    </w:p>
    <w:p w14:paraId="09FF5A08" w14:textId="77777777" w:rsidR="00C22874" w:rsidRPr="00476921" w:rsidRDefault="00C22874" w:rsidP="00C22874">
      <w:pPr>
        <w:pStyle w:val="SingleTxt"/>
      </w:pPr>
      <w:r w:rsidRPr="00476921">
        <w:rPr>
          <w:rFonts w:hint="eastAsia"/>
        </w:rPr>
        <w:t>68.</w:t>
      </w:r>
      <w:r w:rsidRPr="00476921">
        <w:rPr>
          <w:rFonts w:hint="eastAsia"/>
        </w:rPr>
        <w:tab/>
      </w:r>
      <w:r w:rsidRPr="00476921">
        <w:rPr>
          <w:rFonts w:eastAsia="黑体" w:hint="eastAsia"/>
        </w:rPr>
        <w:t>委员会回顾消除对妇女歧视委员会第</w:t>
      </w:r>
      <w:r w:rsidRPr="00476921">
        <w:rPr>
          <w:rFonts w:eastAsia="黑体" w:hint="eastAsia"/>
        </w:rPr>
        <w:t>31</w:t>
      </w:r>
      <w:r w:rsidRPr="00476921">
        <w:rPr>
          <w:rFonts w:eastAsia="黑体" w:hint="eastAsia"/>
        </w:rPr>
        <w:t>号一般性建议和儿童权利委员会第</w:t>
      </w:r>
      <w:r w:rsidRPr="00476921">
        <w:rPr>
          <w:rFonts w:eastAsia="黑体" w:hint="eastAsia"/>
        </w:rPr>
        <w:t>18</w:t>
      </w:r>
      <w:r w:rsidRPr="00476921">
        <w:rPr>
          <w:rFonts w:eastAsia="黑体" w:hint="eastAsia"/>
        </w:rPr>
        <w:t>号联合一般性意见</w:t>
      </w:r>
      <w:r w:rsidRPr="00476921">
        <w:rPr>
          <w:rFonts w:eastAsia="黑体" w:hint="eastAsia"/>
        </w:rPr>
        <w:t>(2019</w:t>
      </w:r>
      <w:r w:rsidRPr="00476921">
        <w:rPr>
          <w:rFonts w:eastAsia="黑体" w:hint="eastAsia"/>
        </w:rPr>
        <w:t>年</w:t>
      </w:r>
      <w:r w:rsidRPr="00476921">
        <w:rPr>
          <w:rFonts w:eastAsia="黑体" w:hint="eastAsia"/>
        </w:rPr>
        <w:t>)</w:t>
      </w:r>
      <w:r w:rsidRPr="00476921">
        <w:rPr>
          <w:rFonts w:eastAsia="黑体" w:hint="eastAsia"/>
        </w:rPr>
        <w:t>，建议缔约国修订这一规定，废除男女法定最低结婚年龄</w:t>
      </w:r>
      <w:r w:rsidRPr="00476921">
        <w:rPr>
          <w:rFonts w:eastAsia="黑体" w:hint="eastAsia"/>
        </w:rPr>
        <w:t>18</w:t>
      </w:r>
      <w:r w:rsidRPr="00476921">
        <w:rPr>
          <w:rFonts w:eastAsia="黑体" w:hint="eastAsia"/>
        </w:rPr>
        <w:t>岁以外的所有例外情况。</w:t>
      </w:r>
    </w:p>
    <w:p w14:paraId="242DA3D9"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《北京宣言》和《行动纲要》</w:t>
      </w:r>
    </w:p>
    <w:p w14:paraId="05F3857E" w14:textId="77777777" w:rsidR="00C22874" w:rsidRPr="00476921" w:rsidRDefault="00C22874" w:rsidP="00C22874">
      <w:pPr>
        <w:pStyle w:val="SingleTxt"/>
      </w:pPr>
      <w:r w:rsidRPr="00476921">
        <w:rPr>
          <w:rFonts w:hint="eastAsia"/>
        </w:rPr>
        <w:t>69.</w:t>
      </w:r>
      <w:r w:rsidRPr="00476921">
        <w:rPr>
          <w:rFonts w:hint="eastAsia"/>
        </w:rPr>
        <w:tab/>
      </w:r>
      <w:r w:rsidRPr="00476921">
        <w:rPr>
          <w:rFonts w:eastAsia="黑体" w:hint="eastAsia"/>
        </w:rPr>
        <w:t>委员会呼吁缔约国运用《北京宣言》和《行动纲要》，在关于《北京宣言》和《行动纲要》二十五周年审查的背景下，进一步评估《公约》庄严载列的各项权利的落实情况，以实现女男实质平等。</w:t>
      </w:r>
    </w:p>
    <w:p w14:paraId="6A54D517"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传播</w:t>
      </w:r>
    </w:p>
    <w:p w14:paraId="537FB489" w14:textId="66165AF8" w:rsidR="00C22874" w:rsidRPr="00476921" w:rsidRDefault="00C22874" w:rsidP="00C22874">
      <w:pPr>
        <w:pStyle w:val="SingleTxt"/>
      </w:pPr>
      <w:r w:rsidRPr="00476921">
        <w:rPr>
          <w:rFonts w:hint="eastAsia"/>
        </w:rPr>
        <w:t>70.</w:t>
      </w:r>
      <w:r w:rsidRPr="00476921">
        <w:rPr>
          <w:rFonts w:hint="eastAsia"/>
        </w:rPr>
        <w:tab/>
      </w:r>
      <w:r w:rsidRPr="00476921">
        <w:rPr>
          <w:rFonts w:eastAsia="黑体" w:hint="eastAsia"/>
        </w:rPr>
        <w:t>委员会请缔约国确保以缔约国官方语文向</w:t>
      </w:r>
      <w:r w:rsidRPr="00476921">
        <w:rPr>
          <w:rFonts w:eastAsia="黑体" w:hint="eastAsia"/>
        </w:rPr>
        <w:t>(</w:t>
      </w:r>
      <w:r w:rsidRPr="00476921">
        <w:rPr>
          <w:rFonts w:eastAsia="黑体" w:hint="eastAsia"/>
        </w:rPr>
        <w:t>国家、地区和地方</w:t>
      </w:r>
      <w:r w:rsidRPr="00476921">
        <w:rPr>
          <w:rFonts w:eastAsia="黑体" w:hint="eastAsia"/>
        </w:rPr>
        <w:t>)</w:t>
      </w:r>
      <w:r w:rsidRPr="00476921">
        <w:rPr>
          <w:rFonts w:eastAsia="黑体" w:hint="eastAsia"/>
        </w:rPr>
        <w:t>各级相关国家机构，尤其是向政府、</w:t>
      </w:r>
      <w:r w:rsidR="009D1D80">
        <w:rPr>
          <w:rFonts w:eastAsia="黑体" w:hint="eastAsia"/>
        </w:rPr>
        <w:t>联邦委员会、各部、联邦</w:t>
      </w:r>
      <w:r w:rsidRPr="00476921">
        <w:rPr>
          <w:rFonts w:eastAsia="黑体" w:hint="eastAsia"/>
        </w:rPr>
        <w:t>议会和司法机构，及时传播本结论性意见，使之得到充分落实。</w:t>
      </w:r>
    </w:p>
    <w:p w14:paraId="653DDC29"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批准其他条约</w:t>
      </w:r>
    </w:p>
    <w:p w14:paraId="1133FC6B" w14:textId="77777777" w:rsidR="00C22874" w:rsidRPr="00476921" w:rsidRDefault="00C22874" w:rsidP="00C22874">
      <w:pPr>
        <w:pStyle w:val="SingleTxt"/>
      </w:pPr>
      <w:r w:rsidRPr="00476921">
        <w:rPr>
          <w:rFonts w:hint="eastAsia"/>
        </w:rPr>
        <w:t>71.</w:t>
      </w:r>
      <w:r w:rsidRPr="00476921">
        <w:rPr>
          <w:rFonts w:hint="eastAsia"/>
        </w:rPr>
        <w:tab/>
      </w:r>
      <w:r w:rsidRPr="00476921">
        <w:rPr>
          <w:rFonts w:eastAsia="黑体" w:hint="eastAsia"/>
        </w:rPr>
        <w:t>委员会指出，缔约国如能加入九项主要国际人权文书，将会促进妇女在生活各个方面享受人权和基本自由。因此，委员会鼓励缔约国批准其尚未加入的《保护所有移徙工人及其家庭成员权利国际公约》。</w:t>
      </w:r>
    </w:p>
    <w:p w14:paraId="12676173"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结论性意见的后续行动</w:t>
      </w:r>
    </w:p>
    <w:p w14:paraId="231244AF" w14:textId="660D5E38" w:rsidR="001B30EF" w:rsidRDefault="00C22874" w:rsidP="00C22874">
      <w:pPr>
        <w:pStyle w:val="SingleTxt"/>
        <w:rPr>
          <w:rFonts w:eastAsia="黑体"/>
        </w:rPr>
      </w:pPr>
      <w:r w:rsidRPr="00476921">
        <w:rPr>
          <w:rFonts w:hint="eastAsia"/>
        </w:rPr>
        <w:t>72.</w:t>
      </w:r>
      <w:r w:rsidRPr="00476921">
        <w:rPr>
          <w:rFonts w:hint="eastAsia"/>
        </w:rPr>
        <w:tab/>
      </w:r>
      <w:r w:rsidRPr="00476921">
        <w:rPr>
          <w:rFonts w:eastAsia="黑体" w:hint="eastAsia"/>
        </w:rPr>
        <w:t>委员会请缔约国在两年内提供书面资料，说明为执行上文第</w:t>
      </w:r>
      <w:r w:rsidRPr="00476921">
        <w:rPr>
          <w:rFonts w:eastAsia="黑体" w:hint="eastAsia"/>
        </w:rPr>
        <w:t>16(a)</w:t>
      </w:r>
      <w:r w:rsidRPr="00476921">
        <w:rPr>
          <w:rFonts w:eastAsia="黑体" w:hint="eastAsia"/>
        </w:rPr>
        <w:t>、</w:t>
      </w:r>
      <w:r w:rsidRPr="00476921">
        <w:rPr>
          <w:rFonts w:eastAsia="黑体" w:hint="eastAsia"/>
        </w:rPr>
        <w:t>32(a)</w:t>
      </w:r>
      <w:r w:rsidRPr="00476921">
        <w:rPr>
          <w:rFonts w:eastAsia="黑体" w:hint="eastAsia"/>
        </w:rPr>
        <w:t>、</w:t>
      </w:r>
      <w:r w:rsidRPr="00476921">
        <w:rPr>
          <w:rFonts w:eastAsia="黑体" w:hint="eastAsia"/>
        </w:rPr>
        <w:t>42(d)</w:t>
      </w:r>
      <w:r w:rsidRPr="00476921">
        <w:rPr>
          <w:rFonts w:eastAsia="黑体" w:hint="eastAsia"/>
        </w:rPr>
        <w:t>和</w:t>
      </w:r>
      <w:r w:rsidRPr="00476921">
        <w:rPr>
          <w:rFonts w:eastAsia="黑体" w:hint="eastAsia"/>
        </w:rPr>
        <w:t>42(f)</w:t>
      </w:r>
      <w:r w:rsidRPr="00476921">
        <w:rPr>
          <w:rFonts w:eastAsia="黑体" w:hint="eastAsia"/>
        </w:rPr>
        <w:t>段所载建议而采取的步骤。</w:t>
      </w:r>
    </w:p>
    <w:p w14:paraId="29E477AA" w14:textId="77777777" w:rsidR="001B30EF" w:rsidRDefault="001B30EF">
      <w:pPr>
        <w:spacing w:line="240" w:lineRule="auto"/>
        <w:jc w:val="left"/>
        <w:rPr>
          <w:rFonts w:eastAsia="黑体"/>
        </w:rPr>
      </w:pPr>
      <w:r>
        <w:rPr>
          <w:rFonts w:eastAsia="黑体"/>
        </w:rPr>
        <w:br w:type="page"/>
      </w:r>
    </w:p>
    <w:p w14:paraId="0EE1A121" w14:textId="77777777" w:rsidR="00C22874" w:rsidRPr="00476921" w:rsidRDefault="00C22874" w:rsidP="008C5F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476921">
        <w:rPr>
          <w:rFonts w:hint="eastAsia"/>
        </w:rPr>
        <w:tab/>
      </w:r>
      <w:r w:rsidRPr="00476921">
        <w:rPr>
          <w:rFonts w:hint="eastAsia"/>
        </w:rPr>
        <w:tab/>
      </w:r>
      <w:r w:rsidRPr="00476921">
        <w:rPr>
          <w:rFonts w:hint="eastAsia"/>
        </w:rPr>
        <w:t>编写下次报告</w:t>
      </w:r>
    </w:p>
    <w:p w14:paraId="00EF2145" w14:textId="77777777" w:rsidR="00C22874" w:rsidRPr="00476921" w:rsidRDefault="00C22874" w:rsidP="00C22874">
      <w:pPr>
        <w:pStyle w:val="SingleTxt"/>
      </w:pPr>
      <w:r w:rsidRPr="00476921">
        <w:rPr>
          <w:rFonts w:hint="eastAsia"/>
        </w:rPr>
        <w:t>73.</w:t>
      </w:r>
      <w:r w:rsidRPr="00476921">
        <w:rPr>
          <w:rFonts w:hint="eastAsia"/>
        </w:rPr>
        <w:tab/>
      </w:r>
      <w:r w:rsidRPr="00476921">
        <w:rPr>
          <w:rFonts w:eastAsia="黑体" w:hint="eastAsia"/>
        </w:rPr>
        <w:t>委员会将根据今后可预测的报告日历，在八年审议周期基础上，并在通过缔约国报告前议题和问题清单之后，酌情确定和通报缔约国第七次定期报告的到期日期。报告应涵盖截至提交之时的整个时期。</w:t>
      </w:r>
    </w:p>
    <w:p w14:paraId="70DC02F8" w14:textId="7A89EFAA" w:rsidR="00C22874" w:rsidRPr="00476921" w:rsidRDefault="00C22874" w:rsidP="00C22874">
      <w:pPr>
        <w:pStyle w:val="SingleTxt"/>
      </w:pPr>
      <w:r w:rsidRPr="00476921">
        <w:rPr>
          <w:rFonts w:hint="eastAsia"/>
        </w:rPr>
        <w:t>74.</w:t>
      </w:r>
      <w:r w:rsidRPr="00476921">
        <w:rPr>
          <w:rFonts w:hint="eastAsia"/>
        </w:rPr>
        <w:tab/>
      </w:r>
      <w:r w:rsidRPr="00476921">
        <w:rPr>
          <w:rFonts w:eastAsia="黑体" w:hint="eastAsia"/>
        </w:rPr>
        <w:t>委员会请缔约国遵守《包括共同核心文件和条约专要文件准则在内的根据国际人权条约提交报告的协调准则》</w:t>
      </w:r>
      <w:r w:rsidRPr="00476921">
        <w:rPr>
          <w:rFonts w:eastAsia="黑体" w:hint="eastAsia"/>
        </w:rPr>
        <w:t>(</w:t>
      </w:r>
      <w:hyperlink r:id="rId36" w:history="1">
        <w:r w:rsidRPr="00476921">
          <w:rPr>
            <w:rStyle w:val="af4"/>
            <w:rFonts w:eastAsia="黑体" w:hint="eastAsia"/>
          </w:rPr>
          <w:t>HRI/GEN/2/Rev.6</w:t>
        </w:r>
      </w:hyperlink>
      <w:r w:rsidRPr="00476921">
        <w:rPr>
          <w:rFonts w:eastAsia="黑体" w:hint="eastAsia"/>
        </w:rPr>
        <w:t>，第一章</w:t>
      </w:r>
      <w:r w:rsidRPr="00476921">
        <w:rPr>
          <w:rFonts w:eastAsia="黑体" w:hint="eastAsia"/>
        </w:rPr>
        <w:t>)</w:t>
      </w:r>
      <w:r w:rsidRPr="00476921">
        <w:rPr>
          <w:rFonts w:eastAsia="黑体" w:hint="eastAsia"/>
        </w:rPr>
        <w:t>。</w:t>
      </w:r>
    </w:p>
    <w:p w14:paraId="043AA4EE" w14:textId="542C0B71" w:rsidR="000E481F" w:rsidRPr="00476921" w:rsidRDefault="00C22874" w:rsidP="00C22874">
      <w:pPr>
        <w:pStyle w:val="SingleTxt"/>
        <w:spacing w:after="0" w:line="240" w:lineRule="auto"/>
        <w:rPr>
          <w:sz w:val="20"/>
        </w:rPr>
      </w:pPr>
      <w:r w:rsidRPr="00476921">
        <w:rPr>
          <w:noProof/>
          <w:sz w:val="20"/>
        </w:rPr>
        <mc:AlternateContent>
          <mc:Choice Requires="wps">
            <w:drawing>
              <wp:anchor distT="0" distB="0" distL="114300" distR="114300" simplePos="0" relativeHeight="251659264" behindDoc="0" locked="0" layoutInCell="1" allowOverlap="1" wp14:anchorId="38BFC172" wp14:editId="7C679E31">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7CFD17B1"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p w14:paraId="04979F68" w14:textId="77777777" w:rsidR="00C22874" w:rsidRPr="00476921" w:rsidRDefault="00C22874" w:rsidP="0073655F">
      <w:pPr>
        <w:pStyle w:val="SingleTxt"/>
      </w:pPr>
    </w:p>
    <w:sectPr w:rsidR="00C22874" w:rsidRPr="00476921" w:rsidSect="006F3562">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7T15:52:00Z" w:initials="Start">
    <w:p w14:paraId="20CA8FA3" w14:textId="77777777" w:rsidR="0073655F" w:rsidRDefault="0073655F">
      <w:pPr>
        <w:pStyle w:val="a9"/>
      </w:pPr>
      <w:r>
        <w:rPr>
          <w:rStyle w:val="ad"/>
        </w:rPr>
        <w:annotationRef/>
      </w:r>
      <w:r>
        <w:t>&lt;&lt;ODS JOB NO&gt;&gt;N2266575C&lt;&lt;ODS JOB NO&gt;&gt;</w:t>
      </w:r>
    </w:p>
    <w:p w14:paraId="77E9E8FC" w14:textId="77777777" w:rsidR="0073655F" w:rsidRDefault="0073655F">
      <w:pPr>
        <w:pStyle w:val="a9"/>
      </w:pPr>
      <w:r>
        <w:t>&lt;&lt;ODS DOC SYMBOL1&gt;&gt;CEDAW/C/CHE/CO/6&lt;&lt;ODS DOC SYMBOL1&gt;&gt;</w:t>
      </w:r>
    </w:p>
    <w:p w14:paraId="055C6704" w14:textId="639C0142" w:rsidR="0073655F" w:rsidRDefault="0073655F">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5C670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0D727" w16cex:dateUtc="2022-11-17T20: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5C6704" w16cid:durableId="2720D7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7945F" w14:textId="77777777" w:rsidR="00F1275D" w:rsidRDefault="00F1275D">
      <w:r>
        <w:separator/>
      </w:r>
    </w:p>
  </w:endnote>
  <w:endnote w:type="continuationSeparator" w:id="0">
    <w:p w14:paraId="6190698C" w14:textId="77777777" w:rsidR="00F1275D" w:rsidRDefault="00F12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73655F" w14:paraId="04C936F0" w14:textId="77777777" w:rsidTr="0073655F">
      <w:tc>
        <w:tcPr>
          <w:tcW w:w="4921" w:type="dxa"/>
          <w:shd w:val="clear" w:color="auto" w:fill="auto"/>
        </w:tcPr>
        <w:p w14:paraId="4045260E" w14:textId="186E3C53" w:rsidR="0073655F" w:rsidRPr="0073655F" w:rsidRDefault="0073655F" w:rsidP="0073655F">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226B">
            <w:rPr>
              <w:b w:val="0"/>
              <w:w w:val="103"/>
              <w:sz w:val="14"/>
            </w:rPr>
            <w:t>22-24503</w:t>
          </w:r>
          <w:r>
            <w:rPr>
              <w:b w:val="0"/>
              <w:w w:val="103"/>
              <w:sz w:val="14"/>
            </w:rPr>
            <w:fldChar w:fldCharType="end"/>
          </w:r>
        </w:p>
      </w:tc>
      <w:tc>
        <w:tcPr>
          <w:tcW w:w="4921" w:type="dxa"/>
          <w:shd w:val="clear" w:color="auto" w:fill="auto"/>
        </w:tcPr>
        <w:p w14:paraId="37D1C040" w14:textId="45A988C6" w:rsidR="0073655F" w:rsidRPr="0073655F" w:rsidRDefault="0073655F" w:rsidP="0073655F">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2680B0F" w14:textId="77777777" w:rsidR="0073655F" w:rsidRPr="0073655F" w:rsidRDefault="0073655F" w:rsidP="0073655F">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73655F" w14:paraId="18F2364A" w14:textId="77777777" w:rsidTr="0073655F">
      <w:tc>
        <w:tcPr>
          <w:tcW w:w="4921" w:type="dxa"/>
          <w:shd w:val="clear" w:color="auto" w:fill="auto"/>
        </w:tcPr>
        <w:p w14:paraId="44AF8DF6" w14:textId="749F8FF3" w:rsidR="0073655F" w:rsidRPr="0073655F" w:rsidRDefault="0073655F" w:rsidP="0073655F">
          <w:pPr>
            <w:pStyle w:val="af2"/>
            <w:jc w:val="right"/>
          </w:pPr>
          <w:r>
            <w:fldChar w:fldCharType="begin"/>
          </w:r>
          <w:r>
            <w:instrText xml:space="preserve"> PAGE  \* Arabic  \* MERGEFORMAT </w:instrText>
          </w:r>
          <w:r>
            <w:fldChar w:fldCharType="separate"/>
          </w:r>
          <w:r>
            <w:t>2</w:t>
          </w:r>
          <w:r>
            <w:fldChar w:fldCharType="end"/>
          </w:r>
          <w:r>
            <w:t>/</w:t>
          </w:r>
          <w:r w:rsidR="0083226B">
            <w:fldChar w:fldCharType="begin"/>
          </w:r>
          <w:r w:rsidR="0083226B">
            <w:instrText xml:space="preserve"> NUMPAGES  \* Arabic  \* MERGEFORMAT </w:instrText>
          </w:r>
          <w:r w:rsidR="0083226B">
            <w:fldChar w:fldCharType="separate"/>
          </w:r>
          <w:r>
            <w:t>4</w:t>
          </w:r>
          <w:r w:rsidR="0083226B">
            <w:fldChar w:fldCharType="end"/>
          </w:r>
        </w:p>
      </w:tc>
      <w:tc>
        <w:tcPr>
          <w:tcW w:w="4921" w:type="dxa"/>
          <w:shd w:val="clear" w:color="auto" w:fill="auto"/>
        </w:tcPr>
        <w:p w14:paraId="1DE5EE43" w14:textId="02C20BA1" w:rsidR="0073655F" w:rsidRPr="0073655F" w:rsidRDefault="0073655F" w:rsidP="0073655F">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226B">
            <w:rPr>
              <w:b w:val="0"/>
              <w:w w:val="103"/>
              <w:sz w:val="14"/>
            </w:rPr>
            <w:t>22-24503</w:t>
          </w:r>
          <w:r>
            <w:rPr>
              <w:b w:val="0"/>
              <w:w w:val="103"/>
              <w:sz w:val="14"/>
            </w:rPr>
            <w:fldChar w:fldCharType="end"/>
          </w:r>
        </w:p>
      </w:tc>
    </w:tr>
  </w:tbl>
  <w:p w14:paraId="25A257D2" w14:textId="77777777" w:rsidR="0073655F" w:rsidRPr="0073655F" w:rsidRDefault="0073655F" w:rsidP="0073655F">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73655F" w14:paraId="28FAEBAD" w14:textId="77777777" w:rsidTr="0073655F">
      <w:tc>
        <w:tcPr>
          <w:tcW w:w="3744" w:type="dxa"/>
          <w:shd w:val="clear" w:color="auto" w:fill="auto"/>
        </w:tcPr>
        <w:p w14:paraId="39B25CC9" w14:textId="126F079D" w:rsidR="0073655F" w:rsidRDefault="0073655F" w:rsidP="0073655F">
          <w:pPr>
            <w:pStyle w:val="Release"/>
          </w:pPr>
          <w:r>
            <w:rPr>
              <w:noProof/>
            </w:rPr>
            <w:drawing>
              <wp:anchor distT="0" distB="0" distL="114300" distR="114300" simplePos="0" relativeHeight="251658240" behindDoc="0" locked="0" layoutInCell="1" allowOverlap="1" wp14:anchorId="36B52F73" wp14:editId="0669F028">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3226B">
            <w:fldChar w:fldCharType="begin"/>
          </w:r>
          <w:r w:rsidR="0083226B">
            <w:instrText xml:space="preserve"> DOCVARIABLE "jobn" \* MERGEFORMAT </w:instrText>
          </w:r>
          <w:r w:rsidR="0083226B">
            <w:fldChar w:fldCharType="separate"/>
          </w:r>
          <w:r w:rsidR="0083226B">
            <w:t>22-24503 (C)</w:t>
          </w:r>
          <w:r w:rsidR="0083226B">
            <w:fldChar w:fldCharType="end"/>
          </w:r>
          <w:r>
            <w:t xml:space="preserve">    171122    </w:t>
          </w:r>
          <w:r w:rsidR="00562118">
            <w:t>28</w:t>
          </w:r>
          <w:r>
            <w:t>1122</w:t>
          </w:r>
        </w:p>
        <w:p w14:paraId="64BD8F1A" w14:textId="0A9E5833" w:rsidR="0073655F" w:rsidRPr="0073655F" w:rsidRDefault="0073655F" w:rsidP="0073655F">
          <w:pPr>
            <w:spacing w:before="80" w:line="210" w:lineRule="exact"/>
            <w:rPr>
              <w:rFonts w:ascii="Barcode 3 of 9 by request" w:hAnsi="Barcode 3 of 9 by request"/>
              <w:sz w:val="24"/>
            </w:rPr>
          </w:pPr>
          <w:r>
            <w:rPr>
              <w:rFonts w:ascii="Barcode 3 of 9 by request" w:hAnsi="Barcode 3 of 9 by request"/>
              <w:b/>
              <w:sz w:val="24"/>
            </w:rPr>
            <w:t>*2224503*</w:t>
          </w:r>
        </w:p>
      </w:tc>
      <w:tc>
        <w:tcPr>
          <w:tcW w:w="4921" w:type="dxa"/>
          <w:shd w:val="clear" w:color="auto" w:fill="auto"/>
        </w:tcPr>
        <w:p w14:paraId="5727B295" w14:textId="5C504216" w:rsidR="0073655F" w:rsidRDefault="0073655F" w:rsidP="0073655F">
          <w:pPr>
            <w:pStyle w:val="af2"/>
            <w:jc w:val="right"/>
            <w:rPr>
              <w:b w:val="0"/>
              <w:sz w:val="21"/>
            </w:rPr>
          </w:pPr>
          <w:r>
            <w:rPr>
              <w:b w:val="0"/>
              <w:sz w:val="21"/>
            </w:rPr>
            <w:drawing>
              <wp:inline distT="0" distB="0" distL="0" distR="0" wp14:anchorId="0E0421A2" wp14:editId="2216B97D">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20E44B7E" w14:textId="77777777" w:rsidR="0073655F" w:rsidRPr="0073655F" w:rsidRDefault="0073655F" w:rsidP="0073655F">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B5E1D" w14:textId="77777777" w:rsidR="00F1275D" w:rsidRDefault="00F1275D">
      <w:r>
        <w:separator/>
      </w:r>
    </w:p>
  </w:footnote>
  <w:footnote w:type="continuationSeparator" w:id="0">
    <w:p w14:paraId="725E18E3" w14:textId="77777777" w:rsidR="00F1275D" w:rsidRDefault="00F127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73655F" w14:paraId="1BF4CED6" w14:textId="77777777" w:rsidTr="0073655F">
      <w:trPr>
        <w:trHeight w:hRule="exact" w:val="864"/>
      </w:trPr>
      <w:tc>
        <w:tcPr>
          <w:tcW w:w="4925" w:type="dxa"/>
          <w:shd w:val="clear" w:color="auto" w:fill="auto"/>
          <w:vAlign w:val="bottom"/>
        </w:tcPr>
        <w:p w14:paraId="7DFDAAD2" w14:textId="50C72A57" w:rsidR="0073655F" w:rsidRPr="0073655F" w:rsidRDefault="0073655F" w:rsidP="0073655F">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3226B">
            <w:rPr>
              <w:b/>
              <w:sz w:val="17"/>
            </w:rPr>
            <w:t>CEDAW/C/CHE/CO/6</w:t>
          </w:r>
          <w:r>
            <w:rPr>
              <w:b/>
              <w:sz w:val="17"/>
            </w:rPr>
            <w:fldChar w:fldCharType="end"/>
          </w:r>
        </w:p>
      </w:tc>
      <w:tc>
        <w:tcPr>
          <w:tcW w:w="4921" w:type="dxa"/>
          <w:shd w:val="clear" w:color="auto" w:fill="auto"/>
          <w:vAlign w:val="bottom"/>
        </w:tcPr>
        <w:p w14:paraId="078F351A" w14:textId="77777777" w:rsidR="0073655F" w:rsidRDefault="0073655F" w:rsidP="0073655F">
          <w:pPr>
            <w:pStyle w:val="af0"/>
          </w:pPr>
        </w:p>
      </w:tc>
    </w:tr>
  </w:tbl>
  <w:p w14:paraId="10EF3914" w14:textId="77777777" w:rsidR="0073655F" w:rsidRPr="0073655F" w:rsidRDefault="0073655F" w:rsidP="0073655F">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73655F" w14:paraId="26F03239" w14:textId="77777777" w:rsidTr="0073655F">
      <w:trPr>
        <w:trHeight w:hRule="exact" w:val="864"/>
      </w:trPr>
      <w:tc>
        <w:tcPr>
          <w:tcW w:w="4925" w:type="dxa"/>
          <w:shd w:val="clear" w:color="auto" w:fill="auto"/>
          <w:vAlign w:val="bottom"/>
        </w:tcPr>
        <w:p w14:paraId="135F65AB" w14:textId="77777777" w:rsidR="0073655F" w:rsidRDefault="0073655F" w:rsidP="0073655F">
          <w:pPr>
            <w:pStyle w:val="af0"/>
          </w:pPr>
        </w:p>
      </w:tc>
      <w:tc>
        <w:tcPr>
          <w:tcW w:w="4921" w:type="dxa"/>
          <w:shd w:val="clear" w:color="auto" w:fill="auto"/>
          <w:vAlign w:val="bottom"/>
        </w:tcPr>
        <w:p w14:paraId="4DCC0532" w14:textId="18CA0A61" w:rsidR="0073655F" w:rsidRPr="0073655F" w:rsidRDefault="0073655F" w:rsidP="0073655F">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3226B">
            <w:rPr>
              <w:b/>
              <w:sz w:val="17"/>
            </w:rPr>
            <w:t>CEDAW/C/CHE/CO/6</w:t>
          </w:r>
          <w:r>
            <w:rPr>
              <w:b/>
              <w:sz w:val="17"/>
            </w:rPr>
            <w:fldChar w:fldCharType="end"/>
          </w:r>
        </w:p>
      </w:tc>
    </w:tr>
  </w:tbl>
  <w:p w14:paraId="22852DD5" w14:textId="77777777" w:rsidR="0073655F" w:rsidRPr="0073655F" w:rsidRDefault="0073655F" w:rsidP="0073655F">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3655F" w14:paraId="1C79A79D" w14:textId="77777777" w:rsidTr="0073655F">
      <w:trPr>
        <w:trHeight w:hRule="exact" w:val="864"/>
      </w:trPr>
      <w:tc>
        <w:tcPr>
          <w:tcW w:w="1267" w:type="dxa"/>
          <w:tcBorders>
            <w:bottom w:val="single" w:sz="4" w:space="0" w:color="auto"/>
          </w:tcBorders>
          <w:shd w:val="clear" w:color="auto" w:fill="auto"/>
          <w:vAlign w:val="bottom"/>
        </w:tcPr>
        <w:p w14:paraId="2397A538" w14:textId="77777777" w:rsidR="0073655F" w:rsidRDefault="0073655F" w:rsidP="0073655F">
          <w:pPr>
            <w:pStyle w:val="af0"/>
            <w:spacing w:after="120"/>
          </w:pPr>
        </w:p>
      </w:tc>
      <w:tc>
        <w:tcPr>
          <w:tcW w:w="1872" w:type="dxa"/>
          <w:tcBorders>
            <w:bottom w:val="single" w:sz="4" w:space="0" w:color="auto"/>
          </w:tcBorders>
          <w:shd w:val="clear" w:color="auto" w:fill="auto"/>
          <w:vAlign w:val="bottom"/>
        </w:tcPr>
        <w:p w14:paraId="0BAA2C44" w14:textId="5DDB5F6C" w:rsidR="0073655F" w:rsidRPr="0073655F" w:rsidRDefault="0073655F" w:rsidP="0073655F">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A70D4CB" w14:textId="77777777" w:rsidR="0073655F" w:rsidRDefault="0073655F" w:rsidP="0073655F">
          <w:pPr>
            <w:pStyle w:val="af0"/>
            <w:spacing w:after="120"/>
          </w:pPr>
        </w:p>
      </w:tc>
      <w:tc>
        <w:tcPr>
          <w:tcW w:w="6437" w:type="dxa"/>
          <w:gridSpan w:val="3"/>
          <w:tcBorders>
            <w:bottom w:val="single" w:sz="4" w:space="0" w:color="auto"/>
          </w:tcBorders>
          <w:shd w:val="clear" w:color="auto" w:fill="auto"/>
          <w:vAlign w:val="bottom"/>
        </w:tcPr>
        <w:p w14:paraId="75A02A0A" w14:textId="4E8001F9" w:rsidR="0073655F" w:rsidRPr="0073655F" w:rsidRDefault="0073655F" w:rsidP="0073655F">
          <w:pPr>
            <w:spacing w:after="80" w:line="240" w:lineRule="auto"/>
            <w:jc w:val="right"/>
            <w:rPr>
              <w:position w:val="-4"/>
            </w:rPr>
          </w:pPr>
          <w:r>
            <w:rPr>
              <w:position w:val="-4"/>
              <w:sz w:val="40"/>
            </w:rPr>
            <w:t>CEDAW</w:t>
          </w:r>
          <w:r>
            <w:rPr>
              <w:position w:val="-4"/>
            </w:rPr>
            <w:t>/C/CHE/CO/6</w:t>
          </w:r>
        </w:p>
      </w:tc>
    </w:tr>
    <w:tr w:rsidR="0073655F" w:rsidRPr="0073655F" w14:paraId="48256689" w14:textId="77777777" w:rsidTr="0073655F">
      <w:trPr>
        <w:trHeight w:hRule="exact" w:val="2880"/>
      </w:trPr>
      <w:tc>
        <w:tcPr>
          <w:tcW w:w="1267" w:type="dxa"/>
          <w:tcBorders>
            <w:top w:val="single" w:sz="4" w:space="0" w:color="auto"/>
            <w:bottom w:val="single" w:sz="12" w:space="0" w:color="auto"/>
          </w:tcBorders>
          <w:shd w:val="clear" w:color="auto" w:fill="auto"/>
        </w:tcPr>
        <w:p w14:paraId="021FEDC2" w14:textId="493864A3" w:rsidR="0073655F" w:rsidRPr="0073655F" w:rsidRDefault="0073655F" w:rsidP="0073655F">
          <w:pPr>
            <w:pStyle w:val="af0"/>
            <w:spacing w:before="109"/>
            <w:ind w:left="-72"/>
          </w:pPr>
          <w:r>
            <w:t xml:space="preserve"> </w:t>
          </w:r>
          <w:r>
            <w:drawing>
              <wp:inline distT="0" distB="0" distL="0" distR="0" wp14:anchorId="13798D1F" wp14:editId="68F6CA15">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F0D60A" w14:textId="5EB3826F" w:rsidR="0073655F" w:rsidRPr="0073655F" w:rsidRDefault="0073655F" w:rsidP="0073655F">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B4FF7B5" w14:textId="77777777" w:rsidR="0073655F" w:rsidRPr="0073655F" w:rsidRDefault="0073655F" w:rsidP="0073655F">
          <w:pPr>
            <w:pStyle w:val="af0"/>
            <w:spacing w:before="109"/>
          </w:pPr>
        </w:p>
      </w:tc>
      <w:tc>
        <w:tcPr>
          <w:tcW w:w="3080" w:type="dxa"/>
          <w:tcBorders>
            <w:top w:val="single" w:sz="4" w:space="0" w:color="auto"/>
            <w:bottom w:val="single" w:sz="12" w:space="0" w:color="auto"/>
          </w:tcBorders>
          <w:shd w:val="clear" w:color="auto" w:fill="auto"/>
        </w:tcPr>
        <w:p w14:paraId="2C705407" w14:textId="77777777" w:rsidR="0073655F" w:rsidRDefault="0073655F" w:rsidP="0073655F">
          <w:pPr>
            <w:pStyle w:val="Distr"/>
          </w:pPr>
          <w:r>
            <w:t>Distr.: General</w:t>
          </w:r>
        </w:p>
        <w:p w14:paraId="5EF2D474" w14:textId="264986A9" w:rsidR="0073655F" w:rsidRDefault="0073655F" w:rsidP="0073655F">
          <w:pPr>
            <w:pStyle w:val="Publication"/>
          </w:pPr>
          <w:r>
            <w:t>1 November 2022</w:t>
          </w:r>
        </w:p>
        <w:p w14:paraId="3E8174F6" w14:textId="77777777" w:rsidR="0073655F" w:rsidRDefault="0073655F" w:rsidP="0073655F">
          <w:pPr>
            <w:spacing w:line="240" w:lineRule="exact"/>
          </w:pPr>
          <w:r>
            <w:t>Chinese</w:t>
          </w:r>
        </w:p>
        <w:p w14:paraId="267DB963" w14:textId="77777777" w:rsidR="0073655F" w:rsidRDefault="0073655F" w:rsidP="0073655F">
          <w:pPr>
            <w:pStyle w:val="Original"/>
          </w:pPr>
          <w:r>
            <w:t>Original: English</w:t>
          </w:r>
        </w:p>
        <w:p w14:paraId="05DE9C78" w14:textId="50109054" w:rsidR="0073655F" w:rsidRPr="0073655F" w:rsidRDefault="0073655F" w:rsidP="0073655F"/>
      </w:tc>
    </w:tr>
  </w:tbl>
  <w:p w14:paraId="1B51C216" w14:textId="77777777" w:rsidR="0073655F" w:rsidRPr="0073655F" w:rsidRDefault="0073655F" w:rsidP="0073655F">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3*"/>
    <w:docVar w:name="CreationDt" w:val="17/11/2022 15:52:04"/>
    <w:docVar w:name="DocCategory" w:val="Doc"/>
    <w:docVar w:name="DocType" w:val="Final"/>
    <w:docVar w:name="DutyStation" w:val="New York"/>
    <w:docVar w:name="FooterJN" w:val="22-24503"/>
    <w:docVar w:name="jobn" w:val="22-24503 (C)"/>
    <w:docVar w:name="jobnDT" w:val="22-24503 (C)   171122"/>
    <w:docVar w:name="jobnDTDT" w:val="22-24503 (C)   171122   171122"/>
    <w:docVar w:name="JobNo" w:val="2224503C"/>
    <w:docVar w:name="LocalDrive" w:val="-1"/>
    <w:docVar w:name="OandT" w:val="ZAY"/>
    <w:docVar w:name="sss1" w:val="CEDAW/C/CHE/CO/6"/>
    <w:docVar w:name="sss2" w:val="-"/>
    <w:docVar w:name="Symbol1" w:val="CEDAW/C/CHE/CO/6"/>
    <w:docVar w:name="Symbol2" w:val="-"/>
    <w:docVar w:name="Title1" w:val="_x0009__x0009_关于瑞士第六次定期报告的结论性意见*_x000d_"/>
  </w:docVars>
  <w:rsids>
    <w:rsidRoot w:val="00CD2122"/>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1728"/>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0D4"/>
    <w:rsid w:val="000C4C08"/>
    <w:rsid w:val="000C4DDE"/>
    <w:rsid w:val="000C5208"/>
    <w:rsid w:val="000D1910"/>
    <w:rsid w:val="000D2BF1"/>
    <w:rsid w:val="000D32BA"/>
    <w:rsid w:val="000E240F"/>
    <w:rsid w:val="000E3D45"/>
    <w:rsid w:val="000E481F"/>
    <w:rsid w:val="000E49A4"/>
    <w:rsid w:val="000E4FFB"/>
    <w:rsid w:val="000F1058"/>
    <w:rsid w:val="000F55DC"/>
    <w:rsid w:val="000F6985"/>
    <w:rsid w:val="001015E4"/>
    <w:rsid w:val="00101C4E"/>
    <w:rsid w:val="00101D5B"/>
    <w:rsid w:val="00101F86"/>
    <w:rsid w:val="0010703A"/>
    <w:rsid w:val="00111360"/>
    <w:rsid w:val="001113F8"/>
    <w:rsid w:val="00114212"/>
    <w:rsid w:val="00114578"/>
    <w:rsid w:val="00114C03"/>
    <w:rsid w:val="00114F57"/>
    <w:rsid w:val="00117BA1"/>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672CB"/>
    <w:rsid w:val="001704A3"/>
    <w:rsid w:val="00170FBE"/>
    <w:rsid w:val="00170FC4"/>
    <w:rsid w:val="001720CC"/>
    <w:rsid w:val="00173F4B"/>
    <w:rsid w:val="00174233"/>
    <w:rsid w:val="001746A8"/>
    <w:rsid w:val="0017506F"/>
    <w:rsid w:val="0017552D"/>
    <w:rsid w:val="001845DB"/>
    <w:rsid w:val="001873A2"/>
    <w:rsid w:val="001944A4"/>
    <w:rsid w:val="00196866"/>
    <w:rsid w:val="001A4A37"/>
    <w:rsid w:val="001B0DFD"/>
    <w:rsid w:val="001B151C"/>
    <w:rsid w:val="001B2814"/>
    <w:rsid w:val="001B30EF"/>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295"/>
    <w:rsid w:val="001F24BA"/>
    <w:rsid w:val="001F2F76"/>
    <w:rsid w:val="001F4108"/>
    <w:rsid w:val="001F5344"/>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1A31"/>
    <w:rsid w:val="00223D01"/>
    <w:rsid w:val="00224142"/>
    <w:rsid w:val="00224B96"/>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6EF"/>
    <w:rsid w:val="00283CA7"/>
    <w:rsid w:val="00285DE9"/>
    <w:rsid w:val="00286AD1"/>
    <w:rsid w:val="002871EB"/>
    <w:rsid w:val="00290382"/>
    <w:rsid w:val="0029111A"/>
    <w:rsid w:val="00293025"/>
    <w:rsid w:val="00296CF8"/>
    <w:rsid w:val="002A16CC"/>
    <w:rsid w:val="002A4AEF"/>
    <w:rsid w:val="002A5E53"/>
    <w:rsid w:val="002B1350"/>
    <w:rsid w:val="002B225C"/>
    <w:rsid w:val="002B305F"/>
    <w:rsid w:val="002B35DE"/>
    <w:rsid w:val="002B47BF"/>
    <w:rsid w:val="002B564F"/>
    <w:rsid w:val="002B5F5D"/>
    <w:rsid w:val="002B62ED"/>
    <w:rsid w:val="002B6993"/>
    <w:rsid w:val="002B7E03"/>
    <w:rsid w:val="002C2254"/>
    <w:rsid w:val="002C3176"/>
    <w:rsid w:val="002C33CE"/>
    <w:rsid w:val="002C3BC9"/>
    <w:rsid w:val="002C4439"/>
    <w:rsid w:val="002C48C3"/>
    <w:rsid w:val="002C54DB"/>
    <w:rsid w:val="002C6B66"/>
    <w:rsid w:val="002D039F"/>
    <w:rsid w:val="002D0694"/>
    <w:rsid w:val="002D0B62"/>
    <w:rsid w:val="002D0FF5"/>
    <w:rsid w:val="002D26A9"/>
    <w:rsid w:val="002D4ACE"/>
    <w:rsid w:val="002D51D9"/>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5A35"/>
    <w:rsid w:val="00346223"/>
    <w:rsid w:val="00346C74"/>
    <w:rsid w:val="00350AE6"/>
    <w:rsid w:val="00355510"/>
    <w:rsid w:val="00357AB4"/>
    <w:rsid w:val="0036117F"/>
    <w:rsid w:val="00363610"/>
    <w:rsid w:val="0036409E"/>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0F9D"/>
    <w:rsid w:val="003B7AB8"/>
    <w:rsid w:val="003C4125"/>
    <w:rsid w:val="003C448D"/>
    <w:rsid w:val="003C529E"/>
    <w:rsid w:val="003C7B20"/>
    <w:rsid w:val="003D075F"/>
    <w:rsid w:val="003D5B4D"/>
    <w:rsid w:val="003E10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47D4"/>
    <w:rsid w:val="00466BB5"/>
    <w:rsid w:val="004700CF"/>
    <w:rsid w:val="004715DF"/>
    <w:rsid w:val="004737C9"/>
    <w:rsid w:val="00474C34"/>
    <w:rsid w:val="00476921"/>
    <w:rsid w:val="004771F7"/>
    <w:rsid w:val="004821D0"/>
    <w:rsid w:val="00483BDA"/>
    <w:rsid w:val="00487444"/>
    <w:rsid w:val="004929F3"/>
    <w:rsid w:val="00493C9C"/>
    <w:rsid w:val="004955C1"/>
    <w:rsid w:val="00495C7E"/>
    <w:rsid w:val="0049625B"/>
    <w:rsid w:val="00496D08"/>
    <w:rsid w:val="0049799B"/>
    <w:rsid w:val="004A06D1"/>
    <w:rsid w:val="004A0E04"/>
    <w:rsid w:val="004A11FC"/>
    <w:rsid w:val="004A1D1E"/>
    <w:rsid w:val="004A7DB8"/>
    <w:rsid w:val="004B0A76"/>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40FE"/>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2DCF"/>
    <w:rsid w:val="00523247"/>
    <w:rsid w:val="005232CA"/>
    <w:rsid w:val="00523636"/>
    <w:rsid w:val="00530CBB"/>
    <w:rsid w:val="0053111B"/>
    <w:rsid w:val="005335B9"/>
    <w:rsid w:val="00536C06"/>
    <w:rsid w:val="00536CCE"/>
    <w:rsid w:val="00537F92"/>
    <w:rsid w:val="00542636"/>
    <w:rsid w:val="00545A99"/>
    <w:rsid w:val="00546CC5"/>
    <w:rsid w:val="00547EC6"/>
    <w:rsid w:val="00552CE5"/>
    <w:rsid w:val="005541E4"/>
    <w:rsid w:val="00554F60"/>
    <w:rsid w:val="00562118"/>
    <w:rsid w:val="00562B21"/>
    <w:rsid w:val="00562FE7"/>
    <w:rsid w:val="00564B8D"/>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442"/>
    <w:rsid w:val="005A4F27"/>
    <w:rsid w:val="005A6AA3"/>
    <w:rsid w:val="005A7200"/>
    <w:rsid w:val="005A7AFF"/>
    <w:rsid w:val="005B04F3"/>
    <w:rsid w:val="005B1476"/>
    <w:rsid w:val="005B1D3C"/>
    <w:rsid w:val="005B3B9A"/>
    <w:rsid w:val="005B4497"/>
    <w:rsid w:val="005B6C71"/>
    <w:rsid w:val="005B7338"/>
    <w:rsid w:val="005C02AB"/>
    <w:rsid w:val="005C0D21"/>
    <w:rsid w:val="005C32CB"/>
    <w:rsid w:val="005C55E1"/>
    <w:rsid w:val="005C5B8C"/>
    <w:rsid w:val="005C5FC3"/>
    <w:rsid w:val="005D0D2E"/>
    <w:rsid w:val="005D0F04"/>
    <w:rsid w:val="005D2204"/>
    <w:rsid w:val="005D2EA4"/>
    <w:rsid w:val="005D35ED"/>
    <w:rsid w:val="005D680F"/>
    <w:rsid w:val="005E31F9"/>
    <w:rsid w:val="005E6A84"/>
    <w:rsid w:val="005E7CAC"/>
    <w:rsid w:val="005F12F0"/>
    <w:rsid w:val="005F1AAD"/>
    <w:rsid w:val="005F3273"/>
    <w:rsid w:val="005F34A3"/>
    <w:rsid w:val="0060128A"/>
    <w:rsid w:val="00601DF9"/>
    <w:rsid w:val="006024FB"/>
    <w:rsid w:val="00602C6C"/>
    <w:rsid w:val="006068DF"/>
    <w:rsid w:val="006101D0"/>
    <w:rsid w:val="006107DE"/>
    <w:rsid w:val="00610CF2"/>
    <w:rsid w:val="00611FE6"/>
    <w:rsid w:val="00612F6E"/>
    <w:rsid w:val="00615A9C"/>
    <w:rsid w:val="00617802"/>
    <w:rsid w:val="006201CE"/>
    <w:rsid w:val="0062298F"/>
    <w:rsid w:val="0062546B"/>
    <w:rsid w:val="00632644"/>
    <w:rsid w:val="006328DE"/>
    <w:rsid w:val="00634555"/>
    <w:rsid w:val="006353DE"/>
    <w:rsid w:val="00636773"/>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830BA"/>
    <w:rsid w:val="00691524"/>
    <w:rsid w:val="006926DF"/>
    <w:rsid w:val="00697E61"/>
    <w:rsid w:val="006A2730"/>
    <w:rsid w:val="006A5CFB"/>
    <w:rsid w:val="006A654B"/>
    <w:rsid w:val="006A7A84"/>
    <w:rsid w:val="006B02CF"/>
    <w:rsid w:val="006B55A8"/>
    <w:rsid w:val="006B769C"/>
    <w:rsid w:val="006C092F"/>
    <w:rsid w:val="006C2998"/>
    <w:rsid w:val="006C3DC0"/>
    <w:rsid w:val="006C4BB3"/>
    <w:rsid w:val="006C7138"/>
    <w:rsid w:val="006D4068"/>
    <w:rsid w:val="006E0E32"/>
    <w:rsid w:val="006E2924"/>
    <w:rsid w:val="006E45BF"/>
    <w:rsid w:val="006E4E7C"/>
    <w:rsid w:val="006E7A26"/>
    <w:rsid w:val="006F04EF"/>
    <w:rsid w:val="006F1592"/>
    <w:rsid w:val="006F2B3D"/>
    <w:rsid w:val="006F3562"/>
    <w:rsid w:val="006F363A"/>
    <w:rsid w:val="006F4372"/>
    <w:rsid w:val="006F5403"/>
    <w:rsid w:val="006F6A4F"/>
    <w:rsid w:val="006F761A"/>
    <w:rsid w:val="006F7749"/>
    <w:rsid w:val="007016DF"/>
    <w:rsid w:val="007038D4"/>
    <w:rsid w:val="00704287"/>
    <w:rsid w:val="00704588"/>
    <w:rsid w:val="007052CC"/>
    <w:rsid w:val="00715C4B"/>
    <w:rsid w:val="00721BC6"/>
    <w:rsid w:val="00722965"/>
    <w:rsid w:val="00723AAA"/>
    <w:rsid w:val="00724400"/>
    <w:rsid w:val="007319E0"/>
    <w:rsid w:val="00731FBF"/>
    <w:rsid w:val="007328A2"/>
    <w:rsid w:val="00732A10"/>
    <w:rsid w:val="00733DE8"/>
    <w:rsid w:val="007345AA"/>
    <w:rsid w:val="00735922"/>
    <w:rsid w:val="00735C21"/>
    <w:rsid w:val="0073655F"/>
    <w:rsid w:val="00737B00"/>
    <w:rsid w:val="00741472"/>
    <w:rsid w:val="007435A3"/>
    <w:rsid w:val="00743ECA"/>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5C80"/>
    <w:rsid w:val="00776537"/>
    <w:rsid w:val="00780C90"/>
    <w:rsid w:val="00782137"/>
    <w:rsid w:val="00783A25"/>
    <w:rsid w:val="007840C9"/>
    <w:rsid w:val="00784162"/>
    <w:rsid w:val="007843DB"/>
    <w:rsid w:val="007877F4"/>
    <w:rsid w:val="007908BE"/>
    <w:rsid w:val="00796535"/>
    <w:rsid w:val="007A6A3A"/>
    <w:rsid w:val="007B2492"/>
    <w:rsid w:val="007B394B"/>
    <w:rsid w:val="007B6A4C"/>
    <w:rsid w:val="007B6BAE"/>
    <w:rsid w:val="007C10AC"/>
    <w:rsid w:val="007C5623"/>
    <w:rsid w:val="007C6FC5"/>
    <w:rsid w:val="007C74B9"/>
    <w:rsid w:val="007D441A"/>
    <w:rsid w:val="007D518C"/>
    <w:rsid w:val="007D6379"/>
    <w:rsid w:val="007D711F"/>
    <w:rsid w:val="007E0D70"/>
    <w:rsid w:val="007E1B5E"/>
    <w:rsid w:val="007E6253"/>
    <w:rsid w:val="007F0DF8"/>
    <w:rsid w:val="007F2278"/>
    <w:rsid w:val="007F46DF"/>
    <w:rsid w:val="008006AB"/>
    <w:rsid w:val="00803014"/>
    <w:rsid w:val="00803083"/>
    <w:rsid w:val="00803DED"/>
    <w:rsid w:val="00805783"/>
    <w:rsid w:val="00806CEF"/>
    <w:rsid w:val="00806F57"/>
    <w:rsid w:val="00806F90"/>
    <w:rsid w:val="00814156"/>
    <w:rsid w:val="00815AB6"/>
    <w:rsid w:val="008246FC"/>
    <w:rsid w:val="00824C19"/>
    <w:rsid w:val="00824E08"/>
    <w:rsid w:val="00826250"/>
    <w:rsid w:val="00827479"/>
    <w:rsid w:val="0083056F"/>
    <w:rsid w:val="0083226B"/>
    <w:rsid w:val="00833AD8"/>
    <w:rsid w:val="008343E5"/>
    <w:rsid w:val="0083504E"/>
    <w:rsid w:val="008378D1"/>
    <w:rsid w:val="00843C13"/>
    <w:rsid w:val="00846462"/>
    <w:rsid w:val="00847383"/>
    <w:rsid w:val="00854560"/>
    <w:rsid w:val="00860742"/>
    <w:rsid w:val="00862B69"/>
    <w:rsid w:val="00862B6B"/>
    <w:rsid w:val="00863910"/>
    <w:rsid w:val="0086684A"/>
    <w:rsid w:val="0086691F"/>
    <w:rsid w:val="00867929"/>
    <w:rsid w:val="008722B1"/>
    <w:rsid w:val="00872730"/>
    <w:rsid w:val="008733C7"/>
    <w:rsid w:val="008748E0"/>
    <w:rsid w:val="008809AE"/>
    <w:rsid w:val="00883DB0"/>
    <w:rsid w:val="008843BC"/>
    <w:rsid w:val="00884C8F"/>
    <w:rsid w:val="008902C9"/>
    <w:rsid w:val="008927AD"/>
    <w:rsid w:val="00893A33"/>
    <w:rsid w:val="00896D38"/>
    <w:rsid w:val="008A0216"/>
    <w:rsid w:val="008A0650"/>
    <w:rsid w:val="008A1208"/>
    <w:rsid w:val="008A1C43"/>
    <w:rsid w:val="008A594F"/>
    <w:rsid w:val="008A59EF"/>
    <w:rsid w:val="008B0240"/>
    <w:rsid w:val="008B0349"/>
    <w:rsid w:val="008B047F"/>
    <w:rsid w:val="008B0E54"/>
    <w:rsid w:val="008B1481"/>
    <w:rsid w:val="008B32BC"/>
    <w:rsid w:val="008B3560"/>
    <w:rsid w:val="008B5DE8"/>
    <w:rsid w:val="008B6642"/>
    <w:rsid w:val="008C076B"/>
    <w:rsid w:val="008C2456"/>
    <w:rsid w:val="008C3296"/>
    <w:rsid w:val="008C3413"/>
    <w:rsid w:val="008C4B54"/>
    <w:rsid w:val="008C564D"/>
    <w:rsid w:val="008C5F80"/>
    <w:rsid w:val="008D2BD9"/>
    <w:rsid w:val="008D6C74"/>
    <w:rsid w:val="008E21C5"/>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2DE"/>
    <w:rsid w:val="00972849"/>
    <w:rsid w:val="00974D7C"/>
    <w:rsid w:val="00975731"/>
    <w:rsid w:val="009769E1"/>
    <w:rsid w:val="00977E0D"/>
    <w:rsid w:val="0098143C"/>
    <w:rsid w:val="00982D5C"/>
    <w:rsid w:val="009830F4"/>
    <w:rsid w:val="0098567F"/>
    <w:rsid w:val="00986132"/>
    <w:rsid w:val="00986C04"/>
    <w:rsid w:val="009932F9"/>
    <w:rsid w:val="009A02E7"/>
    <w:rsid w:val="009A11E3"/>
    <w:rsid w:val="009A2C06"/>
    <w:rsid w:val="009A2F76"/>
    <w:rsid w:val="009A7BA6"/>
    <w:rsid w:val="009B0F1B"/>
    <w:rsid w:val="009B1250"/>
    <w:rsid w:val="009B1330"/>
    <w:rsid w:val="009B378F"/>
    <w:rsid w:val="009B6787"/>
    <w:rsid w:val="009C32BB"/>
    <w:rsid w:val="009C600E"/>
    <w:rsid w:val="009C7B18"/>
    <w:rsid w:val="009D00AA"/>
    <w:rsid w:val="009D0B10"/>
    <w:rsid w:val="009D1D8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46FF"/>
    <w:rsid w:val="00A158E7"/>
    <w:rsid w:val="00A171EB"/>
    <w:rsid w:val="00A17A85"/>
    <w:rsid w:val="00A20856"/>
    <w:rsid w:val="00A24399"/>
    <w:rsid w:val="00A24CA5"/>
    <w:rsid w:val="00A252DF"/>
    <w:rsid w:val="00A27DEC"/>
    <w:rsid w:val="00A27E35"/>
    <w:rsid w:val="00A31815"/>
    <w:rsid w:val="00A33D4D"/>
    <w:rsid w:val="00A33D6D"/>
    <w:rsid w:val="00A343D8"/>
    <w:rsid w:val="00A35043"/>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314"/>
    <w:rsid w:val="00A773EB"/>
    <w:rsid w:val="00A778F1"/>
    <w:rsid w:val="00A800EC"/>
    <w:rsid w:val="00A90956"/>
    <w:rsid w:val="00A95404"/>
    <w:rsid w:val="00A954C6"/>
    <w:rsid w:val="00A968C5"/>
    <w:rsid w:val="00AA1A81"/>
    <w:rsid w:val="00AA2D61"/>
    <w:rsid w:val="00AA3C28"/>
    <w:rsid w:val="00AA65E5"/>
    <w:rsid w:val="00AA759D"/>
    <w:rsid w:val="00AB1592"/>
    <w:rsid w:val="00AB2786"/>
    <w:rsid w:val="00AB5BEE"/>
    <w:rsid w:val="00AB5C19"/>
    <w:rsid w:val="00AB6C15"/>
    <w:rsid w:val="00AC2EAA"/>
    <w:rsid w:val="00AC373F"/>
    <w:rsid w:val="00AC550F"/>
    <w:rsid w:val="00AD4308"/>
    <w:rsid w:val="00AD6611"/>
    <w:rsid w:val="00AD751C"/>
    <w:rsid w:val="00AE6719"/>
    <w:rsid w:val="00AE6C5D"/>
    <w:rsid w:val="00AE733F"/>
    <w:rsid w:val="00AE769E"/>
    <w:rsid w:val="00AF021F"/>
    <w:rsid w:val="00AF114B"/>
    <w:rsid w:val="00AF188A"/>
    <w:rsid w:val="00AF2A33"/>
    <w:rsid w:val="00AF4C2D"/>
    <w:rsid w:val="00AF4FD7"/>
    <w:rsid w:val="00AF51A0"/>
    <w:rsid w:val="00AF5746"/>
    <w:rsid w:val="00B014C7"/>
    <w:rsid w:val="00B01FB8"/>
    <w:rsid w:val="00B0250B"/>
    <w:rsid w:val="00B02C51"/>
    <w:rsid w:val="00B03EFA"/>
    <w:rsid w:val="00B15FE0"/>
    <w:rsid w:val="00B16C8C"/>
    <w:rsid w:val="00B171E7"/>
    <w:rsid w:val="00B22C2F"/>
    <w:rsid w:val="00B24A9F"/>
    <w:rsid w:val="00B309DD"/>
    <w:rsid w:val="00B31E9D"/>
    <w:rsid w:val="00B32EB0"/>
    <w:rsid w:val="00B34ADC"/>
    <w:rsid w:val="00B3574C"/>
    <w:rsid w:val="00B35AD4"/>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10B"/>
    <w:rsid w:val="00B6728D"/>
    <w:rsid w:val="00B677A0"/>
    <w:rsid w:val="00B67C6D"/>
    <w:rsid w:val="00B7141E"/>
    <w:rsid w:val="00B75C92"/>
    <w:rsid w:val="00B8025A"/>
    <w:rsid w:val="00B827B1"/>
    <w:rsid w:val="00B84DAC"/>
    <w:rsid w:val="00B877A3"/>
    <w:rsid w:val="00B9116F"/>
    <w:rsid w:val="00B9408D"/>
    <w:rsid w:val="00B94698"/>
    <w:rsid w:val="00B95BF6"/>
    <w:rsid w:val="00B973E5"/>
    <w:rsid w:val="00BA026B"/>
    <w:rsid w:val="00BA51C0"/>
    <w:rsid w:val="00BA64A9"/>
    <w:rsid w:val="00BA78D0"/>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874"/>
    <w:rsid w:val="00C22BB2"/>
    <w:rsid w:val="00C22F76"/>
    <w:rsid w:val="00C2725D"/>
    <w:rsid w:val="00C30684"/>
    <w:rsid w:val="00C31771"/>
    <w:rsid w:val="00C31E79"/>
    <w:rsid w:val="00C32440"/>
    <w:rsid w:val="00C35D84"/>
    <w:rsid w:val="00C403C9"/>
    <w:rsid w:val="00C42033"/>
    <w:rsid w:val="00C464DD"/>
    <w:rsid w:val="00C46DA3"/>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85F48"/>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1172"/>
    <w:rsid w:val="00CB298A"/>
    <w:rsid w:val="00CB2ADB"/>
    <w:rsid w:val="00CB2B1E"/>
    <w:rsid w:val="00CC053E"/>
    <w:rsid w:val="00CC05C5"/>
    <w:rsid w:val="00CC1E2C"/>
    <w:rsid w:val="00CC213B"/>
    <w:rsid w:val="00CC3E8B"/>
    <w:rsid w:val="00CC4E84"/>
    <w:rsid w:val="00CC6182"/>
    <w:rsid w:val="00CC6304"/>
    <w:rsid w:val="00CD2122"/>
    <w:rsid w:val="00CD5641"/>
    <w:rsid w:val="00CD76BE"/>
    <w:rsid w:val="00CE07C5"/>
    <w:rsid w:val="00CE11A2"/>
    <w:rsid w:val="00CE1E7B"/>
    <w:rsid w:val="00CE1F38"/>
    <w:rsid w:val="00CE474E"/>
    <w:rsid w:val="00CE4CEF"/>
    <w:rsid w:val="00CE64AC"/>
    <w:rsid w:val="00CE71BA"/>
    <w:rsid w:val="00CE7DFC"/>
    <w:rsid w:val="00CF02D3"/>
    <w:rsid w:val="00CF060B"/>
    <w:rsid w:val="00CF1F31"/>
    <w:rsid w:val="00CF1FCA"/>
    <w:rsid w:val="00CF49BA"/>
    <w:rsid w:val="00CF6A57"/>
    <w:rsid w:val="00CF7718"/>
    <w:rsid w:val="00D0025B"/>
    <w:rsid w:val="00D024D6"/>
    <w:rsid w:val="00D04FFD"/>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14E0"/>
    <w:rsid w:val="00D66509"/>
    <w:rsid w:val="00D676D7"/>
    <w:rsid w:val="00D6794E"/>
    <w:rsid w:val="00D7007A"/>
    <w:rsid w:val="00D71517"/>
    <w:rsid w:val="00D7168D"/>
    <w:rsid w:val="00D71A15"/>
    <w:rsid w:val="00D73118"/>
    <w:rsid w:val="00D754A6"/>
    <w:rsid w:val="00D82311"/>
    <w:rsid w:val="00D83D1B"/>
    <w:rsid w:val="00D86A32"/>
    <w:rsid w:val="00D874E1"/>
    <w:rsid w:val="00D90429"/>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4A46"/>
    <w:rsid w:val="00DF5B53"/>
    <w:rsid w:val="00DF6183"/>
    <w:rsid w:val="00DF742A"/>
    <w:rsid w:val="00E01273"/>
    <w:rsid w:val="00E030F5"/>
    <w:rsid w:val="00E041F4"/>
    <w:rsid w:val="00E050BA"/>
    <w:rsid w:val="00E06CBE"/>
    <w:rsid w:val="00E076AC"/>
    <w:rsid w:val="00E07F51"/>
    <w:rsid w:val="00E16655"/>
    <w:rsid w:val="00E16A6B"/>
    <w:rsid w:val="00E21275"/>
    <w:rsid w:val="00E22001"/>
    <w:rsid w:val="00E25442"/>
    <w:rsid w:val="00E255EE"/>
    <w:rsid w:val="00E25A1F"/>
    <w:rsid w:val="00E25D27"/>
    <w:rsid w:val="00E3288B"/>
    <w:rsid w:val="00E34E6A"/>
    <w:rsid w:val="00E35B72"/>
    <w:rsid w:val="00E37B54"/>
    <w:rsid w:val="00E37EEB"/>
    <w:rsid w:val="00E440B3"/>
    <w:rsid w:val="00E46403"/>
    <w:rsid w:val="00E5153D"/>
    <w:rsid w:val="00E56134"/>
    <w:rsid w:val="00E56B5D"/>
    <w:rsid w:val="00E61C81"/>
    <w:rsid w:val="00E62331"/>
    <w:rsid w:val="00E63A20"/>
    <w:rsid w:val="00E661E8"/>
    <w:rsid w:val="00E66265"/>
    <w:rsid w:val="00E665FA"/>
    <w:rsid w:val="00E710FB"/>
    <w:rsid w:val="00E730F1"/>
    <w:rsid w:val="00E73CC9"/>
    <w:rsid w:val="00E75847"/>
    <w:rsid w:val="00E76FCC"/>
    <w:rsid w:val="00E80528"/>
    <w:rsid w:val="00E806D9"/>
    <w:rsid w:val="00E816C7"/>
    <w:rsid w:val="00E82CA2"/>
    <w:rsid w:val="00E84367"/>
    <w:rsid w:val="00E9142F"/>
    <w:rsid w:val="00E92456"/>
    <w:rsid w:val="00E94224"/>
    <w:rsid w:val="00E94E5A"/>
    <w:rsid w:val="00E95594"/>
    <w:rsid w:val="00E95A55"/>
    <w:rsid w:val="00EA0B27"/>
    <w:rsid w:val="00EA2525"/>
    <w:rsid w:val="00EA31C3"/>
    <w:rsid w:val="00EA4947"/>
    <w:rsid w:val="00EA4B1B"/>
    <w:rsid w:val="00EB16BB"/>
    <w:rsid w:val="00EB33AC"/>
    <w:rsid w:val="00EC0AC4"/>
    <w:rsid w:val="00EC25DE"/>
    <w:rsid w:val="00EC45EA"/>
    <w:rsid w:val="00EC669D"/>
    <w:rsid w:val="00EC6F21"/>
    <w:rsid w:val="00EC7887"/>
    <w:rsid w:val="00EC7CCB"/>
    <w:rsid w:val="00ED1291"/>
    <w:rsid w:val="00ED2708"/>
    <w:rsid w:val="00ED2D39"/>
    <w:rsid w:val="00ED3A3A"/>
    <w:rsid w:val="00ED4C33"/>
    <w:rsid w:val="00EE0913"/>
    <w:rsid w:val="00EE1F9E"/>
    <w:rsid w:val="00EF18DC"/>
    <w:rsid w:val="00EF23C4"/>
    <w:rsid w:val="00EF2DB0"/>
    <w:rsid w:val="00EF2DD4"/>
    <w:rsid w:val="00EF36AA"/>
    <w:rsid w:val="00EF5D84"/>
    <w:rsid w:val="00EF695D"/>
    <w:rsid w:val="00EF6CA2"/>
    <w:rsid w:val="00F01440"/>
    <w:rsid w:val="00F020E7"/>
    <w:rsid w:val="00F03676"/>
    <w:rsid w:val="00F04C64"/>
    <w:rsid w:val="00F057A4"/>
    <w:rsid w:val="00F1275D"/>
    <w:rsid w:val="00F13305"/>
    <w:rsid w:val="00F1516C"/>
    <w:rsid w:val="00F170F1"/>
    <w:rsid w:val="00F2150A"/>
    <w:rsid w:val="00F2230D"/>
    <w:rsid w:val="00F26864"/>
    <w:rsid w:val="00F26F00"/>
    <w:rsid w:val="00F27454"/>
    <w:rsid w:val="00F32339"/>
    <w:rsid w:val="00F3596A"/>
    <w:rsid w:val="00F35B66"/>
    <w:rsid w:val="00F36446"/>
    <w:rsid w:val="00F40463"/>
    <w:rsid w:val="00F44A01"/>
    <w:rsid w:val="00F50336"/>
    <w:rsid w:val="00F50D76"/>
    <w:rsid w:val="00F55E5B"/>
    <w:rsid w:val="00F569BC"/>
    <w:rsid w:val="00F6174D"/>
    <w:rsid w:val="00F62E3F"/>
    <w:rsid w:val="00F66D76"/>
    <w:rsid w:val="00F66E5C"/>
    <w:rsid w:val="00F67F90"/>
    <w:rsid w:val="00F708D7"/>
    <w:rsid w:val="00F73E3E"/>
    <w:rsid w:val="00F7756E"/>
    <w:rsid w:val="00F77B3E"/>
    <w:rsid w:val="00F833CB"/>
    <w:rsid w:val="00F87754"/>
    <w:rsid w:val="00F90A4B"/>
    <w:rsid w:val="00F90C56"/>
    <w:rsid w:val="00F94B3C"/>
    <w:rsid w:val="00F96F4A"/>
    <w:rsid w:val="00F971BD"/>
    <w:rsid w:val="00FA2C6E"/>
    <w:rsid w:val="00FA7A95"/>
    <w:rsid w:val="00FB089D"/>
    <w:rsid w:val="00FB282B"/>
    <w:rsid w:val="00FB2C57"/>
    <w:rsid w:val="00FB4F96"/>
    <w:rsid w:val="00FC0721"/>
    <w:rsid w:val="00FC1CE4"/>
    <w:rsid w:val="00FC6533"/>
    <w:rsid w:val="00FD4C0F"/>
    <w:rsid w:val="00FD594E"/>
    <w:rsid w:val="00FD5EA6"/>
    <w:rsid w:val="00FD75B9"/>
    <w:rsid w:val="00FE0315"/>
    <w:rsid w:val="00FE1E08"/>
    <w:rsid w:val="00FE31B8"/>
    <w:rsid w:val="00FE3600"/>
    <w:rsid w:val="00FE53CB"/>
    <w:rsid w:val="00FE5FE8"/>
    <w:rsid w:val="00FE6AEC"/>
    <w:rsid w:val="00FF0C55"/>
    <w:rsid w:val="00FF16F7"/>
    <w:rsid w:val="00FF3563"/>
    <w:rsid w:val="00FF3706"/>
    <w:rsid w:val="00FF38C2"/>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A36006"/>
  <w15:chartTrackingRefBased/>
  <w15:docId w15:val="{B0F4D99E-7B9A-40D5-81D4-FC7A3033B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476921"/>
    <w:rPr>
      <w:color w:val="605E5C"/>
      <w:shd w:val="clear" w:color="auto" w:fill="E1DFDD"/>
    </w:rPr>
  </w:style>
  <w:style w:type="paragraph" w:styleId="af8">
    <w:name w:val="Revision"/>
    <w:hidden/>
    <w:uiPriority w:val="99"/>
    <w:semiHidden/>
    <w:rsid w:val="002C33CE"/>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927" TargetMode="External"/><Relationship Id="rId26" Type="http://schemas.openxmlformats.org/officeDocument/2006/relationships/hyperlink" Target="https://undocs.org/ch/A/65/38" TargetMode="External"/><Relationship Id="rId21" Type="http://schemas.openxmlformats.org/officeDocument/2006/relationships/hyperlink" Target="https://undocs.org/ch/CEDAW/C/CHE/QPR/6" TargetMode="External"/><Relationship Id="rId34" Type="http://schemas.openxmlformats.org/officeDocument/2006/relationships/hyperlink" Target="https://undocs.org/ch/CEDAW/C/CHE/CO/4-5"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S/RES/1325(2000)" TargetMode="External"/><Relationship Id="rId33" Type="http://schemas.openxmlformats.org/officeDocument/2006/relationships/hyperlink" Target="https://undocs.org/ch/CEDAW/C/CHE/CO/4-5" TargetMode="External"/><Relationship Id="rId38"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CHE/6" TargetMode="External"/><Relationship Id="rId29" Type="http://schemas.openxmlformats.org/officeDocument/2006/relationships/hyperlink" Target="https://undocs.org/ch/CEDAW/C/CHE/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CHE/CO/4-5/Corr.1" TargetMode="External"/><Relationship Id="rId32" Type="http://schemas.openxmlformats.org/officeDocument/2006/relationships/hyperlink" Target="https://undocs.org/ch/CEDAW/C/CHE/CO/4-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CHE/CO/4-5" TargetMode="External"/><Relationship Id="rId28" Type="http://schemas.openxmlformats.org/officeDocument/2006/relationships/hyperlink" Target="https://undocs.org/ch/CEDAW/C/CHE/CO/4-5" TargetMode="External"/><Relationship Id="rId36" Type="http://schemas.openxmlformats.org/officeDocument/2006/relationships/hyperlink" Target="https://undocs.org/ch/HRI/GEN/2/Rev.6" TargetMode="External"/><Relationship Id="rId10" Type="http://schemas.openxmlformats.org/officeDocument/2006/relationships/footer" Target="footer1.xml"/><Relationship Id="rId19" Type="http://schemas.openxmlformats.org/officeDocument/2006/relationships/hyperlink" Target="https://undocs.org/ch/CEDAW/C/SR.1928" TargetMode="External"/><Relationship Id="rId31" Type="http://schemas.openxmlformats.org/officeDocument/2006/relationships/hyperlink" Target="https://undocs.org/ch/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CHE/CO/4-5/Add.1" TargetMode="External"/><Relationship Id="rId27" Type="http://schemas.openxmlformats.org/officeDocument/2006/relationships/hyperlink" Target="https://undocs.org/ch/CEDAW/C/CHE/CO/3" TargetMode="External"/><Relationship Id="rId30" Type="http://schemas.openxmlformats.org/officeDocument/2006/relationships/hyperlink" Target="https://undocs.org/ch/CEDAW/C/CHE/CO/4-5" TargetMode="External"/><Relationship Id="rId35" Type="http://schemas.openxmlformats.org/officeDocument/2006/relationships/hyperlink" Target="https://undocs.org/ch/CRPD/C/CHE/CO/1"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2102</Words>
  <Characters>11984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Shu Xing Ji</cp:lastModifiedBy>
  <cp:revision>3</cp:revision>
  <cp:lastPrinted>2022-11-28T15:43:00Z</cp:lastPrinted>
  <dcterms:created xsi:type="dcterms:W3CDTF">2022-11-28T15:43:00Z</dcterms:created>
  <dcterms:modified xsi:type="dcterms:W3CDTF">2022-11-28T15:44:00Z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2224503</vt:lpwstr>
  </property>
  <property fmtid="{D5CDD505-2E9C-101B-9397-08002B2CF9AE}" pid="3" name="ODSRefJobNo">
    <vt:lpwstr>2266575C</vt:lpwstr>
  </property>
  <property fmtid="{D5CDD505-2E9C-101B-9397-08002B2CF9AE}" pid="4" name="Symbol1">
    <vt:lpwstr>CEDAW/C/CHE/CO/6</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关于瑞士第六次定期报告的结论性意见*_x000d_</vt:lpwstr>
  </property>
</Properties>
</file>