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CO"/>
        </w:rPr>
      </w:pPr>
      <w:r>
        <w:rPr>
          <w:lang w:val="es-CO"/>
        </w:rPr>
        <w:t>Comité para la Eliminación de la</w:t>
      </w:r>
      <w:r>
        <w:rPr>
          <w:lang w:val="es-CO"/>
        </w:rPr>
        <w:br/>
        <w:t>Discriminación contra la Mujer</w:t>
      </w:r>
    </w:p>
    <w:p w:rsidR="00000000" w:rsidRDefault="00000000">
      <w:pPr>
        <w:spacing w:line="120" w:lineRule="exact"/>
        <w:rPr>
          <w:sz w:val="10"/>
          <w:lang w:val="es-CO"/>
        </w:rPr>
      </w:pPr>
    </w:p>
    <w:p w:rsidR="00000000" w:rsidRDefault="00000000">
      <w:pPr>
        <w:spacing w:line="120" w:lineRule="exact"/>
        <w:rPr>
          <w:sz w:val="10"/>
          <w:lang w:val="es-CO"/>
        </w:rPr>
      </w:pPr>
    </w:p>
    <w:p w:rsidR="00000000" w:rsidRDefault="00000000">
      <w:pPr>
        <w:spacing w:line="120" w:lineRule="exact"/>
        <w:rPr>
          <w:sz w:val="10"/>
          <w:lang w:val="es-CO"/>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Examen de los informes presentados por los Estados partes de conformidad con el artículo 18 de la Convención sobre la eliminación de todas las formas de discriminación contra la mujer</w:t>
      </w: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pStyle w:val="SingleTxt"/>
        <w:spacing w:after="0" w:line="120" w:lineRule="exact"/>
        <w:rPr>
          <w:sz w:val="10"/>
          <w:lang w:val="es-CO"/>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2"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Para el informe inicial presentado por el Gobierno de Eslovenia, véase CEDAW/C/SVN/1, que fue examinado por el Comité en su 16° período de sesiones. Para el segundo examen periódico presentado por el Gobierno de Eslovenia, véase CEDAW/C/SVN/2.</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documento es traducción de un texto que no ha pasado por los servicios de edición.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CO"/>
        </w:rPr>
      </w:pPr>
      <w:r>
        <w:rPr>
          <w:lang w:val="es-CO"/>
        </w:rPr>
        <w:tab/>
      </w:r>
      <w:r>
        <w:rPr>
          <w:lang w:val="es-CO"/>
        </w:rPr>
        <w:tab/>
        <w:t>Terceros informes periódicos de los Estados partes</w:t>
      </w:r>
      <w:r>
        <w:rPr>
          <w:sz w:val="20"/>
          <w:lang w:val="es-CO"/>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Eslovenia</w:t>
      </w:r>
      <w:r>
        <w:rPr>
          <w:sz w:val="20"/>
        </w:rPr>
        <w:t>**</w:t>
      </w: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virtud de la Ley sobre Notificación de la Sucesión en las Convenciones de las Naciones Unidas, de 6 de julio de 1992, la República de Eslovenia pasó a ser s</w:t>
      </w:r>
      <w:r>
        <w:t>u</w:t>
      </w:r>
      <w:r>
        <w:t>cesora legítima respecto de la Convención sobre la eliminación de todas las formas de discriminación contra la mujer. En 1993, la República de Eslovenia presentó al Comité para la Eliminación de la Discriminación contra la Mujer el informe inicial sobre la aplicación de las disposiciones de la Convención. El Comité lo examinó en su 16º período de sesiones. En 1999, el Gobierno de la República de Eslovenia aprobó el Segundo Informe en cumplimiento del Artículo 18 de la Convención y lo trasladó al Comité para la Eliminación de la Discriminación contra la Mujer.</w:t>
      </w:r>
    </w:p>
    <w:p w:rsidR="00000000" w:rsidRDefault="00000000">
      <w:pPr>
        <w:pStyle w:val="SingleTxt"/>
      </w:pPr>
      <w:r>
        <w:tab/>
        <w:t>El Gobierno de la República de Eslovenia está obligado por la Constitución, la legislación y los acuerdos internacionales a garantizar y mantener el disfrute de los derechos humanos y de las libertades fundamentales, que proscriben todas las fo</w:t>
      </w:r>
      <w:r>
        <w:t>r</w:t>
      </w:r>
      <w:r>
        <w:t>mas de discriminación por razones de nacionalidad, raza, sexo, idioma, creencias religiosas, convicciones políticas o de otro tipo, circunstancias materiales, nac</w:t>
      </w:r>
      <w:r>
        <w:t>i</w:t>
      </w:r>
      <w:r>
        <w:t>miento, educación, posición social o cualquier otra circunstancia. La Convención sobre la eliminación de todas formas de discriminación contra la mujer constituye la base jurídica de los programas nacionales de reformas de las leyes y, al mismo tie</w:t>
      </w:r>
      <w:r>
        <w:t>m</w:t>
      </w:r>
      <w:r>
        <w:t>po, una fuente de referencia para la formulación de estrategias y programas destin</w:t>
      </w:r>
      <w:r>
        <w:t>a</w:t>
      </w:r>
      <w:r>
        <w:t>dos a impedir la discriminación de la mujer y a garantizar la igualdad de género.</w:t>
      </w:r>
    </w:p>
    <w:p w:rsidR="00000000" w:rsidRDefault="00000000">
      <w:pPr>
        <w:pStyle w:val="SingleTxt"/>
      </w:pPr>
      <w:r>
        <w:tab/>
        <w:t>El Tercer Informe sobre la aplicación de las disposiciones de la Convención sobre la eliminación de todas las formas de discriminación contra la mujer ha sido elaborado por la Oficina de Igualdad de Oportunidades del Gobierno de la República de Eslovenia en colaboración con ministerios y otras instituciones. El Tercer Info</w:t>
      </w:r>
      <w:r>
        <w:t>r</w:t>
      </w:r>
      <w:r>
        <w:t>me se presenta en forma condensada y se centra sobre todo en los cambios verific</w:t>
      </w:r>
      <w:r>
        <w:t>a</w:t>
      </w:r>
      <w:r>
        <w:t>dos en el período transcurrido desde el Segundo Informe hasta la preparación del Tercer Informe, a fin de que uno y otro puedan ser examinados simultáneamente por el Comité para la Eliminación de la Discriminación contra la Mujer (en el 29º perí</w:t>
      </w:r>
      <w:r>
        <w:t>o</w:t>
      </w:r>
      <w:r>
        <w:t>do de sesiones del Comité, previsto para julio de 2003).</w:t>
      </w:r>
    </w:p>
    <w:p w:rsidR="00000000" w:rsidRDefault="00000000">
      <w:pPr>
        <w:pStyle w:val="SingleTxt"/>
      </w:pPr>
      <w:r>
        <w:tab/>
        <w:t>En 2001, la Oficina de Políticas de la Mujer pasó a denominarse Oficina de Igualdad de Oportunidades, de modo que en el informe se utiliza la denominación Oficina de Igualdad de Oportunidades para referirse al trabajo y a las actividades de ambas of</w:t>
      </w:r>
      <w:r>
        <w:t>i</w:t>
      </w:r>
      <w:r>
        <w:t>cinas.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Fuentes jurídicas utilizadas</w:t>
      </w:r>
    </w:p>
    <w:p w:rsidR="00000000" w:rsidRDefault="00000000">
      <w:pPr>
        <w:pStyle w:val="SingleTxt"/>
        <w:spacing w:after="0" w:line="120" w:lineRule="exact"/>
        <w:rPr>
          <w:sz w:val="10"/>
        </w:rPr>
      </w:pPr>
    </w:p>
    <w:p w:rsidR="00000000" w:rsidRDefault="00000000">
      <w:pPr>
        <w:pStyle w:val="SingleTxt"/>
        <w:ind w:left="1742" w:hanging="475"/>
      </w:pPr>
      <w:r>
        <w:t>1.</w:t>
      </w:r>
      <w:r>
        <w:tab/>
        <w:t>Constitución de la República de Eslovenia, Gaceta Oficial de la República de Eslovenia (Ur.1.RS), No. 33/91-I, 42/97 y 66/2000</w:t>
      </w:r>
    </w:p>
    <w:p w:rsidR="00000000" w:rsidRDefault="00000000">
      <w:pPr>
        <w:pStyle w:val="SingleTxt"/>
        <w:ind w:left="1742" w:hanging="475"/>
      </w:pPr>
      <w:r>
        <w:t>2.</w:t>
      </w:r>
      <w:r>
        <w:tab/>
        <w:t>Ley de igualdad de oportunidades para la mujer y el hombre, Ur.1.RS, No. 59/2002</w:t>
      </w:r>
    </w:p>
    <w:p w:rsidR="00000000" w:rsidRDefault="00000000">
      <w:pPr>
        <w:pStyle w:val="SingleTxt"/>
      </w:pPr>
      <w:r>
        <w:t>3.</w:t>
      </w:r>
      <w:r>
        <w:tab/>
        <w:t>Ley de relaciones laborales, Ur.1.RS, No. 42/2002</w:t>
      </w:r>
    </w:p>
    <w:p w:rsidR="00000000" w:rsidRDefault="00000000">
      <w:pPr>
        <w:pStyle w:val="SingleTxt"/>
      </w:pPr>
      <w:r>
        <w:t>4.</w:t>
      </w:r>
      <w:r>
        <w:tab/>
        <w:t>Ley de atención a los hijos e ingreso de la familia, Ur.1.RS, No. 97/2001</w:t>
      </w:r>
    </w:p>
    <w:p w:rsidR="00000000" w:rsidRDefault="00000000">
      <w:pPr>
        <w:pStyle w:val="SingleTxt"/>
        <w:ind w:left="1742" w:hanging="475"/>
      </w:pPr>
      <w:r>
        <w:t>5.</w:t>
      </w:r>
      <w:r>
        <w:tab/>
        <w:t>Ley de matrimonio y relaciones familiares,</w:t>
      </w:r>
      <w:r>
        <w:rPr>
          <w:w w:val="100"/>
        </w:rPr>
        <w:t xml:space="preserve"> Ur.1.RS, No. 14/89 (texto conjunto) </w:t>
      </w:r>
      <w:r>
        <w:t>y 64/2001</w:t>
      </w:r>
    </w:p>
    <w:p w:rsidR="00000000" w:rsidRDefault="00000000">
      <w:pPr>
        <w:pStyle w:val="SingleTxt"/>
      </w:pPr>
      <w:r>
        <w:t>6.</w:t>
      </w:r>
      <w:r>
        <w:tab/>
        <w:t>Código Penal, Ur.1.RS, No. 63/94, 70/94 y 23/99</w:t>
      </w:r>
    </w:p>
    <w:p w:rsidR="00000000" w:rsidRDefault="00000000">
      <w:pPr>
        <w:pStyle w:val="SingleTxt"/>
        <w:ind w:left="1742" w:hanging="475"/>
      </w:pPr>
      <w:r>
        <w:t>7.</w:t>
      </w:r>
      <w:r>
        <w:tab/>
        <w:t>Ley de procedimiento criminal, Ur.1.RS, No. 63/94, 70/94, 72/98, 6/99, 66/2000 y 111/2001</w:t>
      </w:r>
    </w:p>
    <w:p w:rsidR="00000000" w:rsidRDefault="00000000">
      <w:pPr>
        <w:pStyle w:val="SingleTxt"/>
      </w:pPr>
      <w:r>
        <w:t>8.</w:t>
      </w:r>
      <w:r>
        <w:tab/>
        <w:t>Ley de asuntos exteriores, Ur.1.RS, No. 45/2001</w:t>
      </w:r>
    </w:p>
    <w:p w:rsidR="00000000" w:rsidRDefault="00000000">
      <w:pPr>
        <w:pStyle w:val="SingleTxt"/>
        <w:ind w:left="1742" w:hanging="475"/>
      </w:pPr>
      <w:r>
        <w:t>9.</w:t>
      </w:r>
      <w:r>
        <w:tab/>
        <w:t>Ley de pensiones y seguro de invalidez, Ur.1.RS, No. 106/99, 72/2000, 124/2000 y 109/2001</w:t>
      </w:r>
    </w:p>
    <w:p w:rsidR="00000000" w:rsidRDefault="00000000">
      <w:pPr>
        <w:pStyle w:val="SingleTxt"/>
        <w:ind w:left="1742" w:hanging="475"/>
      </w:pPr>
      <w:r>
        <w:t>10.</w:t>
      </w:r>
      <w:r>
        <w:tab/>
        <w:t>Ley de atención médica y seguro de enfermedad, Ur.1.RS, No. 91/92, 13/93, 9/96, 29/98, 6/99, 99/2001 y 60/2002</w:t>
      </w:r>
    </w:p>
    <w:p w:rsidR="00000000" w:rsidRDefault="00000000">
      <w:pPr>
        <w:pStyle w:val="SingleTxt"/>
      </w:pPr>
      <w:r>
        <w:t>11.</w:t>
      </w:r>
      <w:r>
        <w:tab/>
        <w:t>Ley de salud y seguridad en el trabajo, Ur.1.RS, No. 56/99 y 64/2001</w:t>
      </w:r>
    </w:p>
    <w:p w:rsidR="00000000" w:rsidRDefault="00000000">
      <w:pPr>
        <w:pStyle w:val="SingleTxt"/>
        <w:ind w:left="1742" w:hanging="475"/>
      </w:pPr>
      <w:r>
        <w:t>12.</w:t>
      </w:r>
      <w:r>
        <w:tab/>
        <w:t>Ley de tratamiento de los problemas de fecundidad y de métodos de reprodu</w:t>
      </w:r>
      <w:r>
        <w:t>c</w:t>
      </w:r>
      <w:r>
        <w:t>ción asistida biomédicamente, Ur.1.RS, No. 70/2000</w:t>
      </w:r>
    </w:p>
    <w:p w:rsidR="00000000" w:rsidRDefault="00000000">
      <w:pPr>
        <w:pStyle w:val="SingleTxt"/>
        <w:ind w:left="1742" w:hanging="475"/>
      </w:pPr>
      <w:r>
        <w:t>13.</w:t>
      </w:r>
      <w:r>
        <w:tab/>
        <w:t>Ley de medidas sanitarias para el ejercicio de la libertad de elección en la r</w:t>
      </w:r>
      <w:r>
        <w:t>e</w:t>
      </w:r>
      <w:r>
        <w:t>producción, Gaceta Oficial SRS, No. 11/77, 42/86, Ur.1.RS/I, No. 17/91 y 66/93</w:t>
      </w:r>
    </w:p>
    <w:p w:rsidR="00000000" w:rsidRDefault="00000000">
      <w:pPr>
        <w:pStyle w:val="SingleTxt"/>
        <w:ind w:left="1742" w:hanging="475"/>
      </w:pPr>
      <w:r>
        <w:t>14.</w:t>
      </w:r>
      <w:r>
        <w:tab/>
        <w:t>Ley del Fondo de Garantía y de Pensiones Alimentarias, Ur.1.RS, No. 25/97, 10/98, 41/99 y 53/99</w:t>
      </w:r>
    </w:p>
    <w:p w:rsidR="00000000" w:rsidRDefault="00000000">
      <w:pPr>
        <w:pStyle w:val="SingleTxt"/>
        <w:ind w:left="2218" w:hanging="951"/>
      </w:pPr>
      <w:r>
        <w:t>15.</w:t>
      </w:r>
      <w:r>
        <w:tab/>
        <w:t>Programa Nacional de Protección Social antes de 2005, Ur.1.RS, No. 31/2000</w:t>
      </w:r>
    </w:p>
    <w:p w:rsidR="00000000" w:rsidRDefault="00000000">
      <w:pPr>
        <w:pStyle w:val="SingleTxt"/>
        <w:ind w:left="1742" w:hanging="475"/>
      </w:pPr>
      <w:r>
        <w:t>16.</w:t>
      </w:r>
      <w:r>
        <w:tab/>
        <w:t>Programa Nacional de Desarrollo del Mercado Laboral y del Empleo para 2006, Ur.1.RS, No. 92/2001</w:t>
      </w:r>
    </w:p>
    <w:p w:rsidR="00000000" w:rsidRDefault="00000000">
      <w:pPr>
        <w:pStyle w:val="SingleTxt"/>
        <w:ind w:left="1742" w:hanging="475"/>
      </w:pPr>
      <w:r>
        <w:t>17.</w:t>
      </w:r>
      <w:r>
        <w:tab/>
        <w:t>Programa Nacional de Atención Médica de la República de Eslovenia “Salud p</w:t>
      </w:r>
      <w:r>
        <w:t>a</w:t>
      </w:r>
      <w:r>
        <w:t>ra todos antes de 2004”, Ur.1.RS, No. 49/2000</w:t>
      </w:r>
    </w:p>
    <w:p w:rsidR="00000000" w:rsidRDefault="00000000">
      <w:pPr>
        <w:pStyle w:val="SingleTxt"/>
      </w:pPr>
      <w:r>
        <w:t>18.</w:t>
      </w:r>
      <w:r>
        <w:tab/>
        <w:t>Programa Nacional de Vivienda, Ur.1.RS, No. 43/2000</w:t>
      </w:r>
    </w:p>
    <w:p w:rsidR="00000000" w:rsidRDefault="00000000">
      <w:pPr>
        <w:pStyle w:val="SingleTxt"/>
        <w:ind w:left="1742" w:hanging="475"/>
      </w:pPr>
      <w:r>
        <w:t>19.</w:t>
      </w:r>
      <w:r>
        <w:tab/>
        <w:t>Programa Nacional de Deporte en la República de Eslovenia, Ur.1.RS, No. 24/2000 y 31/2000</w:t>
      </w:r>
    </w:p>
    <w:p w:rsidR="00000000" w:rsidRDefault="00000000">
      <w:pPr>
        <w:pStyle w:val="SingleTxt"/>
        <w:ind w:left="1742" w:hanging="475"/>
      </w:pPr>
      <w:r>
        <w:t>20.</w:t>
      </w:r>
      <w:r>
        <w:tab/>
        <w:t>Normas sobre el método para redactar la declaración de seguridad con evalu</w:t>
      </w:r>
      <w:r>
        <w:t>a</w:t>
      </w:r>
      <w:r>
        <w:t>ción de riesgos, Ur.1.RS, No. 30/2000</w:t>
      </w:r>
    </w:p>
    <w:p w:rsidR="00000000" w:rsidRDefault="00000000">
      <w:pPr>
        <w:pStyle w:val="SingleTxt"/>
        <w:ind w:left="2218" w:hanging="951"/>
      </w:pPr>
      <w:r>
        <w:t>21.</w:t>
      </w:r>
      <w:r>
        <w:tab/>
        <w:t>Ley relativa al sistema salarial en el sector público, Ur.1.RS, No. 56/2002.</w:t>
      </w:r>
    </w:p>
    <w:p w:rsidR="00000000" w:rsidRDefault="00000000">
      <w:pPr>
        <w:pStyle w:val="SingleTxt"/>
        <w:ind w:left="2218" w:hanging="951"/>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Parte 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Condiciones en las cuales Eslovenia aborda la eliminación de la discriminación contra la mujer en todas sus formas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La población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Datos básicos</w:t>
      </w:r>
    </w:p>
    <w:p w:rsidR="00000000" w:rsidRDefault="00000000">
      <w:pPr>
        <w:pStyle w:val="SingleTxt"/>
        <w:spacing w:after="0" w:line="120" w:lineRule="exact"/>
        <w:rPr>
          <w:sz w:val="10"/>
        </w:rPr>
      </w:pPr>
    </w:p>
    <w:p w:rsidR="00000000" w:rsidRDefault="00000000">
      <w:pPr>
        <w:pStyle w:val="SingleTxt"/>
      </w:pPr>
      <w:r>
        <w:tab/>
        <w:t>En 2001 la República de Eslovenia tenía 1.990.094 habitantes, de los cuales 972.742 eran hombres y 1.017.352 mujeres. Las mujeres representan, pues, 51,1% de la población total. En comparación con los datos correspondientes al Segundo I</w:t>
      </w:r>
      <w:r>
        <w:t>n</w:t>
      </w:r>
      <w:r>
        <w:t>forme (1.986.989 habitantes en 1996), el número de habitantes aumentó ligeramente en el período transcurrido hasta 2001, pero la proporción de mujeres experimentó una l</w:t>
      </w:r>
      <w:r>
        <w:t>i</w:t>
      </w:r>
      <w:r>
        <w:t>gera disminución (51,4% de mujeres en 1996).</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Fecundidad y abortos</w:t>
      </w:r>
    </w:p>
    <w:p w:rsidR="00000000" w:rsidRDefault="00000000">
      <w:pPr>
        <w:pStyle w:val="SingleTxt"/>
        <w:spacing w:after="0" w:line="120" w:lineRule="exact"/>
        <w:rPr>
          <w:sz w:val="10"/>
        </w:rPr>
      </w:pPr>
    </w:p>
    <w:p w:rsidR="00000000" w:rsidRDefault="00000000">
      <w:pPr>
        <w:pStyle w:val="SingleTxt"/>
      </w:pPr>
      <w:r>
        <w:tab/>
        <w:t>La fecundidad disminuye año tras año al tiempo que aumenta la edad media de las madres. Son interesantes los datos que apuntan a un aumento de nacidos vivos en 2000. Si se compara con 1999, año en el que nacieron 17.533 niños, en 2000 hubo 18.180 nacidos vivos, pero en 2001 la cifra volvió a reducirse significativamente a 17.477 niños. La edad media de la madre en el primer parto en 2000 era de 28,3 años, mientras que en 1996 había sido de 27,5 años (los datos se refieren a la edad de las madres de niños nacidos vivos).</w:t>
      </w:r>
    </w:p>
    <w:p w:rsidR="00000000" w:rsidRDefault="00000000">
      <w:pPr>
        <w:pStyle w:val="SingleTxt"/>
      </w:pPr>
      <w:r>
        <w:tab/>
        <w:t>El número de abortos autorizados en el período transcurrido desde 1996 se ha red</w:t>
      </w:r>
      <w:r>
        <w:t>u</w:t>
      </w:r>
      <w:r>
        <w:t>cido pasando de 10.218 abortos en 1996 a 8.429 en 2000.</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Matrimonio y divorcio</w:t>
      </w:r>
    </w:p>
    <w:p w:rsidR="00000000" w:rsidRDefault="00000000">
      <w:pPr>
        <w:pStyle w:val="SingleTxt"/>
        <w:spacing w:after="0" w:line="120" w:lineRule="exact"/>
        <w:rPr>
          <w:sz w:val="10"/>
        </w:rPr>
      </w:pPr>
    </w:p>
    <w:p w:rsidR="00000000" w:rsidRDefault="00000000">
      <w:pPr>
        <w:pStyle w:val="SingleTxt"/>
      </w:pPr>
      <w:r>
        <w:tab/>
        <w:t>En 2000 el número de matrimonios se redujo notablemente al tiempo que a</w:t>
      </w:r>
      <w:r>
        <w:t>u</w:t>
      </w:r>
      <w:r>
        <w:t>mentaba el número de divorcios respecto de 1999. En 1999, se celebraron 7.716 matrimonios y se concedieron 2.074 divorcios. En 2000, se celebraron 515 matr</w:t>
      </w:r>
      <w:r>
        <w:t>i</w:t>
      </w:r>
      <w:r>
        <w:t>monios menos y se registraron 51 divorcios más. Aumenta de año en año la edad media de los contrayentes en el momento del matrimonio; en 2000 la edad media de los hombres era de 31,4 años y de 28,4 la de las mujeres.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w:t>
      </w:r>
      <w:r>
        <w:tab/>
        <w:t>Envejecimiento de la población</w:t>
      </w:r>
    </w:p>
    <w:p w:rsidR="00000000" w:rsidRDefault="00000000">
      <w:pPr>
        <w:pStyle w:val="SingleTxt"/>
        <w:spacing w:after="0" w:line="120" w:lineRule="exact"/>
        <w:rPr>
          <w:sz w:val="10"/>
        </w:rPr>
      </w:pPr>
    </w:p>
    <w:p w:rsidR="00000000" w:rsidRDefault="00000000">
      <w:pPr>
        <w:pStyle w:val="SingleTxt"/>
      </w:pPr>
      <w:r>
        <w:tab/>
        <w:t>Los datos sobre la estructura de edad de la población muestran que continúa el envejecimiento de la población característico de una sociedad desarrollada. La e</w:t>
      </w:r>
      <w:r>
        <w:t>s</w:t>
      </w:r>
      <w:r>
        <w:t>peranza de vida en el período 1999-2000 es de 75,2 años: 71,9 en el caso de los hombres y 79,1, para las mujeres. Si se compara con los datos de finales de 1996 (73,6 años), la esperanza de vida a finales de 2000 ha aumentado 1,6 años.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Educación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Educación primaria y secundaria</w:t>
      </w:r>
    </w:p>
    <w:p w:rsidR="00000000" w:rsidRDefault="00000000">
      <w:pPr>
        <w:pStyle w:val="SingleTxt"/>
        <w:spacing w:after="0" w:line="120" w:lineRule="exact"/>
        <w:rPr>
          <w:sz w:val="10"/>
        </w:rPr>
      </w:pPr>
    </w:p>
    <w:p w:rsidR="00000000" w:rsidRDefault="00000000">
      <w:pPr>
        <w:pStyle w:val="SingleTxt"/>
      </w:pPr>
      <w:r>
        <w:tab/>
        <w:t>La educación primaria es obligatoria en Eslovenia. En el año escolar 1999/2000 hubo 185.034 alumnos matriculados en escuelas primarias, de los cuales 90.358 eran niñas, es decir, 48,8%. Ese mismo año, había 102.969 alumnos en las escuelas secundarias, de los cuales 51.673 eran niñas, es decir, 50,2%. De estas c</w:t>
      </w:r>
      <w:r>
        <w:t>i</w:t>
      </w:r>
      <w:r>
        <w:t>fras se desprende claramente que una cifra ligeramente superior de niñas que de n</w:t>
      </w:r>
      <w:r>
        <w:t>i</w:t>
      </w:r>
      <w:r>
        <w:t>ños continúa su educación en el nivel de secundaria.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Educación superior y universitaria</w:t>
      </w:r>
    </w:p>
    <w:p w:rsidR="00000000" w:rsidRDefault="00000000">
      <w:pPr>
        <w:pStyle w:val="SingleTxt"/>
        <w:spacing w:after="0" w:line="120" w:lineRule="exact"/>
        <w:rPr>
          <w:sz w:val="10"/>
        </w:rPr>
      </w:pPr>
    </w:p>
    <w:p w:rsidR="00000000" w:rsidRDefault="00000000">
      <w:pPr>
        <w:pStyle w:val="SingleTxt"/>
      </w:pPr>
      <w:r>
        <w:tab/>
        <w:t>Cada vez es mayor el número de estudiantes que decide cursar estudios sup</w:t>
      </w:r>
      <w:r>
        <w:t>e</w:t>
      </w:r>
      <w:r>
        <w:t>riores y universitarios. En 1996 había 50.667 estudiantes matriculados en este nivel, de los cuales 56,6% eran mujeres. En el mismo año se graduaron 7.724 estudiantes, de los cuales 6.658, es decir, 60,3%, eran mujeres. En 2000 había 82.812 estudiantes matriculados en el sistema de educación superior y universitaria, de los cuales 57,3% eran mujeres, y ese mismo año 10.232 de ellos finalizaron sus estudios (59,2%, mujeres). Se puede comprobar que un mayor número de mujeres decide continuar sus estudios en facultades y universidades y que la cuota de mujeres que finalizan sus estudios es también relativamente superior.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Estudios de postgrado</w:t>
      </w:r>
    </w:p>
    <w:p w:rsidR="00000000" w:rsidRDefault="00000000">
      <w:pPr>
        <w:pStyle w:val="SingleTxt"/>
        <w:spacing w:after="0" w:line="120" w:lineRule="exact"/>
        <w:rPr>
          <w:sz w:val="10"/>
        </w:rPr>
      </w:pPr>
    </w:p>
    <w:p w:rsidR="00000000" w:rsidRDefault="00000000">
      <w:pPr>
        <w:pStyle w:val="SingleTxt"/>
      </w:pPr>
      <w:r>
        <w:tab/>
        <w:t>El 49,7% de las personas que finalizaron maestrías y estudios de especializ</w:t>
      </w:r>
      <w:r>
        <w:t>a</w:t>
      </w:r>
      <w:r>
        <w:t>ción en 1996 eran mujeres. En 2000 la proporción de mujeres era de 48%.</w:t>
      </w:r>
    </w:p>
    <w:p w:rsidR="00000000" w:rsidRDefault="00000000">
      <w:pPr>
        <w:pStyle w:val="SingleTxt"/>
      </w:pPr>
      <w:r>
        <w:tab/>
        <w:t>En 1996 teníamos en Eslovenia 238 doctores en ciencias, de los cuales 33,1% eran mujeres. En 2000 había 296 doctores en ciencias y la proporción de mujeres había aumentado a 38,5%.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Situación económica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3.1</w:t>
      </w:r>
      <w:r>
        <w:tab/>
        <w:t>Desarrollo económico</w:t>
      </w:r>
    </w:p>
    <w:p w:rsidR="00000000" w:rsidRDefault="00000000">
      <w:pPr>
        <w:pStyle w:val="SingleTxt"/>
        <w:spacing w:after="0" w:line="120" w:lineRule="exact"/>
        <w:rPr>
          <w:sz w:val="10"/>
        </w:rPr>
      </w:pPr>
    </w:p>
    <w:p w:rsidR="00000000" w:rsidRDefault="00000000">
      <w:pPr>
        <w:pStyle w:val="SingleTxt"/>
      </w:pPr>
      <w:r>
        <w:tab/>
        <w:t>Se considera a Eslovenia uno de los países que mejor ha conseguido realizar la transición a un sistema de economía de mercado. El crecimiento del producto inte</w:t>
      </w:r>
      <w:r>
        <w:t>r</w:t>
      </w:r>
      <w:r>
        <w:t>no bruto (PIB) es estable en Eslovenia, que figura entre los países en transición con la estimación de riesgos más baja. En 1997 el PIB per cápita era de 9.163 dólares y dos años más tarde, de 10.109 dólares, pero según los datos más recientes de 2001, el PIB per cápita es de 9.451 dólares. En 2001, la inflación media anual en Eslov</w:t>
      </w:r>
      <w:r>
        <w:t>e</w:t>
      </w:r>
      <w:r>
        <w:t>nia fue de 8,4%. Las medidas de empleo adoptadas han contribuido a reducir el d</w:t>
      </w:r>
      <w:r>
        <w:t>e</w:t>
      </w:r>
      <w:r>
        <w:t>se</w:t>
      </w:r>
      <w:r>
        <w:t>m</w:t>
      </w:r>
      <w:r>
        <w:t>pleo en los últimos años.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3.2</w:t>
      </w:r>
      <w:r>
        <w:tab/>
        <w:t>Empleo y desempleo</w:t>
      </w:r>
    </w:p>
    <w:p w:rsidR="00000000" w:rsidRDefault="00000000">
      <w:pPr>
        <w:pStyle w:val="SingleTxt"/>
        <w:spacing w:after="0" w:line="120" w:lineRule="exact"/>
        <w:rPr>
          <w:sz w:val="10"/>
        </w:rPr>
      </w:pPr>
    </w:p>
    <w:p w:rsidR="00000000" w:rsidRDefault="00000000">
      <w:pPr>
        <w:pStyle w:val="SingleTxt"/>
      </w:pPr>
      <w:r>
        <w:tab/>
        <w:t>La cuota de población trabajadora en activo aumentó ligeramente en el período 1999-2001, así como la cuota de población empleada. En 2001 el porcentaje de m</w:t>
      </w:r>
      <w:r>
        <w:t>u</w:t>
      </w:r>
      <w:r>
        <w:t>jeres trabajadoras en activo de edades comprendidas entre los 15 y los 64 años se elevó a 63,5% (en los hombres, 73,1%) y la cuota de mujeres empleadas en la mi</w:t>
      </w:r>
      <w:r>
        <w:t>s</w:t>
      </w:r>
      <w:r>
        <w:t>ma franja de edad era 58,9% (en los hombres, 68,7%). El desempleo registrado en los últimos años ha pasado de 14,5% en 1998 a 11,6% en 2001, pero en ese mismo año, el desempleo en la población femenina era 1,1% superior al de la población masc</w:t>
      </w:r>
      <w:r>
        <w:t>u</w:t>
      </w:r>
      <w:r>
        <w:t>lina.</w:t>
      </w:r>
    </w:p>
    <w:p w:rsidR="00000000" w:rsidRDefault="00000000">
      <w:pPr>
        <w:pStyle w:val="SingleTxt"/>
      </w:pPr>
      <w:r>
        <w:tab/>
        <w:t>Lo que causa mayor preocupación es el desempleo de los jóvenes que buscan su primer trabajo, que ha aumentado ligeramente en los últimos años. En 1997 el d</w:t>
      </w:r>
      <w:r>
        <w:t>e</w:t>
      </w:r>
      <w:r>
        <w:t>sempleo juvenil (15-24 años) era 17,4% (mujeres, 19,7%) y en 2001 había aument</w:t>
      </w:r>
      <w:r>
        <w:t>a</w:t>
      </w:r>
      <w:r>
        <w:t>do a 18,1% (20,9% en la población femenina).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3.3</w:t>
      </w:r>
      <w:r>
        <w:tab/>
        <w:t>Estructura del mercado de trabajo</w:t>
      </w:r>
    </w:p>
    <w:p w:rsidR="00000000" w:rsidRDefault="00000000">
      <w:pPr>
        <w:pStyle w:val="SingleTxt"/>
        <w:spacing w:after="0" w:line="120" w:lineRule="exact"/>
        <w:rPr>
          <w:sz w:val="10"/>
        </w:rPr>
      </w:pPr>
    </w:p>
    <w:p w:rsidR="00000000" w:rsidRDefault="00000000">
      <w:pPr>
        <w:pStyle w:val="SingleTxt"/>
      </w:pPr>
      <w:r>
        <w:tab/>
        <w:t>El mercado de trabajo en Eslovenia está fuertemente compartimentado hor</w:t>
      </w:r>
      <w:r>
        <w:t>i</w:t>
      </w:r>
      <w:r>
        <w:t>zontal y verticalmente. La mujeres trabajan principalmente en el sector público, e</w:t>
      </w:r>
      <w:r>
        <w:t>s</w:t>
      </w:r>
      <w:r>
        <w:t>pecialmente en educación, salud y servicios sociales y otras actividades de servicios. Al mismo tiempo, la proporción de mujeres en altos cargos de gobierno y de gestión es baja (31,8%).</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3.4</w:t>
      </w:r>
      <w:r>
        <w:tab/>
        <w:t>Políticas de ingreso</w:t>
      </w:r>
    </w:p>
    <w:p w:rsidR="00000000" w:rsidRDefault="00000000">
      <w:pPr>
        <w:pStyle w:val="SingleTxt"/>
        <w:spacing w:after="0" w:line="120" w:lineRule="exact"/>
        <w:rPr>
          <w:sz w:val="10"/>
        </w:rPr>
      </w:pPr>
    </w:p>
    <w:p w:rsidR="00000000" w:rsidRDefault="00000000">
      <w:pPr>
        <w:pStyle w:val="SingleTxt"/>
      </w:pPr>
      <w:r>
        <w:tab/>
        <w:t>Debido a sus políticas de ingreso, durante varios años Eslovenia ha exper</w:t>
      </w:r>
      <w:r>
        <w:t>i</w:t>
      </w:r>
      <w:r>
        <w:t>mentado un crecimiento salarial modesto, por detrás del incremento de la product</w:t>
      </w:r>
      <w:r>
        <w:t>i</w:t>
      </w:r>
      <w:r>
        <w:t>vidad laboral, tanto en el sector público como en el privado. La determinación del salario se rige por los convenios colectivos, los contratos individuales, la Ley relat</w:t>
      </w:r>
      <w:r>
        <w:t>i</w:t>
      </w:r>
      <w:r>
        <w:t>va al sistema salarial en el sector público y la Ley de relaciones laborales. El salario mensual del hombre es superior al de la mujer en casi todas las actividades econ</w:t>
      </w:r>
      <w:r>
        <w:t>ó</w:t>
      </w:r>
      <w:r>
        <w:t>micas. Las cifras correspondientes a 2000 muestran que el salario mensual promedio de la mujer es 12,2% inferior al del hombre.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Vida pública y política</w:t>
      </w:r>
    </w:p>
    <w:p w:rsidR="00000000" w:rsidRDefault="00000000">
      <w:pPr>
        <w:pStyle w:val="SingleTxt"/>
        <w:spacing w:after="0" w:line="120" w:lineRule="exact"/>
        <w:rPr>
          <w:sz w:val="10"/>
        </w:rPr>
      </w:pPr>
    </w:p>
    <w:p w:rsidR="00000000" w:rsidRDefault="00000000">
      <w:pPr>
        <w:pStyle w:val="SingleTxt"/>
      </w:pPr>
      <w:r>
        <w:tab/>
        <w:t>En términos jurídicos formales, la mujer y el hombre gozan de los mismos d</w:t>
      </w:r>
      <w:r>
        <w:t>e</w:t>
      </w:r>
      <w:r>
        <w:t>rechos políticos en Eslovenia. No obstante, la igualdad jurídica formal entre el ho</w:t>
      </w:r>
      <w:r>
        <w:t>m</w:t>
      </w:r>
      <w:r>
        <w:t>bre y la mujer en el ámbito de la adopción de decisiones políticas no garantiza una posición de igualdad real en la práctica. En relación con la participación femenina en la estructura total de la población del país, la mujer no está suficientemente r</w:t>
      </w:r>
      <w:r>
        <w:t>e</w:t>
      </w:r>
      <w:r>
        <w:t>presentada en los diversos estamentos de adopción de decisiones políticas, tanto en cargos elegidos como designados, ya sea en el ámbito local o en el estatal. En las últimas elecciones a la Asamblea Nacional (2000), sobre un total de 90 escaños fu</w:t>
      </w:r>
      <w:r>
        <w:t>e</w:t>
      </w:r>
      <w:r>
        <w:t>ron elegidas 12 mujeres (13,3%). La cifra ha aumentado ligeramente respecto del número de mujeres parlamentarias en las elecciones de 1996, en las que represent</w:t>
      </w:r>
      <w:r>
        <w:t>a</w:t>
      </w:r>
      <w:r>
        <w:t>ron sólo 7,8%.</w:t>
      </w:r>
    </w:p>
    <w:p w:rsidR="00000000" w:rsidRDefault="00000000">
      <w:pPr>
        <w:pStyle w:val="SingleTxt"/>
      </w:pPr>
      <w:r>
        <w:tab/>
        <w:t>Sobre un total de 15 cargos ministeriales (uno de los cuales es ministro sin cartera), tres ministerios del Gobierno de la República de Eslovenia tienen al frente a una mujer (Ministra de Economía, Ministra de Cultura y Ministra de Educación, Ciencias y Deporte), lo que representa 20%. En el gobierno de 1996-2000, ninguna mujer ocupaba un cargo ministerial (salvo en los cuatro últimos meses antes de las elecciones parlamentarias, en los que hubo una ministra).</w:t>
      </w:r>
    </w:p>
    <w:p w:rsidR="00000000" w:rsidRDefault="00000000">
      <w:pPr>
        <w:pStyle w:val="SingleTxt"/>
      </w:pPr>
      <w:r>
        <w:tab/>
        <w:t>En Eslovenia es muy escasa la participación de la mujer en la adopción de d</w:t>
      </w:r>
      <w:r>
        <w:t>e</w:t>
      </w:r>
      <w:r>
        <w:t>cisiones políticas en el ámbito local. En las elecciones locales de 1998 el porcentaje de mujeres en las listas de candidatos era de 19,0% y sólo hubo 11,4% de mujeres elegidas para los consejos urbanos y municipales. Únicamente 4,2% de los alcaldes elegidos fueron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Medidas adoptadas para aplicar la Convención y efecto que la ratificación de la Convención ha tenido en la situación general, social, económica, política y jurídica del país desde su entrada en vigor en la República de Eslovenia</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Efecto de la ratificación de la Convención</w:t>
      </w:r>
    </w:p>
    <w:p w:rsidR="00000000" w:rsidRDefault="00000000">
      <w:pPr>
        <w:pStyle w:val="SingleTxt"/>
        <w:keepNext/>
        <w:spacing w:after="0" w:line="120" w:lineRule="exact"/>
        <w:rPr>
          <w:sz w:val="10"/>
        </w:rPr>
      </w:pPr>
    </w:p>
    <w:p w:rsidR="00000000" w:rsidRDefault="00000000">
      <w:pPr>
        <w:pStyle w:val="SingleTxt"/>
      </w:pPr>
      <w:r>
        <w:tab/>
        <w:t xml:space="preserve">La Convención sobre la eliminación de todas las formas de discriminación </w:t>
      </w:r>
      <w:r>
        <w:rPr>
          <w:w w:val="100"/>
        </w:rPr>
        <w:t xml:space="preserve">contra la mujer es el punto de partida de la labor que están realizando los mecanismos </w:t>
      </w:r>
      <w:r>
        <w:t>nacionales para establecer la igualdad de hecho entre la mujer y el hombre en la s</w:t>
      </w:r>
      <w:r>
        <w:t>o</w:t>
      </w:r>
      <w:r>
        <w:t xml:space="preserve">ciedad eslovena. </w:t>
      </w:r>
      <w:r>
        <w:rPr>
          <w:w w:val="100"/>
        </w:rPr>
        <w:t>Las disposiciones de la Convención son la base de la argumentación de las medidas propuestas al Gobierno por la Oficina de Igualdad de Oportunidades, y también han servido como punto de partida para los organismos no gubernament</w:t>
      </w:r>
      <w:r>
        <w:rPr>
          <w:w w:val="100"/>
        </w:rPr>
        <w:t>a</w:t>
      </w:r>
      <w:r>
        <w:rPr>
          <w:w w:val="100"/>
        </w:rPr>
        <w:t>les.</w:t>
      </w:r>
    </w:p>
    <w:p w:rsidR="00000000" w:rsidRDefault="00000000">
      <w:pPr>
        <w:pStyle w:val="SingleTxt"/>
      </w:pPr>
      <w:r>
        <w:tab/>
        <w:t>La Convención fue uno de los documentos básicos en la preparación y form</w:t>
      </w:r>
      <w:r>
        <w:t>u</w:t>
      </w:r>
      <w:r>
        <w:t>lación de la Ley de igualdad de oportunidades para la mujer y el hombre, que entró en v</w:t>
      </w:r>
      <w:r>
        <w:t>i</w:t>
      </w:r>
      <w:r>
        <w:t>gor el 20 de julio de 2002.</w:t>
      </w:r>
    </w:p>
    <w:p w:rsidR="00000000" w:rsidRDefault="00000000">
      <w:pPr>
        <w:pStyle w:val="SingleTxt"/>
      </w:pPr>
      <w:r>
        <w:tab/>
        <w:t>En el Segundo Informe recogimos la iniciativa de la Oficina de Igualdad de Oportunidades para asegurar la igualdad de oportunidades de los jóvenes de ambos sexos en el acceso a la Escuela Secundaria de Policía, de conformidad con el der</w:t>
      </w:r>
      <w:r>
        <w:t>e</w:t>
      </w:r>
      <w:r>
        <w:t>cho constitucional de igualdad en la educación, con el Artículo 10 de la Convención y con las decisiones gubernamentales. El Ministerio de Asuntos Internos se ha co</w:t>
      </w:r>
      <w:r>
        <w:t>m</w:t>
      </w:r>
      <w:r>
        <w:t>prometido a reformular los programas de educación para los agentes de policía pr</w:t>
      </w:r>
      <w:r>
        <w:t>o</w:t>
      </w:r>
      <w:r>
        <w:t>fesionales de modo que ya no se incumpla más el principio de igualdad de acceso a todas las formas y niveles de educación. La primera admisión de muchachas al pr</w:t>
      </w:r>
      <w:r>
        <w:t>o</w:t>
      </w:r>
      <w:r>
        <w:t>grama cuatrienal de la Escuela Secundaria de Policía se produjo en 1998. En 1999 la Escuela dio inicio a un nuevo programa de educación para agentes de policía, en forma de curso de profesionalización de 18 meses de duración, una vez finalizada la escuela secundaria. En la última admisión, las muchachas constituían casi una cuarta parte de todos los matriculados. Eslovenia ha eliminado pues el último obstáculo a la igualdad de oportunidades en materia de educación y se han establecido las co</w:t>
      </w:r>
      <w:r>
        <w:t>n</w:t>
      </w:r>
      <w:r>
        <w:t xml:space="preserve">diciones para una mayor participación femenina en la fuerza policial.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Instituciones para garantizar el derecho a la igualdad entre la mujer y el hombre y para eliminar las violaciones de este derecho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La Comisión de Políticas de Igualdad de Oportunidades de la Asamblea Nacional de la República de Eslovenia</w:t>
      </w:r>
    </w:p>
    <w:p w:rsidR="00000000" w:rsidRDefault="00000000">
      <w:pPr>
        <w:pStyle w:val="SingleTxt"/>
        <w:spacing w:after="0" w:line="120" w:lineRule="exact"/>
        <w:rPr>
          <w:sz w:val="10"/>
        </w:rPr>
      </w:pPr>
    </w:p>
    <w:p w:rsidR="00000000" w:rsidRDefault="00000000">
      <w:pPr>
        <w:pStyle w:val="SingleTxt"/>
      </w:pPr>
      <w:r>
        <w:tab/>
        <w:t>En 1990 se estableció en la Asamblea Nacional de la República de Eslovenia una Comisión de Políticas de la Mujer, que después de las elecciones de 1996 a</w:t>
      </w:r>
      <w:r>
        <w:t>m</w:t>
      </w:r>
      <w:r>
        <w:t>plió sus competencias y pasó a denominarse Comisión de Políticas de Igualdad de Oportunidades de la Asamblea Nacional de la República de Eslovenia. Con la reo</w:t>
      </w:r>
      <w:r>
        <w:t>r</w:t>
      </w:r>
      <w:r>
        <w:t>ganización de los organismos parlamentarios, la Comisión desapareció tras las ele</w:t>
      </w:r>
      <w:r>
        <w:t>c</w:t>
      </w:r>
      <w:r>
        <w:t>ciones de 2000 y sus competencias fueron asumidas por el Comité Parlamentario p</w:t>
      </w:r>
      <w:r>
        <w:t>a</w:t>
      </w:r>
      <w:r>
        <w:t>ra Asuntos Internos.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Oficina de Políticas de la Mujer</w:t>
      </w:r>
    </w:p>
    <w:p w:rsidR="00000000" w:rsidRDefault="00000000">
      <w:pPr>
        <w:pStyle w:val="SingleTxt"/>
        <w:keepNext/>
        <w:spacing w:after="0" w:line="120" w:lineRule="exact"/>
        <w:rPr>
          <w:sz w:val="10"/>
        </w:rPr>
      </w:pPr>
    </w:p>
    <w:p w:rsidR="00000000" w:rsidRDefault="00000000">
      <w:pPr>
        <w:pStyle w:val="SingleTxt"/>
        <w:keepNext/>
      </w:pPr>
      <w:r>
        <w:tab/>
        <w:t>En 1992 se creó la Oficina de Políticas de la Mujer, un servicio independiente, integrado por expertos, perteneciente al Gobierno de la República de Eslovenia. El principio básico del trabajo de la Oficina es velar por el cumplimiento de la igualdad jurídica declarada entre la mujer y el hombre y la materialización de esta igualdad en todos los ámbitos de la vida. La Oficina, que en 2001 pasó a denominarse Oficina de Igualdad de Oportunidades, continúa la labor establecida por resolución del G</w:t>
      </w:r>
      <w:r>
        <w:t>o</w:t>
      </w:r>
      <w:r>
        <w:t>bierno y por la Ley de igualdad de oportunidades para la mujer y el hombre. Ta</w:t>
      </w:r>
      <w:r>
        <w:t>m</w:t>
      </w:r>
      <w:r>
        <w:t>bién lleva a cabo actividades para integrar la perspectiva de género en las políticas gubernamentales y para eliminar las desigualdades en razón del género en todos los ámbitos de la vida. La Oficina realiza tareas en colaboración con ministerios y otros servicios públicos, con organizaciones internacionales, nacionales y extranjeras, tanto gubernamentales como no gubernamentales, y con otras instituciones y expe</w:t>
      </w:r>
      <w:r>
        <w:t>r</w:t>
      </w:r>
      <w:r>
        <w:t>tos extranjeros y nacionales.</w:t>
      </w:r>
    </w:p>
    <w:p w:rsidR="00000000" w:rsidRDefault="00000000">
      <w:pPr>
        <w:pStyle w:val="SingleTxt"/>
      </w:pPr>
      <w:r>
        <w:tab/>
        <w:t>En octubre de 2002 había en la Oficina ocho personas empleadas a tiempo completo, de las cuales una está en período de formación. En 2003 se prevé la co</w:t>
      </w:r>
      <w:r>
        <w:t>n</w:t>
      </w:r>
      <w:r>
        <w:t>tratación de un abogado especialista en igualdad de oportunidades para ambos s</w:t>
      </w:r>
      <w:r>
        <w:t>e</w:t>
      </w:r>
      <w:r>
        <w:t>xos, como contempla la Ley de igualdad de oportunidades para la mujer y el hombre aprobada en junio de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Coordinador/a de la Igualdad de Oportunidades para la Mujer y el Hombre</w:t>
      </w:r>
    </w:p>
    <w:p w:rsidR="00000000" w:rsidRDefault="00000000">
      <w:pPr>
        <w:pStyle w:val="SingleTxt"/>
        <w:spacing w:after="0" w:line="120" w:lineRule="exact"/>
        <w:rPr>
          <w:sz w:val="10"/>
        </w:rPr>
      </w:pPr>
    </w:p>
    <w:p w:rsidR="00000000" w:rsidRDefault="00000000">
      <w:pPr>
        <w:pStyle w:val="SingleTxt"/>
      </w:pPr>
      <w:r>
        <w:tab/>
        <w:t>La Ley de igualdad de oportunidades para la mujer y el hombre introduce un nuevo mecanismo para integrar la perspectiva del género en las políticas gubern</w:t>
      </w:r>
      <w:r>
        <w:t>a</w:t>
      </w:r>
      <w:r>
        <w:t>mentales y velar por su aplicación y supervisión. Cada ministerio designa un/a coo</w:t>
      </w:r>
      <w:r>
        <w:t>r</w:t>
      </w:r>
      <w:r>
        <w:t>dinador/a para la igualdad de oportunidades entre la mujer y el hombre que colabora estrechamente con la Oficina de Igualdad de Oportunidades en la realización de su c</w:t>
      </w:r>
      <w:r>
        <w:t>o</w:t>
      </w:r>
      <w:r>
        <w:t>metido.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Fondos y métodos para garantizar y estimular el desarrollo y el fortalecimiento de la posición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Presupuesto de la Oficina de Igualdad de Oportunidades</w:t>
      </w:r>
    </w:p>
    <w:p w:rsidR="00000000" w:rsidRDefault="00000000">
      <w:pPr>
        <w:pStyle w:val="SingleTxt"/>
        <w:spacing w:after="0" w:line="120" w:lineRule="exact"/>
        <w:rPr>
          <w:sz w:val="10"/>
        </w:rPr>
      </w:pPr>
    </w:p>
    <w:p w:rsidR="00000000" w:rsidRDefault="00000000">
      <w:pPr>
        <w:pStyle w:val="SingleTxt"/>
      </w:pPr>
      <w:r>
        <w:tab/>
        <w:t>El presupuesto de la Oficina de Igualdad de Oportunidades para 2002, sin i</w:t>
      </w:r>
      <w:r>
        <w:t>n</w:t>
      </w:r>
      <w:r>
        <w:t>cluir los salarios del personal, ascendió a 40.388.110 tólares (175.600 dólares). De esta cantidad, 7.000.000 tólares (30.435 dólares) se destinaron a pagar las cuotas de miembro de los programas de la Unión Europea. Aproximadamente 5.000.000 tólares (21.739 dólares) se destinaron a cofinanciar programas de organizaciones no gube</w:t>
      </w:r>
      <w:r>
        <w:t>r</w:t>
      </w:r>
      <w:r>
        <w:t>namentales.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Organizaciones de la sociedad civil y organizaciones no gubernamentales</w:t>
      </w:r>
    </w:p>
    <w:p w:rsidR="00000000" w:rsidRDefault="00000000">
      <w:pPr>
        <w:pStyle w:val="SingleTxt"/>
        <w:spacing w:after="0" w:line="120" w:lineRule="exact"/>
        <w:rPr>
          <w:sz w:val="10"/>
        </w:rPr>
      </w:pPr>
    </w:p>
    <w:p w:rsidR="00000000" w:rsidRDefault="00000000">
      <w:pPr>
        <w:pStyle w:val="SingleTxt"/>
      </w:pPr>
      <w:r>
        <w:tab/>
        <w:t>Desde el último informe se ha producido un cambio importante en el ámbito del funcionamiento de la sociedad civil, que se ha traducido en el fortalecimiento y la interconexión de las organizaciones no gubernamentales.</w:t>
      </w:r>
    </w:p>
    <w:p w:rsidR="00000000" w:rsidRDefault="00000000">
      <w:pPr>
        <w:pStyle w:val="SingleTxt"/>
      </w:pPr>
      <w:r>
        <w:tab/>
        <w:t>En 2001 se fundó el Centro para Información, Cooperación y Desarrollo de las Organizaciones No Gubernamentales (CNVOS). Su finalidad es fortalecer el d</w:t>
      </w:r>
      <w:r>
        <w:t>e</w:t>
      </w:r>
      <w:r>
        <w:t>sarrollo, el trabajo en red y la colaboración de las organizaciones no gubernament</w:t>
      </w:r>
      <w:r>
        <w:t>a</w:t>
      </w:r>
      <w:r>
        <w:t>les de Eslovenia, que con frecuencia no habían sido consideradas una parte impo</w:t>
      </w:r>
      <w:r>
        <w:t>r</w:t>
      </w:r>
      <w:r>
        <w:t>tante de la sociedad civil. El CNVOS reúne, además de las 27 organizaciones no g</w:t>
      </w:r>
      <w:r>
        <w:t>u</w:t>
      </w:r>
      <w:r>
        <w:t>bernamentales fundadoras, a 35 miembros más. Ofrece a sus miembros, ante todo, apoyo técnico, servicios jurídicos y de asesoría y ayuda a la hora de establecer la colaboración con el Gobierno, los servicios gubernamentales, las autoridades locales y las organizaciones nacionales e internacionales competentes.</w:t>
      </w:r>
    </w:p>
    <w:p w:rsidR="00000000" w:rsidRDefault="00000000">
      <w:pPr>
        <w:pStyle w:val="SingleTxt"/>
      </w:pPr>
      <w:r>
        <w:tab/>
        <w:t>El CNVOS considera las políticas relativas a la mujer y las de igualdad de oportunidades como un ámbito de proyecto específico. El principal objetivo en este ámbito es fortalecer e interrelacionar las organizaciones no gubernamentales de mujeres y las que tratan la cuestión de la igualdad de oportunidades para la mujer y el hombre.</w:t>
      </w:r>
    </w:p>
    <w:p w:rsidR="00000000" w:rsidRDefault="00000000">
      <w:pPr>
        <w:pStyle w:val="SingleTxt"/>
        <w:keepNext/>
      </w:pPr>
      <w:r>
        <w:tab/>
        <w:t>Los sindicatos desempeñan también un papel importante en la aplicación de las disposiciones de la Convención sobre la eliminación de todas las formas de discr</w:t>
      </w:r>
      <w:r>
        <w:t>i</w:t>
      </w:r>
      <w:r>
        <w:t>minación contra la mujer. En el período transcurrido desde la elaboración del Primer Informe, varios sindicatos han fundado organismos de trabajo específicos en favor de la igualdad de oportunidades. Por ejemplo, existen Comités para la igualdad de oportunidades entre la mujer y el hombre en el Sindicato de Trabajadores de la Electricidad de Eslovenia, en el Sindicato de Industrias Químicas, de Metaloides y del Caucho de Eslovenia y en la Asociación de Sindicatos Independientes de Esl</w:t>
      </w:r>
      <w:r>
        <w:t>o</w:t>
      </w:r>
      <w:r>
        <w:t>venia. En el seno de la Federación de Sindicatos de Eslovenia 90 funciona un Co</w:t>
      </w:r>
      <w:r>
        <w:t>n</w:t>
      </w:r>
      <w:r>
        <w:t>sejo de Políticas para la Mujer.</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Parte 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Aplicación de las disposiciones de cada uno de los artículos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Desde el punto de vista de la eliminación de la discriminación contra la mujer, la Ley de igualdad de oportunidades para la mujer y el hombre aprobada en junio de 2002 representa un progreso considerable. No se limita a definir la discrimin</w:t>
      </w:r>
      <w:r>
        <w:t>a</w:t>
      </w:r>
      <w:r>
        <w:t>ción basada en el sexo sino que también indica diversas medidas cuyo propósito es suprimir las formas, tanto directas como indirectas, de discriminación y promover la igualdad de los géneros en todas las esferas. Según el Artículo 1, la finalidad de la Ley es definir razones comunes para mejorar la condición femenina y crear igualdad de oportunidades para la mujer y el hombre en los ámbitos político, económico, s</w:t>
      </w:r>
      <w:r>
        <w:t>o</w:t>
      </w:r>
      <w:r>
        <w:t>cial y educativo y en otros ámbitos de la vida social. La creación de la igualdad de oportunidades en virtud de esta Ley es obligación de la sociedad en su conjunto. En el Artículo 5, la Ley define la discriminación basada en el género, en sus formas d</w:t>
      </w:r>
      <w:r>
        <w:t>i</w:t>
      </w:r>
      <w:r>
        <w:t>recta e indirecta. La discriminación basada en el género en su forma directa existe si una persona ha sido, es o podría ser tratada de manera menos favorable, en circun</w:t>
      </w:r>
      <w:r>
        <w:t>s</w:t>
      </w:r>
      <w:r>
        <w:t>tancias iguales o análogas, que una persona del sexo opuesto. Se trata de una forma indirecta de discriminación basada en el género si las disposiciones, normas o fo</w:t>
      </w:r>
      <w:r>
        <w:t>r</w:t>
      </w:r>
      <w:r>
        <w:t>mas de trato aparentemente neutras, en circunstancias iguales o análogas, sitúan a las personas de un sexo en una situación menos favorable, a menos que esas dispos</w:t>
      </w:r>
      <w:r>
        <w:t>i</w:t>
      </w:r>
      <w:r>
        <w:t>ciones, normas o formas de trato sean necesarias y estén justificadas por hechos o</w:t>
      </w:r>
      <w:r>
        <w:t>b</w:t>
      </w:r>
      <w:r>
        <w:t>jetivos que no guarden relación con el género.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Artículos 2 y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para garantizar la igualdad entre el hombre y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período transcurrido desde la preparación del Segundo Informe se han adoptado tres leyes de importancia desde el punto de vista de la condición femenina y el fomento de la igualdad de los géneros: la antes mencionada Ley de igualdad de oportunidades para la mujer y el hombre, la Ley de relaciones laborales y la Ley de atención a los hijos e ingreso de la familia.</w:t>
      </w:r>
    </w:p>
    <w:p w:rsidR="00000000" w:rsidRDefault="00000000">
      <w:pPr>
        <w:pStyle w:val="SingleTxt"/>
      </w:pPr>
      <w:r>
        <w:tab/>
        <w:t>La Ley de igualdad de oportunidades para la mujer y el hombre fue preparada por la Oficina de Igualdad de Oportunidades en cooperación con un grupo de trabajo gubernamental, organizaciones no gubernamentales y sindicatos, así como con e</w:t>
      </w:r>
      <w:r>
        <w:t>x</w:t>
      </w:r>
      <w:r>
        <w:t>pertos invitados a título individual. Fue sancionada por la Asamblea General el 21 de junio de 2000 y entró en vigor el 20 de julio de 2002. Se trata de una ley de c</w:t>
      </w:r>
      <w:r>
        <w:t>a</w:t>
      </w:r>
      <w:r>
        <w:t>rácter general que sienta las bases comunes que han de orientar la preparación de l</w:t>
      </w:r>
      <w:r>
        <w:t>e</w:t>
      </w:r>
      <w:r>
        <w:t xml:space="preserve">gislación en ámbitos determinados. En ella se introduce un planteamiento integrado para crear la igualdad de oportunidades y promover la igualdad de los géneros, cuya finalidad es lograr el desarrollo sostenible en este ámbito. La igualdad de la mujer y el hombre, según se define en esta Ley, significa que ambos participan por igual en todos los ámbitos de la vida pública y privada, que gozan de igual condición y de iguales oportunidades de disfrutar de todos los derechos y de cultivar el potencial personal mediante el cual contribuyen al desarrollo social, así como del derecho a </w:t>
      </w:r>
      <w:r>
        <w:rPr>
          <w:w w:val="100"/>
        </w:rPr>
        <w:t>los mismos beneficios de los resultados que aporta el desarrollo. En la Ley se define,</w:t>
      </w:r>
      <w:r>
        <w:t xml:space="preserve"> además, la igualdad de oportunidades para la mujer y el hombre como la supresión de los obstáculos que se oponen a la introducción de la igualdad de los géneros, en particular mediante la prevención y la eliminación del trato desigual de ambos sexos como formas de discriminación en la práctica, lo cual deriva de funciones sociales diferentes condicionadas tradicionalmente e históricamente, y la creación de las condiciones para la introducción de una representación equilibrada de los géneros en todos los ámbitos de la vida social (Artículo 1).</w:t>
      </w:r>
    </w:p>
    <w:p w:rsidR="00000000" w:rsidRDefault="00000000">
      <w:pPr>
        <w:pStyle w:val="SingleTxt"/>
      </w:pPr>
      <w:r>
        <w:tab/>
        <w:t>Según esta Ley, los encargados de su aplicación son la Asamblea Nacional, el Gobierno, los Ministerios, la Oficina de Igualdad de Oportunidades, las comun</w:t>
      </w:r>
      <w:r>
        <w:t>i</w:t>
      </w:r>
      <w:r>
        <w:t>dades locales, los partidos políticos y el Ombudsman de Derechos Humanos. I</w:t>
      </w:r>
      <w:r>
        <w:t>n</w:t>
      </w:r>
      <w:r>
        <w:t>cumbe a los Ministerios el cometido principal de incorporar la cuestión del género en todos los proyectos y programas, ya que la Ley determina que en la preparación de las reglamentaciones y otras medidas aplicables en los ámbitos pertinentes para la creación de igualdad de oportunidades, los Ministerios han de tomar en cuenta la perspectiva de género y cooperar en este sentido con la Oficina de Igualdad de Oportunidades y tomar en cuenta sus propuestas y opiniones (Artículo 11). A los Ministerios incumbe esta tarea en virtud de la Ley, y deben, cada uno en su ámbito, designar una funcionaria que asuma ésta y otras obligaciones de los Ministerios (Artículo 13). A tal efecto ya han designado coordinadores/as, y la Oficina de Igua</w:t>
      </w:r>
      <w:r>
        <w:t>l</w:t>
      </w:r>
      <w:r>
        <w:t>dad de Oportunidades les preparará una capacitación especial. Por otra parte, la Ley prescribe que las comunidades locales deben incluir la perspectiva de género al adoptar medidas y actividades pertinentes para crear iguales oportunidades, y pu</w:t>
      </w:r>
      <w:r>
        <w:t>e</w:t>
      </w:r>
      <w:r>
        <w:t>den, de manera análoga, contar con un/a coordinador/a en este ámbito (Artículo 30). La primera tarea de los/as coordinadores/as será cooperar en la preparación del pr</w:t>
      </w:r>
      <w:r>
        <w:t>o</w:t>
      </w:r>
      <w:r>
        <w:t>grama nacional de igualdad de oportunidades para la mujer y el hombre, prevista por la Ley. El programa nacional determinará los fines y las medidas para su logro en ámbitos determinados, tales como el de las relaciones laborales y la atención de la salud, la educación, las relaciones familiares, la violencia contra la mujer, la repr</w:t>
      </w:r>
      <w:r>
        <w:t>e</w:t>
      </w:r>
      <w:r>
        <w:t>sentación de ambos sexos en la vida pública, etc. (Artículo 15).</w:t>
      </w:r>
    </w:p>
    <w:p w:rsidR="00000000" w:rsidRDefault="00000000">
      <w:pPr>
        <w:pStyle w:val="SingleTxt"/>
      </w:pPr>
      <w:r>
        <w:tab/>
        <w:t>Con la Ley de igualdad de oportunidades para la mujer y el hombre, Eslovenia introdujo también un/a defensor/a especial para la igualdad de oportunidades de a</w:t>
      </w:r>
      <w:r>
        <w:t>m</w:t>
      </w:r>
      <w:r>
        <w:t>bos sexos, quien tratará los casos individuales de supuesta desigualdad de trato de la mujer y el hombre (discriminación) y emitirá un dictamen por escrito al respecto (Artículo 20). El/la defensor/a será empleado/a por la Oficina de Igualdad de Opo</w:t>
      </w:r>
      <w:r>
        <w:t>r</w:t>
      </w:r>
      <w:r>
        <w:t>tunidades, e iniciará su labor en 2003. Una iniciativa para ver una causa puede, s</w:t>
      </w:r>
      <w:r>
        <w:t>o</w:t>
      </w:r>
      <w:r>
        <w:t>bre la base del Artículo 22, ser presentada por personas naturales, organizaciones no gubernamentales, sindicatos y otras organizaciones de la sociedad civil o personas jurídicas, y el/la defensor/a puede también oír una iniciativa anónima si estima que concierne a un asunto tan importante y grave que conviene hacerlo en relación con la finalidad de la Ley (Artículo 23). Una vista se hará, por lo general, por escrito, pero según las circunstancias del caso, el/la defensor/a puede también invitar a las partes a una discusión; puede pedir que la parte contraria dé explicaciones específ</w:t>
      </w:r>
      <w:r>
        <w:t>i</w:t>
      </w:r>
      <w:r>
        <w:t>cas, pero si no las recibe, emitirá un dictamen sobre la base de los datos disponibles (Artículo 25). En su dictamen, expondrá sus conclusiones y evaluará las circunsta</w:t>
      </w:r>
      <w:r>
        <w:t>n</w:t>
      </w:r>
      <w:r>
        <w:t>cias del caso con respecto a la existencia de trato desigual, podrá señalar a la ate</w:t>
      </w:r>
      <w:r>
        <w:t>n</w:t>
      </w:r>
      <w:r>
        <w:t>ción las irregularidades que haya encontrado, recomendar el método para suprimi</w:t>
      </w:r>
      <w:r>
        <w:t>r</w:t>
      </w:r>
      <w:r>
        <w:t>las e instar a la parte contraria a que, dentro de un plazo determinado, le informe acerca de esas medidas (Artículo 27). Toda persona puede, además, formular una solicitud de dictamen acerca de si dará origen o ha dado origen a desigualdad de trato de la mujer y el hombre con alguno de sus actos (Artículo 28). La Oficina de Igualdad de Oportunidades informará anualmente al Gobierno sobre la labor realiz</w:t>
      </w:r>
      <w:r>
        <w:t>a</w:t>
      </w:r>
      <w:r>
        <w:t>da por el/la defensor/a (Artículo 29).</w:t>
      </w:r>
    </w:p>
    <w:p w:rsidR="00000000" w:rsidRDefault="00000000">
      <w:pPr>
        <w:pStyle w:val="SingleTxt"/>
      </w:pPr>
      <w:r>
        <w:tab/>
        <w:t xml:space="preserve">A continuación informamos acerca de las disposiciones más importantes de la </w:t>
      </w:r>
      <w:r>
        <w:rPr>
          <w:w w:val="100"/>
        </w:rPr>
        <w:t>Ley de relaciones laborales y de la Ley de atención a los hijos e ingreso de la fam</w:t>
      </w:r>
      <w:r>
        <w:rPr>
          <w:w w:val="100"/>
        </w:rPr>
        <w:t>i</w:t>
      </w:r>
      <w:r>
        <w:rPr>
          <w:w w:val="100"/>
        </w:rPr>
        <w:t>lia.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promoción de la igualdad entre el hombre y la mujer con medidas especiales de carácter temporal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Además de la base que proporciona la Convención, al aprobarse la Ley de igualdad de oportunidades para la mujer y el hombre, Eslovenia contó con nuevas razones para la introducción de medidas temporales especiales. En el Artículo 7 de la Ley se determina que tales medidas se introducen a fin de crear igualdad de oportunidades para ambos sexos y fomentar la igualdad entre los géneros en los á</w:t>
      </w:r>
      <w:r>
        <w:t>m</w:t>
      </w:r>
      <w:r>
        <w:t>bitos en que existe un desequilibrio en la representación femenina y masculina o en los cuales se encuentran en posición desigual. La Ley divide las medidas especiales en positivas, de fomento y programáticas. Medidas positivas son aquéllas que oto</w:t>
      </w:r>
      <w:r>
        <w:t>r</w:t>
      </w:r>
      <w:r>
        <w:t>gan prioridad a las personas del sexo subrepresentado o víctimas de una condición desigual; las medidas de fomento otorgan beneficios especiales o introducen ince</w:t>
      </w:r>
      <w:r>
        <w:t>n</w:t>
      </w:r>
      <w:r>
        <w:t>tivos especiales a fin de eliminar la representación desigual de los sexos o un est</w:t>
      </w:r>
      <w:r>
        <w:t>a</w:t>
      </w:r>
      <w:r>
        <w:t>tuto desigual debido al género, y las medidas programáticas se traducen en activid</w:t>
      </w:r>
      <w:r>
        <w:t>a</w:t>
      </w:r>
      <w:r>
        <w:t>des de concienciación, y planes de acción para la promoción y el establecimiento de la igualdad de oportunidades y la igualdad entre los sexos. Por otra parte, la Ley e</w:t>
      </w:r>
      <w:r>
        <w:t>s</w:t>
      </w:r>
      <w:r>
        <w:t>pecifica el método para la adopción de las medidas especiales, determinado en part</w:t>
      </w:r>
      <w:r>
        <w:t>i</w:t>
      </w:r>
      <w:r>
        <w:t>cular en relación con la adopción de las medidas positivas. En cumplimiento del A</w:t>
      </w:r>
      <w:r>
        <w:t>r</w:t>
      </w:r>
      <w:r>
        <w:t>tículo 8 de la Ley, las medidas positivas pueden aplicarse en los ámbitos de la ed</w:t>
      </w:r>
      <w:r>
        <w:t>u</w:t>
      </w:r>
      <w:r>
        <w:t>cación, el empleo, la vida profesional, la actividad pública o política y otros en los cuales se justifiquen, y pueden ser adoptadas por las autoridades estatales y otros órganos del sector público, instancias económicas, partidos políticos y organizaci</w:t>
      </w:r>
      <w:r>
        <w:t>o</w:t>
      </w:r>
      <w:r>
        <w:t>nes de la sociedad civil. Los responsables deben, en el momento de introducir las medidas, preparar un plan de acción en el cual se analice la condición masculina y femenina en su ámbito de trabajo, se especifiquen las razones para la adopción de medidas positivas y los fines que persiguen, el inicio de la aplicación, el método de observación y supervisión de la aplicación y el cese de las medidas. Los planes de acción deben presentarse a la Oficina de Igualdad de Oportunidades para que sean aprobados a</w:t>
      </w:r>
      <w:r>
        <w:t>n</w:t>
      </w:r>
      <w:r>
        <w:t>tes de iniciar su ejecución.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eliminación de los prejuicios y de los estereotipos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Educación para la igualdad de los géneros</w:t>
      </w:r>
    </w:p>
    <w:p w:rsidR="00000000" w:rsidRDefault="00000000">
      <w:pPr>
        <w:pStyle w:val="SingleTxt"/>
        <w:spacing w:after="0" w:line="120" w:lineRule="exact"/>
        <w:rPr>
          <w:sz w:val="10"/>
        </w:rPr>
      </w:pPr>
    </w:p>
    <w:p w:rsidR="00000000" w:rsidRDefault="00000000">
      <w:pPr>
        <w:pStyle w:val="SingleTxt"/>
      </w:pPr>
      <w:r>
        <w:tab/>
        <w:t>En la Ley de igualdad de oportunidades para la mujer y el hombre se sientan las bases para la introducción sistemática de la educación con vistas a la igualdad entre los géneros en todos los niveles de la educación, a fin de lograr de ese modo la eliminación gradual de la concepción estereotipada de los cometidos de los géneros en la sociedad. En el Artículo 12 de la Ley se establece que la educación sobre cuestiones de igualdad de los géneros es parte integrante del sistema de educación y de formación profesional, que abarca, entre otras cosas, la preparación de ambos sexos para la participación activa e igualitaria en todas las esferas de la vida social. Los ministerios encargados de la educación y el trabajo, así como otros órganos y las personas competentes en la esfera de la educación y la formación profesional, garantizan el trato igualitario de los sexos, especialmente en la preparación, ado</w:t>
      </w:r>
      <w:r>
        <w:t>p</w:t>
      </w:r>
      <w:r>
        <w:t>ción y aplicación de los programas de educación o formación profesional, en la a</w:t>
      </w:r>
      <w:r>
        <w:t>u</w:t>
      </w:r>
      <w:r>
        <w:t>torización de los manuales y ayudas didácticas y en la introducción de innovaciones de organización y la modificación de los métodos pedagógicos, cada uno en el ma</w:t>
      </w:r>
      <w:r>
        <w:t>r</w:t>
      </w:r>
      <w:r>
        <w:t>co de sus competencias, con miras a establecer un sistema de medidas capaces de eliminar las formas comprobadas de desigualdad de trato entre mujeres y hombres.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Vida de la familia</w:t>
      </w:r>
    </w:p>
    <w:p w:rsidR="00000000" w:rsidRDefault="00000000">
      <w:pPr>
        <w:pStyle w:val="SingleTxt"/>
        <w:spacing w:after="0" w:line="120" w:lineRule="exact"/>
        <w:rPr>
          <w:sz w:val="10"/>
        </w:rPr>
      </w:pPr>
    </w:p>
    <w:p w:rsidR="00000000" w:rsidRDefault="00000000">
      <w:pPr>
        <w:pStyle w:val="SingleTxt"/>
      </w:pPr>
      <w:r>
        <w:tab/>
        <w:t>En el Artículo 53 de la Constitución se estipula que el matrimonio se basa en la igualdad de los cónyuges, y en el Artículo 54, que los padres tienen el derecho y el deber de mantener, educar y criar a sus hijos. Por otra parte, en el Artículo 14 de la Ley de matrimonio y relaciones familiares figuran disposiciones acerca de la igualdad de los cónyuges. Pese a tales disposiciones, en Eslovenia aún subsiste la división tradicional de las funciones. No obstante la elevada proporción del empleo femenino, la división del trabajo entre ambos asociados o padres dentro de la familia es ostensiblemente diferente. La mujer sigue ocupándose de las tareas domésticas en mucho mayor medida que el hombre y se dedica mucho más a la atención de los h</w:t>
      </w:r>
      <w:r>
        <w:t>i</w:t>
      </w:r>
      <w:r>
        <w:t>jos, de las personas mayores y enfermas y de las personas aquejadas por trastornos físicos o de desarrollo mental.</w:t>
      </w:r>
    </w:p>
    <w:p w:rsidR="00000000" w:rsidRDefault="00000000">
      <w:pPr>
        <w:pStyle w:val="SingleTxt"/>
      </w:pPr>
      <w:r>
        <w:tab/>
        <w:t>Las tendencias en la vida de la familia siguen siendo las mismas que en el momento de presentación del primero y el segundo informes: al mismo tiempo que la familia “clásica” de una pareja casada con hijos, va en aumento el número de f</w:t>
      </w:r>
      <w:r>
        <w:t>a</w:t>
      </w:r>
      <w:r>
        <w:t>milias monoparentales, que representan algo menos del 20% del total de las familias (más del 90% de las familias monoparentales están encabezadas por mujeres), el número de familias complementadas o reorganizadas, las asociaciones familiares extramaritales y las familias de homosexuales. El matrimonio formalizado está pe</w:t>
      </w:r>
      <w:r>
        <w:t>r</w:t>
      </w:r>
      <w:r>
        <w:t>diendo significación y reconocimiento social. El número de hijos nacidos fuera del matrimonio va en aumento y representa más de un tercio (37,2%) de los niños nac</w:t>
      </w:r>
      <w:r>
        <w:t>i</w:t>
      </w:r>
      <w:r>
        <w:t>dos en 2000. En ese año, en Eslovenia, como promedio casi un tercio de los matr</w:t>
      </w:r>
      <w:r>
        <w:t>i</w:t>
      </w:r>
      <w:r>
        <w:t>monios se disolvieron. El número medio de personas que vivían en un hogar co</w:t>
      </w:r>
      <w:r>
        <w:t>m</w:t>
      </w:r>
      <w:r>
        <w:t>partido era de 3,1 en el censo de 1991, y descendió a 2,8 en el censo de 2002. La edad de los padres en el momento del nacimiento del primer hijo aumenta: en 2000 la edad media de la m</w:t>
      </w:r>
      <w:r>
        <w:t>a</w:t>
      </w:r>
      <w:r>
        <w:t>dre al nacer el primer hijo era de 28,3 años.</w:t>
      </w:r>
    </w:p>
    <w:p w:rsidR="00000000" w:rsidRDefault="00000000">
      <w:pPr>
        <w:pStyle w:val="SingleTxt"/>
      </w:pPr>
      <w:r>
        <w:tab/>
        <w:t>Desde el punto de vista de conciliar vida profesional y familiar, la nueva Ley de atención a los hijos e ingreso de la familia es importante, ya que introduce el d</w:t>
      </w:r>
      <w:r>
        <w:t>e</w:t>
      </w:r>
      <w:r>
        <w:t>recho no transferible de los padres a la licencia por paternidad hasta una duración total de 90 días. Los padres pueden comenzar a tomar los primeros 15 días a partir del 1º de enero de 2003, y a partir del 1º de enero de 2005 podrán utilizar el total de 90 días. En 2003, la Oficina de Igualdad de Oportunidades, en cooperación con el Ministerio de Trabajo, Familia y Asuntos Sociales, iniciará una campaña de prom</w:t>
      </w:r>
      <w:r>
        <w:t>o</w:t>
      </w:r>
      <w:r>
        <w:t>ción de la licencia por paternidad, a fin de que tantos padres como sea posible hagan ve</w:t>
      </w:r>
      <w:r>
        <w:t>r</w:t>
      </w:r>
      <w:r>
        <w:t>daderamente uso de esta licencia.</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Anuncio de empleos</w:t>
      </w:r>
    </w:p>
    <w:p w:rsidR="00000000" w:rsidRDefault="00000000">
      <w:pPr>
        <w:pStyle w:val="SingleTxt"/>
        <w:keepNext/>
        <w:spacing w:after="0" w:line="120" w:lineRule="exact"/>
        <w:rPr>
          <w:sz w:val="10"/>
        </w:rPr>
      </w:pPr>
    </w:p>
    <w:p w:rsidR="00000000" w:rsidRDefault="00000000">
      <w:pPr>
        <w:pStyle w:val="SingleTxt"/>
        <w:keepNext/>
      </w:pPr>
      <w:r>
        <w:tab/>
        <w:t>En relación con el anuncio de empleos para ambos géneros, la disposición del Artículo 25 de la Ley de relaciones laborales es importante, ya que determina que un empleador no puede anunciar un puesto sólo para hombres o sólo para mujeres, a menos que un sexo determinado sea condición indispensable para la realización del trabajo. El anuncio de un puesto vacante tampoco puede indicar que el empleador asigna prioridad a un sexo determinado, a menos que se trate de una excepción me</w:t>
      </w:r>
      <w:r>
        <w:t>n</w:t>
      </w:r>
      <w:r>
        <w:t>cionada previamente. Si un empleador llama a cubrir un puesto vacante y no cumple con la disposición citada, será multado por infracción.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La violencia contra la mujer y la violencia en la familia</w:t>
      </w:r>
    </w:p>
    <w:p w:rsidR="00000000" w:rsidRDefault="00000000">
      <w:pPr>
        <w:pStyle w:val="SingleTxt"/>
        <w:spacing w:after="0" w:line="120" w:lineRule="exact"/>
        <w:rPr>
          <w:sz w:val="10"/>
        </w:rPr>
      </w:pPr>
    </w:p>
    <w:p w:rsidR="00000000" w:rsidRDefault="00000000">
      <w:pPr>
        <w:pStyle w:val="SingleTxt"/>
      </w:pPr>
      <w:r>
        <w:tab/>
        <w:t xml:space="preserve">A pesar de cierta evolución, la violencia contra la mujer y la violencia en la </w:t>
      </w:r>
      <w:r>
        <w:rPr>
          <w:w w:val="100"/>
        </w:rPr>
        <w:t>familia constituyen un problema apremiante en Eslovenia. Al introducirse las enmie</w:t>
      </w:r>
      <w:r>
        <w:rPr>
          <w:w w:val="100"/>
        </w:rPr>
        <w:t>n</w:t>
      </w:r>
      <w:r>
        <w:rPr>
          <w:w w:val="100"/>
        </w:rPr>
        <w:t xml:space="preserve">das al Código Penal en 1999 se añadió al delito criminal de violencia (Artículo 299) </w:t>
      </w:r>
      <w:r>
        <w:t>el de la violencia en la familia. El delito de violencia es cometido por toda persona que insulte gravemente a otra, se comporte brutalmente con esa persona, sea vi</w:t>
      </w:r>
      <w:r>
        <w:t>o</w:t>
      </w:r>
      <w:r>
        <w:t>lento con ella o amenace su seguridad, y de esa manera, en público o en privado, suscite desconfianza, disgusto o temor. El delito criminal se procesa ex oficio, y se prescribe una sentencia de cárcel de hasta dos años. Si el delito ha sido cometido por dos o más personas, o si ha existido una humillación grave de varias personas, o si el autor material podría haber herido físicamente a otras personas, el autor material puede ser castigado con una pena de cárcel de hasta tres años. En 1998, por otra parte, se adoptó la Ley de procedimiento criminal, que introdujo una medida consistente en una prohibición de acercarse a un lugar o a personas determinados (Artículo 195a) como alternativa en lugar de la cárcel. La medida puede dictarse si hay razones para una sentencia de cárcel, y existe riesgo de que el acusado destruya las pruebas del delito, influya sobre los testigos, los participantes o los coautores del delito o reincida en el delito, cometa un delito intentado o lleve a cabo un acto con el cual haya amenazado, y el peligro puede ser evitado mediante la prohibición de que el acusado se acerque a un lugar o a unas personas determinados. El tribunal d</w:t>
      </w:r>
      <w:r>
        <w:t>e</w:t>
      </w:r>
      <w:r>
        <w:t>cide acerca de una distancia adecuada, es decir, la distancia de un lugar o de una persona específica que el acusado debe respetar y no puede violar intencionalmente. En caso de hace</w:t>
      </w:r>
      <w:r>
        <w:t>r</w:t>
      </w:r>
      <w:r>
        <w:t>lo, el tribunal puede ordenar su detención.</w:t>
      </w:r>
    </w:p>
    <w:p w:rsidR="00000000" w:rsidRDefault="00000000">
      <w:pPr>
        <w:pStyle w:val="SingleTxt"/>
      </w:pPr>
      <w:r>
        <w:tab/>
        <w:t>Según los datos del Ministerio de Asuntos Internos de 1999, en los 10 años anteriores se cometieron aproximadamente 12.000 delitos y 80.000 violaciones con elementos de violencia dentro de la familia, y en más del 60% de los casos, las ví</w:t>
      </w:r>
      <w:r>
        <w:t>c</w:t>
      </w:r>
      <w:r>
        <w:t>timas eran mujeres. En menos de la mitad de los casos la propia víctima denunció la violencia. En 2001, 22,1% de las víctimas de asesinatos fueron mujeres; las mujeres fueron las víctimas en 21,1% de los casos de daños físicos especialmente graves, en 20,6% de los casos de daños físicos graves, en 23,4% de los casos de daños físicos leves y en 24,3% de los casos de amenaza con un arma peligrosa durante una disc</w:t>
      </w:r>
      <w:r>
        <w:t>u</w:t>
      </w:r>
      <w:r>
        <w:t>sión o reyerta. El número de delitos contra la seguridad y de comportamiento brutal aumentó, ya que en el período comprendido entre 1997 y 2001 hubo un total de 8.254 delitos de ese tipo, de los cuales fueron víctimas mujeres en 3.825 c</w:t>
      </w:r>
      <w:r>
        <w:t>a</w:t>
      </w:r>
      <w:r>
        <w:t>sos (46,3%). La proporción de mujeres víctimas de delitos contra la inviolabilidad sexual ha disminuido algo desde la preparación del último informe, pero sigue sie</w:t>
      </w:r>
      <w:r>
        <w:t>n</w:t>
      </w:r>
      <w:r>
        <w:t>do elevada. De un total de 984 casos, las mujeres fueron las víctimas en 798 casos, es decir, en 80,2%. La proporción de mujeres víctimas de delitos de violencia asce</w:t>
      </w:r>
      <w:r>
        <w:t>n</w:t>
      </w:r>
      <w:r>
        <w:t>dió marcadamente (en 1997, 26,5% y en 2001, 60,1%), lo cual puede explicarse por las modificaciones de la legislación penal mencionadas, que incluyeron la violencia en la familia entre los delitos de violencia.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w:t>
      </w:r>
      <w:r>
        <w:br/>
        <w:t>Delitos contra la vida y la integridad física y proporción de mujeres víctimas de tales delitos, 1997-2001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630"/>
        <w:gridCol w:w="1800"/>
        <w:gridCol w:w="720"/>
        <w:gridCol w:w="1170"/>
        <w:gridCol w:w="900"/>
        <w:gridCol w:w="900"/>
        <w:gridCol w:w="1170"/>
      </w:tblGrid>
      <w:tr w:rsidR="00000000">
        <w:tblPrEx>
          <w:tblCellMar>
            <w:top w:w="0" w:type="dxa"/>
            <w:left w:w="0" w:type="dxa"/>
            <w:bottom w:w="0" w:type="dxa"/>
            <w:right w:w="0" w:type="dxa"/>
          </w:tblCellMar>
        </w:tblPrEx>
        <w:trPr>
          <w:tblHeader/>
        </w:trPr>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18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Asesinato</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Daños físicos particularmente graves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Daños físicos graves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Daños físicos leves</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Amenaza con un arma peligrosa</w:t>
            </w:r>
          </w:p>
        </w:tc>
      </w:tr>
      <w:tr w:rsidR="00000000">
        <w:tblPrEx>
          <w:tblCellMar>
            <w:top w:w="0" w:type="dxa"/>
            <w:left w:w="0" w:type="dxa"/>
            <w:bottom w:w="0" w:type="dxa"/>
            <w:right w:w="0" w:type="dxa"/>
          </w:tblCellMar>
        </w:tblPrEx>
        <w:trPr>
          <w:trHeight w:hRule="exact" w:val="115"/>
          <w:tblHeader/>
        </w:trPr>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347</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Contra mujeres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Proporción de mujeres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r>
      <w:tr w:rsidR="00000000">
        <w:tblPrEx>
          <w:tblCellMar>
            <w:top w:w="0" w:type="dxa"/>
            <w:left w:w="0" w:type="dxa"/>
            <w:bottom w:w="0" w:type="dxa"/>
            <w:right w:w="0" w:type="dxa"/>
          </w:tblCellMar>
        </w:tblPrEx>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80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377</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1 149</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407</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Contra mujeres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Proporción de mujeres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17,9</w:t>
            </w:r>
          </w:p>
        </w:tc>
      </w:tr>
      <w:tr w:rsidR="00000000">
        <w:tblPrEx>
          <w:tblCellMar>
            <w:top w:w="0" w:type="dxa"/>
            <w:left w:w="0" w:type="dxa"/>
            <w:bottom w:w="0" w:type="dxa"/>
            <w:right w:w="0" w:type="dxa"/>
          </w:tblCellMar>
        </w:tblPrEx>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80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385</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1 223</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397</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Contra mujeres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Proporción de mujeres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w:t>
            </w:r>
          </w:p>
        </w:tc>
      </w:tr>
      <w:tr w:rsidR="00000000">
        <w:tblPrEx>
          <w:tblCellMar>
            <w:top w:w="0" w:type="dxa"/>
            <w:left w:w="0" w:type="dxa"/>
            <w:bottom w:w="0" w:type="dxa"/>
            <w:right w:w="0" w:type="dxa"/>
          </w:tblCellMar>
        </w:tblPrEx>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80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418</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1 492</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Contra mujeres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Proporción de mujeres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32,0</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23,7</w:t>
            </w:r>
          </w:p>
        </w:tc>
      </w:tr>
      <w:tr w:rsidR="00000000">
        <w:tblPrEx>
          <w:tblCellMar>
            <w:top w:w="0" w:type="dxa"/>
            <w:left w:w="0" w:type="dxa"/>
            <w:bottom w:w="0" w:type="dxa"/>
            <w:right w:w="0" w:type="dxa"/>
          </w:tblCellMar>
        </w:tblPrEx>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180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408</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1 796</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403</w:t>
            </w:r>
          </w:p>
        </w:tc>
      </w:tr>
      <w:tr w:rsidR="00000000">
        <w:tblPrEx>
          <w:tblCellMar>
            <w:top w:w="0" w:type="dxa"/>
            <w:left w:w="0" w:type="dxa"/>
            <w:bottom w:w="0" w:type="dxa"/>
            <w:right w:w="0" w:type="dxa"/>
          </w:tblCellMar>
        </w:tblPrEx>
        <w:tc>
          <w:tcPr>
            <w:tcW w:w="6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Contra mujeres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w:t>
            </w:r>
          </w:p>
        </w:tc>
      </w:tr>
      <w:tr w:rsidR="00000000">
        <w:tblPrEx>
          <w:tblCellMar>
            <w:top w:w="0" w:type="dxa"/>
            <w:left w:w="0" w:type="dxa"/>
            <w:bottom w:w="0" w:type="dxa"/>
            <w:right w:w="0" w:type="dxa"/>
          </w:tblCellMar>
        </w:tblPrEx>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Proporción de mujeres</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21,1</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21,1</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Asuntos Internos, septiembre de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el período reciente, la proporción de mujeres víctimas de delitos de alter</w:t>
      </w:r>
      <w:r>
        <w:t>a</w:t>
      </w:r>
      <w:r>
        <w:t>ción del orden público ha ido en aumento: en 1997 esta proporción fue de 29,4%, en 1999 de 37,4% y en 2001 de 42,3%. Desde 1999, la violencia en la familia también ha sido definida como violencia. En 1999, 2.345 (11,7%) de tales infracciones se r</w:t>
      </w:r>
      <w:r>
        <w:t>e</w:t>
      </w:r>
      <w:r>
        <w:t>ferían a la violencia en la familia, en 2000, 2.750 (16,9%) y en 2001, 2.553 (15,4%); en su mayor parte fueron cometidas en el hogar (en 1999, 84,1%; en 2000, 89,1%, y en 2001, 89,9%); el resto fueron cometidas en lugares públicos (carreteras, merc</w:t>
      </w:r>
      <w:r>
        <w:t>a</w:t>
      </w:r>
      <w:r>
        <w:t>dos, cafeterías,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2</w:t>
      </w:r>
      <w:r>
        <w:br/>
        <w:t>Infracciones contra el orden y la tranquilidad públicos y proporción de mujeres víctimas de tales infracciones, 1996-2001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2160"/>
        <w:gridCol w:w="1890"/>
        <w:gridCol w:w="2101"/>
      </w:tblGrid>
      <w:tr w:rsidR="00000000">
        <w:tblPrEx>
          <w:tblCellMar>
            <w:top w:w="0" w:type="dxa"/>
            <w:left w:w="0" w:type="dxa"/>
            <w:bottom w:w="0" w:type="dxa"/>
            <w:right w:w="0" w:type="dxa"/>
          </w:tblCellMar>
        </w:tblPrEx>
        <w:trPr>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1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Número de infracciones contra el orden y la tranquilidad públicos</w:t>
            </w:r>
          </w:p>
        </w:tc>
        <w:tc>
          <w:tcPr>
            <w:tcW w:w="18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Número de </w:t>
            </w:r>
            <w:r>
              <w:rPr>
                <w:i/>
                <w:sz w:val="14"/>
              </w:rPr>
              <w:br/>
              <w:t>mujeres víctimas</w:t>
            </w:r>
          </w:p>
        </w:tc>
        <w:tc>
          <w:tcPr>
            <w:tcW w:w="210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Proporción de </w:t>
            </w:r>
            <w:r>
              <w:rPr>
                <w:i/>
                <w:sz w:val="14"/>
              </w:rPr>
              <w:br/>
              <w:t>mujeres víctimas</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1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10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30 817</w:t>
            </w:r>
          </w:p>
        </w:tc>
        <w:tc>
          <w:tcPr>
            <w:tcW w:w="18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8 708</w:t>
            </w:r>
          </w:p>
        </w:tc>
        <w:tc>
          <w:tcPr>
            <w:tcW w:w="21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30 106</w:t>
            </w:r>
          </w:p>
        </w:tc>
        <w:tc>
          <w:tcPr>
            <w:tcW w:w="18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8 866</w:t>
            </w:r>
          </w:p>
        </w:tc>
        <w:tc>
          <w:tcPr>
            <w:tcW w:w="21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29,4</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29 581</w:t>
            </w:r>
          </w:p>
        </w:tc>
        <w:tc>
          <w:tcPr>
            <w:tcW w:w="18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8 754</w:t>
            </w:r>
          </w:p>
        </w:tc>
        <w:tc>
          <w:tcPr>
            <w:tcW w:w="21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20 076</w:t>
            </w:r>
          </w:p>
        </w:tc>
        <w:tc>
          <w:tcPr>
            <w:tcW w:w="18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7 518</w:t>
            </w:r>
          </w:p>
        </w:tc>
        <w:tc>
          <w:tcPr>
            <w:tcW w:w="21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37,4</w:t>
            </w: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21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16 236</w:t>
            </w:r>
          </w:p>
        </w:tc>
        <w:tc>
          <w:tcPr>
            <w:tcW w:w="18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6 800</w:t>
            </w:r>
          </w:p>
        </w:tc>
        <w:tc>
          <w:tcPr>
            <w:tcW w:w="21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41,9</w:t>
            </w:r>
          </w:p>
        </w:tc>
      </w:tr>
      <w:tr w:rsidR="00000000">
        <w:tblPrEx>
          <w:tblCellMar>
            <w:top w:w="0" w:type="dxa"/>
            <w:left w:w="0" w:type="dxa"/>
            <w:bottom w:w="0" w:type="dxa"/>
            <w:right w:w="0" w:type="dxa"/>
          </w:tblCellMar>
        </w:tblPrEx>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21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16 540</w:t>
            </w:r>
          </w:p>
        </w:tc>
        <w:tc>
          <w:tcPr>
            <w:tcW w:w="18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6 999</w:t>
            </w:r>
          </w:p>
        </w:tc>
        <w:tc>
          <w:tcPr>
            <w:tcW w:w="210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Asuntos Internos, septiembre de 2002.</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En Eslovenia funcionan actualmente varias organizaciones donde las mujeres con hijos que se encuentran en apuros pueden buscar ayuda: refugios, hogares para madres y centros conexos. Los refugios (hogares de protección, refugios, centros de crisis) están destinados a las mujeres y los niños que son víctimas de todas las fo</w:t>
      </w:r>
      <w:r>
        <w:t>r</w:t>
      </w:r>
      <w:r>
        <w:t>mas de violencia, y necesitan retirarse inmediatamente a un lugar seguro. La perm</w:t>
      </w:r>
      <w:r>
        <w:t>a</w:t>
      </w:r>
      <w:r>
        <w:t>nencia en los refugios dura desde tres meses hasta un máximo de un año, y en los centros de crisis dura dos días. Los hogares para madres están destinados a las e</w:t>
      </w:r>
      <w:r>
        <w:t>m</w:t>
      </w:r>
      <w:r>
        <w:t>barazadas, a las mujeres con bebés en el período postnatal y a las madres con hijos pequeños que se encuentran en condiciones de riesgo social o económico y, recie</w:t>
      </w:r>
      <w:r>
        <w:t>n</w:t>
      </w:r>
      <w:r>
        <w:t>temente y con cada vez más frecuencia, son víctimas de diversas formas de viole</w:t>
      </w:r>
      <w:r>
        <w:t>n</w:t>
      </w:r>
      <w:r>
        <w:t>cia. El tiempo de permanencia es de un año, con posibilidad de extenderlo hasta un máximo de dos años. Existen además los denominados centros conexos, que co</w:t>
      </w:r>
      <w:r>
        <w:t>m</w:t>
      </w:r>
      <w:r>
        <w:t>plementan las actividades de los hogares para madres y los refugios, algunos de los cuales ayudan a las víctimas de todo tipo de delitos, imparten orientación y dirigen a las víctimas hacia organizaciones idóneas para que obtengan asistencia, apoyo y d</w:t>
      </w:r>
      <w:r>
        <w:t>e</w:t>
      </w:r>
      <w:r>
        <w:t>fensa de sus intereses. En el Programa Nacional de Protección Social hasta 2005, entre los programas que el Estado respaldará en este período se cuenta el establec</w:t>
      </w:r>
      <w:r>
        <w:t>i</w:t>
      </w:r>
      <w:r>
        <w:t>miento de una red de hogares para madres y refugios para mujeres, con una capac</w:t>
      </w:r>
      <w:r>
        <w:t>i</w:t>
      </w:r>
      <w:r>
        <w:t>dad total de 250 plazas y una red de centros de ayuda sicosocial para las víctimas de la violencia.</w:t>
      </w:r>
    </w:p>
    <w:p w:rsidR="00000000" w:rsidRDefault="00000000">
      <w:pPr>
        <w:pStyle w:val="SingleTxt"/>
      </w:pPr>
      <w:r>
        <w:tab/>
        <w:t>En 2001, en el marco del Ministerio de Trabajo, Familia y Asuntos Sociales, se creó, a título de órgano asesor, un Consejo de Expertos para los problemas de vi</w:t>
      </w:r>
      <w:r>
        <w:t>o</w:t>
      </w:r>
      <w:r>
        <w:t>lencia contra la mujer. Creado por iniciativa de las organizaciones no gubername</w:t>
      </w:r>
      <w:r>
        <w:t>n</w:t>
      </w:r>
      <w:r>
        <w:t>tales que actúan en este ámbito, tiene por misión preparar bases e impartir directr</w:t>
      </w:r>
      <w:r>
        <w:t>i</w:t>
      </w:r>
      <w:r>
        <w:t>ces para la aprobación de legislación pertinente sobre la cuestión, y supervisar su aplicación. El Consejo de Expertos ya ha presentado algunas enmiendas del Código Penal en relación con la violencia contra la mujer o dentro de la familia, incluida una propuesta de que la violencia en la familia sea definida como delito específico. En este ámbito, también es importante el funcionamiento de las organizaciones no gubernamentales, puesto que se ocupan de la gestión de la mayoría de los refugios existentes en el país y, además, llevan a cabo varias otras actividades, tales como la concienciación de los agentes de policía, los fiscales y los trabajadores sociales, programas de asi</w:t>
      </w:r>
      <w:r>
        <w:t>s</w:t>
      </w:r>
      <w:r>
        <w:t>tencia a personas violentas, labor de promoción, etc.</w:t>
      </w:r>
    </w:p>
    <w:p w:rsidR="00000000" w:rsidRDefault="00000000">
      <w:pPr>
        <w:pStyle w:val="SingleTxt"/>
      </w:pPr>
      <w:r>
        <w:tab/>
        <w:t>La Oficina de Igualdad de Oportunidades ha realizado diversas actividades r</w:t>
      </w:r>
      <w:r>
        <w:t>e</w:t>
      </w:r>
      <w:r>
        <w:t>lativas a la violencia contra la mujer, tales como la organización de reuniones co</w:t>
      </w:r>
      <w:r>
        <w:t>n</w:t>
      </w:r>
      <w:r>
        <w:t>sultivas y campañas, la financiación o cofinanciación de proyectos de las organiz</w:t>
      </w:r>
      <w:r>
        <w:t>a</w:t>
      </w:r>
      <w:r>
        <w:t>ciones no gubernamentales, etc. Desde 1999 la Oficina viene participando activ</w:t>
      </w:r>
      <w:r>
        <w:t>a</w:t>
      </w:r>
      <w:r>
        <w:t>mente en las iniciativas dedicadas a la protección de las mujeres víctimas de la vi</w:t>
      </w:r>
      <w:r>
        <w:t>o</w:t>
      </w:r>
      <w:r>
        <w:t>lencia. En ese año las actividades tuvieron lugar como un proyecto unificado en el cual, además de la Oficina y de la Comisión de la Asamblea Nacional para la Polít</w:t>
      </w:r>
      <w:r>
        <w:t>i</w:t>
      </w:r>
      <w:r>
        <w:t>ca de Igualdad de Oportunidades y algunos ministerios, participaron además las o</w:t>
      </w:r>
      <w:r>
        <w:t>r</w:t>
      </w:r>
      <w:r>
        <w:t>ganizaciones no gubernamentales competentes. Con ocasión de los días internaci</w:t>
      </w:r>
      <w:r>
        <w:t>o</w:t>
      </w:r>
      <w:r>
        <w:t>nales de acción para combatir la violencia contra la mujer (25 de noviembre – 10 de diciembre) se realizó una amplia campaña de los medios de difusión en el marco del proyecto conjunto; a través de todo el país, numerosos carteles llamaban la atención del público hacia ese problema social. La exposición de carteles enviados al concu</w:t>
      </w:r>
      <w:r>
        <w:t>r</w:t>
      </w:r>
      <w:r>
        <w:t>so “¿Qué pasa, chica?” tuvo lugar en la Asamblea Nacional y luego recorrió las ci</w:t>
      </w:r>
      <w:r>
        <w:t>u</w:t>
      </w:r>
      <w:r>
        <w:t>dades de Eslovenia; los consejos urbanos y municipales discutieron la cuestión y se celebraron mesas redondas y debates públicos. Aún persisten los ecos de la camp</w:t>
      </w:r>
      <w:r>
        <w:t>a</w:t>
      </w:r>
      <w:r>
        <w:t>ña, que representa un paso importante para que el gran público cobre conciencia del problema, su extensión y sus manifestaciones. Uno de los efectos positivos de la campaña puede verificarse en la modificación del punto de vista de los medios de difusión: en el pasado, los títulos estereotipados sobre la violencia contra la mujer que aparecían en las páginas de las “crónicas negras” solían sugerir la culpabilidad de la mujer, en tanto que desde entonces, si bien no favorecen a la víctima, son al menos neutrales. En 2001 la Oficina preparó una transcendente presentación pública de una de las leyes federales y provinciales alemanas sobre la violencia y un plan de acción para combatir este fenómeno social, y respaldó la traducción y la publicación de “La violencia contra la mujer; la responsabilidad de la policía”, el primer libro en esloveno que imparte directrices a la policía para trabajar con las mujeres que son víctimas de la violencia.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Acoso sexual en el empleo</w:t>
      </w:r>
    </w:p>
    <w:p w:rsidR="00000000" w:rsidRDefault="00000000">
      <w:pPr>
        <w:pStyle w:val="SingleTxt"/>
        <w:spacing w:after="0" w:line="120" w:lineRule="exact"/>
        <w:rPr>
          <w:sz w:val="10"/>
        </w:rPr>
      </w:pPr>
    </w:p>
    <w:p w:rsidR="00000000" w:rsidRDefault="00000000">
      <w:pPr>
        <w:pStyle w:val="SingleTxt"/>
      </w:pPr>
      <w:r>
        <w:tab/>
        <w:t>Por otra parte, la nueva Ley de relaciones laborales obliga a los empleadores a garantizar un medio ambiente laboral exento de acoso sexual. En el Artículo 45 de la Ley se estipula que todo empleador está obligado a garantizar un medio laboral en el cual ningún trabajador se vea expuesto a trato indeseado de índole sexual, compre</w:t>
      </w:r>
      <w:r>
        <w:t>n</w:t>
      </w:r>
      <w:r>
        <w:t>dido el comportamiento físico, verbal o no verbal indeseado, u otro comportamiento basado en el sexo, que pueda crear unas relaciones y un ambiente de trabajo intim</w:t>
      </w:r>
      <w:r>
        <w:t>i</w:t>
      </w:r>
      <w:r>
        <w:t>datorios, hostiles o humillantes y ultrajar la dignidad de los hombres y las mujeres. El rechazo de ese trato no puede constituir una razón para la discriminación en el empleo. Si un empleador actúa en desacuerdo con las disposiciones antes mencion</w:t>
      </w:r>
      <w:r>
        <w:t>a</w:t>
      </w:r>
      <w:r>
        <w:t>das, en caso de controversia, recae sobre él la carga de la prueba. Si un empleador no garantiza la protección contra el acoso sexual, un trabajador o trabajadora puede explícitamente dar por terminado su contrato, ocho días después de una advertencia preliminar al empleador acerca del cumplimiento de sus deberes y una advertencia por escrito acerca de las violaciones formulada por un inspector laboral. La Ley e</w:t>
      </w:r>
      <w:r>
        <w:t>s</w:t>
      </w:r>
      <w:r>
        <w:t>tipula que en caso de tal cese, el trabajador tiene derecho al despido determinado p</w:t>
      </w:r>
      <w:r>
        <w:t>a</w:t>
      </w:r>
      <w:r>
        <w:t>ra un caso de cesación ordinaria de un contrato por razones comerciales, a una co</w:t>
      </w:r>
      <w:r>
        <w:t>m</w:t>
      </w:r>
      <w:r>
        <w:t>pensación equivalente por lo menos al nivel de paga perdido durante el período de preaviso (Artículo 112). Se fija una multa para el empleador que no garantice la protección contra el acoso sexual y la supervisión de su aplicación será realizada por la inspección laboral.</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de mujeres y prostitución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enmiendas al Código Penal introducidas en 1999 introdujeron modific</w:t>
      </w:r>
      <w:r>
        <w:t>a</w:t>
      </w:r>
      <w:r>
        <w:t>ciones en la descripción del delito de proxenetismo (Artículo 185) e inducción a la prostitución (Artículo 186). El delito de proxenetismo es cometido por toda persona que con afán de lucro procura o posibilita las relaciones sexuales o actos sexuales de otra índole. La penalidad ha aumentado y ahora el infractor es pasible de una se</w:t>
      </w:r>
      <w:r>
        <w:t>n</w:t>
      </w:r>
      <w:r>
        <w:t>tencia de cárcel de tres meses a cinco años. Si el infractor instiga a un menor, es p</w:t>
      </w:r>
      <w:r>
        <w:t>a</w:t>
      </w:r>
      <w:r>
        <w:t>sible de una condena de cárcel de 10 años. El delito de inducción a la prostitución es cometido por una persona que acostumbra, incita o seduce a otra para que practique la prostitución, o de cualquier otra manera hace posible su traspaso a otra persona con fines de prostitución, o coopera de alguna manera en la organización o gestión de la prostitución. Las modificaciones introducidas consisten, sobre todo, en que ahora un solo acto del infractor es suficiente para ambos delitos.</w:t>
      </w:r>
    </w:p>
    <w:p w:rsidR="00000000" w:rsidRDefault="00000000">
      <w:pPr>
        <w:pStyle w:val="SingleTxt"/>
      </w:pPr>
      <w:r>
        <w:tab/>
        <w:t>Las denuncias de delitos relacionados con la prostitución y la trata de seres humanos son muy escasas, de tal modo que el descubrimiento de esos delitos suele ser resultado de medidas policiales de investigación ocultas. En 2001 la policía l</w:t>
      </w:r>
      <w:r>
        <w:t>o</w:t>
      </w:r>
      <w:r>
        <w:t>gró identificar asociaciones delictivas que se ocupaban de la prostitución y la trata de seres humanos en cuatro casos, y reunir pruebas contra ellas. Se trataron 20 del</w:t>
      </w:r>
      <w:r>
        <w:t>i</w:t>
      </w:r>
      <w:r>
        <w:t>tos de proxenetismo e inducción a la prostitución (11 en 2000), ocho de los cuales eran resultado del delito organizado, y dos (2 en 2002), delitos de esclavización. En 2001, cuatro mujeres fueron registradas como víctimas del delito de esclaviz</w:t>
      </w:r>
      <w:r>
        <w:t>a</w:t>
      </w:r>
      <w:r>
        <w:t>ción, y en 2000, una.</w:t>
      </w:r>
    </w:p>
    <w:p w:rsidR="00000000" w:rsidRDefault="00000000">
      <w:pPr>
        <w:pStyle w:val="SingleTxt"/>
      </w:pPr>
      <w:r>
        <w:tab/>
        <w:t>En diciembre de 2001, el Gobierno de la República de Eslovenia adoptó la d</w:t>
      </w:r>
      <w:r>
        <w:t>e</w:t>
      </w:r>
      <w:r>
        <w:t>cisión de nombrar un grupo de trabajo interministerial para combatir la trata de seres humanos, que funciona como órgano asesor de expertos. En enero de 2002 se con</w:t>
      </w:r>
      <w:r>
        <w:t>s</w:t>
      </w:r>
      <w:r>
        <w:t>tituyó un grupo de trabajo para reglamentar la cuestión de la prostitución voluntaria en Eslovenia. El grupo de trabajo debe presentar un informe al Gobierno mensua</w:t>
      </w:r>
      <w:r>
        <w:t>l</w:t>
      </w:r>
      <w:r>
        <w:t>mente, y antes de diciembre de 2002 deberá haber redactado una propuesta para r</w:t>
      </w:r>
      <w:r>
        <w:t>e</w:t>
      </w:r>
      <w:r>
        <w:t>gl</w:t>
      </w:r>
      <w:r>
        <w:t>a</w:t>
      </w:r>
      <w:r>
        <w:t>mentar la situación.</w:t>
      </w:r>
    </w:p>
    <w:p w:rsidR="00000000" w:rsidRDefault="00000000">
      <w:pPr>
        <w:pStyle w:val="SingleTxt"/>
      </w:pPr>
      <w:r>
        <w:tab/>
        <w:t>En 2001 se constituyó la organización no gubernamental “Ključ, Centro para combatir el tráfico de seres humanos”, cuyas tareas básicas consisten en formular y aplicar programas preventivos y curativos encaminados a concienciar al público general y profesional y a las víctimas potenciales y reales de la trata, principalmente mujeres y niños, a las víctimas de la reventa y de la explotación sexual, del tráfico de órganos y sangre humanos y de todas las formas de trabajo forzado. El propósito del Centro es, además, prestar la ayuda necesaria a las víctimas de la trata de seres humanos y asistencia para regresar al país de origen, proporcionándoles asesor</w:t>
      </w:r>
      <w:r>
        <w:t>a</w:t>
      </w:r>
      <w:r>
        <w:t xml:space="preserve">miento </w:t>
      </w:r>
      <w:r>
        <w:rPr>
          <w:w w:val="100"/>
        </w:rPr>
        <w:t>gratuito, fomentando y organizando su cooperación con los órganos de enju</w:t>
      </w:r>
      <w:r>
        <w:rPr>
          <w:w w:val="100"/>
        </w:rPr>
        <w:t>i</w:t>
      </w:r>
      <w:r>
        <w:rPr>
          <w:w w:val="100"/>
        </w:rPr>
        <w:t>ciamiento y contribuyendo a la realización de programas de protección de test</w:t>
      </w:r>
      <w:r>
        <w:rPr>
          <w:w w:val="100"/>
        </w:rPr>
        <w:t>i</w:t>
      </w:r>
      <w:r>
        <w:rPr>
          <w:w w:val="100"/>
        </w:rPr>
        <w:t>gos.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la vida política y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Las disposiciones constitucionales relacionadas con el derecho a votar y a ser elegido no han variado, pero está en proceso de debate una enmienda tendente a lograr un mejor equilibrio de la representación femenina y masculina en la vida p</w:t>
      </w:r>
      <w:r>
        <w:t>o</w:t>
      </w:r>
      <w:r>
        <w:t>lítica. El Artículo 44 de la Constitución de la República de Eslovenia determina el derecho a participar en la gestión de los asuntos públicos y, de conformidad con esta disposición, todo ciudadano tiene derecho, según la Ley, a participar directamente o a través de representantes elegidos en la gestión de los asuntos públicos. Un grupo de parlamentarios presentó un proyecto de ley constitucional a la Asamblea Naci</w:t>
      </w:r>
      <w:r>
        <w:t>o</w:t>
      </w:r>
      <w:r>
        <w:t>nal (30 de noviembre de 2001), en el cual se propone una enmienda a esta Ley: se agrega un segundo párrafo nuevo que determina que la Ley podrá estipular las m</w:t>
      </w:r>
      <w:r>
        <w:t>e</w:t>
      </w:r>
      <w:r>
        <w:t>didas para fomentar la igualdad de oportunidades de hombres y mujeres por lo que atañe a las candidaturas en las elecciones para los organismos estatales y los org</w:t>
      </w:r>
      <w:r>
        <w:t>a</w:t>
      </w:r>
      <w:r>
        <w:t>nismos de las comunidades locales.</w:t>
      </w:r>
    </w:p>
    <w:p w:rsidR="00000000" w:rsidRDefault="00000000">
      <w:pPr>
        <w:pStyle w:val="SingleTxt"/>
      </w:pPr>
      <w:r>
        <w:tab/>
        <w:t>La nueva Ley de igualdad de oportunidades para la mujer y el hombre contiene además disposiciones relacionadas con la participación de las mujeres en la vida p</w:t>
      </w:r>
      <w:r>
        <w:t>o</w:t>
      </w:r>
      <w:r>
        <w:t>lítica y pública. En virtud del Artículo 31, es obligatorio que los partidos políticos que figuran en el padrón elaboren cada cuatro años un plan en el cual adopten una posición sobre la cuestión de la representación equilibrada de los hombres y las mujeres y, de conformidad con esa posición, determinen métodos y medidas para fomentar una representación más equilibrada de ambos sexos en los órganos del partido, en las listas de candidatos para la elección a la Asamblea Nacional y a los órganos de las comunidades locales y para las elecciones de Presidente de la Rep</w:t>
      </w:r>
      <w:r>
        <w:t>ú</w:t>
      </w:r>
      <w:r>
        <w:t>blica. Los partidos políticos deben presentar los planes a la Oficina de Igualdad de Oportunidades, en el plazo de tres meses después de su adopción. Un partido polít</w:t>
      </w:r>
      <w:r>
        <w:t>i</w:t>
      </w:r>
      <w:r>
        <w:t>co que no presente un plan se expone a una multa por infracción.</w:t>
      </w:r>
    </w:p>
    <w:p w:rsidR="00000000" w:rsidRDefault="00000000">
      <w:pPr>
        <w:pStyle w:val="SingleTxt"/>
      </w:pPr>
      <w:r>
        <w:tab/>
        <w:t>La Ley de igualdad de oportunidades para la mujer y el hombre contiene ta</w:t>
      </w:r>
      <w:r>
        <w:t>m</w:t>
      </w:r>
      <w:r>
        <w:t>bién dos disposiciones relativas a la representación femenina y masculina en los ó</w:t>
      </w:r>
      <w:r>
        <w:t>r</w:t>
      </w:r>
      <w:r>
        <w:t>ganos de trabajo y otros órganos de la Asamblea Nacional, el Gobierno y los mini</w:t>
      </w:r>
      <w:r>
        <w:t>s</w:t>
      </w:r>
      <w:r>
        <w:t>terios. En su Artículo 10 determina que la Asamblea Nacional, de conformidad con las posibilidades reales, debe respetar al máximo el principio de la representación equilibrada de los sexos en la constitución de los órganos de trabajo y en la comp</w:t>
      </w:r>
      <w:r>
        <w:t>o</w:t>
      </w:r>
      <w:r>
        <w:t>sición de las delegaciones de conformidad con su reglamento general. Una oblig</w:t>
      </w:r>
      <w:r>
        <w:t>a</w:t>
      </w:r>
      <w:r>
        <w:t>ción análoga se aplica al Gobierno, que debe respetar el principio de la represent</w:t>
      </w:r>
      <w:r>
        <w:t>a</w:t>
      </w:r>
      <w:r>
        <w:t>ción equilibrada de los sexos en la composición de los órganos consultivos y de c</w:t>
      </w:r>
      <w:r>
        <w:t>o</w:t>
      </w:r>
      <w:r>
        <w:t>ordinación, otros órganos de trabajo y las delegaciones que constituya en el marco de la Ley del Gobierno de la República de Eslovenia y en virtud de su propio regl</w:t>
      </w:r>
      <w:r>
        <w:t>a</w:t>
      </w:r>
      <w:r>
        <w:t>mento general, así como en la designación de representantes gubernamentales en las empresas de propiedad del Estado y otros organismos públicos, a menos que esto no sea posible por razones objetivas (Artículo 14). Esta obligación también concierne a los ministerios en cuanto a la composición de consejos de expertos.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La mujer en los partidos políticos</w:t>
      </w:r>
    </w:p>
    <w:p w:rsidR="00000000" w:rsidRDefault="00000000">
      <w:pPr>
        <w:pStyle w:val="SingleTxt"/>
        <w:spacing w:after="0" w:line="120" w:lineRule="exact"/>
        <w:rPr>
          <w:sz w:val="10"/>
        </w:rPr>
      </w:pPr>
    </w:p>
    <w:p w:rsidR="00000000" w:rsidRDefault="00000000">
      <w:pPr>
        <w:pStyle w:val="SingleTxt"/>
      </w:pPr>
      <w:r>
        <w:tab/>
        <w:t>En las elecciones para la Asamblea Nacional de la República de Eslovenia de 1992, se eligió 13,3% de mujeres, en las elecciones de 1996 sólo 7,8%, y en las de 2000, nuevamente el porcentaje de elevó a 13,3%. Existe una situación análoga en relación con la representación femenina en el Consejo Nacional. En las elecci</w:t>
      </w:r>
      <w:r>
        <w:t>o</w:t>
      </w:r>
      <w:r>
        <w:t>nes para el Consejo Nacional de la República de Eslovenia en 1992, de 40 miembros se el</w:t>
      </w:r>
      <w:r>
        <w:t>i</w:t>
      </w:r>
      <w:r>
        <w:t>gió a una mujer, y en 1997, a cinco.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3</w:t>
      </w:r>
      <w:r>
        <w:br/>
        <w:t>Número de votos, escaños y mujeres elegidas miembros de la Asamblea Nacional, por partido, para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90"/>
        <w:gridCol w:w="990"/>
        <w:gridCol w:w="900"/>
        <w:gridCol w:w="900"/>
        <w:gridCol w:w="841"/>
      </w:tblGrid>
      <w:tr w:rsidR="00000000">
        <w:tblPrEx>
          <w:tblCellMar>
            <w:top w:w="0" w:type="dxa"/>
            <w:left w:w="0" w:type="dxa"/>
            <w:bottom w:w="0" w:type="dxa"/>
            <w:right w:w="0" w:type="dxa"/>
          </w:tblCellMar>
        </w:tblPrEx>
        <w:trPr>
          <w:cantSplit/>
          <w:tblHeader/>
        </w:trPr>
        <w:tc>
          <w:tcPr>
            <w:tcW w:w="36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3631" w:type="dxa"/>
            <w:gridSpan w:val="4"/>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Elegidos</w:t>
            </w:r>
          </w:p>
        </w:tc>
      </w:tr>
      <w:tr w:rsidR="00000000">
        <w:tblPrEx>
          <w:tblCellMar>
            <w:top w:w="0" w:type="dxa"/>
            <w:left w:w="0" w:type="dxa"/>
            <w:bottom w:w="0" w:type="dxa"/>
            <w:right w:w="0" w:type="dxa"/>
          </w:tblCellMar>
        </w:tblPrEx>
        <w:trPr>
          <w:tblHeader/>
        </w:trPr>
        <w:tc>
          <w:tcPr>
            <w:tcW w:w="369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Partido</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 xml:space="preserve">Votos </w:t>
            </w:r>
            <w:r>
              <w:rPr>
                <w:i/>
                <w:sz w:val="14"/>
              </w:rPr>
              <w:br/>
              <w:t>emitidos %</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 de escaños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 de mujeres</w:t>
            </w:r>
          </w:p>
        </w:tc>
        <w:tc>
          <w:tcPr>
            <w:tcW w:w="8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 %</w:t>
            </w:r>
          </w:p>
        </w:tc>
      </w:tr>
      <w:tr w:rsidR="00000000">
        <w:tblPrEx>
          <w:tblCellMar>
            <w:top w:w="0" w:type="dxa"/>
            <w:left w:w="0" w:type="dxa"/>
            <w:bottom w:w="0" w:type="dxa"/>
            <w:right w:w="0" w:type="dxa"/>
          </w:tblCellMar>
        </w:tblPrEx>
        <w:trPr>
          <w:trHeight w:hRule="exact" w:val="115"/>
          <w:tblHeader/>
        </w:trPr>
        <w:tc>
          <w:tcPr>
            <w:tcW w:w="3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Democracia Liberal de Eslovenia LDS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36,21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Democrático Social de Eslovenia SDS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15,80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Lista Unida de Social Demócratas ZLSD</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12,07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27,2</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Popular Esloveno SLS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Nueva Eslovenia NSi</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de Jubilados Democráticos DeSUS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Nacional Esloveno SNS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de la Juventud de Eslovenia SMS</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Nacionalidades</w:t>
            </w:r>
          </w:p>
        </w:tc>
        <w:tc>
          <w:tcPr>
            <w:tcW w:w="9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84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50,0</w:t>
            </w:r>
          </w:p>
        </w:tc>
      </w:tr>
      <w:tr w:rsidR="00000000">
        <w:tblPrEx>
          <w:tblCellMar>
            <w:top w:w="0" w:type="dxa"/>
            <w:left w:w="0" w:type="dxa"/>
            <w:bottom w:w="0" w:type="dxa"/>
            <w:right w:w="0" w:type="dxa"/>
          </w:tblCellMar>
        </w:tblPrEx>
        <w:tc>
          <w:tcPr>
            <w:tcW w:w="36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90</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w:t>
            </w:r>
          </w:p>
        </w:tc>
        <w:tc>
          <w:tcPr>
            <w:tcW w:w="8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de Igualdad de Oportunidades – los datos sobre miembros mujeres elegidos se acopiaron a partir de datos oficiales de la Comisión de Votación de la República de Eslovenia.</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En la lista de candidatos de los partidos políticos para la Asamblea Nacional, la proporción de mujeres se eleva lentamente: en 1992 había 16% de mujeres en las listas de candidatos, y en 2000, 23,5%.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4</w:t>
      </w:r>
      <w:r>
        <w:br/>
        <w:t>Proporción de mujeres en las listas de candidatos de todos los partidos que se presentaron a las elecciones a la Asamblea Nacional en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050"/>
        <w:gridCol w:w="900"/>
        <w:gridCol w:w="1170"/>
        <w:gridCol w:w="1201"/>
      </w:tblGrid>
      <w:tr w:rsidR="00000000">
        <w:tblPrEx>
          <w:tblCellMar>
            <w:top w:w="0" w:type="dxa"/>
            <w:left w:w="0" w:type="dxa"/>
            <w:bottom w:w="0" w:type="dxa"/>
            <w:right w:w="0" w:type="dxa"/>
          </w:tblCellMar>
        </w:tblPrEx>
        <w:trPr>
          <w:cantSplit/>
          <w:tblHeader/>
        </w:trPr>
        <w:tc>
          <w:tcPr>
            <w:tcW w:w="40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3271"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Candidatos</w:t>
            </w:r>
          </w:p>
        </w:tc>
      </w:tr>
      <w:tr w:rsidR="00000000">
        <w:tblPrEx>
          <w:tblCellMar>
            <w:top w:w="0" w:type="dxa"/>
            <w:left w:w="0" w:type="dxa"/>
            <w:bottom w:w="0" w:type="dxa"/>
            <w:right w:w="0" w:type="dxa"/>
          </w:tblCellMar>
        </w:tblPrEx>
        <w:trPr>
          <w:tblHeader/>
        </w:trPr>
        <w:tc>
          <w:tcPr>
            <w:tcW w:w="405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Partidos</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 total</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 xml:space="preserve">Número de </w:t>
            </w:r>
            <w:r>
              <w:rPr>
                <w:i/>
                <w:sz w:val="14"/>
              </w:rPr>
              <w:br/>
              <w:t>mujeres</w:t>
            </w:r>
          </w:p>
        </w:tc>
        <w:tc>
          <w:tcPr>
            <w:tcW w:w="12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 %</w:t>
            </w:r>
          </w:p>
        </w:tc>
      </w:tr>
      <w:tr w:rsidR="00000000">
        <w:tblPrEx>
          <w:tblCellMar>
            <w:top w:w="0" w:type="dxa"/>
            <w:left w:w="0" w:type="dxa"/>
            <w:bottom w:w="0" w:type="dxa"/>
            <w:right w:w="0" w:type="dxa"/>
          </w:tblCellMar>
        </w:tblPrEx>
        <w:trPr>
          <w:trHeight w:hRule="exact" w:val="115"/>
          <w:tblHeader/>
        </w:trPr>
        <w:tc>
          <w:tcPr>
            <w:tcW w:w="4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Verdes Unidos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Democracia Liberal de Eslovenia LDS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25,3</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Democrático DS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Nuevo NOVA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68,7</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de Acción Democrática de Eslovenia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Nacional Esloveno SNS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u w:val="double"/>
              </w:rPr>
            </w:pPr>
            <w:r>
              <w:rPr>
                <w:sz w:val="17"/>
              </w:rPr>
              <w:t>Lista Unida de Social Demócratas ZLSD</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de la Juventud de Eslovenia SMS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Comunista de Eslovenia KPS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16,6</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Democrático Social de Eslovenia SDS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Nueva Eslovenia NSi</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Popular Esloveno SLS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La Voz de las Mujeres de Eslovenia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de Jubilados Democráticos DeSUS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17,0</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Adelante Eslovenia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Partido Rural Štajerska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117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120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35,7</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Independientes (en conjunto)</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w:t>
            </w:r>
          </w:p>
        </w:tc>
        <w:tc>
          <w:tcPr>
            <w:tcW w:w="11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120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14,2</w:t>
            </w:r>
          </w:p>
        </w:tc>
      </w:tr>
      <w:tr w:rsidR="00000000">
        <w:tblPrEx>
          <w:tblCellMar>
            <w:top w:w="0" w:type="dxa"/>
            <w:left w:w="0" w:type="dxa"/>
            <w:bottom w:w="0" w:type="dxa"/>
            <w:right w:w="0" w:type="dxa"/>
          </w:tblCellMar>
        </w:tblPrEx>
        <w:tc>
          <w:tcPr>
            <w:tcW w:w="405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0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995</w:t>
            </w:r>
          </w:p>
        </w:tc>
        <w:tc>
          <w:tcPr>
            <w:tcW w:w="117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234</w:t>
            </w:r>
          </w:p>
        </w:tc>
        <w:tc>
          <w:tcPr>
            <w:tcW w:w="1201"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23,5</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Comunidad italiana</w:t>
            </w:r>
          </w:p>
        </w:tc>
        <w:tc>
          <w:tcPr>
            <w:tcW w:w="90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1</w:t>
            </w:r>
          </w:p>
        </w:tc>
        <w:tc>
          <w:tcPr>
            <w:tcW w:w="1170"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0</w:t>
            </w:r>
          </w:p>
        </w:tc>
        <w:tc>
          <w:tcPr>
            <w:tcW w:w="1201" w:type="dxa"/>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Comunidad húngara</w:t>
            </w:r>
          </w:p>
        </w:tc>
        <w:tc>
          <w:tcPr>
            <w:tcW w:w="90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w:t>
            </w:r>
          </w:p>
        </w:tc>
        <w:tc>
          <w:tcPr>
            <w:tcW w:w="117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120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20,0</w:t>
            </w:r>
          </w:p>
        </w:tc>
      </w:tr>
      <w:tr w:rsidR="00000000">
        <w:tblPrEx>
          <w:tblCellMar>
            <w:top w:w="0" w:type="dxa"/>
            <w:left w:w="0" w:type="dxa"/>
            <w:bottom w:w="0" w:type="dxa"/>
            <w:right w:w="0" w:type="dxa"/>
          </w:tblCellMar>
        </w:tblPrEx>
        <w:tc>
          <w:tcPr>
            <w:tcW w:w="40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 general</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1 001</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235</w:t>
            </w:r>
          </w:p>
        </w:tc>
        <w:tc>
          <w:tcPr>
            <w:tcW w:w="120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23,4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de Igualdad de Oportunidades – los datos sobre los candidatos se tomaron de la Proclamación Pública de las listas de candidatos confirmados, Dnevnik, 30 de septiembre de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Por otra parte, las mujeres están insuficientemente representadas a nivel local: en las elecciones locales celebradas en 1994, fueron elegidas un 10,7% de consej</w:t>
      </w:r>
      <w:r>
        <w:t>e</w:t>
      </w:r>
      <w:r>
        <w:t xml:space="preserve">ras en los consejos urbanos y municipales, y 3,4% (es decir, 5) de alcaldesas, y en </w:t>
      </w:r>
      <w:r>
        <w:rPr>
          <w:w w:val="100"/>
        </w:rPr>
        <w:t>las elecciones locales de 1998, 11,7% de consejeras y 4,2% (es decir, 8) de alcald</w:t>
      </w:r>
      <w:r>
        <w:rPr>
          <w:w w:val="100"/>
        </w:rPr>
        <w:t>e</w:t>
      </w:r>
      <w:r>
        <w:rPr>
          <w:w w:val="100"/>
        </w:rPr>
        <w:t>sas.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Las mujeres en el Gobierno</w:t>
      </w:r>
    </w:p>
    <w:p w:rsidR="00000000" w:rsidRDefault="00000000">
      <w:pPr>
        <w:pStyle w:val="SingleTxt"/>
        <w:spacing w:after="0" w:line="120" w:lineRule="exact"/>
        <w:rPr>
          <w:sz w:val="10"/>
        </w:rPr>
      </w:pPr>
    </w:p>
    <w:p w:rsidR="00000000" w:rsidRDefault="00000000">
      <w:pPr>
        <w:pStyle w:val="SingleTxt"/>
      </w:pPr>
      <w:r>
        <w:tab/>
        <w:t>Asimismo, la representación femenina es escasa en el Gobierno de la Repúbl</w:t>
      </w:r>
      <w:r>
        <w:t>i</w:t>
      </w:r>
      <w:r>
        <w:t>ca de Eslovenia. En 1992 se nombraron dos ministras, en 1996 ninguna (salvo d</w:t>
      </w:r>
      <w:r>
        <w:t>u</w:t>
      </w:r>
      <w:r>
        <w:t>rante los cuatro meses anteriores a las nuevas elecciones parlamentarias, cuando h</w:t>
      </w:r>
      <w:r>
        <w:t>u</w:t>
      </w:r>
      <w:r>
        <w:t>bo una ministra en el Gobierno), y desde las elecciones de 2000, ha habido tres m</w:t>
      </w:r>
      <w:r>
        <w:t>i</w:t>
      </w:r>
      <w:r>
        <w:t>nistras en el Gobierno (20%). Hay 19% de mujeres en los cargos de funcionarios gubernamentales, y 51% de mujeres en los cargos de funcionarios superiores. A p</w:t>
      </w:r>
      <w:r>
        <w:t>e</w:t>
      </w:r>
      <w:r>
        <w:t>sar de que hay más mujeres entre los funcionarios superiores, son menos en los ca</w:t>
      </w:r>
      <w:r>
        <w:t>r</w:t>
      </w:r>
      <w:r>
        <w:t>gos más elevados, por ejemplo, el de secretario general (29%) y el de subsecretario de Estado (37%). Es dable observar una situación análoga, es decir, una represent</w:t>
      </w:r>
      <w:r>
        <w:t>a</w:t>
      </w:r>
      <w:r>
        <w:t>ción femenina escasa, en las comisiones y otros órganos de trabajo del Gobierno de la República de Eslovenia. En total, en 40 comisiones del Gobierno se han nombr</w:t>
      </w:r>
      <w:r>
        <w:t>a</w:t>
      </w:r>
      <w:r>
        <w:t>do 462 miembros, de los cuales 159 (es decir, 34,5%) son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La mujer en la judicatura</w:t>
      </w:r>
    </w:p>
    <w:p w:rsidR="00000000" w:rsidRDefault="00000000">
      <w:pPr>
        <w:pStyle w:val="SingleTxt"/>
        <w:spacing w:after="0" w:line="120" w:lineRule="exact"/>
        <w:rPr>
          <w:sz w:val="10"/>
        </w:rPr>
      </w:pPr>
    </w:p>
    <w:p w:rsidR="00000000" w:rsidRDefault="00000000">
      <w:pPr>
        <w:pStyle w:val="SingleTxt"/>
      </w:pPr>
      <w:r>
        <w:tab/>
        <w:t>La proporción de juezas en la rama judicial es más elevada que la de los ju</w:t>
      </w:r>
      <w:r>
        <w:t>e</w:t>
      </w:r>
      <w:r>
        <w:t>ces, ya que las juezas constituyen el 66,7% del total. La proporción de mujeres es inferior en la Corte Suprema (34,3%), y más elevada en los tribunales de distrito (76,2%). Si bien las juezas predominan en los tribunales, con excepción de la Corte Suprema y el Tribunal Superior Laboral y Social, ocupan cargos de presidentes sólo en los tr</w:t>
      </w:r>
      <w:r>
        <w:t>i</w:t>
      </w:r>
      <w:r>
        <w:t>bunales de circuito, de distrito y laborales y sociales.</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5</w:t>
      </w:r>
      <w:r>
        <w:br/>
        <w:t>Jueces por tipo de tribunal para el período comprendido entre 1998 y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260"/>
        <w:gridCol w:w="450"/>
        <w:gridCol w:w="540"/>
        <w:gridCol w:w="540"/>
        <w:gridCol w:w="90"/>
        <w:gridCol w:w="450"/>
        <w:gridCol w:w="540"/>
        <w:gridCol w:w="540"/>
        <w:gridCol w:w="90"/>
        <w:gridCol w:w="450"/>
        <w:gridCol w:w="540"/>
        <w:gridCol w:w="520"/>
        <w:gridCol w:w="110"/>
        <w:gridCol w:w="450"/>
        <w:gridCol w:w="540"/>
        <w:gridCol w:w="540"/>
      </w:tblGrid>
      <w:tr w:rsidR="00000000">
        <w:tblPrEx>
          <w:tblCellMar>
            <w:top w:w="0" w:type="dxa"/>
            <w:left w:w="0" w:type="dxa"/>
            <w:bottom w:w="0" w:type="dxa"/>
            <w:right w:w="0" w:type="dxa"/>
          </w:tblCellMar>
        </w:tblPrEx>
        <w:trPr>
          <w:cantSplit/>
          <w:tblHeader/>
        </w:trPr>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53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1998</w:t>
            </w:r>
          </w:p>
        </w:tc>
        <w:tc>
          <w:tcPr>
            <w:tcW w:w="1620" w:type="dxa"/>
            <w:gridSpan w:val="4"/>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1999</w:t>
            </w:r>
          </w:p>
        </w:tc>
        <w:tc>
          <w:tcPr>
            <w:tcW w:w="1600" w:type="dxa"/>
            <w:gridSpan w:val="4"/>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2000</w:t>
            </w:r>
          </w:p>
        </w:tc>
        <w:tc>
          <w:tcPr>
            <w:tcW w:w="1640" w:type="dxa"/>
            <w:gridSpan w:val="4"/>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2001</w:t>
            </w:r>
          </w:p>
        </w:tc>
      </w:tr>
      <w:tr w:rsidR="00000000">
        <w:tblPrEx>
          <w:tblCellMar>
            <w:top w:w="0" w:type="dxa"/>
            <w:left w:w="0" w:type="dxa"/>
            <w:bottom w:w="0" w:type="dxa"/>
            <w:right w:w="0" w:type="dxa"/>
          </w:tblCellMar>
        </w:tblPrEx>
        <w:trPr>
          <w:cantSplit/>
          <w:tblHeader/>
        </w:trPr>
        <w:tc>
          <w:tcPr>
            <w:tcW w:w="126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Tribunal</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Juezas</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 de juezas</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Juezas</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 de juezas</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Juezas</w:t>
            </w:r>
          </w:p>
        </w:tc>
        <w:tc>
          <w:tcPr>
            <w:tcW w:w="5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 de juezas</w:t>
            </w:r>
          </w:p>
        </w:tc>
        <w:tc>
          <w:tcPr>
            <w:tcW w:w="11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Juezas</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 de juezas</w:t>
            </w:r>
          </w:p>
        </w:tc>
      </w:tr>
      <w:tr w:rsidR="00000000">
        <w:tblPrEx>
          <w:tblCellMar>
            <w:top w:w="0" w:type="dxa"/>
            <w:left w:w="0" w:type="dxa"/>
            <w:bottom w:w="0" w:type="dxa"/>
            <w:right w:w="0" w:type="dxa"/>
          </w:tblCellMar>
        </w:tblPrEx>
        <w:trPr>
          <w:trHeight w:hRule="exact" w:val="115"/>
          <w:tblHeader/>
        </w:trPr>
        <w:tc>
          <w:tcPr>
            <w:tcW w:w="12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Distrito</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77,7</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73,3</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w:t>
            </w:r>
          </w:p>
        </w:tc>
        <w:tc>
          <w:tcPr>
            <w:tcW w:w="5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75,7</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76,2</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Circuito</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64,4</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65,2</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w:t>
            </w:r>
          </w:p>
        </w:tc>
        <w:tc>
          <w:tcPr>
            <w:tcW w:w="5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62,9</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63,6</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Superior</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50,6</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42,2</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5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55,7</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54,5</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Corte Suprema</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31,2</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26,7</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5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34,3</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Administrativo</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69,6</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5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74,1</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75,0</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Superior DSS</w:t>
            </w: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c>
          <w:tcPr>
            <w:tcW w:w="54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5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46,7</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47,1</w:t>
            </w:r>
          </w:p>
        </w:tc>
      </w:tr>
      <w:tr w:rsidR="00000000">
        <w:tblPrEx>
          <w:tblCellMar>
            <w:top w:w="0" w:type="dxa"/>
            <w:left w:w="0" w:type="dxa"/>
            <w:bottom w:w="0" w:type="dxa"/>
            <w:right w:w="0" w:type="dxa"/>
          </w:tblCellMar>
        </w:tblPrEx>
        <w:tc>
          <w:tcPr>
            <w:tcW w:w="126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DS y DSS</w:t>
            </w:r>
          </w:p>
        </w:tc>
        <w:tc>
          <w:tcPr>
            <w:tcW w:w="45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49</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34</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69,4</w:t>
            </w:r>
          </w:p>
        </w:tc>
        <w:tc>
          <w:tcPr>
            <w:tcW w:w="54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51</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35</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86,6</w:t>
            </w:r>
          </w:p>
        </w:tc>
        <w:tc>
          <w:tcPr>
            <w:tcW w:w="54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51</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38</w:t>
            </w:r>
          </w:p>
        </w:tc>
        <w:tc>
          <w:tcPr>
            <w:tcW w:w="5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74,5</w:t>
            </w:r>
          </w:p>
        </w:tc>
        <w:tc>
          <w:tcPr>
            <w:tcW w:w="560" w:type="dxa"/>
            <w:gridSpan w:val="2"/>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51</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38</w:t>
            </w: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74,5</w:t>
            </w:r>
          </w:p>
        </w:tc>
      </w:tr>
      <w:tr w:rsidR="00000000">
        <w:tblPrEx>
          <w:tblCellMar>
            <w:top w:w="0" w:type="dxa"/>
            <w:left w:w="0" w:type="dxa"/>
            <w:bottom w:w="0" w:type="dxa"/>
            <w:right w:w="0" w:type="dxa"/>
          </w:tblCellMar>
        </w:tblPrEx>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682</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438</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64,2</w:t>
            </w:r>
          </w:p>
        </w:tc>
        <w:tc>
          <w:tcPr>
            <w:tcW w:w="54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708</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454</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64,1</w:t>
            </w:r>
          </w:p>
        </w:tc>
        <w:tc>
          <w:tcPr>
            <w:tcW w:w="54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728</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483</w:t>
            </w:r>
          </w:p>
        </w:tc>
        <w:tc>
          <w:tcPr>
            <w:tcW w:w="5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66,3</w:t>
            </w:r>
          </w:p>
        </w:tc>
        <w:tc>
          <w:tcPr>
            <w:tcW w:w="56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745</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497</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66,7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Justicia, 9 de octubre de 2002.</w:t>
      </w:r>
    </w:p>
    <w:p w:rsidR="00000000" w:rsidRDefault="00000000">
      <w:pPr>
        <w:pStyle w:val="FootnoteText"/>
        <w:tabs>
          <w:tab w:val="clear" w:pos="418"/>
          <w:tab w:val="right" w:pos="1476"/>
          <w:tab w:val="left" w:pos="1548"/>
          <w:tab w:val="right" w:pos="1836"/>
          <w:tab w:val="left" w:pos="1908"/>
        </w:tabs>
        <w:ind w:left="1548" w:right="1267" w:hanging="288"/>
      </w:pPr>
      <w:r>
        <w:rPr>
          <w:i/>
        </w:rPr>
        <w:tab/>
        <w:t>Nota</w:t>
      </w:r>
      <w:r>
        <w:t>: DSS – tribunales laborales y sociales.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Entre los fiscales, la proporción de mujeres (49,7%) es casi igual a la de los hombres. Ahora bien, en la fiscalía, la proporción de mujeres entre el personal de categoría superior desciende a medida que ascendemos en la jerarquía. En las ofic</w:t>
      </w:r>
      <w:r>
        <w:t>i</w:t>
      </w:r>
      <w:r>
        <w:t>nas de fiscales públicos de circuito, la proporción de mujeres entre el personal de categoría superior es de 52,4%, pero en la oficina del fiscal de Estado supremo es de 20%.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La mujer en la economía</w:t>
      </w:r>
    </w:p>
    <w:p w:rsidR="00000000" w:rsidRDefault="00000000">
      <w:pPr>
        <w:pStyle w:val="SingleTxt"/>
        <w:spacing w:after="0" w:line="120" w:lineRule="exact"/>
        <w:rPr>
          <w:sz w:val="10"/>
        </w:rPr>
      </w:pPr>
    </w:p>
    <w:p w:rsidR="00000000" w:rsidRDefault="00000000">
      <w:pPr>
        <w:pStyle w:val="SingleTxt"/>
      </w:pPr>
      <w:r>
        <w:tab/>
        <w:t>Por otra parte, las mujeres constituyen una minoría en las posiciones de lid</w:t>
      </w:r>
      <w:r>
        <w:t>e</w:t>
      </w:r>
      <w:r>
        <w:t>razgo en otros ámbitos de la vida pública: la ciencia, la cultura, la economía, etc. En las empresas y sistemas comerciales más importantes de Eslovenia, según las hojas de balance verificadas y consolidadas correspondientes a 2000, no se contaban m</w:t>
      </w:r>
      <w:r>
        <w:t>u</w:t>
      </w:r>
      <w:r>
        <w:t>jeres entre los presidentes de los consejos de gestión y sólo había un 12,8% de muj</w:t>
      </w:r>
      <w:r>
        <w:t>e</w:t>
      </w:r>
      <w:r>
        <w:t>res entre los miembros. El Gobierno de la República de Eslovenia designó a un total de 187 miembros en 42 juntas de supervisión, consejos comerciales y juntas de ge</w:t>
      </w:r>
      <w:r>
        <w:t>s</w:t>
      </w:r>
      <w:r>
        <w:t>tión de operadores comerciales (empresas públicas, asociaciones, fondos, etc.) por un mandato de cuatro años. Entre esos miembros había sólo 42 mujeres (22,3%).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Iniciativas de la sociedad civil</w:t>
      </w:r>
    </w:p>
    <w:p w:rsidR="00000000" w:rsidRDefault="00000000">
      <w:pPr>
        <w:pStyle w:val="SingleTxt"/>
        <w:spacing w:after="0" w:line="120" w:lineRule="exact"/>
        <w:rPr>
          <w:sz w:val="10"/>
        </w:rPr>
      </w:pPr>
    </w:p>
    <w:p w:rsidR="00000000" w:rsidRDefault="00000000">
      <w:pPr>
        <w:pStyle w:val="SingleTxt"/>
      </w:pPr>
      <w:r>
        <w:tab/>
        <w:t>En el marco de los esfuerzos para lograr una mayor representación femenina en la vida política y pública, ha surgido una iniciativa de la sociedad civil, la Coal</w:t>
      </w:r>
      <w:r>
        <w:t>i</w:t>
      </w:r>
      <w:r>
        <w:t>ción para el Establecimiento de una Representación Equilibrada de Mujeres y Ho</w:t>
      </w:r>
      <w:r>
        <w:t>m</w:t>
      </w:r>
      <w:r>
        <w:t>bres en la Vida Pública, coalición que reúne a personas de las organizaciones no g</w:t>
      </w:r>
      <w:r>
        <w:t>u</w:t>
      </w:r>
      <w:r>
        <w:t>bernamentales y gubernamentales, los partidos políticos parlamentarios y no parl</w:t>
      </w:r>
      <w:r>
        <w:t>a</w:t>
      </w:r>
      <w:r>
        <w:t>mentarios y los grupos de mujeres de los partidos políticos, los sindicatos, otras formas de organizaciones de la sociedad civil, organismos públicos y privados y fundaciones. La finalidad de la Coalición consiste en fomentar y lograr una repr</w:t>
      </w:r>
      <w:r>
        <w:t>e</w:t>
      </w:r>
      <w:r>
        <w:t>sentación equilibrada de los sexos en la vida pública, principalmente mediante la r</w:t>
      </w:r>
      <w:r>
        <w:t>e</w:t>
      </w:r>
      <w:r>
        <w:t>forma de la legislación electoral y la introducción del principio de representación equilibrada de ambos sexos en todos los órganos de autoridad y en otros niveles de adopción de decisiones. A juicio de la Coalición, la legislación electoral debería determinar que ha de existir una parte igual de hombres y mujeres en todas las listas de candidatos para las elecciones locales y nacionales. El primer resultado de los e</w:t>
      </w:r>
      <w:r>
        <w:t>s</w:t>
      </w:r>
      <w:r>
        <w:t>fuerzos de la Coalición es la propuesta de enmienda constitucional, ya mencionado, que un grupo de parlamentarios de siete partidos parlamentarios (75 de los 90 miembros de la Asamblea Nacional) ha presentado al procedimiento parlamentario.</w:t>
      </w:r>
    </w:p>
    <w:p w:rsidR="00000000" w:rsidRDefault="00000000">
      <w:pPr>
        <w:pStyle w:val="SingleTxt"/>
      </w:pPr>
      <w:r>
        <w:tab/>
        <w:t>A fin de preparar a las mujeres en las elecciones locales de 2002, un grupo de trabajo para la igualdad de los géneros dentro del Pacto de Estabilidad, en cooper</w:t>
      </w:r>
      <w:r>
        <w:t>a</w:t>
      </w:r>
      <w:r>
        <w:t>ción con la Oficina de Igualdad de Oportunidades, originó un proyecto Ženske to zmoremo II (Las mujeres pueden hacerlo II). En el marco del proyecto se organiz</w:t>
      </w:r>
      <w:r>
        <w:t>a</w:t>
      </w:r>
      <w:r>
        <w:t>ron seis seminarios de capacitación, cuyos contenidos fueron adaptados a los deseos y necesidades de cada uno de los partidos parlamentarios que se sumaron al pr</w:t>
      </w:r>
      <w:r>
        <w:t>o</w:t>
      </w:r>
      <w:r>
        <w:t>yecto. El principal propósito de la capacitación era mejorar el funcionamiento de los grupos de mujeres dentro de los partidos políticos, definir los problemas que las mujeres reconocen como cruciales en la política y formular soluciones concretas para los problemas destacados, a fin de constituir un plan de acción dentro de los partidos.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mujeres como representantes del Gobierno en las organizaciones internacionales y las mujeres en la diplomacia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Ley de asuntos exteriores de 2001 reglamenta las condiciones de empleo en la diplomacia, que no establecen diferencias entre los sexos a este respecto. En vi</w:t>
      </w:r>
      <w:r>
        <w:t>r</w:t>
      </w:r>
      <w:r>
        <w:t>tud de esta Ley, un diplomático es un funcionario público empleado de manera pe</w:t>
      </w:r>
      <w:r>
        <w:t>r</w:t>
      </w:r>
      <w:r>
        <w:t>manente por el Ministerio de Relaciones Exteriores que desempeña tareas públicas en el ámbito de las relaciones exteriores (Artículo 34). Por lo que atañe a la comp</w:t>
      </w:r>
      <w:r>
        <w:t>o</w:t>
      </w:r>
      <w:r>
        <w:t>sición de las delegaciones internacionales, es importante la igualdad de oportunid</w:t>
      </w:r>
      <w:r>
        <w:t>a</w:t>
      </w:r>
      <w:r>
        <w:t>des para ambos sexos, lo cual obliga a la Asamblea Nacional y al Gobierno a resp</w:t>
      </w:r>
      <w:r>
        <w:t>e</w:t>
      </w:r>
      <w:r>
        <w:t>tar el principio de la representación equilibrada de hombres y mujeres.</w:t>
      </w:r>
    </w:p>
    <w:p w:rsidR="00000000" w:rsidRDefault="00000000">
      <w:pPr>
        <w:pStyle w:val="SingleTxt"/>
      </w:pPr>
      <w:r>
        <w:tab/>
        <w:t>En 2001, en las oficinas diplomáticas y consulares de la República de Eslov</w:t>
      </w:r>
      <w:r>
        <w:t>e</w:t>
      </w:r>
      <w:r>
        <w:t>nia estaban empleados 158 diplomáticos, de los cuales 60 (38%) eran mujeres. Del total de 211 personas empleadas, 89 (42,2%) eran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6</w:t>
      </w:r>
      <w:r>
        <w:br/>
        <w:t>Diplomáticos (26 de noviembre de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1530"/>
        <w:gridCol w:w="1710"/>
        <w:gridCol w:w="1741"/>
      </w:tblGrid>
      <w:tr w:rsidR="00000000">
        <w:tblPrEx>
          <w:tblCellMar>
            <w:top w:w="0" w:type="dxa"/>
            <w:left w:w="0" w:type="dxa"/>
            <w:bottom w:w="0" w:type="dxa"/>
            <w:right w:w="0" w:type="dxa"/>
          </w:tblCellMar>
        </w:tblPrEx>
        <w:trPr>
          <w:tblHeader/>
        </w:trPr>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Título</w:t>
            </w: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w:t>
            </w:r>
          </w:p>
        </w:tc>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174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de mujeres</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7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Embajadores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17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Cónsules generales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17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Ministros autorizados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17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Asesores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7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Cónsules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17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Primeros secretarios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17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68,4</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Segundos secretarios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7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57,9</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Terceros secretarios</w:t>
            </w:r>
          </w:p>
        </w:tc>
        <w:tc>
          <w:tcPr>
            <w:tcW w:w="15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7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17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54,5</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Agregados</w:t>
            </w:r>
          </w:p>
        </w:tc>
        <w:tc>
          <w:tcPr>
            <w:tcW w:w="15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17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w:t>
            </w:r>
          </w:p>
        </w:tc>
        <w:tc>
          <w:tcPr>
            <w:tcW w:w="174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23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 de diplomáticos</w:t>
            </w:r>
          </w:p>
        </w:tc>
        <w:tc>
          <w:tcPr>
            <w:tcW w:w="1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158</w:t>
            </w:r>
          </w:p>
        </w:tc>
        <w:tc>
          <w:tcPr>
            <w:tcW w:w="17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60</w:t>
            </w:r>
          </w:p>
        </w:tc>
        <w:tc>
          <w:tcPr>
            <w:tcW w:w="17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38,0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 xml:space="preserve">Fuente: </w:t>
      </w:r>
      <w:r>
        <w:t>Datos del Ministerio de Relaciones Exteriores al 26 de noviembre de 2001</w:t>
      </w:r>
      <w:r>
        <w:rPr>
          <w:i/>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Ciudadanía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situación no ha variado desde la preparación del Segundo Informe prese</w:t>
      </w:r>
      <w:r>
        <w:t>n</w:t>
      </w:r>
      <w:r>
        <w:t>tado en el marco de la Convención.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No se han producido cambios legislativos en el ámbito de la educación desde la pr</w:t>
      </w:r>
      <w:r>
        <w:t>e</w:t>
      </w:r>
      <w:r>
        <w:t>paración del Segundo Informe presentado en el marco de la Convención.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Educación preescolar</w:t>
      </w:r>
    </w:p>
    <w:p w:rsidR="00000000" w:rsidRDefault="00000000">
      <w:pPr>
        <w:pStyle w:val="SingleTxt"/>
        <w:spacing w:after="0" w:line="120" w:lineRule="exact"/>
        <w:rPr>
          <w:sz w:val="10"/>
        </w:rPr>
      </w:pPr>
    </w:p>
    <w:p w:rsidR="00000000" w:rsidRDefault="00000000">
      <w:pPr>
        <w:pStyle w:val="SingleTxt"/>
      </w:pPr>
      <w:r>
        <w:tab/>
        <w:t>En 2000, 56,8% de los niños de ambos sexos de entre uno y seis años estaban matr</w:t>
      </w:r>
      <w:r>
        <w:t>i</w:t>
      </w:r>
      <w:r>
        <w:t>culados en jardines de infantes, es decir que ha habido un aumento desde 1997.</w:t>
      </w:r>
    </w:p>
    <w:p w:rsidR="00000000" w:rsidRDefault="00000000">
      <w:pPr>
        <w:pStyle w:val="SingleTxt"/>
      </w:pPr>
      <w:r>
        <w:tab/>
        <w:t>El número de niños en jardines de infantes y programas de preparación para la escuela aumentó en 2000, al igual que el número de instituciones, departamentos y empleados. En comparación con 1997, la proporción de niñas matriculadas en jard</w:t>
      </w:r>
      <w:r>
        <w:t>i</w:t>
      </w:r>
      <w:r>
        <w:t>nes de infantes y programas preescolares permanece casi igual.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7</w:t>
      </w:r>
      <w:r>
        <w:br/>
        <w:t xml:space="preserve">Jardines de infantes y programas preescolares en los años escolares </w:t>
      </w:r>
      <w:r>
        <w:br/>
        <w:t>1997/1998-2000/2001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720"/>
        <w:gridCol w:w="900"/>
        <w:gridCol w:w="1080"/>
        <w:gridCol w:w="810"/>
        <w:gridCol w:w="720"/>
        <w:gridCol w:w="630"/>
        <w:gridCol w:w="810"/>
        <w:gridCol w:w="810"/>
        <w:gridCol w:w="720"/>
      </w:tblGrid>
      <w:tr w:rsidR="00000000">
        <w:tblPrEx>
          <w:tblCellMar>
            <w:top w:w="0" w:type="dxa"/>
            <w:left w:w="0" w:type="dxa"/>
            <w:bottom w:w="0" w:type="dxa"/>
            <w:right w:w="0" w:type="dxa"/>
          </w:tblCellMar>
        </w:tblPrEx>
        <w:trPr>
          <w:tblHeader/>
        </w:trPr>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Número de instituciones</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Departamentos</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Niños</w:t>
            </w:r>
            <w:r>
              <w:rPr>
                <w:i/>
                <w:sz w:val="14"/>
              </w:rPr>
              <w:br/>
              <w:t>total</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Número de niñas</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de niñas</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Personal, total</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Número de mujeres</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de mujeres</w:t>
            </w:r>
          </w:p>
        </w:tc>
      </w:tr>
      <w:tr w:rsidR="00000000">
        <w:tblPrEx>
          <w:tblCellMar>
            <w:top w:w="0" w:type="dxa"/>
            <w:left w:w="0" w:type="dxa"/>
            <w:bottom w:w="0" w:type="dxa"/>
            <w:right w:w="0" w:type="dxa"/>
          </w:tblCellMar>
        </w:tblPrEx>
        <w:trPr>
          <w:trHeight w:hRule="exact" w:val="115"/>
          <w:tblHeader/>
        </w:trPr>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1997/98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3 468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62 662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29 912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6 911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6 821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98,7</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1998/99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3 455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62 848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29 226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7 012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6 935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98,9</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1999/00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3 523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64 151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30 639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7 329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7 272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99,2</w:t>
            </w:r>
          </w:p>
        </w:tc>
      </w:tr>
      <w:tr w:rsidR="00000000">
        <w:tblPrEx>
          <w:tblCellMar>
            <w:top w:w="0" w:type="dxa"/>
            <w:left w:w="0" w:type="dxa"/>
            <w:bottom w:w="0" w:type="dxa"/>
            <w:right w:w="0" w:type="dxa"/>
          </w:tblCellMar>
        </w:tblPrEx>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2000/01</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814</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3 531</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63 328</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30 350</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47,9</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7 163</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7 022</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Educación, Ciencias y Deporte.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Entre los niños matriculados en los jardines de infantes se incluyen los niños que aún no están matriculados en las escuelas primarias de nueve años y están pr</w:t>
      </w:r>
      <w:r>
        <w:t>e</w:t>
      </w:r>
      <w:r>
        <w:t>parándose para la escuela, de tal manera que están matriculados en los programas más breves de jardines de infantes. Su proporción entre los niños matriculados en los jardines de infantes ascendía a 5,7% en 1999.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Educación primaria y secundaria</w:t>
      </w:r>
    </w:p>
    <w:p w:rsidR="00000000" w:rsidRDefault="00000000">
      <w:pPr>
        <w:pStyle w:val="SingleTxt"/>
        <w:keepNext/>
        <w:spacing w:after="0" w:line="120" w:lineRule="exact"/>
        <w:rPr>
          <w:sz w:val="10"/>
        </w:rPr>
      </w:pPr>
    </w:p>
    <w:p w:rsidR="00000000" w:rsidRDefault="00000000">
      <w:pPr>
        <w:pStyle w:val="SingleTxt"/>
        <w:keepNext/>
      </w:pPr>
      <w:r>
        <w:tab/>
        <w:t>Los datos estadísticos reflejan de manera elocuente la disminución del número de niños de ambos sexos. La proporción de niñas entre los alumnos de la escuela primaria y secundaria permanece aproximadamente igual a la de los años anteriores.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8</w:t>
      </w:r>
      <w:r>
        <w:br/>
        <w:t>Escuelas, clases, alumnos y personal profesional, por sexo, en los años escolares 1996/1997 a 1999/2000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00"/>
        <w:gridCol w:w="720"/>
        <w:gridCol w:w="720"/>
        <w:gridCol w:w="900"/>
        <w:gridCol w:w="900"/>
        <w:gridCol w:w="720"/>
        <w:gridCol w:w="990"/>
        <w:gridCol w:w="810"/>
        <w:gridCol w:w="630"/>
      </w:tblGrid>
      <w:tr w:rsidR="00000000">
        <w:tblPrEx>
          <w:tblCellMar>
            <w:top w:w="0" w:type="dxa"/>
            <w:left w:w="0" w:type="dxa"/>
            <w:bottom w:w="0" w:type="dxa"/>
            <w:right w:w="0" w:type="dxa"/>
          </w:tblCellMar>
        </w:tblPrEx>
        <w:trPr>
          <w:tblHeader/>
        </w:trPr>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Año</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Escuelas</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Clases</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Total de alumnos</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Número de mujeres</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de mujeres</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xml:space="preserve">Total de miembros del personal profesional </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Número de mujeres</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 de mujeres</w:t>
            </w:r>
          </w:p>
        </w:tc>
      </w:tr>
      <w:tr w:rsidR="00000000">
        <w:tblPrEx>
          <w:tblCellMar>
            <w:top w:w="0" w:type="dxa"/>
            <w:left w:w="0" w:type="dxa"/>
            <w:bottom w:w="0" w:type="dxa"/>
            <w:right w:w="0" w:type="dxa"/>
          </w:tblCellMar>
        </w:tblPrEx>
        <w:trPr>
          <w:trHeight w:hRule="exact" w:val="115"/>
        </w:trPr>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rPr>
          <w:cantSplit/>
        </w:trPr>
        <w:tc>
          <w:tcPr>
            <w:tcW w:w="7290" w:type="dxa"/>
            <w:gridSpan w:val="9"/>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Escuelas primarias</w:t>
            </w:r>
          </w:p>
        </w:tc>
      </w:tr>
      <w:tr w:rsidR="00000000">
        <w:tblPrEx>
          <w:tblCellMar>
            <w:top w:w="0" w:type="dxa"/>
            <w:left w:w="0" w:type="dxa"/>
            <w:bottom w:w="0" w:type="dxa"/>
            <w:right w:w="0" w:type="dxa"/>
          </w:tblCellMar>
        </w:tblPrEx>
        <w:trPr>
          <w:trHeight w:hRule="exact" w:val="115"/>
        </w:trPr>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1996/97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9 367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200 437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98 017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15 443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13 146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85,1</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1997/98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9 308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194 883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95 479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15 311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12 983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84,8</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1998/99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9 210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189 564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92 694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15 140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12 820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84,7</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9 117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185 034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90 358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15 287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12 989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85,0</w:t>
            </w:r>
          </w:p>
        </w:tc>
      </w:tr>
      <w:tr w:rsidR="00000000">
        <w:tblPrEx>
          <w:tblCellMar>
            <w:top w:w="0" w:type="dxa"/>
            <w:left w:w="0" w:type="dxa"/>
            <w:bottom w:w="0" w:type="dxa"/>
            <w:right w:w="0" w:type="dxa"/>
          </w:tblCellMar>
        </w:tblPrEx>
        <w:trPr>
          <w:cantSplit/>
        </w:trPr>
        <w:tc>
          <w:tcPr>
            <w:tcW w:w="7290" w:type="dxa"/>
            <w:gridSpan w:val="9"/>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Escuelas secundarias</w:t>
            </w:r>
          </w:p>
        </w:tc>
      </w:tr>
      <w:tr w:rsidR="00000000">
        <w:tblPrEx>
          <w:tblCellMar>
            <w:top w:w="0" w:type="dxa"/>
            <w:left w:w="0" w:type="dxa"/>
            <w:bottom w:w="0" w:type="dxa"/>
            <w:right w:w="0" w:type="dxa"/>
          </w:tblCellMar>
        </w:tblPrEx>
        <w:trPr>
          <w:trHeight w:hRule="exact" w:val="115"/>
        </w:trPr>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1996/97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4 003</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104 679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52 174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8 580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5 229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60,9</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1997/98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4 065</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104 786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52 786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8 816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5 466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62,0</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1998/99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3 989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103 469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52 214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8 646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5 474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63,3</w:t>
            </w:r>
          </w:p>
        </w:tc>
      </w:tr>
      <w:tr w:rsidR="00000000">
        <w:tblPrEx>
          <w:tblCellMar>
            <w:top w:w="0" w:type="dxa"/>
            <w:left w:w="0" w:type="dxa"/>
            <w:bottom w:w="0" w:type="dxa"/>
            <w:right w:w="0" w:type="dxa"/>
          </w:tblCellMar>
        </w:tblPrEx>
        <w:tc>
          <w:tcPr>
            <w:tcW w:w="9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4 031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102 969</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51 673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9 351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5 947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63,6</w:t>
            </w:r>
          </w:p>
        </w:tc>
      </w:tr>
      <w:tr w:rsidR="00000000">
        <w:tblPrEx>
          <w:tblCellMar>
            <w:top w:w="0" w:type="dxa"/>
            <w:left w:w="0" w:type="dxa"/>
            <w:bottom w:w="0" w:type="dxa"/>
            <w:right w:w="0" w:type="dxa"/>
          </w:tblCellMar>
        </w:tblPrEx>
        <w:trPr>
          <w:cantSplit/>
        </w:trPr>
        <w:tc>
          <w:tcPr>
            <w:tcW w:w="7290" w:type="dxa"/>
            <w:gridSpan w:val="9"/>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center"/>
              <w:rPr>
                <w:b/>
                <w:sz w:val="17"/>
              </w:rPr>
            </w:pPr>
            <w:r>
              <w:rPr>
                <w:b/>
                <w:sz w:val="17"/>
              </w:rPr>
              <w:t>Adultos</w:t>
            </w:r>
          </w:p>
        </w:tc>
      </w:tr>
      <w:tr w:rsidR="00000000">
        <w:tblPrEx>
          <w:tblCellMar>
            <w:top w:w="0" w:type="dxa"/>
            <w:left w:w="0" w:type="dxa"/>
            <w:bottom w:w="0" w:type="dxa"/>
            <w:right w:w="0" w:type="dxa"/>
          </w:tblCellMar>
        </w:tblPrEx>
        <w:trPr>
          <w:trHeight w:hRule="exact" w:val="115"/>
        </w:trPr>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1999/2000</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792</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19 449</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9 916</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50,1</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Ministerio de Educación, Ciencias y Deporte, 2002.</w:t>
      </w:r>
    </w:p>
    <w:p w:rsidR="00000000" w:rsidRDefault="00000000">
      <w:pPr>
        <w:pStyle w:val="SingleTxt"/>
      </w:pPr>
      <w:r>
        <w:tab/>
        <w:t>La estructura por género de las personas matriculadas según la esfera de est</w:t>
      </w:r>
      <w:r>
        <w:t>u</w:t>
      </w:r>
      <w:r>
        <w:t xml:space="preserve">dio en los programas de enseñanza secundaria no varió esencialmente en los años </w:t>
      </w:r>
      <w:r>
        <w:rPr>
          <w:w w:val="100"/>
        </w:rPr>
        <w:t>comprendidos entre 1997 y 2000. Las niñas predominan en las siguientes esferas: te</w:t>
      </w:r>
      <w:r>
        <w:rPr>
          <w:w w:val="100"/>
        </w:rPr>
        <w:t>x</w:t>
      </w:r>
      <w:r>
        <w:rPr>
          <w:w w:val="100"/>
        </w:rPr>
        <w:t>tiles, trabajo del cuero, salud, estudios sociales, servicios pedagógicos y pers</w:t>
      </w:r>
      <w:r>
        <w:rPr>
          <w:w w:val="100"/>
        </w:rPr>
        <w:t>o</w:t>
      </w:r>
      <w:r>
        <w:rPr>
          <w:w w:val="100"/>
        </w:rPr>
        <w:t>nales.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9</w:t>
      </w:r>
      <w:r>
        <w:br/>
        <w:t>Escuelas secundarias – departamentos, alumnos por áreas de programas, fin del año escolar 1998/1999 y 1999/2000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90"/>
        <w:gridCol w:w="810"/>
        <w:gridCol w:w="720"/>
        <w:gridCol w:w="630"/>
        <w:gridCol w:w="90"/>
        <w:gridCol w:w="810"/>
        <w:gridCol w:w="720"/>
        <w:gridCol w:w="720"/>
      </w:tblGrid>
      <w:tr w:rsidR="00000000">
        <w:tblPrEx>
          <w:tblCellMar>
            <w:top w:w="0" w:type="dxa"/>
            <w:left w:w="0" w:type="dxa"/>
            <w:bottom w:w="0" w:type="dxa"/>
            <w:right w:w="0" w:type="dxa"/>
          </w:tblCellMar>
        </w:tblPrEx>
        <w:trPr>
          <w:cantSplit/>
          <w:tblHeader/>
        </w:trPr>
        <w:tc>
          <w:tcPr>
            <w:tcW w:w="27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16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1998/99</w:t>
            </w:r>
          </w:p>
        </w:tc>
        <w:tc>
          <w:tcPr>
            <w:tcW w:w="2340" w:type="dxa"/>
            <w:gridSpan w:val="4"/>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1999/2000</w:t>
            </w:r>
          </w:p>
        </w:tc>
      </w:tr>
      <w:tr w:rsidR="00000000">
        <w:tblPrEx>
          <w:tblCellMar>
            <w:top w:w="0" w:type="dxa"/>
            <w:left w:w="0" w:type="dxa"/>
            <w:bottom w:w="0" w:type="dxa"/>
            <w:right w:w="0" w:type="dxa"/>
          </w:tblCellMar>
        </w:tblPrEx>
        <w:trPr>
          <w:cantSplit/>
          <w:tblHeader/>
        </w:trPr>
        <w:tc>
          <w:tcPr>
            <w:tcW w:w="279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Departamentos</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 de niñas</w:t>
            </w:r>
          </w:p>
        </w:tc>
        <w:tc>
          <w:tcPr>
            <w:tcW w:w="6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 de niñas</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 de niñas</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 de niñas</w:t>
            </w:r>
          </w:p>
        </w:tc>
      </w:tr>
      <w:tr w:rsidR="00000000">
        <w:tblPrEx>
          <w:tblCellMar>
            <w:top w:w="0" w:type="dxa"/>
            <w:left w:w="0" w:type="dxa"/>
            <w:bottom w:w="0" w:type="dxa"/>
            <w:right w:w="0" w:type="dxa"/>
          </w:tblCellMar>
        </w:tblPrEx>
        <w:trPr>
          <w:trHeight w:hRule="exact" w:val="115"/>
          <w:tblHeader/>
        </w:trPr>
        <w:tc>
          <w:tcPr>
            <w:tcW w:w="279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90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81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103 469</w:t>
            </w:r>
          </w:p>
        </w:tc>
        <w:tc>
          <w:tcPr>
            <w:tcW w:w="72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52 214</w:t>
            </w:r>
          </w:p>
        </w:tc>
        <w:tc>
          <w:tcPr>
            <w:tcW w:w="63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50,5</w:t>
            </w:r>
          </w:p>
        </w:tc>
        <w:tc>
          <w:tcPr>
            <w:tcW w:w="900" w:type="dxa"/>
            <w:gridSpan w:val="2"/>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102 969</w:t>
            </w:r>
          </w:p>
        </w:tc>
        <w:tc>
          <w:tcPr>
            <w:tcW w:w="72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51 673</w:t>
            </w:r>
          </w:p>
        </w:tc>
        <w:tc>
          <w:tcPr>
            <w:tcW w:w="72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50,0</w:t>
            </w:r>
          </w:p>
        </w:tc>
      </w:tr>
      <w:tr w:rsidR="00000000">
        <w:tblPrEx>
          <w:tblCellMar>
            <w:top w:w="0" w:type="dxa"/>
            <w:left w:w="0" w:type="dxa"/>
            <w:bottom w:w="0" w:type="dxa"/>
            <w:right w:w="0" w:type="dxa"/>
          </w:tblCellMar>
        </w:tblPrEx>
        <w:tc>
          <w:tcPr>
            <w:tcW w:w="2790" w:type="dxa"/>
            <w:tcBorders>
              <w:top w:val="single" w:sz="8" w:space="0" w:color="auto"/>
            </w:tcBorders>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Producción alimentaria</w:t>
            </w:r>
          </w:p>
        </w:tc>
        <w:tc>
          <w:tcPr>
            <w:tcW w:w="810" w:type="dxa"/>
            <w:tcBorders>
              <w:top w:val="single" w:sz="8"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5 641</w:t>
            </w:r>
          </w:p>
        </w:tc>
        <w:tc>
          <w:tcPr>
            <w:tcW w:w="720" w:type="dxa"/>
            <w:tcBorders>
              <w:top w:val="single" w:sz="8"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3 024</w:t>
            </w:r>
          </w:p>
        </w:tc>
        <w:tc>
          <w:tcPr>
            <w:tcW w:w="630" w:type="dxa"/>
            <w:tcBorders>
              <w:top w:val="single" w:sz="8"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53,6</w:t>
            </w:r>
          </w:p>
        </w:tc>
        <w:tc>
          <w:tcPr>
            <w:tcW w:w="900" w:type="dxa"/>
            <w:gridSpan w:val="2"/>
            <w:tcBorders>
              <w:top w:val="single" w:sz="8"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5 776</w:t>
            </w:r>
          </w:p>
        </w:tc>
        <w:tc>
          <w:tcPr>
            <w:tcW w:w="720" w:type="dxa"/>
            <w:tcBorders>
              <w:top w:val="single" w:sz="8"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2 984</w:t>
            </w:r>
          </w:p>
        </w:tc>
        <w:tc>
          <w:tcPr>
            <w:tcW w:w="720" w:type="dxa"/>
            <w:tcBorders>
              <w:top w:val="single" w:sz="8"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51,7</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Silvicultura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Producción relacionada con el cuero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89,8</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83,1</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Textiles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3 235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3 141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97,1</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2 481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2 403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96,9</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Química, farmacia, producción de caucho y metaloides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1 303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67,2</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1 190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66,9</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Producción maderera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3 339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3 305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Ingeniería civil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2 763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2 622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Restauración y turismo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5 694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2 509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44,1</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5 573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2 356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42,3</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Economía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22 275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15 270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68,6</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21 561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14 553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67,5</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Impresión y papel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43,4</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40,2</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Ingeniería eléctrica e informática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7 592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7 359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Metalurgia e ingeniería mecánica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9 371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8 515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Transporte y comunicaciones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1 011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Minería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Cuidado de la salud</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4 954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3 863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78,0</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5 119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3 943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77,0</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98,6</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98,3</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Ciencias sociales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1 249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88,9</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1 150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89,1</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Cultura</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72,5</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71,7</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 general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29 138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17 288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59,3</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31 426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18 661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59,4</w:t>
            </w:r>
          </w:p>
        </w:tc>
      </w:tr>
      <w:tr w:rsidR="00000000">
        <w:tblPrEx>
          <w:tblCellMar>
            <w:top w:w="0" w:type="dxa"/>
            <w:left w:w="0" w:type="dxa"/>
            <w:bottom w:w="0" w:type="dxa"/>
            <w:right w:w="0" w:type="dxa"/>
          </w:tblCellMar>
        </w:tblPrEx>
        <w:tc>
          <w:tcPr>
            <w:tcW w:w="27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Servicios personales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2 790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2 503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89,7</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2 854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2 467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86,4</w:t>
            </w:r>
          </w:p>
        </w:tc>
      </w:tr>
      <w:tr w:rsidR="00000000">
        <w:tblPrEx>
          <w:tblCellMar>
            <w:top w:w="0" w:type="dxa"/>
            <w:left w:w="0" w:type="dxa"/>
            <w:bottom w:w="0" w:type="dxa"/>
            <w:right w:w="0" w:type="dxa"/>
          </w:tblCellMar>
        </w:tblPrEx>
        <w:tc>
          <w:tcPr>
            <w:tcW w:w="27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Asuntos internos</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515</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90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363</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Anuario Estadístico 2002.</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Educación superior</w:t>
      </w:r>
    </w:p>
    <w:p w:rsidR="00000000" w:rsidRDefault="00000000">
      <w:pPr>
        <w:pStyle w:val="SingleTxt"/>
        <w:spacing w:after="0" w:line="120" w:lineRule="exact"/>
        <w:rPr>
          <w:sz w:val="10"/>
        </w:rPr>
      </w:pPr>
    </w:p>
    <w:p w:rsidR="00000000" w:rsidRDefault="00000000">
      <w:pPr>
        <w:pStyle w:val="SingleTxt"/>
      </w:pPr>
      <w:r>
        <w:tab/>
        <w:t>Según los datos relativos a los estudiantes que asisten a universidades e inst</w:t>
      </w:r>
      <w:r>
        <w:t>i</w:t>
      </w:r>
      <w:r>
        <w:t>tuciones de educación superior, el número de jóvenes que desean proseguir sus est</w:t>
      </w:r>
      <w:r>
        <w:t>u</w:t>
      </w:r>
      <w:r>
        <w:t>dios luego de haber concluido la escuela secundaria va en aumento. En total había 88.100 estudiantes matriculados, de los cuales 58,8% eran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10</w:t>
      </w:r>
      <w:r>
        <w:br/>
        <w:t>Estudiantes matriculados y egresados de universidades e instituciones de educación superior independientes, por sexo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530"/>
        <w:gridCol w:w="720"/>
        <w:gridCol w:w="1080"/>
        <w:gridCol w:w="990"/>
        <w:gridCol w:w="180"/>
        <w:gridCol w:w="720"/>
        <w:gridCol w:w="990"/>
        <w:gridCol w:w="1080"/>
      </w:tblGrid>
      <w:tr w:rsidR="00000000">
        <w:tblPrEx>
          <w:tblCellMar>
            <w:top w:w="0" w:type="dxa"/>
            <w:left w:w="0" w:type="dxa"/>
            <w:bottom w:w="0" w:type="dxa"/>
            <w:right w:w="0" w:type="dxa"/>
          </w:tblCellMar>
        </w:tblPrEx>
        <w:trPr>
          <w:cantSplit/>
          <w:tblHeader/>
        </w:trPr>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79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Matriculados</w:t>
            </w:r>
          </w:p>
        </w:tc>
        <w:tc>
          <w:tcPr>
            <w:tcW w:w="2970" w:type="dxa"/>
            <w:gridSpan w:val="4"/>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Egresados</w:t>
            </w:r>
          </w:p>
        </w:tc>
      </w:tr>
      <w:tr w:rsidR="00000000">
        <w:tblPrEx>
          <w:tblCellMar>
            <w:top w:w="0" w:type="dxa"/>
            <w:left w:w="0" w:type="dxa"/>
            <w:bottom w:w="0" w:type="dxa"/>
            <w:right w:w="0" w:type="dxa"/>
          </w:tblCellMar>
        </w:tblPrEx>
        <w:trPr>
          <w:cantSplit/>
          <w:tblHeader/>
        </w:trPr>
        <w:tc>
          <w:tcPr>
            <w:tcW w:w="153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Año</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Porcentaje</w:t>
            </w:r>
            <w:r>
              <w:rPr>
                <w:i/>
                <w:sz w:val="14"/>
              </w:rPr>
              <w:br/>
              <w:t xml:space="preserve"> de mujeres</w:t>
            </w:r>
          </w:p>
        </w:tc>
        <w:tc>
          <w:tcPr>
            <w:tcW w:w="18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Mujeres</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Porcentaje</w:t>
            </w:r>
            <w:r>
              <w:rPr>
                <w:i/>
                <w:sz w:val="14"/>
              </w:rPr>
              <w:br/>
              <w:t xml:space="preserve"> de mujeres</w:t>
            </w:r>
          </w:p>
        </w:tc>
      </w:tr>
      <w:tr w:rsidR="00000000">
        <w:tblPrEx>
          <w:tblCellMar>
            <w:top w:w="0" w:type="dxa"/>
            <w:left w:w="0" w:type="dxa"/>
            <w:bottom w:w="0" w:type="dxa"/>
            <w:right w:w="0" w:type="dxa"/>
          </w:tblCellMar>
        </w:tblPrEx>
        <w:trPr>
          <w:trHeight w:hRule="exact" w:val="115"/>
          <w:tblHeader/>
        </w:trPr>
        <w:tc>
          <w:tcPr>
            <w:tcW w:w="15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45 951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26 126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56,9</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6 419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3 809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59,3</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50 667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28 660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56,6</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7 724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4 658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60,3</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64 678</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36 149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55,9</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8 011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4 929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61,5</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74 642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42 507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56,9</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8 612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5 043</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58,5</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77 609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44 459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57,3</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9 345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5 499</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58,8</w:t>
            </w:r>
          </w:p>
        </w:tc>
      </w:tr>
      <w:tr w:rsidR="00000000">
        <w:tblPrEx>
          <w:tblCellMar>
            <w:top w:w="0" w:type="dxa"/>
            <w:left w:w="0" w:type="dxa"/>
            <w:bottom w:w="0" w:type="dxa"/>
            <w:right w:w="0" w:type="dxa"/>
          </w:tblCellMar>
        </w:tblPrEx>
        <w:tc>
          <w:tcPr>
            <w:tcW w:w="15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82 812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47 460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57,3</w:t>
            </w:r>
          </w:p>
        </w:tc>
        <w:tc>
          <w:tcPr>
            <w:tcW w:w="9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10 232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6 060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59,2</w:t>
            </w:r>
          </w:p>
        </w:tc>
      </w:tr>
      <w:tr w:rsidR="00000000">
        <w:tblPrEx>
          <w:tblCellMar>
            <w:top w:w="0" w:type="dxa"/>
            <w:left w:w="0" w:type="dxa"/>
            <w:bottom w:w="0" w:type="dxa"/>
            <w:right w:w="0" w:type="dxa"/>
          </w:tblCellMar>
        </w:tblPrEx>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2001</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88 100</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51 800</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58,8</w:t>
            </w:r>
          </w:p>
        </w:tc>
        <w:tc>
          <w:tcPr>
            <w:tcW w:w="90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10 375</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6 434</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Anuario Estadístico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En 2000 no se produjeron cambios esenciales en relación con la elección de los estudios. Como en años anteriores, las mujeres siguen predominando apreciabl</w:t>
      </w:r>
      <w:r>
        <w:t>e</w:t>
      </w:r>
      <w:r>
        <w:t>mente en los establecimientos de educación superior y en las facultades dedicados a los ámbitos de la salud y el trabajo social y la labor pedagógica. La proporción de estudiantes de sexo femenino es muy superior a la de los estudiantes de sexo ma</w:t>
      </w:r>
      <w:r>
        <w:t>s</w:t>
      </w:r>
      <w:r>
        <w:t>culino en la Facultad de Economía, la Facultad de Ciencias Sociales, la Facultad de Farmacia y la Facultad de Medicina, así como en algunos departamentos de las F</w:t>
      </w:r>
      <w:r>
        <w:t>a</w:t>
      </w:r>
      <w:r>
        <w:t>cultades de Ciencias Naturales y de Biotécnica. En cambio, hay menos muchachas matriculadas en la Facultad de Ingeniería y en la Facultad de Ingeniería Electrónica e I</w:t>
      </w:r>
      <w:r>
        <w:t>n</w:t>
      </w:r>
      <w:r>
        <w:t>formática.</w:t>
      </w:r>
    </w:p>
    <w:p w:rsidR="00000000" w:rsidRDefault="00000000">
      <w:pPr>
        <w:pStyle w:val="SingleTxt"/>
      </w:pPr>
      <w:r>
        <w:tab/>
        <w:t>Las diferencias entre los sexos van disminuyendo año a año en lo que concie</w:t>
      </w:r>
      <w:r>
        <w:t>r</w:t>
      </w:r>
      <w:r>
        <w:t>ne a las maestrías y los estudios de doctorado. En 2001 ya había una predominancia femenina en las maestrías, 454 mujeres sobre 905 maestrías (50,1%), y en los doct</w:t>
      </w:r>
      <w:r>
        <w:t>o</w:t>
      </w:r>
      <w:r>
        <w:t>rados en ciencias, las mujeres eran un poco menos de la mitad (146, o sea 48,9%).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Educación a lo largo de toda la vida</w:t>
      </w:r>
    </w:p>
    <w:p w:rsidR="00000000" w:rsidRDefault="00000000">
      <w:pPr>
        <w:pStyle w:val="SingleTxt"/>
        <w:spacing w:after="0" w:line="120" w:lineRule="exact"/>
        <w:rPr>
          <w:sz w:val="10"/>
        </w:rPr>
      </w:pPr>
    </w:p>
    <w:p w:rsidR="00000000" w:rsidRDefault="00000000">
      <w:pPr>
        <w:pStyle w:val="SingleTxt"/>
      </w:pPr>
      <w:r>
        <w:tab/>
        <w:t>Uno de los objetivos estratégicos del desarrollo del mercado laboral y el e</w:t>
      </w:r>
      <w:r>
        <w:t>m</w:t>
      </w:r>
      <w:r>
        <w:t>pleo hasta 2006 es elevar el nivel de educación de la población activa y su nivel de calificación. Eslovenia, que sólo comienza a introducir el concepto de aprendizaje a lo largo de toda la vida, incluyó el desarrollo de la cultura de la educación perm</w:t>
      </w:r>
      <w:r>
        <w:t>a</w:t>
      </w:r>
      <w:r>
        <w:t>nente entre las directrices y medidas clave del Programa Nacional de Desarrollo del Mercado Laboral y el Empleo hasta 2006. El aprendizaje a lo largo de toda la vida está siendo fomentado con las medidas siguientes:</w:t>
      </w:r>
    </w:p>
    <w:p w:rsidR="00000000" w:rsidRDefault="00000000">
      <w:pPr>
        <w:pStyle w:val="SingleTxt"/>
        <w:tabs>
          <w:tab w:val="right" w:pos="1685"/>
        </w:tabs>
        <w:ind w:left="1742" w:hanging="475"/>
      </w:pPr>
      <w:r>
        <w:tab/>
        <w:t>–</w:t>
      </w:r>
      <w:r>
        <w:tab/>
        <w:t>La formulación de nuevos programas que permitan obtener conocimientos para elevar la calidad de vida, el nivel de información, los niveles cultural y de c</w:t>
      </w:r>
      <w:r>
        <w:t>i</w:t>
      </w:r>
      <w:r>
        <w:t>vilización, para preservar la tradición cultural y la identidad nacional, para la co</w:t>
      </w:r>
      <w:r>
        <w:t>e</w:t>
      </w:r>
      <w:r>
        <w:t>xistencia de diferentes culturas y para la protección del medio ambiente,</w:t>
      </w:r>
    </w:p>
    <w:p w:rsidR="00000000" w:rsidRDefault="00000000">
      <w:pPr>
        <w:pStyle w:val="SingleTxt"/>
        <w:tabs>
          <w:tab w:val="right" w:pos="1685"/>
        </w:tabs>
        <w:ind w:left="1742" w:hanging="475"/>
      </w:pPr>
      <w:r>
        <w:tab/>
        <w:t>–</w:t>
      </w:r>
      <w:r>
        <w:tab/>
        <w:t>La formulación de programas que permitan impartir educación para elevar el n</w:t>
      </w:r>
      <w:r>
        <w:t>i</w:t>
      </w:r>
      <w:r>
        <w:t>vel educacional en todas las etapas,</w:t>
      </w:r>
    </w:p>
    <w:p w:rsidR="00000000" w:rsidRDefault="00000000">
      <w:pPr>
        <w:pStyle w:val="SingleTxt"/>
        <w:tabs>
          <w:tab w:val="right" w:pos="1685"/>
        </w:tabs>
        <w:ind w:left="1742" w:hanging="475"/>
      </w:pPr>
      <w:r>
        <w:tab/>
        <w:t>–</w:t>
      </w:r>
      <w:r>
        <w:tab/>
        <w:t>La enseñanza secundaria constituirá la norma educacional básica,</w:t>
      </w:r>
    </w:p>
    <w:p w:rsidR="00000000" w:rsidRDefault="00000000">
      <w:pPr>
        <w:pStyle w:val="SingleTxt"/>
        <w:tabs>
          <w:tab w:val="right" w:pos="1685"/>
        </w:tabs>
        <w:ind w:left="1742" w:hanging="475"/>
      </w:pPr>
      <w:r>
        <w:tab/>
        <w:t>–</w:t>
      </w:r>
      <w:r>
        <w:tab/>
        <w:t>El logro (en cooperación con asociados de la sociedad civil) de diversas fo</w:t>
      </w:r>
      <w:r>
        <w:t>r</w:t>
      </w:r>
      <w:r>
        <w:t>mas y posibilidades de educación de personas empleadas y desempleadas, y prioritariamente para aquéllos que han recibido menos educación y formación: para aumentar el nivel logrado de educación formal y calificación, para prese</w:t>
      </w:r>
      <w:r>
        <w:t>r</w:t>
      </w:r>
      <w:r>
        <w:t>var, actualizar y profundizar los conocimientos y las calificaciones y para d</w:t>
      </w:r>
      <w:r>
        <w:t>e</w:t>
      </w:r>
      <w:r>
        <w:t>sarrollar y utilizar conoc</w:t>
      </w:r>
      <w:r>
        <w:t>i</w:t>
      </w:r>
      <w:r>
        <w:t>mientos superiores,</w:t>
      </w:r>
    </w:p>
    <w:p w:rsidR="00000000" w:rsidRDefault="00000000">
      <w:pPr>
        <w:pStyle w:val="SingleTxt"/>
        <w:tabs>
          <w:tab w:val="right" w:pos="1685"/>
        </w:tabs>
        <w:ind w:left="1742" w:hanging="475"/>
      </w:pPr>
      <w:r>
        <w:tab/>
        <w:t>–</w:t>
      </w:r>
      <w:r>
        <w:tab/>
        <w:t>La introducción de diversos factores de motivación para elevar el nivel de ed</w:t>
      </w:r>
      <w:r>
        <w:t>u</w:t>
      </w:r>
      <w:r>
        <w:t>c</w:t>
      </w:r>
      <w:r>
        <w:t>a</w:t>
      </w:r>
      <w:r>
        <w:t>ción y calificación,</w:t>
      </w:r>
    </w:p>
    <w:p w:rsidR="00000000" w:rsidRDefault="00000000">
      <w:pPr>
        <w:pStyle w:val="SingleTxt"/>
        <w:tabs>
          <w:tab w:val="right" w:pos="1685"/>
        </w:tabs>
        <w:ind w:left="1742" w:hanging="475"/>
      </w:pPr>
      <w:r>
        <w:tab/>
        <w:t>–</w:t>
      </w:r>
      <w:r>
        <w:tab/>
        <w:t>La adopción de modalidades informales de obtención de conocimientos y cert</w:t>
      </w:r>
      <w:r>
        <w:t>i</w:t>
      </w:r>
      <w:r>
        <w:t>ficación de los conocimientos obtenidos por medios informales (certificados de capac</w:t>
      </w:r>
      <w:r>
        <w:t>i</w:t>
      </w:r>
      <w:r>
        <w:t>tación profesional),</w:t>
      </w:r>
    </w:p>
    <w:p w:rsidR="00000000" w:rsidRDefault="00000000">
      <w:pPr>
        <w:pStyle w:val="SingleTxt"/>
        <w:tabs>
          <w:tab w:val="right" w:pos="1685"/>
        </w:tabs>
        <w:ind w:left="1742" w:hanging="475"/>
      </w:pPr>
      <w:r>
        <w:tab/>
        <w:t>–</w:t>
      </w:r>
      <w:r>
        <w:tab/>
        <w:t>El mejoramiento de la calidad de la educación de adultos,</w:t>
      </w:r>
    </w:p>
    <w:p w:rsidR="00000000" w:rsidRDefault="00000000">
      <w:pPr>
        <w:pStyle w:val="SingleTxt"/>
        <w:tabs>
          <w:tab w:val="right" w:pos="1685"/>
        </w:tabs>
        <w:ind w:left="1742" w:hanging="475"/>
      </w:pPr>
      <w:r>
        <w:tab/>
        <w:t>–</w:t>
      </w:r>
      <w:r>
        <w:tab/>
        <w:t>El fomento de la motivación y la inversión en educación entre las personas y las e</w:t>
      </w:r>
      <w:r>
        <w:t>m</w:t>
      </w:r>
      <w:r>
        <w:t>presas,</w:t>
      </w:r>
    </w:p>
    <w:p w:rsidR="00000000" w:rsidRDefault="00000000">
      <w:pPr>
        <w:pStyle w:val="SingleTxt"/>
        <w:tabs>
          <w:tab w:val="right" w:pos="1685"/>
        </w:tabs>
        <w:ind w:left="1742" w:hanging="475"/>
      </w:pPr>
      <w:r>
        <w:tab/>
        <w:t>–</w:t>
      </w:r>
      <w:r>
        <w:tab/>
        <w:t>El fomento a nivel local de la planificación del desarrollo de la educación y las i</w:t>
      </w:r>
      <w:r>
        <w:t>n</w:t>
      </w:r>
      <w:r>
        <w:t>versiones correspondientes,</w:t>
      </w:r>
    </w:p>
    <w:p w:rsidR="00000000" w:rsidRDefault="00000000">
      <w:pPr>
        <w:pStyle w:val="SingleTxt"/>
        <w:tabs>
          <w:tab w:val="right" w:pos="1685"/>
        </w:tabs>
        <w:ind w:left="1742" w:hanging="475"/>
      </w:pPr>
      <w:r>
        <w:tab/>
        <w:t>–</w:t>
      </w:r>
      <w:r>
        <w:tab/>
        <w:t>La armonización de las iniciativas y medidas para aplicar el programa nacional de educación de adultos.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La mujer en el mercado de trabajo</w:t>
      </w:r>
    </w:p>
    <w:p w:rsidR="00000000" w:rsidRDefault="00000000">
      <w:pPr>
        <w:pStyle w:val="SingleTxt"/>
        <w:spacing w:after="0" w:line="120" w:lineRule="exact"/>
        <w:rPr>
          <w:sz w:val="10"/>
        </w:rPr>
      </w:pPr>
    </w:p>
    <w:p w:rsidR="00000000" w:rsidRDefault="00000000">
      <w:pPr>
        <w:pStyle w:val="SingleTxt"/>
      </w:pPr>
      <w:r>
        <w:tab/>
        <w:t>En virtud del Artículo 49 de la Constitución, se garantiza a la mujer y al ho</w:t>
      </w:r>
      <w:r>
        <w:t>m</w:t>
      </w:r>
      <w:r>
        <w:t>bre la libertad de trabajo, la libre elección del empleo y el acceso a todos los puestos de trabajo. La Ley de relaciones laborales, aprobada el 24 de abril de 2002 y que entró en vigor el 1° de enero de 2003, prohíbe explícitamente la discriminación en el Artículo 6. Establece que el empleador no podrá colocar a una persona que busca trabajo o a un trabajador, durante el vigencia de su empleo o en relación con la re</w:t>
      </w:r>
      <w:r>
        <w:t>s</w:t>
      </w:r>
      <w:r>
        <w:t>cisión de su contrato de trabajo, en situación de desventaja por motivos de sexo, r</w:t>
      </w:r>
      <w:r>
        <w:t>a</w:t>
      </w:r>
      <w:r>
        <w:t>za, color de la piel, edad, estado de salud o discapacidad, convicciones religiosas, políticas o de otra índole, pertenencia a un sindicato, origen nacional o social, situ</w:t>
      </w:r>
      <w:r>
        <w:t>a</w:t>
      </w:r>
      <w:r>
        <w:t>ción familiar, situación patrimonial, orientación sexual o cualquier otra circunsta</w:t>
      </w:r>
      <w:r>
        <w:t>n</w:t>
      </w:r>
      <w:r>
        <w:t>cia personal. Establece asimismo que deberá garantizarse a la mujer y al hombre igualdad de oportunidades y de trato en el empleo, en la promoción, en la formación profesional, en la educación, en el reciclaje, en el salario y otros tipos de remuner</w:t>
      </w:r>
      <w:r>
        <w:t>a</w:t>
      </w:r>
      <w:r>
        <w:t>ción, en las primas, en las bajas laborales, en las condiciones laborales, en la jornada laboral y en la rescisión del contrato de trabajo. La ley prohíbe, pues, la discrimin</w:t>
      </w:r>
      <w:r>
        <w:t>a</w:t>
      </w:r>
      <w:r>
        <w:t>ción indirecta y directa, y contempla también la definición de discriminación ind</w:t>
      </w:r>
      <w:r>
        <w:t>i</w:t>
      </w:r>
      <w:r>
        <w:t>recta. Si un candidato/a o trabajador/a en caso de litigio aporta hechos que justif</w:t>
      </w:r>
      <w:r>
        <w:t>i</w:t>
      </w:r>
      <w:r>
        <w:t>quen la sospecha de que se ha producido infracción de la prohibición de discrimin</w:t>
      </w:r>
      <w:r>
        <w:t>a</w:t>
      </w:r>
      <w:r>
        <w:t>ción por las circunstancias mencionadas en el Artículo citado, la carga de la prueba (de que el trato diferente está justificado por el tipo y la naturaleza del trabajo) recae en el empleador. En el caso de infracción de la prohibición de discriminación, el empleador será responsable ante el candidato/a o trabajador/a de los daños y perju</w:t>
      </w:r>
      <w:r>
        <w:t>i</w:t>
      </w:r>
      <w:r>
        <w:t>cios de co</w:t>
      </w:r>
      <w:r>
        <w:t>n</w:t>
      </w:r>
      <w:r>
        <w:t>formidad con las normas generales del derecho civil.</w:t>
      </w:r>
    </w:p>
    <w:p w:rsidR="00000000" w:rsidRDefault="00000000">
      <w:pPr>
        <w:pStyle w:val="SingleTxt"/>
      </w:pPr>
      <w:r>
        <w:tab/>
        <w:t>La Ley determina también (Artículo 25) que un empleador no puede anunciar un puesto de trabajo sólo para hombres o sólo para mujeres o indicar que se otorgará preferencia a uno u otro género, a menos que el género en cuestión sea una cond</w:t>
      </w:r>
      <w:r>
        <w:t>i</w:t>
      </w:r>
      <w:r>
        <w:t>ción esencial para la realización de dicho trabajo. De igual manera, al concluir un contrato de trabajo no puede exigir datos del (de la) candidato/a sobre su familia o su estado civil, información sobre un embarazo, planificación familiar o cualquier otra información, a menos que dichos datos estén relacionados directamente con el puesto. El empleador no podrá condicionar la firma del contrato de trabajo a la o</w:t>
      </w:r>
      <w:r>
        <w:t>b</w:t>
      </w:r>
      <w:r>
        <w:t>tención de este tipo de datos o a otras condiciones relacionadas con la prohibición de embarazo o el retraso de la maternidad o a la firma previa de la rescisión del contrato de trabajo por parte del (de la) trabajador/a (Artículo 26). La ley establece (Artículo 27) que los/as candidatos/as no están obligados/as a responder a preguntas que no estén relacionadas directamente con el puesto.</w:t>
      </w:r>
    </w:p>
    <w:p w:rsidR="00000000" w:rsidRDefault="00000000">
      <w:pPr>
        <w:pStyle w:val="SingleTxt"/>
      </w:pPr>
      <w:r>
        <w:tab/>
        <w:t>La Ley de relaciones laborales prohíbe también el acoso sexual en el lugar de trabajo. Las disposiciones relativas a la forma de garantizar un entorno laboral en el que no se produzca el acoso sexual están descritas en el epígrafe del informe relat</w:t>
      </w:r>
      <w:r>
        <w:t>i</w:t>
      </w:r>
      <w:r>
        <w:t>vo al Artículo 5 de la Convención (párrafo 5).</w:t>
      </w:r>
    </w:p>
    <w:p w:rsidR="00000000" w:rsidRDefault="00000000">
      <w:pPr>
        <w:pStyle w:val="SingleTxt"/>
      </w:pPr>
      <w:r>
        <w:tab/>
        <w:t>La Ley de relaciones laborales establece asimismo el principio de remuner</w:t>
      </w:r>
      <w:r>
        <w:t>a</w:t>
      </w:r>
      <w:r>
        <w:t>ción igual por trabajo igual y trabajo de igual valor. En virtud de la ley, el empleador está obligado a pagar el mismo salario a un trabajador, independientemente de su sexo. En consecuencia, serán nulas todas las disposiciones contenidas en los co</w:t>
      </w:r>
      <w:r>
        <w:t>n</w:t>
      </w:r>
      <w:r>
        <w:t>tratos de trabajo, los convenios colectivos o las acciones de cualquier índole de un empleador que entren en conflicto con dicho principio (Artículo 133).</w:t>
      </w:r>
    </w:p>
    <w:p w:rsidR="00000000" w:rsidRDefault="00000000">
      <w:pPr>
        <w:pStyle w:val="SingleTxt"/>
      </w:pPr>
      <w:r>
        <w:tab/>
        <w:t>La Ley establece una multa de 1.000.000 tólares (435 dólares) para el emple</w:t>
      </w:r>
      <w:r>
        <w:t>a</w:t>
      </w:r>
      <w:r>
        <w:t>dor (entidad jurídica) infractor que coloque a una persona en busca de trabajo o a un trabajador en una situación de desigualdad (Artículo 229).</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t>Empleo</w:t>
      </w:r>
    </w:p>
    <w:p w:rsidR="00000000" w:rsidRDefault="00000000">
      <w:pPr>
        <w:pStyle w:val="SingleTxt"/>
        <w:spacing w:after="0" w:line="120" w:lineRule="exact"/>
        <w:rPr>
          <w:sz w:val="10"/>
        </w:rPr>
      </w:pPr>
    </w:p>
    <w:p w:rsidR="00000000" w:rsidRDefault="00000000">
      <w:pPr>
        <w:pStyle w:val="SingleTxt"/>
      </w:pPr>
      <w:r>
        <w:tab/>
        <w:t xml:space="preserve">La tasa de actividad de la población disminuyó ligeramente de 1998 a 2002 (los datos corresponden al segundo trimestre) al igual que sucedió con la relación empleo/población. No obstante, la relación empleo/población de personas de edades comprendidas entre 15-64 años aumentó, tanto en el caso de la mujer como del hombre. En el caso de la mujer, la relación empleo/población es más elevada en el grupo de edad de 35-39 años (89,9% en 2002/2), seguida del grupo de edad de </w:t>
      </w:r>
      <w:r>
        <w:br/>
        <w:t>30-34 (86,9%) y de 40-44 (86%).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11</w:t>
      </w:r>
      <w:r>
        <w:br/>
        <w:t>Tasa de actividad por sexo, Eslovenia, 1998/2-2002/22/2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340"/>
        <w:gridCol w:w="900"/>
        <w:gridCol w:w="1080"/>
        <w:gridCol w:w="990"/>
        <w:gridCol w:w="990"/>
        <w:gridCol w:w="990"/>
      </w:tblGrid>
      <w:tr w:rsidR="00000000">
        <w:tblPrEx>
          <w:tblCellMar>
            <w:top w:w="0" w:type="dxa"/>
            <w:left w:w="0" w:type="dxa"/>
            <w:bottom w:w="0" w:type="dxa"/>
            <w:right w:w="0" w:type="dxa"/>
          </w:tblCellMar>
        </w:tblPrEx>
        <w:trPr>
          <w:tblHeader/>
        </w:trPr>
        <w:tc>
          <w:tcPr>
            <w:tcW w:w="23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1998/2</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1999/2</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2000/2</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2001/2</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2002/2</w:t>
            </w:r>
          </w:p>
        </w:tc>
      </w:tr>
      <w:tr w:rsidR="00000000">
        <w:tblPrEx>
          <w:tblCellMar>
            <w:top w:w="0" w:type="dxa"/>
            <w:left w:w="0" w:type="dxa"/>
            <w:bottom w:w="0" w:type="dxa"/>
            <w:right w:w="0" w:type="dxa"/>
          </w:tblCellMar>
        </w:tblPrEx>
        <w:trPr>
          <w:trHeight w:hRule="exact" w:val="115"/>
          <w:tblHeader/>
        </w:trPr>
        <w:tc>
          <w:tcPr>
            <w:tcW w:w="23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actividad</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Relación empleo/población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55,4</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54,7</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Relación empleo/población 15-64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64,3</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Hombres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actividad</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64,7</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Relación empleo/población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61,1</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Relación empleo/población 15-64</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68,7</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Mujeres</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actividad</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51,9</w:t>
            </w:r>
          </w:p>
        </w:tc>
      </w:tr>
      <w:tr w:rsidR="00000000">
        <w:tblPrEx>
          <w:tblCellMar>
            <w:top w:w="0" w:type="dxa"/>
            <w:left w:w="0" w:type="dxa"/>
            <w:bottom w:w="0" w:type="dxa"/>
            <w:right w:w="0" w:type="dxa"/>
          </w:tblCellMar>
        </w:tblPrEx>
        <w:tc>
          <w:tcPr>
            <w:tcW w:w="23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Relación empleo/población</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48,6</w:t>
            </w:r>
          </w:p>
        </w:tc>
      </w:tr>
      <w:tr w:rsidR="00000000">
        <w:tblPrEx>
          <w:tblCellMar>
            <w:top w:w="0" w:type="dxa"/>
            <w:left w:w="0" w:type="dxa"/>
            <w:bottom w:w="0" w:type="dxa"/>
            <w:right w:w="0" w:type="dxa"/>
          </w:tblCellMar>
        </w:tblPrEx>
        <w:tc>
          <w:tcPr>
            <w:tcW w:w="23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Relación empleo/población 15-64</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59,6</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58,4</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58,6</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58,6</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de Estadísticas de la República de Eslovenia, Encuesta de la fuerza laboral. 1998-2002.</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En el segundo trimestre de 2002, entre las mujeres empleadas, 87% tenían e</w:t>
      </w:r>
      <w:r>
        <w:t>m</w:t>
      </w:r>
      <w:r>
        <w:t>pleo remunerado, 6,8% eran trabajadoras autónomas y 6,1% eran trabajadoras de la familia no remuneradas. Entre todas las personas empleadas, el porcentaje de muj</w:t>
      </w:r>
      <w:r>
        <w:t>e</w:t>
      </w:r>
      <w:r>
        <w:t>res con empleo remunerado era 47,6%, el de mujeres autónomas 28,7% y el de tr</w:t>
      </w:r>
      <w:r>
        <w:t>a</w:t>
      </w:r>
      <w:r>
        <w:t>bajadoras de la familia no remuneradas, 61,6%. Es una situación parecida a la de 1997.</w:t>
      </w:r>
    </w:p>
    <w:p w:rsidR="00000000" w:rsidRDefault="00000000">
      <w:pPr>
        <w:pStyle w:val="SingleTxt"/>
      </w:pPr>
      <w:r>
        <w:tab/>
        <w:t>Como en años anteriores, las mujeres empleadas desempeñan actividades esp</w:t>
      </w:r>
      <w:r>
        <w:t>e</w:t>
      </w:r>
      <w:r>
        <w:t>cíficas; la mayoría en el sector de servicios y las menos en las actividades indu</w:t>
      </w:r>
      <w:r>
        <w:t>s</w:t>
      </w:r>
      <w:r>
        <w:t>triales (salvo los servicios).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12</w:t>
      </w:r>
      <w:r>
        <w:br/>
        <w:t>Porcentaje de mujeres entre las personas empleadas por sectores de actividad, Eslovenia, 1997/2-2002/2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510"/>
        <w:gridCol w:w="540"/>
        <w:gridCol w:w="630"/>
        <w:gridCol w:w="630"/>
        <w:gridCol w:w="630"/>
        <w:gridCol w:w="630"/>
        <w:gridCol w:w="720"/>
      </w:tblGrid>
      <w:tr w:rsidR="00000000">
        <w:tblPrEx>
          <w:tblCellMar>
            <w:top w:w="0" w:type="dxa"/>
            <w:left w:w="0" w:type="dxa"/>
            <w:bottom w:w="0" w:type="dxa"/>
            <w:right w:w="0" w:type="dxa"/>
          </w:tblCellMar>
        </w:tblPrEx>
        <w:trPr>
          <w:tblHeader/>
        </w:trPr>
        <w:tc>
          <w:tcPr>
            <w:tcW w:w="35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1997/2</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1998/2</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1999/2</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2000/2</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2001/2</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2002/2</w:t>
            </w:r>
          </w:p>
        </w:tc>
      </w:tr>
      <w:tr w:rsidR="00000000">
        <w:tblPrEx>
          <w:tblCellMar>
            <w:top w:w="0" w:type="dxa"/>
            <w:left w:w="0" w:type="dxa"/>
            <w:bottom w:w="0" w:type="dxa"/>
            <w:right w:w="0" w:type="dxa"/>
          </w:tblCellMar>
        </w:tblPrEx>
        <w:trPr>
          <w:trHeight w:hRule="exact" w:val="115"/>
          <w:tblHeader/>
        </w:trPr>
        <w:tc>
          <w:tcPr>
            <w:tcW w:w="35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45,8</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Agricultura</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45,9</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Industria (excepto servicios)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33,9</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Minería y canteras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Manufacturas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39,6</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Abastecimiento de electricidad, gas y agua</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Construcción</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Servicios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54,8</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Venta al por mayor, al detalle, ciertas reparaciones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52,1</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Hoteles y restaurantes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62,1</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Transporte, almacenaje y comunicaciones</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Intermediación financiera</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62,6</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Actividad inmobiliaria, de alquiler y empresarial</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44,5</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Administración pública, defensa, seguridad social obligatoria </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50,6</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Educación</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76,4</w:t>
            </w:r>
          </w:p>
        </w:tc>
      </w:tr>
      <w:tr w:rsidR="00000000">
        <w:tblPrEx>
          <w:tblCellMar>
            <w:top w:w="0" w:type="dxa"/>
            <w:left w:w="0" w:type="dxa"/>
            <w:bottom w:w="0" w:type="dxa"/>
            <w:right w:w="0" w:type="dxa"/>
          </w:tblCellMar>
        </w:tblPrEx>
        <w:tc>
          <w:tcPr>
            <w:tcW w:w="351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Salud y trabajo social</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76,6</w:t>
            </w:r>
          </w:p>
        </w:tc>
      </w:tr>
      <w:tr w:rsidR="00000000">
        <w:tblPrEx>
          <w:tblCellMar>
            <w:top w:w="0" w:type="dxa"/>
            <w:left w:w="0" w:type="dxa"/>
            <w:bottom w:w="0" w:type="dxa"/>
            <w:right w:w="0" w:type="dxa"/>
          </w:tblCellMar>
        </w:tblPrEx>
        <w:tc>
          <w:tcPr>
            <w:tcW w:w="35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Otros servicios sociales y personales</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49,7</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52,8</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50,6</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49,7</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de Estadísticas de la República de Eslovenia, Encuesta de la fuerza laboral. (cálculos propios), 1998-2002.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De la totalidad de mujeres empleadas en 2002/2, 91,7% trabajaban a tiempo completo, porcentaje ligeramente inferior al correspondiente a los hombres (94,8%). La mujer trabaja una media de 40,3 horas a la semana (el hombre, 42,5).</w:t>
      </w:r>
    </w:p>
    <w:p w:rsidR="00000000" w:rsidRDefault="00000000">
      <w:pPr>
        <w:pStyle w:val="SingleTxt"/>
      </w:pPr>
      <w:r>
        <w:tab/>
        <w:t>Las mujeres predominan en profesiones como empleadas de oficina, empleadas en servicios y ventas, profesionales y técnicas. El porcentaje de mujeres que ocupan puestos de trabajo de responsabilidad como legisladoras y ejecutivas es de 29,1%.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rPr>
        <w:t>Cuadro 13</w:t>
      </w:r>
      <w:r>
        <w:br/>
        <w:t>Porcentaje de mujeres empleadas por principales grupos de actividad, Eslovenia, 1998-2002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690"/>
        <w:gridCol w:w="720"/>
        <w:gridCol w:w="720"/>
        <w:gridCol w:w="720"/>
        <w:gridCol w:w="720"/>
        <w:gridCol w:w="720"/>
      </w:tblGrid>
      <w:tr w:rsidR="00000000">
        <w:tblPrEx>
          <w:tblCellMar>
            <w:top w:w="0" w:type="dxa"/>
            <w:left w:w="0" w:type="dxa"/>
            <w:bottom w:w="0" w:type="dxa"/>
            <w:right w:w="0" w:type="dxa"/>
          </w:tblCellMar>
        </w:tblPrEx>
        <w:trPr>
          <w:tblHeader/>
        </w:trPr>
        <w:tc>
          <w:tcPr>
            <w:tcW w:w="36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1998/2</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1999/2</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2000/1</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2001/2</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2002/2</w:t>
            </w:r>
          </w:p>
        </w:tc>
      </w:tr>
      <w:tr w:rsidR="00000000">
        <w:tblPrEx>
          <w:tblCellMar>
            <w:top w:w="0" w:type="dxa"/>
            <w:left w:w="0" w:type="dxa"/>
            <w:bottom w:w="0" w:type="dxa"/>
            <w:right w:w="0" w:type="dxa"/>
          </w:tblCellMar>
        </w:tblPrEx>
        <w:trPr>
          <w:trHeight w:hRule="exact" w:val="115"/>
          <w:tblHeader/>
        </w:trPr>
        <w:tc>
          <w:tcPr>
            <w:tcW w:w="36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Total</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45,8</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Legisladoras y ejecutivas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29,1</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Profesionales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57,7</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Técnicas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53,8</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Empleadas de oficina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70,3</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65,0</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Trabajadoras en servicios y ventas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64,0</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Trabajadoras en agricultura y pesca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47,2</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46,6</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Trabajadoras en artesanía y su comercialización</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r>
      <w:tr w:rsidR="00000000">
        <w:tblPrEx>
          <w:tblCellMar>
            <w:top w:w="0" w:type="dxa"/>
            <w:left w:w="0" w:type="dxa"/>
            <w:bottom w:w="0" w:type="dxa"/>
            <w:right w:w="0" w:type="dxa"/>
          </w:tblCellMar>
        </w:tblPrEx>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xml:space="preserve">Operadoras de máquinas y ensambladoras en fábricas </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38,1</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37,6</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37,3</w:t>
            </w:r>
          </w:p>
        </w:tc>
      </w:tr>
      <w:tr w:rsidR="00000000">
        <w:tblPrEx>
          <w:tblCellMar>
            <w:top w:w="0" w:type="dxa"/>
            <w:left w:w="0" w:type="dxa"/>
            <w:bottom w:w="0" w:type="dxa"/>
            <w:right w:w="0" w:type="dxa"/>
          </w:tblCellMar>
        </w:tblPrEx>
        <w:tc>
          <w:tcPr>
            <w:tcW w:w="36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Actividades básicas</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64,7</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69,7</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65,5</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62,8</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de Estadísticas de la República de Eslovenia, Encuesta de la fuerza laboral. 1998-2002.</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En Eslovenia, la mujer que trabajaba en compañías, empresas y organizaciones de acuerdo con su nivel de calificación profesional ganaba un promedio de 87,8% del sueldo del hombre, es decir, 12,2% menos que él. La mayor diferencia se con</w:t>
      </w:r>
      <w:r>
        <w:t>s</w:t>
      </w:r>
      <w:r>
        <w:t>tata entre las personas con educación superior (20,7%) y la menor entre las personas no calificadas (12%).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14</w:t>
      </w:r>
      <w:r>
        <w:br/>
        <w:t>Ganancias mensuales brutas medias de la mujer empleada en compañías, empresas y organizaciones, como porcentaje de las ganancias mensuales brutas medias del hombre por nivel de calificación profesional exigida para el puesto,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50"/>
        <w:gridCol w:w="450"/>
        <w:gridCol w:w="810"/>
        <w:gridCol w:w="720"/>
        <w:gridCol w:w="450"/>
        <w:gridCol w:w="900"/>
        <w:gridCol w:w="810"/>
        <w:gridCol w:w="810"/>
        <w:gridCol w:w="810"/>
        <w:gridCol w:w="810"/>
        <w:gridCol w:w="810"/>
        <w:gridCol w:w="810"/>
      </w:tblGrid>
      <w:tr w:rsidR="00000000">
        <w:tblPrEx>
          <w:tblCellMar>
            <w:top w:w="0" w:type="dxa"/>
            <w:left w:w="0" w:type="dxa"/>
            <w:bottom w:w="0" w:type="dxa"/>
            <w:right w:w="0" w:type="dxa"/>
          </w:tblCellMar>
        </w:tblPrEx>
        <w:trPr>
          <w:cantSplit/>
          <w:tblHeader/>
        </w:trPr>
        <w:tc>
          <w:tcPr>
            <w:tcW w:w="4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4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p>
        </w:tc>
        <w:tc>
          <w:tcPr>
            <w:tcW w:w="198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Grado universitario</w:t>
            </w:r>
          </w:p>
        </w:tc>
        <w:tc>
          <w:tcPr>
            <w:tcW w:w="90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Grado no universitario</w:t>
            </w:r>
          </w:p>
        </w:tc>
        <w:tc>
          <w:tcPr>
            <w:tcW w:w="81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Grado profesional medio</w:t>
            </w:r>
          </w:p>
        </w:tc>
        <w:tc>
          <w:tcPr>
            <w:tcW w:w="81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Grado profesional elemental</w:t>
            </w:r>
          </w:p>
        </w:tc>
        <w:tc>
          <w:tcPr>
            <w:tcW w:w="81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Trabaja- dores muy calificados</w:t>
            </w:r>
          </w:p>
        </w:tc>
        <w:tc>
          <w:tcPr>
            <w:tcW w:w="81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Trabaja- dores calificados</w:t>
            </w:r>
          </w:p>
        </w:tc>
        <w:tc>
          <w:tcPr>
            <w:tcW w:w="81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Trabaja- dores semi- calificados</w:t>
            </w:r>
          </w:p>
        </w:tc>
        <w:tc>
          <w:tcPr>
            <w:tcW w:w="81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Trabaja- dores no calificados</w:t>
            </w:r>
          </w:p>
        </w:tc>
      </w:tr>
      <w:tr w:rsidR="00000000">
        <w:tblPrEx>
          <w:tblCellMar>
            <w:top w:w="0" w:type="dxa"/>
            <w:left w:w="0" w:type="dxa"/>
            <w:bottom w:w="0" w:type="dxa"/>
            <w:right w:w="0" w:type="dxa"/>
          </w:tblCellMar>
        </w:tblPrEx>
        <w:trPr>
          <w:cantSplit/>
          <w:tblHeader/>
        </w:trPr>
        <w:tc>
          <w:tcPr>
            <w:tcW w:w="45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45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Doctorados</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Maestrías</w:t>
            </w:r>
          </w:p>
        </w:tc>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Todos</w:t>
            </w:r>
          </w:p>
        </w:tc>
        <w:tc>
          <w:tcPr>
            <w:tcW w:w="900" w:type="dxa"/>
            <w:vMerge/>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810" w:type="dxa"/>
            <w:vMerge/>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810" w:type="dxa"/>
            <w:vMerge/>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810" w:type="dxa"/>
            <w:vMerge/>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810" w:type="dxa"/>
            <w:vMerge/>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810" w:type="dxa"/>
            <w:vMerge/>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810" w:type="dxa"/>
            <w:vMerge/>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r>
      <w:tr w:rsidR="00000000">
        <w:tblPrEx>
          <w:tblCellMar>
            <w:top w:w="0" w:type="dxa"/>
            <w:left w:w="0" w:type="dxa"/>
            <w:bottom w:w="0" w:type="dxa"/>
            <w:right w:w="0" w:type="dxa"/>
          </w:tblCellMar>
        </w:tblPrEx>
        <w:trPr>
          <w:trHeight w:hRule="exact" w:val="115"/>
          <w:tblHeader/>
        </w:trPr>
        <w:tc>
          <w:tcPr>
            <w:tcW w:w="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4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87,8</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85,9</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83,2</w:t>
            </w:r>
          </w:p>
        </w:tc>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79,3</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87,5</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88,5</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85,9</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80,1</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84,8</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de Estadísticas de la República de Eslovenia, 2000.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t>Desempleo</w:t>
      </w:r>
    </w:p>
    <w:p w:rsidR="00000000" w:rsidRDefault="00000000">
      <w:pPr>
        <w:pStyle w:val="SingleTxt"/>
        <w:spacing w:after="0" w:line="120" w:lineRule="exact"/>
        <w:rPr>
          <w:sz w:val="10"/>
        </w:rPr>
      </w:pPr>
    </w:p>
    <w:p w:rsidR="00000000" w:rsidRDefault="00000000">
      <w:pPr>
        <w:pStyle w:val="SingleTxt"/>
      </w:pPr>
      <w:r>
        <w:tab/>
        <w:t xml:space="preserve">En los tres últimos años se ha verificado una notable reducción del desempleo, que se debe principalmente a una mayor actividad de las personas desempleadas en busca de trabajo, a cambios en la situación de aquellos incluidos en los programas de obras públicas, al aumento de la supervisión de las actividades de las personas desempleadas y a los efectos de las medidas de la política activa de empleo. </w:t>
      </w:r>
      <w:r>
        <w:rPr>
          <w:w w:val="100"/>
        </w:rPr>
        <w:t>Re</w:t>
      </w:r>
      <w:r>
        <w:rPr>
          <w:w w:val="100"/>
        </w:rPr>
        <w:t>s</w:t>
      </w:r>
      <w:r>
        <w:rPr>
          <w:w w:val="100"/>
        </w:rPr>
        <w:t xml:space="preserve">pecto de 1997, el número de personas desempleadas y el nivel de desempleo que se desprende de las encuestas (Encuesta de la fuerza laboral) han disminuido. El nivel de desempleo de la mujer en el período comprendido de 1997 a 2002 (segundo trimestre) </w:t>
      </w:r>
      <w:r>
        <w:t>era superior al correspondiente al hombre. En 2002/2, el nivel de desempleo e</w:t>
      </w:r>
      <w:r>
        <w:t>n</w:t>
      </w:r>
      <w:r>
        <w:t>cuestado representó 6,3% en el caso de la mujer y 5,7% en el del hombre y el nivel de empleo registrado fue 12,9% en las mujeres y 10,2% en los ho</w:t>
      </w:r>
      <w:r>
        <w:t>m</w:t>
      </w:r>
      <w:r>
        <w:t>bres.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15</w:t>
      </w:r>
      <w:r>
        <w:br/>
        <w:t xml:space="preserve">Características básicas de las personas desempleadas por sexo, Eslovenia, </w:t>
      </w:r>
      <w:r>
        <w:br/>
        <w:t>1998-2002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30"/>
        <w:gridCol w:w="810"/>
        <w:gridCol w:w="1080"/>
        <w:gridCol w:w="990"/>
        <w:gridCol w:w="990"/>
        <w:gridCol w:w="990"/>
      </w:tblGrid>
      <w:tr w:rsidR="00000000">
        <w:tblPrEx>
          <w:tblCellMar>
            <w:top w:w="0" w:type="dxa"/>
            <w:left w:w="0" w:type="dxa"/>
            <w:bottom w:w="0" w:type="dxa"/>
            <w:right w:w="0" w:type="dxa"/>
          </w:tblCellMar>
        </w:tblPrEx>
        <w:trPr>
          <w:tblHeader/>
        </w:trPr>
        <w:tc>
          <w:tcPr>
            <w:tcW w:w="24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1998/2</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1999/2</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2000/2</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2001/2</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2002/2</w:t>
            </w:r>
          </w:p>
        </w:tc>
      </w:tr>
      <w:tr w:rsidR="00000000">
        <w:tblPrEx>
          <w:tblCellMar>
            <w:top w:w="0" w:type="dxa"/>
            <w:left w:w="0" w:type="dxa"/>
            <w:bottom w:w="0" w:type="dxa"/>
            <w:right w:w="0" w:type="dxa"/>
          </w:tblCellMar>
        </w:tblPrEx>
        <w:trPr>
          <w:trHeight w:hRule="exact" w:val="115"/>
          <w:tblHeader/>
        </w:trPr>
        <w:tc>
          <w:tcPr>
            <w:tcW w:w="24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Total</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Personas desempleadas (1.000)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 w:val="right" w:pos="1685"/>
              </w:tabs>
              <w:spacing w:before="40" w:after="40" w:line="210" w:lineRule="exact"/>
              <w:ind w:right="40"/>
              <w:rPr>
                <w:sz w:val="17"/>
              </w:rPr>
            </w:pPr>
            <w:r>
              <w:rPr>
                <w:sz w:val="17"/>
              </w:rPr>
              <w:tab/>
              <w:t>registradas en la ONE*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personas que buscan su primer empleo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desempleo (%)</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Hombres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Personas desempleadas (1.000)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registradas en la ONE*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personas que buscan su primer empleo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desempleo (%)</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Mujeres</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Personas desempleadas (1.000)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registradas en la ONE*</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243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personas que buscan su primer empleo</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10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r>
      <w:tr w:rsidR="00000000">
        <w:tblPrEx>
          <w:tblCellMar>
            <w:top w:w="0" w:type="dxa"/>
            <w:left w:w="0" w:type="dxa"/>
            <w:bottom w:w="0" w:type="dxa"/>
            <w:right w:w="0" w:type="dxa"/>
          </w:tblCellMar>
        </w:tblPrEx>
        <w:tc>
          <w:tcPr>
            <w:tcW w:w="24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desempleo (%)</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de Estadísticas de la República de Eslovenia, Encuesta de la fuerza laboral, 1998-2002.</w:t>
      </w:r>
    </w:p>
    <w:p w:rsidR="00000000" w:rsidRDefault="00000000">
      <w:pPr>
        <w:pStyle w:val="FootnoteText"/>
        <w:tabs>
          <w:tab w:val="clear" w:pos="418"/>
          <w:tab w:val="right" w:pos="1476"/>
          <w:tab w:val="left" w:pos="1548"/>
          <w:tab w:val="right" w:pos="1836"/>
          <w:tab w:val="left" w:pos="1908"/>
        </w:tabs>
        <w:ind w:left="1548" w:right="1267" w:hanging="288"/>
      </w:pPr>
      <w:r>
        <w:tab/>
        <w:t>*</w:t>
      </w:r>
      <w:r>
        <w:tab/>
        <w:t>ONE: Oficina Nacional del Empleo.</w:t>
      </w:r>
    </w:p>
    <w:p w:rsidR="00000000" w:rsidRDefault="00000000">
      <w:pPr>
        <w:pStyle w:val="SingleTxt"/>
        <w:spacing w:after="0" w:line="120" w:lineRule="exact"/>
        <w:rPr>
          <w:i/>
          <w:sz w:val="10"/>
        </w:rPr>
      </w:pPr>
    </w:p>
    <w:p w:rsidR="00000000" w:rsidRDefault="00000000">
      <w:pPr>
        <w:pStyle w:val="SingleTxt"/>
        <w:spacing w:after="0" w:line="120" w:lineRule="exact"/>
        <w:rPr>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1.2.1</w:t>
      </w:r>
      <w:r>
        <w:tab/>
        <w:t>La estructura de la educación de las personas desempleadas</w:t>
      </w:r>
    </w:p>
    <w:p w:rsidR="00000000" w:rsidRDefault="00000000">
      <w:pPr>
        <w:pStyle w:val="SingleTxt"/>
        <w:spacing w:after="0" w:line="120" w:lineRule="exact"/>
        <w:rPr>
          <w:sz w:val="10"/>
        </w:rPr>
      </w:pPr>
    </w:p>
    <w:p w:rsidR="00000000" w:rsidRDefault="00000000">
      <w:pPr>
        <w:pStyle w:val="SingleTxt"/>
      </w:pPr>
      <w:r>
        <w:tab/>
        <w:t>La educación es uno de los factores que afectan a las oportunidades de empleo. La mayoría de las personas registradas como desempleadas suelen ser principa</w:t>
      </w:r>
      <w:r>
        <w:t>l</w:t>
      </w:r>
      <w:r>
        <w:t>mente personas con bajo nivel de educación o aquéllas con una formación para la cual no existe demanda en el mercado de trabajo. El mayor número de dese</w:t>
      </w:r>
      <w:r>
        <w:t>m</w:t>
      </w:r>
      <w:r>
        <w:t>pleados posee una educación de primero y segundo nivel (2001). Representaban 47% del promedio de personas desempleadas registradas, y entre ellos, el porcentaje de mujeres ascendía a 50,8%. Desde 1997 y respecto del porcentaje de mujeres d</w:t>
      </w:r>
      <w:r>
        <w:t>e</w:t>
      </w:r>
      <w:r>
        <w:t>sempleadas registradas, no se han producido cambios significativos por nivel de educ</w:t>
      </w:r>
      <w:r>
        <w:t>a</w:t>
      </w:r>
      <w:r>
        <w:t xml:space="preserve">ción.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16</w:t>
      </w:r>
      <w:r>
        <w:br/>
        <w:t>Estructura de las personas desempleadas registradas por nivel de educación y porcentajes de mujeres, 31 de diciembre de 2001</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rPr>
                <w:i/>
                <w:sz w:val="14"/>
              </w:rPr>
            </w:pPr>
            <w:r>
              <w:rPr>
                <w:i/>
                <w:sz w:val="14"/>
              </w:rPr>
              <w:t>Nivel de educación</w:t>
            </w:r>
          </w:p>
        </w:tc>
        <w:tc>
          <w:tcPr>
            <w:tcW w:w="183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Todos</w:t>
            </w:r>
          </w:p>
        </w:tc>
        <w:tc>
          <w:tcPr>
            <w:tcW w:w="183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Mujeres</w:t>
            </w:r>
          </w:p>
        </w:tc>
        <w:tc>
          <w:tcPr>
            <w:tcW w:w="1831"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Porcentaje de mujeres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Nivel 1°</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42 048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21 340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50,8</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Nivel 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6 774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2 544</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Nivel 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1 518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944</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Nivel 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25 987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12 050</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Nivel 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23 129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13 422</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Nivel 6°</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2 212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1 106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Nivel 7°</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2 648</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1 557</w:t>
            </w:r>
          </w:p>
        </w:tc>
        <w:tc>
          <w:tcPr>
            <w:tcW w:w="183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58,8</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104 316</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52 963</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50,8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caps/>
        </w:rPr>
      </w:pPr>
      <w:r>
        <w:rPr>
          <w:i/>
        </w:rPr>
        <w:t>Fuente</w:t>
      </w:r>
      <w:r>
        <w:t>: Oficina Nacional del Empleo, Informe Anual</w:t>
      </w:r>
      <w:r>
        <w:rPr>
          <w:caps/>
        </w:rPr>
        <w:t xml:space="preserve"> 2001.</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caps/>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caps/>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1.2.2</w:t>
      </w:r>
      <w:r>
        <w:tab/>
        <w:t>Estructura de edad de las personas desempleadas</w:t>
      </w:r>
    </w:p>
    <w:p w:rsidR="00000000" w:rsidRDefault="00000000">
      <w:pPr>
        <w:pStyle w:val="SingleTxt"/>
        <w:spacing w:after="0" w:line="120" w:lineRule="exact"/>
        <w:rPr>
          <w:sz w:val="10"/>
        </w:rPr>
      </w:pPr>
    </w:p>
    <w:p w:rsidR="00000000" w:rsidRDefault="00000000">
      <w:pPr>
        <w:pStyle w:val="SingleTxt"/>
      </w:pPr>
      <w:r>
        <w:tab/>
        <w:t>La estructura de edad de las personas sin empleo registradas muestra que, a f</w:t>
      </w:r>
      <w:r>
        <w:t>i</w:t>
      </w:r>
      <w:r>
        <w:t>nales de 2001, la mayoría de ellas tenían más de 50 años (25,6%). Las personas de más edad tienen más dificultad de encontrar empleo, puesto que los empleadores dan prioridad a los candidatos más jóvenes y exigen cada vez mayores requisitos en cuanto al nivel de educación. Además, la mayor parte de las personas de edad no han tenido la educación adecuada. En el grupo de las personas desempleadas regi</w:t>
      </w:r>
      <w:r>
        <w:t>s</w:t>
      </w:r>
      <w:r>
        <w:t>tradas, la mujeres predominan en el grupo de edad por encima de los 25-30 años y por encima de los 35-40 años.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17</w:t>
      </w:r>
      <w:r>
        <w:br/>
        <w:t xml:space="preserve">Estructura de edad de las personas desempleadas registradas, por sexo, </w:t>
      </w:r>
      <w:r>
        <w:br/>
        <w:t>31 de diciembre de 2001</w:t>
      </w:r>
    </w:p>
    <w:p w:rsidR="00000000" w:rsidRDefault="00000000">
      <w:pPr>
        <w:pStyle w:val="SingleTxt"/>
        <w:spacing w:after="0" w:line="120" w:lineRule="exact"/>
        <w:rPr>
          <w:sz w:val="10"/>
        </w:rPr>
      </w:pPr>
    </w:p>
    <w:p w:rsidR="00000000" w:rsidRDefault="00000000">
      <w:pPr>
        <w:pStyle w:val="SingleTxt"/>
        <w:keepNe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rPr>
                <w:i/>
                <w:sz w:val="14"/>
              </w:rPr>
            </w:pPr>
            <w:r>
              <w:rPr>
                <w:i/>
                <w:sz w:val="14"/>
              </w:rPr>
              <w:t>Grupo de edad</w:t>
            </w:r>
          </w:p>
        </w:tc>
        <w:tc>
          <w:tcPr>
            <w:tcW w:w="183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Todos</w:t>
            </w:r>
          </w:p>
        </w:tc>
        <w:tc>
          <w:tcPr>
            <w:tcW w:w="183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Mujeres</w:t>
            </w:r>
          </w:p>
        </w:tc>
        <w:tc>
          <w:tcPr>
            <w:tcW w:w="1831"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Porcentaje de mujeres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Hasta 18 años</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41,3</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18 a 25</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22 924</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11 916</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52,0</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 a 30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12 588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7 237</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57,5</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30 a 40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17 287</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9 752</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56,4</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40 a 50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24 249</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12 545</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51,7</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50 a 60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25 492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11 192</w:t>
            </w:r>
          </w:p>
        </w:tc>
        <w:tc>
          <w:tcPr>
            <w:tcW w:w="183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43,9</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Más de 60</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1 253</w:t>
            </w:r>
          </w:p>
        </w:tc>
        <w:tc>
          <w:tcPr>
            <w:tcW w:w="18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105</w:t>
            </w:r>
          </w:p>
        </w:tc>
        <w:tc>
          <w:tcPr>
            <w:tcW w:w="183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8,4</w:t>
            </w:r>
          </w:p>
        </w:tc>
      </w:tr>
      <w:tr w:rsidR="00000000">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104 316</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52 963</w:t>
            </w:r>
          </w:p>
        </w:tc>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50,8</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caps/>
        </w:rPr>
      </w:pPr>
      <w:r>
        <w:rPr>
          <w:i/>
        </w:rPr>
        <w:t>Fuente</w:t>
      </w:r>
      <w:r>
        <w:t>: Oficina Nacional del Empleo, Informe Anual</w:t>
      </w:r>
      <w:r>
        <w:rPr>
          <w:caps/>
        </w:rPr>
        <w:t xml:space="preserve"> 2001.</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caps/>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caps/>
          <w:sz w:val="10"/>
        </w:rPr>
      </w:pPr>
    </w:p>
    <w:p w:rsidR="00000000" w:rsidRDefault="00000000">
      <w:pPr>
        <w:pStyle w:val="SingleTxt"/>
      </w:pPr>
      <w:r>
        <w:tab/>
        <w:t>Debido a la inclusión de un mayor número de personas desempleadas en los programas de política activa de empleo y a un mayor control de sus actividades, el número de personas desempleadas a largo plazo ha empezado a disminuir. En el período comprendido entre diciembre de 1997 y diciembre de 2001 el número de personas desempleadas registradas que tardó más de un año en encontrar trabajo descendió 25,5%. Entre las personas desempleadas a largo plazo, el porcentaje de muj</w:t>
      </w:r>
      <w:r>
        <w:t>e</w:t>
      </w:r>
      <w:r>
        <w:t>res aumentó ligeramente de 49,3% en 1997 a 50,9% en 2001.</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1.3</w:t>
      </w:r>
      <w:r>
        <w:tab/>
        <w:t>Protección del embarazo y del derecho de los padres a atender a sus hijos</w:t>
      </w:r>
    </w:p>
    <w:p w:rsidR="00000000" w:rsidRDefault="00000000">
      <w:pPr>
        <w:pStyle w:val="SingleTxt"/>
        <w:spacing w:after="0" w:line="120" w:lineRule="exact"/>
        <w:rPr>
          <w:sz w:val="10"/>
        </w:rPr>
      </w:pPr>
    </w:p>
    <w:p w:rsidR="00000000" w:rsidRDefault="00000000">
      <w:pPr>
        <w:pStyle w:val="SingleTxt"/>
      </w:pPr>
      <w:r>
        <w:tab/>
        <w:t>Para evitar la discriminación por el hecho de tener hijos y para permitir que los padres compaginen la vida profesional y la vida familiar, la nueva Ley de relaciones laborales contiene también disposiciones para la protección especial de las trabaj</w:t>
      </w:r>
      <w:r>
        <w:t>a</w:t>
      </w:r>
      <w:r>
        <w:t>doras en los casos de embarazo y del derecho de los padres a atender a sus hijos, y la Ley de atención a los hijos e ingreso de la familia regula el derecho a la licencia por maternidad o paternidad.</w:t>
      </w:r>
    </w:p>
    <w:p w:rsidR="00000000" w:rsidRDefault="00000000">
      <w:pPr>
        <w:pStyle w:val="SingleTxt"/>
      </w:pPr>
      <w:r>
        <w:tab/>
        <w:t>En virtud de la Ley de relaciones laborales, el empleador no podrá rescindir el contrato de trabajo de una trabajadora durante su embarazo ni durante el período de lactancia, ni el del trabajador o trabajadora que causen baja laboral en uso de su l</w:t>
      </w:r>
      <w:r>
        <w:t>i</w:t>
      </w:r>
      <w:r>
        <w:t>cencia por maternidad o paternidad. El empleo de los/las trabajadores/as que se e</w:t>
      </w:r>
      <w:r>
        <w:t>n</w:t>
      </w:r>
      <w:r>
        <w:t>cuentren en esta situación no podrá cesar como consecuencia de rescisión de su contrato por parte del empleador. Si en el momento del despido un empleador no conoce el estado de embarazo de la trabajadora, se establece una protección jurídica especial frente al despido si la trabajadora, en ese mismo momento, o inmediat</w:t>
      </w:r>
      <w:r>
        <w:t>a</w:t>
      </w:r>
      <w:r>
        <w:t>mente después del despido en el caso de surgir obstáculos no imputables a ella, i</w:t>
      </w:r>
      <w:r>
        <w:t>n</w:t>
      </w:r>
      <w:r>
        <w:t>forma al empleador de su embarazo y lo demuestra presentando un certificado méd</w:t>
      </w:r>
      <w:r>
        <w:t>i</w:t>
      </w:r>
      <w:r>
        <w:t>co. Sin perjuicio de lo anterior, el empleador podrá rescindir un contrato de trabajo y el empleo de un trabajador podrá cesar, previo consentimiento del inspector laboral, si existen razones extraordinarias para una rescisión o en el caso de haberse iniciado un proceso de cierre de la empresa o de arreglo forzoso.</w:t>
      </w:r>
    </w:p>
    <w:p w:rsidR="00000000" w:rsidRDefault="00000000">
      <w:pPr>
        <w:pStyle w:val="SingleTxt"/>
      </w:pPr>
      <w:r>
        <w:tab/>
        <w:t>La Ley de relaciones laborales presta especial atención a la protección del e</w:t>
      </w:r>
      <w:r>
        <w:t>m</w:t>
      </w:r>
      <w:r>
        <w:t>barazo y de la maternidad y la paternidad. En caso de embarazo o de maternidad o paternidad, los trabajadores tienen derecho a una protección especial de su empleo; en caso de litigio en relación con el ejercicio de la protección especial por embarazo, maternidad o paternidad la carga de la prueba recae en el empleador. De modo s</w:t>
      </w:r>
      <w:r>
        <w:t>i</w:t>
      </w:r>
      <w:r>
        <w:t>milar, éste deberá facilitar a los trabajadores la compaginación de las obligaciones famili</w:t>
      </w:r>
      <w:r>
        <w:t>a</w:t>
      </w:r>
      <w:r>
        <w:t>res y profesionales.</w:t>
      </w:r>
    </w:p>
    <w:p w:rsidR="00000000" w:rsidRDefault="00000000">
      <w:pPr>
        <w:pStyle w:val="SingleTxt"/>
      </w:pPr>
      <w:r>
        <w:tab/>
        <w:t>Además la Ley establece que el empleador no podrá exigir ni averiguar ningún tipo de datos relativos al embarazo de una empleada durante la vigencia de su co</w:t>
      </w:r>
      <w:r>
        <w:t>n</w:t>
      </w:r>
      <w:r>
        <w:t>trato de trabajo a menos que ella lo permita para poder ejercer los derechos deriv</w:t>
      </w:r>
      <w:r>
        <w:t>a</w:t>
      </w:r>
      <w:r>
        <w:t>dos de su embarazo. La ley establece asimismo que durante el embarazo y el período de lactancia, la trabajadora no tiene por qué realizar trabajos que la expongan a fa</w:t>
      </w:r>
      <w:r>
        <w:t>c</w:t>
      </w:r>
      <w:r>
        <w:t>tores de riesgo o a condiciones laborales que el ministro de trabajo de acuerdo con el ministro de salud determinará mediante reglamentos ejecutivos. Si una trabajadora durante el embarazo y el período de lactancia realiza un tipo de trabajo que la exp</w:t>
      </w:r>
      <w:r>
        <w:t>o</w:t>
      </w:r>
      <w:r>
        <w:t>ne a factores de riesgo, a procedimientos y a condiciones de trabajo contemplados por dichos reglamentos ejecutivos y de los que una evaluación de riesgos concluye que se deriva peligro para su salud o la de su hijo, el empleador deberá adoptar las medidas adecuadas mediante la modificación de las condiciones de trabajo o de la jornada laboral. Si a pesar de la modificación de las condiciones de trabajo o de la jornada laboral es imposible evitar el peligro para la salud de la trabajadora o de su hijo, o si se trata de un tipo de trabajo con factores de riesgo o de condiciones de trabajo contemplados en los reglamentos ejecutivos, el empleador deberá garantizar a la trabajadora la realización de otro tipo de trabajo adecuado con la remuneración que recibiría en su puesto de trabajo si esto es más conveniente para ella. Si el e</w:t>
      </w:r>
      <w:r>
        <w:t>m</w:t>
      </w:r>
      <w:r>
        <w:t>pleador no ofrece a la trabajadora otro trabajo adecuado, durante el tiempo que la trabajadora cause baja laboral por dicha razón, el empleador deberá compensarla económicamente de conformidad con las disposiciones de la ley.</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1.4</w:t>
      </w:r>
      <w:r>
        <w:tab/>
        <w:t>Programas y medidas de política de empleo</w:t>
      </w:r>
    </w:p>
    <w:p w:rsidR="00000000" w:rsidRDefault="00000000">
      <w:pPr>
        <w:pStyle w:val="SingleTxt"/>
        <w:spacing w:after="0" w:line="120" w:lineRule="exact"/>
        <w:rPr>
          <w:sz w:val="10"/>
        </w:rPr>
      </w:pPr>
    </w:p>
    <w:p w:rsidR="00000000" w:rsidRDefault="00000000">
      <w:pPr>
        <w:pStyle w:val="SingleTxt"/>
      </w:pPr>
      <w:r>
        <w:tab/>
        <w:t>En el ámbito del mercado de trabajo y del empleo se han aprobado varios d</w:t>
      </w:r>
      <w:r>
        <w:t>o</w:t>
      </w:r>
      <w:r>
        <w:t>cumentos estratégicos, cuya finalidad es promover formas activas de aumentar las posibilidades de empleo y de resolver los problemas del desempleo. Todos estos d</w:t>
      </w:r>
      <w:r>
        <w:t>o</w:t>
      </w:r>
      <w:r>
        <w:t>cumentos prestan atención especial a la igualdad de oportunidades entre la mujer y el hombre. El Programa Nacional de Desarrollo del Mercado Laboral y del Empleo antes de 2006, que se aprobó en 2001, también formula orientaciones clave y med</w:t>
      </w:r>
      <w:r>
        <w:t>i</w:t>
      </w:r>
      <w:r>
        <w:t>das que aseguran la igualdad en el acceso al mercado laboral. Para garantizar la igualdad de oportunidades entre la mujer y el hombre y la compaginación de la vida profesional y familiar se adoptarán las siguientes medidas: velar por la igualdad de oportunidades de empleo en todas las profesiones y actividades, prestando apoyo especial a la mujer que funda su propia empresa; lograr un aumento de la particip</w:t>
      </w:r>
      <w:r>
        <w:t>a</w:t>
      </w:r>
      <w:r>
        <w:t>ción femenina en los programas de educación y formación profesional; reducir la segregación en el mercado laboral y las diferencias de remuneración entre la mujer y el hombre; adoptar medidas para prevenir, descubrir y eliminar todas las formas de discriminación en la búsqueda de empleo y en el acceso al mismo, la permanencia en el puesto de trabajo y el acceso a derechos y beneficios derivados del empleo. El programa nacional se lleva a cabo mediante Programas de Acción de las Relaciones en el Empleo que aprueba el Gobierno. En 2001, en el marco del Programa de A</w:t>
      </w:r>
      <w:r>
        <w:t>c</w:t>
      </w:r>
      <w:r>
        <w:t>ción de las Relaciones en el Empleo y de los Programas de Política Activa de E</w:t>
      </w:r>
      <w:r>
        <w:t>m</w:t>
      </w:r>
      <w:r>
        <w:t>pleo, se llevó a cabo un programa de promoción de la mujer empresaria, cuya final</w:t>
      </w:r>
      <w:r>
        <w:t>i</w:t>
      </w:r>
      <w:r>
        <w:t>dad era establecer un sistema y una serie de iniciativas de fomento, supervisión y desarrollo en este campo. Los resultados del programa fueron: la creación de un centro de información para la supervisión y el apoyo de las mujeres que se establ</w:t>
      </w:r>
      <w:r>
        <w:t>e</w:t>
      </w:r>
      <w:r>
        <w:t>cen en el mercado laboral, la publicación de un análisis de la participación de la mujer en el mercado laboral, la formación profesional de 30 asociadas para la pr</w:t>
      </w:r>
      <w:r>
        <w:t>o</w:t>
      </w:r>
      <w:r>
        <w:t>moción de la capacidad empresarial de las mujeres, la creación de vínculos con in</w:t>
      </w:r>
      <w:r>
        <w:t>s</w:t>
      </w:r>
      <w:r>
        <w:t>tituciones internacionales y el anuncio público de una licitación para la preparación de la cofinanciación de proyectos de promoción de la mujer empresaria y la partic</w:t>
      </w:r>
      <w:r>
        <w:t>i</w:t>
      </w:r>
      <w:r>
        <w:t>pación de la mujer en el mercado laboral a nivel local. En 2002 y 2003, las Líneas Generales de la Política Activa de Empleo para 2002 y 2003 y los Programas de P</w:t>
      </w:r>
      <w:r>
        <w:t>o</w:t>
      </w:r>
      <w:r>
        <w:t>lítica Activa de Empleo para 2002 contemplaban las medidas siguientes: programas de política activa de empleo para la mujer, promoción de la mujer empresaria y d</w:t>
      </w:r>
      <w:r>
        <w:t>e</w:t>
      </w:r>
      <w:r>
        <w:t>sarrollo de nuevas profesiones para la mujer. Además de estas medidas y programas específicamente destinados a ella, la mujer está contemplada en todas las demás m</w:t>
      </w:r>
      <w:r>
        <w:t>e</w:t>
      </w:r>
      <w:r>
        <w:t>didas y programas.</w:t>
      </w:r>
    </w:p>
    <w:p w:rsidR="00000000" w:rsidRDefault="00000000">
      <w:pPr>
        <w:pStyle w:val="SingleTxt"/>
      </w:pPr>
      <w:r>
        <w:tab/>
        <w:t>La igualdad de oportunidades —mejorar el acceso de la mujer al mercado de trabajo y su participación en el mismo— es también uno de los programas en el marco de las tareas de desarrollo prioritarias “Conocimientos, desarrollo de los r</w:t>
      </w:r>
      <w:r>
        <w:t>e</w:t>
      </w:r>
      <w:r>
        <w:t>cursos humanos y empleo”, en el Programa de Desarrollo Estatal RS 2001-2006 propuesto.</w:t>
      </w:r>
    </w:p>
    <w:p w:rsidR="00000000" w:rsidRDefault="00000000">
      <w:pPr>
        <w:pStyle w:val="SingleTxt"/>
      </w:pPr>
      <w:r>
        <w:tab/>
        <w:t>El Programa de Política Activa de Empleo viene funcionando desde hace v</w:t>
      </w:r>
      <w:r>
        <w:t>a</w:t>
      </w:r>
      <w:r>
        <w:t>rios años para reducir el número de personas desempleadas en Eslovenia y en el marco del mismo se llevan a cabo una serie de actividades. En algunos programas predomina la mujer (por ejemplo, en los programas de educación y formación, de i</w:t>
      </w:r>
      <w:r>
        <w:t>n</w:t>
      </w:r>
      <w:r>
        <w:t>formación y motivación, seminarios para personas que buscan trabajo, clubes de pers</w:t>
      </w:r>
      <w:r>
        <w:t>o</w:t>
      </w:r>
      <w:r>
        <w:t>nas que buscan trabajo, etc.).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Derecho a la Seguridad Social</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Derechos derivados del seguro de pensiones</w:t>
      </w:r>
    </w:p>
    <w:p w:rsidR="00000000" w:rsidRDefault="00000000">
      <w:pPr>
        <w:pStyle w:val="SingleTxt"/>
        <w:spacing w:after="0" w:line="120" w:lineRule="exact"/>
        <w:rPr>
          <w:sz w:val="10"/>
        </w:rPr>
      </w:pPr>
    </w:p>
    <w:p w:rsidR="00000000" w:rsidRDefault="00000000">
      <w:pPr>
        <w:pStyle w:val="SingleTxt"/>
      </w:pPr>
      <w:r>
        <w:tab/>
        <w:t>En 2000, se aprobó la Ley de pensiones y seguro de invalidez. En ella se g</w:t>
      </w:r>
      <w:r>
        <w:t>a</w:t>
      </w:r>
      <w:r>
        <w:t>rantiza por igual a la mujer y al hombre los derechos y obligaciones de las personas aseguradas, entre otros, también respecto de la inclusión en el seguro, el pago de las aportaciones, el ejercicio, la conservación y la pérdida de derechos. Sigue h</w:t>
      </w:r>
      <w:r>
        <w:t>a</w:t>
      </w:r>
      <w:r>
        <w:t>biendo diferencias por razón de género en el tratamiento de los asegurados a la hora de determinar las condiciones para adquirir los derechos a la pensión por vejez (p</w:t>
      </w:r>
      <w:r>
        <w:t>á</w:t>
      </w:r>
      <w:r>
        <w:t>rrafos 2 y 3 del Artículo 36). Las circunstancias de la República de Eslovenia, de momento, no permiten la equiparación total de las condiciones de jubilación, razón por la cual la edad de jubilación de la mujer habiendo cotizado el mismo período es dos años inferior a la del hombre. Así pues, la mujer puede retirarse a los 61 años si ha cotizado durante un período de 20 años, y el hombre a los 63; habiendo cotiz</w:t>
      </w:r>
      <w:r>
        <w:t>a</w:t>
      </w:r>
      <w:r>
        <w:t>do al menos durante 15 años, la mujer puede jubilarse a los 63 años y el hombre a los 65. Una y el otro pueden jubilarse a los 58 años, pero en tal caso se define un p</w:t>
      </w:r>
      <w:r>
        <w:t>e</w:t>
      </w:r>
      <w:r>
        <w:t>ríodo de cotización dos años menor para la mujer (38 años para la mujer y 40 para el hombre). Para evitar la discriminación indirecta contra la mujer en el cálculo de la pensión (para un período de cotización de 15 años), el porcentaje de cálculo inicial es más elevado (38%) que el aplicado al hombre (35%). La igualdad se consigue, pues, en el cálculo porcentual de la pensión, puesto que tanto la mujer como el ho</w:t>
      </w:r>
      <w:r>
        <w:t>m</w:t>
      </w:r>
      <w:r>
        <w:t>bre a los 58 años, tras un período de trabajo de 38 ó 40 años reciben una pensión de 72,5% de la base calculada. La Ley de pensiones y seguro de invalidez estipula ta</w:t>
      </w:r>
      <w:r>
        <w:t>m</w:t>
      </w:r>
      <w:r>
        <w:t>bién en disposiciones especiales que las condiciones de jubilación de los programas de pensiones adoptados por un empleador no pueden determinarse de modo dif</w:t>
      </w:r>
      <w:r>
        <w:t>e</w:t>
      </w:r>
      <w:r>
        <w:t>rente en base al sexo de la persona asegurada (Artículo 37, párrafo 2).</w:t>
      </w:r>
    </w:p>
    <w:p w:rsidR="00000000" w:rsidRDefault="00000000">
      <w:pPr>
        <w:pStyle w:val="SingleTxt"/>
      </w:pPr>
      <w:r>
        <w:tab/>
        <w:t>El límite de edad para adquirir los derechos de la pensión de vejez se reduce por cada hijo (ocho meses por un hijo, 20 meses por dos, 36 meses por tres y por c</w:t>
      </w:r>
      <w:r>
        <w:t>a</w:t>
      </w:r>
      <w:r>
        <w:t>da hijo adicional se reduce el límite de edad 20 meses) y a ello tienen derecho tanto la mujer como el hombre. Los padres acuerdan cuál de ellos ejercerá la reducción por cada hijo; si no llegan a un acuerdo, será titular de este derecho aquella persona que haya ejercido durante más tiempo la licencia por maternidad o paternidad. Si ninguno de ellos ha ejercido este derecho o si han hecho un uso igual del mismo, la mujer tiene derecho a la reducción del límite de edad (Artículo 37).</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Derecho a la atención médica y a la protección en el trabajo</w:t>
      </w:r>
    </w:p>
    <w:p w:rsidR="00000000" w:rsidRDefault="00000000">
      <w:pPr>
        <w:pStyle w:val="SingleTxt"/>
        <w:spacing w:after="0" w:line="120" w:lineRule="exact"/>
        <w:rPr>
          <w:sz w:val="10"/>
        </w:rPr>
      </w:pPr>
    </w:p>
    <w:p w:rsidR="00000000" w:rsidRDefault="00000000">
      <w:pPr>
        <w:pStyle w:val="SingleTxt"/>
      </w:pPr>
      <w:r>
        <w:tab/>
        <w:t>De conformidad con la nueva Ley de salud y seguridad en el trabajo, todo e</w:t>
      </w:r>
      <w:r>
        <w:t>m</w:t>
      </w:r>
      <w:r>
        <w:t>pleador tiene la obligación de redactar por escrito y adoptar una declaración escrita de seguridad , por la cual establezca los métodos y medidas para garantizar la seg</w:t>
      </w:r>
      <w:r>
        <w:t>u</w:t>
      </w:r>
      <w:r>
        <w:t>ridad y la salud en el trabajo (Artículo 14). Los requisitos de la declaración se exp</w:t>
      </w:r>
      <w:r>
        <w:t>o</w:t>
      </w:r>
      <w:r>
        <w:t>nen en detalle en las Normas sobre el método para redactar la declaración de segur</w:t>
      </w:r>
      <w:r>
        <w:t>i</w:t>
      </w:r>
      <w:r>
        <w:t>dad con evaluación de riesgos, que entraron en vigor el 21 de abril de 2000. La Ley determina asimismo que el empleador debe ocuparse de que se informe a las trab</w:t>
      </w:r>
      <w:r>
        <w:t>a</w:t>
      </w:r>
      <w:r>
        <w:t>jadoras embarazadas de la evaluación de riesgos y de las medidas que adoptará el empleador para garantizar la seguridad y la salud en el trabajo (Artículo 23).</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2.3</w:t>
      </w:r>
      <w:r>
        <w:tab/>
        <w:t>Licencia por maternidad o paternidad</w:t>
      </w:r>
    </w:p>
    <w:p w:rsidR="00000000" w:rsidRDefault="00000000">
      <w:pPr>
        <w:pStyle w:val="SingleTxt"/>
        <w:spacing w:after="0" w:line="120" w:lineRule="exact"/>
        <w:rPr>
          <w:sz w:val="10"/>
        </w:rPr>
      </w:pPr>
    </w:p>
    <w:p w:rsidR="00000000" w:rsidRDefault="00000000">
      <w:pPr>
        <w:pStyle w:val="SingleTxt"/>
      </w:pPr>
      <w:r>
        <w:tab/>
        <w:t>En noviembre de 2001 se aprobó la Ley de atención a los hijos e ingreso de la familia, que entró en vigor el 1º de enero de 2002. La Ley regula dos conjuntos de derechos: el seguro para la protección del derecho de los padres a atender a sus hijos y los derechos derivados del mismo, y las prestaciones familiares.</w:t>
      </w:r>
    </w:p>
    <w:p w:rsidR="00000000" w:rsidRDefault="00000000">
      <w:pPr>
        <w:pStyle w:val="SingleTxt"/>
      </w:pPr>
      <w:r>
        <w:tab/>
        <w:t>Los derechos derivados del seguro de atención a los hijos son la licencia por nacimiento de un hijo (licencia por maternidad, licencia por paternidad, licencia p</w:t>
      </w:r>
      <w:r>
        <w:t>a</w:t>
      </w:r>
      <w:r>
        <w:t>ra el cuidado del hijo, licencia del padre o madre adoptivos), prestaciones por nac</w:t>
      </w:r>
      <w:r>
        <w:t>i</w:t>
      </w:r>
      <w:r>
        <w:t>miento de un hijo (prestación de maternidad, prestación de paternidad, prestación para el cuidado del hijo y prestación para el padre o madre adoptivo) y el derecho a la reducción de la jornada laboral por nacimiento de un hijo. Las personas incluidas en el seguro por nacimiento de un hijo son los titulares de los derechos derivados del s</w:t>
      </w:r>
      <w:r>
        <w:t>e</w:t>
      </w:r>
      <w:r>
        <w:t>guro de atención a los hijos y pagan una aportación por atención a los hijos.</w:t>
      </w:r>
    </w:p>
    <w:p w:rsidR="00000000" w:rsidRDefault="00000000">
      <w:pPr>
        <w:pStyle w:val="SingleTxt"/>
      </w:pPr>
      <w:r>
        <w:tab/>
        <w:t>La licencia por maternidad (Artículos 17-22) tiene una duración de 105 días naturales (igual que antes) y la madre debe iniciarla 28 ó 42 (si así lo desea) días antes de la fecha de nacimiento prevista por el ginecólogo. El derecho a la licencia por maternidad puede ser ejercido por el padre o por otra persona si la madre fall</w:t>
      </w:r>
      <w:r>
        <w:t>e</w:t>
      </w:r>
      <w:r>
        <w:t>ce, abandona al hijo o, en opinión de un médico competente, se halla incapacitada para trabajar de modo temporal o permanente. En el caso de que la edad de la madre sea inferior a 18 años y sea aprendiz, alumna o estudiante, podrá ejercer el derecho a la licencia por maternidad el padre de la criatura o uno de los abuelos con el co</w:t>
      </w:r>
      <w:r>
        <w:t>n</w:t>
      </w:r>
      <w:r>
        <w:t>sent</w:t>
      </w:r>
      <w:r>
        <w:t>i</w:t>
      </w:r>
      <w:r>
        <w:t>miento de la madre.</w:t>
      </w:r>
    </w:p>
    <w:p w:rsidR="00000000" w:rsidRDefault="00000000">
      <w:pPr>
        <w:pStyle w:val="SingleTxt"/>
      </w:pPr>
      <w:r>
        <w:tab/>
        <w:t>La licencia por paternidad (Artículos 23-25), que es una innovación esencial de las nuevas disposiciones respecto de la licencia por nacimiento de un hijo, tiene una duración de 90 días naturales. De éstos, el padre puede hacer uso de 15 días d</w:t>
      </w:r>
      <w:r>
        <w:t>u</w:t>
      </w:r>
      <w:r>
        <w:t>rante la licencia por maternidad de la madre (estos 15 días no podrán ser utilizados más tarde) y los 75 restantes distribuidos en los ocho años siguientes del niño (es decir, durante la licencia por maternidad de la madre, durante la licencia para la atención del hijo o hasta que el hijo cumpla los ocho años). El derecho a la licencia por paternidad se ejercitará de manera progresiva, es decir, a partir del 1º de enero de 2003, 15 días; a partir del 1º de enero de 2004, 45 días, y a partir del 1º de enero de 2005, 90 días. El derecho es exclusivo del padre y no puede ser transferido a otra persona. Con este derecho, pretendemos implicar al hombre en el cuidado de los h</w:t>
      </w:r>
      <w:r>
        <w:t>i</w:t>
      </w:r>
      <w:r>
        <w:t>jos desde un primer momento y conseguir así una mejor compaginación de las obl</w:t>
      </w:r>
      <w:r>
        <w:t>i</w:t>
      </w:r>
      <w:r>
        <w:t>gaciones profesion</w:t>
      </w:r>
      <w:r>
        <w:t>a</w:t>
      </w:r>
      <w:r>
        <w:t>les y familiares tanto para el hombre como para la mujer.</w:t>
      </w:r>
    </w:p>
    <w:p w:rsidR="00000000" w:rsidRDefault="00000000">
      <w:pPr>
        <w:pStyle w:val="SingleTxt"/>
      </w:pPr>
      <w:r>
        <w:tab/>
        <w:t>La licencia para el cuidado del hijo (Artículos 26-34) corresponde a las pers</w:t>
      </w:r>
      <w:r>
        <w:t>o</w:t>
      </w:r>
      <w:r>
        <w:t xml:space="preserve">nas que reúnan los requisitos necesarios inmediatamente después de la finalización </w:t>
      </w:r>
      <w:r>
        <w:rPr>
          <w:w w:val="100"/>
        </w:rPr>
        <w:t>de la licencia por maternidad y pretende dar continuidad al cuidado del hijo. Su dur</w:t>
      </w:r>
      <w:r>
        <w:rPr>
          <w:w w:val="100"/>
        </w:rPr>
        <w:t>a</w:t>
      </w:r>
      <w:r>
        <w:rPr>
          <w:w w:val="100"/>
        </w:rPr>
        <w:t>ción es la misma que antes, 260 días naturales, pero en ciertos casos puede a</w:t>
      </w:r>
      <w:r>
        <w:rPr>
          <w:w w:val="100"/>
        </w:rPr>
        <w:t>m</w:t>
      </w:r>
      <w:r>
        <w:rPr>
          <w:w w:val="100"/>
        </w:rPr>
        <w:t>pliarse:</w:t>
      </w:r>
    </w:p>
    <w:p w:rsidR="00000000" w:rsidRDefault="00000000">
      <w:pPr>
        <w:pStyle w:val="SingleTxt"/>
        <w:tabs>
          <w:tab w:val="right" w:pos="1685"/>
        </w:tabs>
        <w:ind w:left="1742" w:hanging="475"/>
      </w:pPr>
      <w:r>
        <w:tab/>
        <w:t>–</w:t>
      </w:r>
      <w:r>
        <w:tab/>
        <w:t>Si la madre ha dado a luz gemelos, la licencia se prolonga 90 días;</w:t>
      </w:r>
    </w:p>
    <w:p w:rsidR="00000000" w:rsidRDefault="00000000">
      <w:pPr>
        <w:pStyle w:val="SingleTxt"/>
        <w:tabs>
          <w:tab w:val="right" w:pos="1685"/>
        </w:tabs>
        <w:ind w:left="1742" w:hanging="475"/>
      </w:pPr>
      <w:r>
        <w:tab/>
        <w:t>–</w:t>
      </w:r>
      <w:r>
        <w:tab/>
        <w:t>Si la madre ha dado a luz a más de dos hijos nacidos vivos, por cada niño la l</w:t>
      </w:r>
      <w:r>
        <w:t>i</w:t>
      </w:r>
      <w:r>
        <w:t>ce</w:t>
      </w:r>
      <w:r>
        <w:t>n</w:t>
      </w:r>
      <w:r>
        <w:t>cia se prolonga 90 días;</w:t>
      </w:r>
    </w:p>
    <w:p w:rsidR="00000000" w:rsidRDefault="00000000">
      <w:pPr>
        <w:pStyle w:val="SingleTxt"/>
        <w:tabs>
          <w:tab w:val="right" w:pos="1685"/>
        </w:tabs>
        <w:ind w:left="1742" w:hanging="475"/>
      </w:pPr>
      <w:r>
        <w:tab/>
        <w:t>–</w:t>
      </w:r>
      <w:r>
        <w:tab/>
        <w:t>En caso de parto prematuro, la licencia se amplía por el número de días que faltaron para que el embarazo fuera de 260 días;</w:t>
      </w:r>
    </w:p>
    <w:p w:rsidR="00000000" w:rsidRDefault="00000000">
      <w:pPr>
        <w:pStyle w:val="SingleTxt"/>
        <w:tabs>
          <w:tab w:val="right" w:pos="1685"/>
        </w:tabs>
        <w:ind w:left="1742" w:hanging="475"/>
      </w:pPr>
      <w:r>
        <w:tab/>
        <w:t>–</w:t>
      </w:r>
      <w:r>
        <w:tab/>
      </w:r>
      <w:r>
        <w:rPr>
          <w:w w:val="100"/>
        </w:rPr>
        <w:t>En caso de que el hijo nacido necesite cuidados especiales se amplía la licencia 90 días más (en base a la opinión de la comisión médica de la Clínica Pediátrica de Ljubljana); este derecho podrá ejercerse hasta que el niño tenga 18 m</w:t>
      </w:r>
      <w:r>
        <w:rPr>
          <w:w w:val="100"/>
        </w:rPr>
        <w:t>e</w:t>
      </w:r>
      <w:r>
        <w:rPr>
          <w:w w:val="100"/>
        </w:rPr>
        <w:t>ses;</w:t>
      </w:r>
    </w:p>
    <w:p w:rsidR="00000000" w:rsidRDefault="00000000">
      <w:pPr>
        <w:pStyle w:val="SingleTxt"/>
        <w:tabs>
          <w:tab w:val="right" w:pos="1685"/>
        </w:tabs>
        <w:ind w:left="1742" w:hanging="475"/>
      </w:pPr>
      <w:r>
        <w:tab/>
        <w:t>–</w:t>
      </w:r>
      <w:r>
        <w:tab/>
        <w:t>Si el padre o la madre ya tienen a su cargo al menos dos niños menores de 8 años, la licencia se prolonga 30 días; con tres niños a cargo, la licencia se amplia 60 días y con cuatro o más niños, la licencia se prolonga 90 días.</w:t>
      </w:r>
    </w:p>
    <w:p w:rsidR="00000000" w:rsidRDefault="00000000">
      <w:pPr>
        <w:pStyle w:val="SingleTxt"/>
      </w:pPr>
      <w:r>
        <w:t>Estos derechos son acumulativos (por ejemplo, si la madre da a luz gemelos y tiene a su cargo tres menores, su licencia se alargará 150 días).</w:t>
      </w:r>
    </w:p>
    <w:p w:rsidR="00000000" w:rsidRDefault="00000000">
      <w:pPr>
        <w:pStyle w:val="SingleTxt"/>
      </w:pPr>
      <w:r>
        <w:tab/>
        <w:t>En virtud de la nueva ley, la licencia para el cuidado del hijo ya no es un der</w:t>
      </w:r>
      <w:r>
        <w:t>e</w:t>
      </w:r>
      <w:r>
        <w:t>cho de la madre sino de ambos padres, lo que significa que tendrán que llegar a un acuerdo en cuanto a la manera de ejercerlo, que es flexible. Los padres pueden eje</w:t>
      </w:r>
      <w:r>
        <w:t>r</w:t>
      </w:r>
      <w:r>
        <w:t>cerlo causando baja laboral, total o parcial, alternándose en el caso de baja parcial, lo que significa por ejemplo, que trabajan cuatro horas cada uno, o que una parte de la licencia puede ser utilizada por la madre y otra mitad por el padre. Excepciona</w:t>
      </w:r>
      <w:r>
        <w:t>l</w:t>
      </w:r>
      <w:r>
        <w:t>mente ambos padres pueden quedarse en casa con el hijo o los hijos, pero sólo en el caso de licencias más prolongadas (parto gemelar o parto múltiple, menor que nec</w:t>
      </w:r>
      <w:r>
        <w:t>e</w:t>
      </w:r>
      <w:r>
        <w:t>sita cuidados especiales o en el caso de nacimiento en una familia en la que los p</w:t>
      </w:r>
      <w:r>
        <w:t>a</w:t>
      </w:r>
      <w:r>
        <w:t>dres ya tienen a su cargo dos hijos menores de 8 años en el momento del nacimie</w:t>
      </w:r>
      <w:r>
        <w:t>n</w:t>
      </w:r>
      <w:r>
        <w:t>to). Los padres pueden reservar para más adelante parte de la licencia para el cuid</w:t>
      </w:r>
      <w:r>
        <w:t>a</w:t>
      </w:r>
      <w:r>
        <w:t>do de los hijos (máximo 75 días) y hacer uso de ella hasta que el hijo cumpla 8 años.</w:t>
      </w:r>
    </w:p>
    <w:p w:rsidR="00000000" w:rsidRDefault="00000000">
      <w:pPr>
        <w:pStyle w:val="SingleTxt"/>
      </w:pPr>
      <w:r>
        <w:tab/>
        <w:t>Uno de los abuelos puede también, con el consentimiento de la madre, ejercer el derecho de licencia para el cuidado del hijo si el padre no lo ejerce o la madre del hijo es menor de 18 años y es aprendiz, alumna o estudiante. En tal caso, la licencia tiene la misma duración que cuando beneficia al padre o a la madre, reducida en el núm</w:t>
      </w:r>
      <w:r>
        <w:t>e</w:t>
      </w:r>
      <w:r>
        <w:t>ro de días que el padre o la madre hayan utilizado.</w:t>
      </w:r>
    </w:p>
    <w:p w:rsidR="00000000" w:rsidRDefault="00000000">
      <w:pPr>
        <w:pStyle w:val="SingleTxt"/>
      </w:pPr>
      <w:r>
        <w:tab/>
        <w:t>La licencia por adopción (Artículos 35-37) beneficia a uno o ambos padres adoptivos a fin de que éstos y el hijo puedan dedicarse unos a otros por entero inm</w:t>
      </w:r>
      <w:r>
        <w:t>e</w:t>
      </w:r>
      <w:r>
        <w:t>diatamente después de la adopción. Si el menor tiene entre 1 y 4 años en el momento de la adopción, la licencia es de 150 días y si el menor tiene entre 4 y 10 años, la l</w:t>
      </w:r>
      <w:r>
        <w:t>i</w:t>
      </w:r>
      <w:r>
        <w:t>cencia es de 120 días. Pueden hacer uso de la licencia uno o los dos padres simult</w:t>
      </w:r>
      <w:r>
        <w:t>á</w:t>
      </w:r>
      <w:r>
        <w:t>neamente, pero la duración total de la misma no podrá exceder los 150 ó 120 días.</w:t>
      </w:r>
    </w:p>
    <w:p w:rsidR="00000000" w:rsidRDefault="00000000">
      <w:pPr>
        <w:pStyle w:val="SingleTxt"/>
      </w:pPr>
      <w:r>
        <w:tab/>
        <w:t>La prestación por nacimiento (Artículos 38 a 49) es una compensación del s</w:t>
      </w:r>
      <w:r>
        <w:t>a</w:t>
      </w:r>
      <w:r>
        <w:t>lario o de los ingresos familiares derivado del seguro para la protección de los p</w:t>
      </w:r>
      <w:r>
        <w:t>a</w:t>
      </w:r>
      <w:r>
        <w:t>dres. Gozan de este derecho los beneficiarios de la licencia por nacimiento que est</w:t>
      </w:r>
      <w:r>
        <w:t>a</w:t>
      </w:r>
      <w:r>
        <w:t xml:space="preserve">ban asegurados en virtud de esta ley con anterioridad al día en que entra en vigor el tipo individual de licencia por nacimiento, y las personas que no tienen derecho a la licencia por nacimiento en el caso de que estuvieran aseguradas en virtud de esta ley por un período de al menos 12 meses en los tres años anteriores a la existencia de los tipos individuales de licencia por nacimiento. Las personas se benefician de la prestación por nacimiento durante el uso de la licencia por nacimiento, salvo en el caso de la licencia por paternidad cuando durante los 15 primeros días el padre es beneficiario de la prestación por paternidad y durante los 75 restantes el </w:t>
      </w:r>
      <w:r>
        <w:rPr>
          <w:w w:val="100"/>
        </w:rPr>
        <w:t>Estado g</w:t>
      </w:r>
      <w:r>
        <w:rPr>
          <w:w w:val="100"/>
        </w:rPr>
        <w:t>a</w:t>
      </w:r>
      <w:r>
        <w:rPr>
          <w:w w:val="100"/>
        </w:rPr>
        <w:t xml:space="preserve">rantiza al padre el pago de las prestaciones de la seguridad social en base al salario mínimo. Todos los tipos de prestación por nacimiento se calculan de manera uniforme, </w:t>
      </w:r>
      <w:r>
        <w:t>excepto la licencia por maternidad, en la que no existe un límite superior aplicable. La cuantía de la prestación constituye 100% del salario básico promedio en los últ</w:t>
      </w:r>
      <w:r>
        <w:t>i</w:t>
      </w:r>
      <w:r>
        <w:t>mos 12 meses, si el /la beneficiario/a de la misma estuvo asegurado/a durante todo el período del último año, pero no será inferior a 55% del salario mínimo de la R</w:t>
      </w:r>
      <w:r>
        <w:t>e</w:t>
      </w:r>
      <w:r>
        <w:t>pública de Eslovenia y alcanzará la cuantía un máximo de dos veces y medio el sal</w:t>
      </w:r>
      <w:r>
        <w:t>a</w:t>
      </w:r>
      <w:r>
        <w:t>rio mensual promedio de la República de Eslovenia en el momento en que se realiza el cálculo. Si la persona beneficiaria de la prestación no estuvo asegurada durante los últimos doce meses, el cálculo se realiza mediante una clave especial en base a la ley.</w:t>
      </w:r>
    </w:p>
    <w:p w:rsidR="00000000" w:rsidRDefault="00000000">
      <w:pPr>
        <w:pStyle w:val="SingleTxt"/>
      </w:pPr>
      <w:r>
        <w:tab/>
        <w:t>Una novedad de la Ley de atención a los hijos e ingreso de la familia es el cr</w:t>
      </w:r>
      <w:r>
        <w:t>é</w:t>
      </w:r>
      <w:r>
        <w:t>dito. Si el padre, la madre u otra persona no hace uso de la licencia para el cuidado del hijo en su totalidad, la parte restante de la licencia puede ser utilizada en forma de crédito, que podrá destinarse a pagar el cuidado del hijo, el alquiler de la vivie</w:t>
      </w:r>
      <w:r>
        <w:t>n</w:t>
      </w:r>
      <w:r>
        <w:t>da y para satisfacer las necesidades de vivienda (compra de un departamento o de una casa, adaptación de un apartamento o casa, construcción de una casa). El i</w:t>
      </w:r>
      <w:r>
        <w:t>m</w:t>
      </w:r>
      <w:r>
        <w:t>porte del crédito es el mismo que la prestación no pagada para el cuidado del hijo, hasta un máximo de cinco veces la prestación mensual correspondiente a la licencia para el cu</w:t>
      </w:r>
      <w:r>
        <w:t>i</w:t>
      </w:r>
      <w:r>
        <w:t>dado del hijo.</w:t>
      </w:r>
    </w:p>
    <w:p w:rsidR="00000000" w:rsidRDefault="00000000">
      <w:pPr>
        <w:pStyle w:val="SingleTxt"/>
      </w:pPr>
      <w:r>
        <w:tab/>
        <w:t>La Ley también admite la posibilidad de realizar jornada laboral partida (no i</w:t>
      </w:r>
      <w:r>
        <w:t>n</w:t>
      </w:r>
      <w:r>
        <w:t>ferior a la mitad de la obligación semanal de trabajar) para aquel de los padres que esté cuidando al hijo hasta la edad de tres años.</w:t>
      </w:r>
    </w:p>
    <w:p w:rsidR="00000000" w:rsidRDefault="00000000">
      <w:pPr>
        <w:pStyle w:val="SingleTxt"/>
      </w:pPr>
      <w:r>
        <w:tab/>
        <w:t>Aunque el padre tiene la posibilidad de hacer uso de la licencia para el cuidado del hijo, hasta la fecha esta posibilidad ha sido utilizada por menos de 1%. Para que el padre haga uso de la licencia por paternidad introducida por la Ley de atención a los hijos e ingreso de la familia y para que haga un mayor uso de la licencia para el cuidado del hijo, la Oficina de Igualdad de Oportunidades y el Ministerio de Trab</w:t>
      </w:r>
      <w:r>
        <w:t>a</w:t>
      </w:r>
      <w:r>
        <w:t>jo, Familia y Asuntos Sociales realizará diversas actividades en 2003 (diseño de un s</w:t>
      </w:r>
      <w:r>
        <w:t>i</w:t>
      </w:r>
      <w:r>
        <w:t>tio web en internet con material informativo, etc.).</w:t>
      </w:r>
    </w:p>
    <w:p w:rsidR="00000000" w:rsidRDefault="00000000">
      <w:pPr>
        <w:pStyle w:val="SingleTxt"/>
      </w:pPr>
      <w:r>
        <w:tab/>
        <w:t>Como ya se ha mencionado en la sección sobre educación (Artículo 10), en Eslovenia contamos con una red bien organizada de centros de educación preescolar pública y privada. Puesto que el precio de los programas de educación preescolar que pagan los padres en los centros públicos depende del ingreso por miembro de la familia, todos los padres tienen acceso a los centros públicos independientemente de sus ingresos.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salud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La atención médica en la República de Eslovenia</w:t>
      </w:r>
    </w:p>
    <w:p w:rsidR="00000000" w:rsidRDefault="00000000">
      <w:pPr>
        <w:pStyle w:val="SingleTxt"/>
        <w:spacing w:after="0" w:line="120" w:lineRule="exact"/>
        <w:rPr>
          <w:sz w:val="10"/>
        </w:rPr>
      </w:pPr>
    </w:p>
    <w:p w:rsidR="00000000" w:rsidRDefault="00000000">
      <w:pPr>
        <w:pStyle w:val="SingleTxt"/>
      </w:pPr>
      <w:r>
        <w:tab/>
        <w:t>En el período transcurrido desde la elaboración del Segundo Informe, se ha debatido la propuesta de dos cambios en la regulación de la atención médica de la mujer o de sus derechos de reproducción: la Ley de tratamiento de los problemas de fecundidad y de métodos de reproducción asistida biomédicamente y la nueva Ley del seguro de enfermedad.</w:t>
      </w:r>
    </w:p>
    <w:p w:rsidR="00000000" w:rsidRDefault="00000000">
      <w:pPr>
        <w:pStyle w:val="SingleTxt"/>
      </w:pPr>
      <w:r>
        <w:tab/>
      </w:r>
      <w:r>
        <w:rPr>
          <w:w w:val="100"/>
        </w:rPr>
        <w:t>Desde 1977 se han regulado los derechos a determinar las causas de los probl</w:t>
      </w:r>
      <w:r>
        <w:rPr>
          <w:w w:val="100"/>
        </w:rPr>
        <w:t>e</w:t>
      </w:r>
      <w:r>
        <w:rPr>
          <w:w w:val="100"/>
        </w:rPr>
        <w:t xml:space="preserve">mas de fecundidad y su tratamiento en la Ley de medidas sanitarias para el ejercicio de la libertad de elección en la reproducción. Los avances médicos han planteado </w:t>
      </w:r>
      <w:r>
        <w:t>nuevas cuestiones jurídicas en relación con los métodos para tratar los problemas de fecu</w:t>
      </w:r>
      <w:r>
        <w:t>n</w:t>
      </w:r>
      <w:r>
        <w:t>didad y la fecundación con asistencia biomédica, que esta ley no contemplaba, de modo que la nueva ley se necesitaba urgentemente. La propuesta de Ley de trat</w:t>
      </w:r>
      <w:r>
        <w:t>a</w:t>
      </w:r>
      <w:r>
        <w:t>miento de los problemas de fecundidad y de métodos de reproducción asistida bi</w:t>
      </w:r>
      <w:r>
        <w:t>o</w:t>
      </w:r>
      <w:r>
        <w:t>médicamente fue objeto de numerosas polémicas desde el principio del debate en la Asamblea Nacional. Sobre todo fue complicada la aprobación del Artículo 5, que determina las personas que tienen derecho a utilizar los métodos de fecundación con asistencia biomédica. En virtud de dicho Artículo, sólo los hombres y mujeres que viven en matrimonio o en comunidad extramarital tienen derecho a utilizar dichos métodos, lo que significó eliminar el derecho que concedía la Ley de medidas san</w:t>
      </w:r>
      <w:r>
        <w:t>i</w:t>
      </w:r>
      <w:r>
        <w:t>tarias para el ejercicio de la libertad de elección en la reproducción a todo adulto l</w:t>
      </w:r>
      <w:r>
        <w:t>e</w:t>
      </w:r>
      <w:r>
        <w:t>galmente competente y a toda mujer sana en el período de edad apropiado para la reproducción. Con anterioridad a la tercera lectura de la nueva propuesta de ley, uno de los grupos parlamentarios presentó una enmienda al Artículo en virtud de la cual todas las mujeres tenían derecho a utilizar el método de fecundación con asistencia biomédica, pero no fue aprobada. Posteriormente, el grupo parlamentario presentó una propuesta de enmienda a la ley con el mismo contenido. La enmienda a la ley fue aprobada por la Asamblea General por el procedimiento de urgencia, pero a sol</w:t>
      </w:r>
      <w:r>
        <w:t>i</w:t>
      </w:r>
      <w:r>
        <w:t>citud de 34 miembros del Parlamento que se oponían a ella firmemente, se celebró una posterior consulta legislativa sobre las enmiendas y añadidos a la Ley de trat</w:t>
      </w:r>
      <w:r>
        <w:t>a</w:t>
      </w:r>
      <w:r>
        <w:t>miento de los problemas de fecundidad y de métodos de reproducción asistida bi</w:t>
      </w:r>
      <w:r>
        <w:t>o</w:t>
      </w:r>
      <w:r>
        <w:t>médicamente. En la consulta se rechazó la enmienda de modo que, de conformidad con la legislación vigente, sólo la mujer que vive en matrimonio o en pareja de h</w:t>
      </w:r>
      <w:r>
        <w:t>e</w:t>
      </w:r>
      <w:r>
        <w:t>cho tiene derecho a solicitar métodos de fecundación con asi</w:t>
      </w:r>
      <w:r>
        <w:t>s</w:t>
      </w:r>
      <w:r>
        <w:t>tencia biomédica.</w:t>
      </w:r>
    </w:p>
    <w:p w:rsidR="00000000" w:rsidRDefault="00000000">
      <w:pPr>
        <w:pStyle w:val="SingleTxt"/>
      </w:pPr>
      <w:r>
        <w:tab/>
        <w:t>A mediados de junio de 2002, tres miembros del Parlamento presentaron una propuesta de Ley del seguro de enfermedad que había sido formulada por un grupo de expertos del Instituto de Seguros de Enfermedad de Eslovenia. En el Artículo propuesto que define la extensión de los derechos a los servicios médicos en virtud del seguro médico obligatorio, se establecía que dicho seguro cubre “el examen de la mujer para asesorarla en cuestiones de planificación familiar, embarazo, atención domiciliaria previa y posterior al parto, servicios de detección prematura de enfe</w:t>
      </w:r>
      <w:r>
        <w:t>r</w:t>
      </w:r>
      <w:r>
        <w:t>medades y de factores de riesgo en el período de fecundidad de acuerdo con pr</w:t>
      </w:r>
      <w:r>
        <w:t>o</w:t>
      </w:r>
      <w:r>
        <w:t>gramas específicos”. En ningún lugar se mencionaba el derecho a la cobertura de los costos que conlleva la interrupción artificial del embarazo y la esterilización. Según esto, podía concluirse que la propuesta de ley preveía que el pago de estas interve</w:t>
      </w:r>
      <w:r>
        <w:t>n</w:t>
      </w:r>
      <w:r>
        <w:t>ciones estaría a cargo de quien las solicitara. La propuesta de ley entraba en co</w:t>
      </w:r>
      <w:r>
        <w:t>n</w:t>
      </w:r>
      <w:r>
        <w:t>flicto con la Ley de atención médica y seguro de enfermedad, en virtud de la cual el seguro obligatorio de enfermedad garantiza el pago de un porcentaje determinado también en caso de interrupción artificial del embarazo. De este modo, se habría arrebatado a la mujer el derecho a decidir libremente acerca del nacimiento de los hijos, garantizado por la Constitución. La propuesta de Ley del seguro de enferm</w:t>
      </w:r>
      <w:r>
        <w:t>e</w:t>
      </w:r>
      <w:r>
        <w:t>dad fue retirada del procedimiento parlamentario en septiembre de 2002, y el M</w:t>
      </w:r>
      <w:r>
        <w:t>i</w:t>
      </w:r>
      <w:r>
        <w:t>nisterio de Salud está preparando una nueva ley.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El estado de salud de la mujer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t>Salud reproductiva</w:t>
      </w:r>
    </w:p>
    <w:p w:rsidR="00000000" w:rsidRDefault="00000000">
      <w:pPr>
        <w:pStyle w:val="SingleTxt"/>
        <w:spacing w:after="0" w:line="120" w:lineRule="exact"/>
        <w:rPr>
          <w:sz w:val="10"/>
        </w:rPr>
      </w:pPr>
    </w:p>
    <w:p w:rsidR="00000000" w:rsidRDefault="00000000">
      <w:pPr>
        <w:pStyle w:val="SingleTxt"/>
      </w:pPr>
      <w:r>
        <w:tab/>
        <w:t>La atención médica de la mujer forma parte integrante de la atención de la s</w:t>
      </w:r>
      <w:r>
        <w:t>a</w:t>
      </w:r>
      <w:r>
        <w:t>lud reproductiva de la población de ambos sexos y de todas las edades. Eslovenia ha desarrollado un sistema de instituciones de atención médica para la mujer en el ámbito de las actividades de asistencia primaria de salud (clínicas generales para la mujer) y en forma de clínicas especializadas (clínicas ginecológicas).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18</w:t>
      </w:r>
      <w:r>
        <w:br/>
        <w:t xml:space="preserve">Nivel de atención de la mujer a partir de 15 años, con personal médico para 1998 y 2000 </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170"/>
        <w:gridCol w:w="1260"/>
        <w:gridCol w:w="1440"/>
        <w:gridCol w:w="180"/>
        <w:gridCol w:w="1620"/>
        <w:gridCol w:w="1651"/>
      </w:tblGrid>
      <w:tr w:rsidR="00000000">
        <w:tblPrEx>
          <w:tblCellMar>
            <w:top w:w="0" w:type="dxa"/>
            <w:left w:w="0" w:type="dxa"/>
            <w:bottom w:w="0" w:type="dxa"/>
            <w:right w:w="0" w:type="dxa"/>
          </w:tblCellMar>
        </w:tblPrEx>
        <w:trPr>
          <w:cantSplit/>
          <w:tblHeader/>
        </w:trPr>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270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Número de médicos</w:t>
            </w:r>
          </w:p>
        </w:tc>
        <w:tc>
          <w:tcPr>
            <w:tcW w:w="3451"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Número de mujeres/más de 15/por médico</w:t>
            </w:r>
          </w:p>
        </w:tc>
      </w:tr>
      <w:tr w:rsidR="00000000">
        <w:tblPrEx>
          <w:tblCellMar>
            <w:top w:w="0" w:type="dxa"/>
            <w:left w:w="0" w:type="dxa"/>
            <w:bottom w:w="0" w:type="dxa"/>
            <w:right w:w="0" w:type="dxa"/>
          </w:tblCellMar>
        </w:tblPrEx>
        <w:trPr>
          <w:tblHeader/>
        </w:trPr>
        <w:tc>
          <w:tcPr>
            <w:tcW w:w="117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 xml:space="preserve">Médicos con </w:t>
            </w:r>
            <w:r>
              <w:rPr>
                <w:i/>
                <w:sz w:val="14"/>
              </w:rPr>
              <w:br/>
              <w:t xml:space="preserve">empleo regular </w:t>
            </w:r>
          </w:p>
        </w:tc>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 xml:space="preserve">De las horas </w:t>
            </w:r>
            <w:r>
              <w:rPr>
                <w:i/>
                <w:sz w:val="14"/>
              </w:rPr>
              <w:br/>
              <w:t>de trabajo</w:t>
            </w:r>
          </w:p>
        </w:tc>
        <w:tc>
          <w:tcPr>
            <w:tcW w:w="18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 xml:space="preserve">Médicos con </w:t>
            </w:r>
            <w:r>
              <w:rPr>
                <w:i/>
                <w:sz w:val="14"/>
              </w:rPr>
              <w:br/>
              <w:t>empleo permanente</w:t>
            </w:r>
          </w:p>
        </w:tc>
        <w:tc>
          <w:tcPr>
            <w:tcW w:w="1651"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 xml:space="preserve">De las horas </w:t>
            </w:r>
            <w:r>
              <w:rPr>
                <w:i/>
                <w:sz w:val="14"/>
              </w:rPr>
              <w:br/>
              <w:t>de trabajo</w:t>
            </w:r>
          </w:p>
        </w:tc>
      </w:tr>
      <w:tr w:rsidR="00000000">
        <w:tblPrEx>
          <w:tblCellMar>
            <w:top w:w="0" w:type="dxa"/>
            <w:left w:w="0" w:type="dxa"/>
            <w:bottom w:w="0" w:type="dxa"/>
            <w:right w:w="0" w:type="dxa"/>
          </w:tblCellMar>
        </w:tblPrEx>
        <w:trPr>
          <w:trHeight w:hRule="exact" w:val="115"/>
          <w:tblHeader/>
        </w:trPr>
        <w:tc>
          <w:tcPr>
            <w:tcW w:w="117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0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65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17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2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1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93,4</w:t>
            </w:r>
          </w:p>
        </w:tc>
        <w:tc>
          <w:tcPr>
            <w:tcW w:w="180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8 243,8</w:t>
            </w:r>
          </w:p>
        </w:tc>
        <w:tc>
          <w:tcPr>
            <w:tcW w:w="16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9 182,4</w:t>
            </w:r>
          </w:p>
        </w:tc>
      </w:tr>
      <w:tr w:rsidR="00000000">
        <w:tblPrEx>
          <w:tblCellMar>
            <w:top w:w="0" w:type="dxa"/>
            <w:left w:w="0" w:type="dxa"/>
            <w:bottom w:w="0" w:type="dxa"/>
            <w:right w:w="0" w:type="dxa"/>
          </w:tblCellMar>
        </w:tblPrEx>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119,3</w:t>
            </w:r>
          </w:p>
        </w:tc>
        <w:tc>
          <w:tcPr>
            <w:tcW w:w="180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8 580,9</w:t>
            </w:r>
          </w:p>
        </w:tc>
        <w:tc>
          <w:tcPr>
            <w:tcW w:w="165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7 264,4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Anuario de estadísticas médicas de Eslovenia, 1998 y Anuario de estadísticas médicas de Eslovenia,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19</w:t>
      </w:r>
      <w:r>
        <w:br/>
        <w:t>Visitas preventivas a clínicas generales para la mujer y porcentaje remitido a especialistas y hospitales, 1998 y 2000</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40"/>
        <w:gridCol w:w="810"/>
        <w:gridCol w:w="990"/>
        <w:gridCol w:w="810"/>
        <w:gridCol w:w="90"/>
        <w:gridCol w:w="720"/>
        <w:gridCol w:w="540"/>
        <w:gridCol w:w="990"/>
        <w:gridCol w:w="540"/>
        <w:gridCol w:w="720"/>
        <w:gridCol w:w="540"/>
      </w:tblGrid>
      <w:tr w:rsidR="00000000">
        <w:tblPrEx>
          <w:tblCellMar>
            <w:top w:w="0" w:type="dxa"/>
            <w:left w:w="0" w:type="dxa"/>
            <w:bottom w:w="0" w:type="dxa"/>
            <w:right w:w="0" w:type="dxa"/>
          </w:tblCellMar>
        </w:tblPrEx>
        <w:trPr>
          <w:cantSplit/>
          <w:tblHeader/>
        </w:trPr>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81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 de visitas</w:t>
            </w:r>
          </w:p>
        </w:tc>
        <w:tc>
          <w:tcPr>
            <w:tcW w:w="180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Total de visitas preventivas</w:t>
            </w:r>
          </w:p>
        </w:tc>
        <w:tc>
          <w:tcPr>
            <w:tcW w:w="4140" w:type="dxa"/>
            <w:gridSpan w:val="7"/>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Visitas preventivas</w:t>
            </w:r>
          </w:p>
        </w:tc>
      </w:tr>
      <w:tr w:rsidR="00000000">
        <w:tblPrEx>
          <w:tblCellMar>
            <w:top w:w="0" w:type="dxa"/>
            <w:left w:w="0" w:type="dxa"/>
            <w:bottom w:w="0" w:type="dxa"/>
            <w:right w:w="0" w:type="dxa"/>
          </w:tblCellMar>
        </w:tblPrEx>
        <w:trPr>
          <w:cantSplit/>
          <w:tblHeader/>
        </w:trPr>
        <w:tc>
          <w:tcPr>
            <w:tcW w:w="54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810" w:type="dxa"/>
            <w:vMerge/>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Embarazo</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99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Contracepción</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Otras razones</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688 724</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340 417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49,4</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108 825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31,9</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153 419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45,0</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78 173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w:t>
            </w:r>
          </w:p>
        </w:tc>
      </w:tr>
      <w:tr w:rsidR="00000000">
        <w:tblPrEx>
          <w:tblCellMar>
            <w:top w:w="0" w:type="dxa"/>
            <w:left w:w="0" w:type="dxa"/>
            <w:bottom w:w="0" w:type="dxa"/>
            <w:right w:w="0" w:type="dxa"/>
          </w:tblCellMar>
        </w:tblPrEx>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802 053</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384 005</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47,9</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112 724</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29,4</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157 743</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41,1</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113 538</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Anuario de estadísticas médicas de Eslovenia, 1998 y Anuario de estadísticas médicas de Eslovenia,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20</w:t>
      </w:r>
      <w:r>
        <w:br/>
        <w:t>Visitas curativas a las clínicas generales para la mujer, 1998 y 2000</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50"/>
        <w:gridCol w:w="810"/>
        <w:gridCol w:w="810"/>
        <w:gridCol w:w="990"/>
        <w:gridCol w:w="810"/>
        <w:gridCol w:w="90"/>
        <w:gridCol w:w="900"/>
        <w:gridCol w:w="720"/>
        <w:gridCol w:w="90"/>
        <w:gridCol w:w="900"/>
        <w:gridCol w:w="720"/>
      </w:tblGrid>
      <w:tr w:rsidR="00000000">
        <w:tblPrEx>
          <w:tblCellMar>
            <w:top w:w="0" w:type="dxa"/>
            <w:left w:w="0" w:type="dxa"/>
            <w:bottom w:w="0" w:type="dxa"/>
            <w:right w:w="0" w:type="dxa"/>
          </w:tblCellMar>
        </w:tblPrEx>
        <w:trPr>
          <w:cantSplit/>
          <w:tblHeader/>
        </w:trPr>
        <w:tc>
          <w:tcPr>
            <w:tcW w:w="4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81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Total de visitas</w:t>
            </w:r>
          </w:p>
        </w:tc>
        <w:tc>
          <w:tcPr>
            <w:tcW w:w="810" w:type="dxa"/>
            <w:vMerge w:val="restart"/>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 xml:space="preserve">Total </w:t>
            </w:r>
            <w:r>
              <w:rPr>
                <w:i/>
                <w:sz w:val="14"/>
              </w:rPr>
              <w:br/>
              <w:t>de visitas curativas</w:t>
            </w:r>
          </w:p>
        </w:tc>
        <w:tc>
          <w:tcPr>
            <w:tcW w:w="180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Primeras visitas curativas</w:t>
            </w:r>
          </w:p>
        </w:tc>
        <w:tc>
          <w:tcPr>
            <w:tcW w:w="171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Remitidas a especialistas</w:t>
            </w:r>
          </w:p>
        </w:tc>
        <w:tc>
          <w:tcPr>
            <w:tcW w:w="1710" w:type="dxa"/>
            <w:gridSpan w:val="3"/>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Remitidas a hospitales</w:t>
            </w:r>
          </w:p>
        </w:tc>
      </w:tr>
      <w:tr w:rsidR="00000000">
        <w:tblPrEx>
          <w:tblCellMar>
            <w:top w:w="0" w:type="dxa"/>
            <w:left w:w="0" w:type="dxa"/>
            <w:bottom w:w="0" w:type="dxa"/>
            <w:right w:w="0" w:type="dxa"/>
          </w:tblCellMar>
        </w:tblPrEx>
        <w:trPr>
          <w:cantSplit/>
          <w:tblHeader/>
        </w:trPr>
        <w:tc>
          <w:tcPr>
            <w:tcW w:w="450" w:type="dxa"/>
            <w:vAlign w:val="bottom"/>
          </w:tcPr>
          <w:p w:rsidR="00000000" w:rsidRDefault="00000000">
            <w:pPr>
              <w:tabs>
                <w:tab w:val="left" w:pos="288"/>
                <w:tab w:val="left" w:pos="576"/>
                <w:tab w:val="left" w:pos="864"/>
                <w:tab w:val="left" w:pos="1152"/>
              </w:tabs>
              <w:spacing w:after="81" w:line="160" w:lineRule="exact"/>
              <w:ind w:right="40"/>
              <w:rPr>
                <w:i/>
                <w:sz w:val="14"/>
              </w:rPr>
            </w:pPr>
          </w:p>
        </w:tc>
        <w:tc>
          <w:tcPr>
            <w:tcW w:w="810" w:type="dxa"/>
            <w:vMerge/>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810" w:type="dxa"/>
            <w:vMerge/>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w:t>
            </w: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r>
      <w:tr w:rsidR="00000000">
        <w:tblPrEx>
          <w:tblCellMar>
            <w:top w:w="0" w:type="dxa"/>
            <w:left w:w="0" w:type="dxa"/>
            <w:bottom w:w="0" w:type="dxa"/>
            <w:right w:w="0" w:type="dxa"/>
          </w:tblCellMar>
        </w:tblPrEx>
        <w:trPr>
          <w:trHeight w:hRule="exact" w:val="115"/>
          <w:tblHeader/>
        </w:trPr>
        <w:tc>
          <w:tcPr>
            <w:tcW w:w="4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5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688 724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348 307</w:t>
            </w:r>
          </w:p>
        </w:tc>
        <w:tc>
          <w:tcPr>
            <w:tcW w:w="9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197 826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56,8</w:t>
            </w:r>
          </w:p>
        </w:tc>
        <w:tc>
          <w:tcPr>
            <w:tcW w:w="9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25 854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99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23 265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r>
      <w:tr w:rsidR="00000000">
        <w:tblPrEx>
          <w:tblCellMar>
            <w:top w:w="0" w:type="dxa"/>
            <w:left w:w="0" w:type="dxa"/>
            <w:bottom w:w="0" w:type="dxa"/>
            <w:right w:w="0" w:type="dxa"/>
          </w:tblCellMar>
        </w:tblPrEx>
        <w:tc>
          <w:tcPr>
            <w:tcW w:w="4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802 053</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418 048</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229 272</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54,8</w:t>
            </w:r>
          </w:p>
        </w:tc>
        <w:tc>
          <w:tcPr>
            <w:tcW w:w="99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31 675</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99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24 081</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Anuario de estadísticas médicas de Eslovenia, 1998 y Anuario de estadísticas médicas de Eslovenia, 2000.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2.2</w:t>
      </w:r>
      <w:r>
        <w:tab/>
        <w:t>Morbilidad y mortalidad de la mujer y mortalidad derivada de la maternidad</w:t>
      </w:r>
    </w:p>
    <w:p w:rsidR="00000000" w:rsidRDefault="00000000">
      <w:pPr>
        <w:pStyle w:val="SingleTxt"/>
        <w:spacing w:after="0" w:line="120" w:lineRule="exact"/>
        <w:rPr>
          <w:sz w:val="10"/>
        </w:rPr>
      </w:pPr>
    </w:p>
    <w:p w:rsidR="00000000" w:rsidRDefault="00000000">
      <w:pPr>
        <w:pStyle w:val="SingleTxt"/>
      </w:pPr>
      <w:r>
        <w:tab/>
        <w:t>En Eslovenia hemos logrado reducir la mortalidad infantil, que era de 5,2 por cada mil nacidos vivos en 1998 y de 4,9 por cada mil nacidos vivos en 2000.</w:t>
      </w:r>
    </w:p>
    <w:p w:rsidR="00000000" w:rsidRDefault="00000000">
      <w:pPr>
        <w:pStyle w:val="SingleTxt"/>
      </w:pPr>
      <w:r>
        <w:tab/>
        <w:t>Respecto del Segundo Informe, la mortalidad derivada de la maternidad (la mortalidad durante el embarazo, el parto y el puerperio) sigue causando preoc</w:t>
      </w:r>
      <w:r>
        <w:t>u</w:t>
      </w:r>
      <w:r>
        <w:t>pación: en 1996 murieron 26 mujeres por 100.000 nacidos vivos y en 2000 esa cifra ascendió levemente a 27,8 mujeres por 100.000 nacidos vivos. Estas cifras sitúan a Eslovenia entre los países europeos con una tasa de mortalidad materna más elev</w:t>
      </w:r>
      <w:r>
        <w:t>a</w:t>
      </w:r>
      <w:r>
        <w:t>da. Las causas más frecuentes de la mortalidad durante el embarazo, el parto y el puerperio son las hemorragias durante el embarazo y después del parto y los estados sépticos.</w:t>
      </w:r>
    </w:p>
    <w:p w:rsidR="00000000" w:rsidRDefault="00000000">
      <w:pPr>
        <w:pStyle w:val="SingleTxt"/>
      </w:pPr>
      <w:r>
        <w:tab/>
        <w:t>Las enfermedades y las causas de deceso más frecuentes en Eslovenia son las enfermedades cardiovasculares y el cáncer. La incidencia del cáncer aumenta con el paso de los años. En el caso de la mujer, el cáncer más común es el de mama, segu</w:t>
      </w:r>
      <w:r>
        <w:t>i</w:t>
      </w:r>
      <w:r>
        <w:t>do del cáncer de piel, del de intestino grueso y de recto, el cáncer de útero, del cu</w:t>
      </w:r>
      <w:r>
        <w:t>e</w:t>
      </w:r>
      <w:r>
        <w:t>llo del útero y el cáncer de pulmón.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21</w:t>
      </w:r>
      <w:r>
        <w:br/>
        <w:t>Enfermedades más frecuentes (diagnósticos) según los códigos MKB-10 , por sexo en 2000</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330"/>
        <w:gridCol w:w="720"/>
        <w:gridCol w:w="540"/>
        <w:gridCol w:w="90"/>
        <w:gridCol w:w="720"/>
        <w:gridCol w:w="630"/>
        <w:gridCol w:w="540"/>
        <w:gridCol w:w="90"/>
        <w:gridCol w:w="720"/>
        <w:gridCol w:w="630"/>
        <w:gridCol w:w="540"/>
      </w:tblGrid>
      <w:tr w:rsidR="00000000">
        <w:tblPrEx>
          <w:tblCellMar>
            <w:top w:w="0" w:type="dxa"/>
            <w:left w:w="0" w:type="dxa"/>
            <w:bottom w:w="0" w:type="dxa"/>
            <w:right w:w="0" w:type="dxa"/>
          </w:tblCellMar>
        </w:tblPrEx>
        <w:trPr>
          <w:cantSplit/>
          <w:tblHeader/>
        </w:trPr>
        <w:tc>
          <w:tcPr>
            <w:tcW w:w="333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1260" w:type="dxa"/>
            <w:gridSpan w:val="2"/>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Todos</w:t>
            </w:r>
          </w:p>
        </w:tc>
        <w:tc>
          <w:tcPr>
            <w:tcW w:w="1980" w:type="dxa"/>
            <w:gridSpan w:val="4"/>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Hombres</w:t>
            </w:r>
          </w:p>
        </w:tc>
        <w:tc>
          <w:tcPr>
            <w:tcW w:w="1980" w:type="dxa"/>
            <w:gridSpan w:val="4"/>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center"/>
              <w:rPr>
                <w:i/>
                <w:sz w:val="14"/>
              </w:rPr>
            </w:pPr>
            <w:r>
              <w:rPr>
                <w:i/>
                <w:sz w:val="14"/>
              </w:rPr>
              <w:t>Mujeres</w:t>
            </w:r>
          </w:p>
        </w:tc>
      </w:tr>
      <w:tr w:rsidR="00000000">
        <w:tblPrEx>
          <w:tblCellMar>
            <w:top w:w="0" w:type="dxa"/>
            <w:left w:w="0" w:type="dxa"/>
            <w:bottom w:w="0" w:type="dxa"/>
            <w:right w:w="0" w:type="dxa"/>
          </w:tblCellMar>
        </w:tblPrEx>
        <w:trPr>
          <w:cantSplit/>
          <w:tblHeader/>
        </w:trPr>
        <w:tc>
          <w:tcPr>
            <w:tcW w:w="3330" w:type="dxa"/>
            <w:vAlign w:val="bottom"/>
          </w:tcPr>
          <w:p w:rsidR="00000000" w:rsidRDefault="00000000">
            <w:pPr>
              <w:tabs>
                <w:tab w:val="left" w:pos="288"/>
                <w:tab w:val="left" w:pos="576"/>
                <w:tab w:val="left" w:pos="864"/>
                <w:tab w:val="left" w:pos="1152"/>
              </w:tabs>
              <w:spacing w:after="81" w:line="160" w:lineRule="exact"/>
              <w:ind w:right="40"/>
              <w:rPr>
                <w:i/>
                <w:sz w:val="14"/>
              </w:rPr>
            </w:pPr>
            <w:r>
              <w:rPr>
                <w:i/>
                <w:sz w:val="14"/>
              </w:rPr>
              <w:t>Enfermedad</w:t>
            </w:r>
          </w:p>
        </w:tc>
        <w:tc>
          <w:tcPr>
            <w:tcW w:w="7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w:t>
            </w:r>
          </w:p>
        </w:tc>
        <w:tc>
          <w:tcPr>
            <w:tcW w:w="5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 de hombres</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 del total</w:t>
            </w:r>
          </w:p>
        </w:tc>
        <w:tc>
          <w:tcPr>
            <w:tcW w:w="90" w:type="dxa"/>
            <w:vAlign w:val="bottom"/>
          </w:tcPr>
          <w:p w:rsidR="00000000" w:rsidRDefault="00000000">
            <w:pPr>
              <w:tabs>
                <w:tab w:val="left" w:pos="288"/>
                <w:tab w:val="left" w:pos="576"/>
                <w:tab w:val="left" w:pos="864"/>
                <w:tab w:val="left" w:pos="1152"/>
              </w:tabs>
              <w:spacing w:after="81" w:line="160" w:lineRule="exact"/>
              <w:ind w:right="40"/>
              <w:jc w:val="right"/>
              <w:rPr>
                <w:i/>
                <w:sz w:val="14"/>
              </w:rPr>
            </w:pPr>
          </w:p>
        </w:tc>
        <w:tc>
          <w:tcPr>
            <w:tcW w:w="72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Número</w:t>
            </w:r>
          </w:p>
        </w:tc>
        <w:tc>
          <w:tcPr>
            <w:tcW w:w="63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 de mujeres</w:t>
            </w:r>
          </w:p>
        </w:tc>
        <w:tc>
          <w:tcPr>
            <w:tcW w:w="540" w:type="dxa"/>
            <w:tcBorders>
              <w:top w:val="single" w:sz="4" w:space="0" w:color="auto"/>
            </w:tcBorders>
            <w:vAlign w:val="bottom"/>
          </w:tcPr>
          <w:p w:rsidR="00000000" w:rsidRDefault="00000000">
            <w:pPr>
              <w:tabs>
                <w:tab w:val="left" w:pos="288"/>
                <w:tab w:val="left" w:pos="576"/>
                <w:tab w:val="left" w:pos="864"/>
                <w:tab w:val="left" w:pos="1152"/>
              </w:tabs>
              <w:spacing w:after="81" w:line="160" w:lineRule="exact"/>
              <w:ind w:right="40"/>
              <w:jc w:val="right"/>
              <w:rPr>
                <w:i/>
                <w:sz w:val="14"/>
              </w:rPr>
            </w:pPr>
            <w:r>
              <w:rPr>
                <w:i/>
                <w:sz w:val="14"/>
              </w:rPr>
              <w:t>% del total</w:t>
            </w:r>
          </w:p>
        </w:tc>
      </w:tr>
      <w:tr w:rsidR="00000000">
        <w:tblPrEx>
          <w:tblCellMar>
            <w:top w:w="0" w:type="dxa"/>
            <w:left w:w="0" w:type="dxa"/>
            <w:bottom w:w="0" w:type="dxa"/>
            <w:right w:w="0" w:type="dxa"/>
          </w:tblCellMar>
        </w:tblPrEx>
        <w:trPr>
          <w:trHeight w:hRule="exact" w:val="115"/>
          <w:tblHeader/>
        </w:trPr>
        <w:tc>
          <w:tcPr>
            <w:tcW w:w="333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rPr>
                <w:sz w:val="17"/>
              </w:rPr>
            </w:pPr>
          </w:p>
        </w:tc>
        <w:tc>
          <w:tcPr>
            <w:tcW w:w="72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5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10"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63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72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273 896</w:t>
            </w:r>
          </w:p>
        </w:tc>
        <w:tc>
          <w:tcPr>
            <w:tcW w:w="54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810" w:type="dxa"/>
            <w:gridSpan w:val="2"/>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122 178</w:t>
            </w:r>
          </w:p>
        </w:tc>
        <w:tc>
          <w:tcPr>
            <w:tcW w:w="63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54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44,6</w:t>
            </w:r>
          </w:p>
        </w:tc>
        <w:tc>
          <w:tcPr>
            <w:tcW w:w="810" w:type="dxa"/>
            <w:gridSpan w:val="2"/>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153 441</w:t>
            </w:r>
          </w:p>
        </w:tc>
        <w:tc>
          <w:tcPr>
            <w:tcW w:w="63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100,0</w:t>
            </w:r>
          </w:p>
        </w:tc>
        <w:tc>
          <w:tcPr>
            <w:tcW w:w="540" w:type="dxa"/>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56,0</w:t>
            </w:r>
          </w:p>
        </w:tc>
      </w:tr>
      <w:tr w:rsidR="00000000">
        <w:tblPrEx>
          <w:tblCellMar>
            <w:top w:w="0" w:type="dxa"/>
            <w:left w:w="0" w:type="dxa"/>
            <w:bottom w:w="0" w:type="dxa"/>
            <w:right w:w="0" w:type="dxa"/>
          </w:tblCellMar>
        </w:tblPrEx>
        <w:tc>
          <w:tcPr>
            <w:tcW w:w="3330" w:type="dxa"/>
            <w:tcBorders>
              <w:top w:val="single" w:sz="8" w:space="0" w:color="auto"/>
            </w:tcBorders>
            <w:vAlign w:val="bottom"/>
          </w:tcPr>
          <w:p w:rsidR="00000000" w:rsidRDefault="00000000">
            <w:pPr>
              <w:tabs>
                <w:tab w:val="left" w:pos="288"/>
                <w:tab w:val="left" w:pos="576"/>
                <w:tab w:val="left" w:pos="864"/>
                <w:tab w:val="left" w:pos="1152"/>
              </w:tabs>
              <w:spacing w:before="81" w:after="40" w:line="210" w:lineRule="exact"/>
              <w:ind w:right="40"/>
              <w:rPr>
                <w:sz w:val="17"/>
              </w:rPr>
            </w:pPr>
            <w:r>
              <w:rPr>
                <w:sz w:val="17"/>
              </w:rPr>
              <w:t>Enfermedades infecciosas y parasitarias</w:t>
            </w:r>
          </w:p>
        </w:tc>
        <w:tc>
          <w:tcPr>
            <w:tcW w:w="720" w:type="dxa"/>
            <w:tcBorders>
              <w:top w:val="single" w:sz="8"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9 786</w:t>
            </w:r>
          </w:p>
        </w:tc>
        <w:tc>
          <w:tcPr>
            <w:tcW w:w="540" w:type="dxa"/>
            <w:tcBorders>
              <w:top w:val="single" w:sz="8"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3,6</w:t>
            </w:r>
          </w:p>
        </w:tc>
        <w:tc>
          <w:tcPr>
            <w:tcW w:w="810" w:type="dxa"/>
            <w:gridSpan w:val="2"/>
            <w:tcBorders>
              <w:top w:val="single" w:sz="8"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4 873</w:t>
            </w:r>
          </w:p>
        </w:tc>
        <w:tc>
          <w:tcPr>
            <w:tcW w:w="630" w:type="dxa"/>
            <w:tcBorders>
              <w:top w:val="single" w:sz="8"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3,9</w:t>
            </w:r>
          </w:p>
        </w:tc>
        <w:tc>
          <w:tcPr>
            <w:tcW w:w="540" w:type="dxa"/>
            <w:tcBorders>
              <w:top w:val="single" w:sz="8"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49,8</w:t>
            </w:r>
          </w:p>
        </w:tc>
        <w:tc>
          <w:tcPr>
            <w:tcW w:w="810" w:type="dxa"/>
            <w:gridSpan w:val="2"/>
            <w:tcBorders>
              <w:top w:val="single" w:sz="8"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4 963</w:t>
            </w:r>
          </w:p>
        </w:tc>
        <w:tc>
          <w:tcPr>
            <w:tcW w:w="630" w:type="dxa"/>
            <w:tcBorders>
              <w:top w:val="single" w:sz="8"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3,2</w:t>
            </w:r>
          </w:p>
        </w:tc>
        <w:tc>
          <w:tcPr>
            <w:tcW w:w="540" w:type="dxa"/>
            <w:tcBorders>
              <w:top w:val="single" w:sz="8" w:space="0" w:color="auto"/>
            </w:tcBorders>
            <w:vAlign w:val="bottom"/>
          </w:tcPr>
          <w:p w:rsidR="00000000" w:rsidRDefault="00000000">
            <w:pPr>
              <w:tabs>
                <w:tab w:val="left" w:pos="288"/>
                <w:tab w:val="left" w:pos="576"/>
                <w:tab w:val="left" w:pos="864"/>
                <w:tab w:val="left" w:pos="1152"/>
              </w:tabs>
              <w:spacing w:before="81" w:after="40" w:line="210" w:lineRule="exact"/>
              <w:ind w:right="40"/>
              <w:jc w:val="right"/>
              <w:rPr>
                <w:sz w:val="17"/>
              </w:rPr>
            </w:pPr>
            <w:r>
              <w:rPr>
                <w:sz w:val="17"/>
              </w:rPr>
              <w:t>50,7</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Neoplasia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34 367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15 790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45,9</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18 851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54,8</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Enfermedades de la sangre y de los órganos productores de sangre</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2 896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1 266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43,7</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1 636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56,5</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Enfermedades endocrinas, de la nutrición y del metabolismo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6 610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2 697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40,8</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3 938</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59,6</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Trastornos mentales y de la conducta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11 263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6 027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53,5</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5 274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46,8</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Enfermedades del sistema nervioso central</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7 259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3 479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47,9</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3 816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52,6</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Enfermedades de los ojos y anexos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7 273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3 019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41,5</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4 272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58,7</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Enfermedades de los oídos y mastoides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1 907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50,7</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49,8</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Enfermedades del sistema cardiovascular</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35 474</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12,9</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18 634</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52,5</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17 019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48,1</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Enfermedades del sistema respiratorio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25 329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14 483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57,2</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10 903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34,0</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Enfermedades del aparato digestivo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32 381</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17 295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53,4</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15 272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47,2</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Enfermedades de la piel y del tejido subcutáneo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6 249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3 147</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50,4</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3 122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49,9</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Enfermedades del sistema músculo–esquelético y del tejido conjuntivo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18 346</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8 123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44,3</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10 326</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56,3</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Enfermedades de la vejiga y del aparato genital</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28 522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7 333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25,7</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21 442</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75,2</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Embarazo, parto y puerperio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8 130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8 130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Estados derivados del período perinatal</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2 567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1 455</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56,7</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1 119</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0,7</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43,6</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Malformaciones congénitas, deformaciones y anomalías cromosómicas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3 308</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1 793</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54,2</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1 541</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46,6</w:t>
            </w:r>
          </w:p>
        </w:tc>
      </w:tr>
      <w:tr w:rsidR="00000000">
        <w:tblPrEx>
          <w:tblCellMar>
            <w:top w:w="0" w:type="dxa"/>
            <w:left w:w="0" w:type="dxa"/>
            <w:bottom w:w="0" w:type="dxa"/>
            <w:right w:w="0" w:type="dxa"/>
          </w:tblCellMar>
        </w:tblPrEx>
        <w:tc>
          <w:tcPr>
            <w:tcW w:w="33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Síntomas, señales, anomalías y resultados sin clasificar</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14 259</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6 330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44,4</w:t>
            </w:r>
          </w:p>
        </w:tc>
        <w:tc>
          <w:tcPr>
            <w:tcW w:w="81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8 010</w:t>
            </w:r>
          </w:p>
        </w:tc>
        <w:tc>
          <w:tcPr>
            <w:tcW w:w="6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w:t>
            </w:r>
          </w:p>
        </w:tc>
        <w:tc>
          <w:tcPr>
            <w:tcW w:w="5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56,2</w:t>
            </w:r>
          </w:p>
        </w:tc>
      </w:tr>
      <w:tr w:rsidR="00000000">
        <w:tblPrEx>
          <w:tblCellMar>
            <w:top w:w="0" w:type="dxa"/>
            <w:left w:w="0" w:type="dxa"/>
            <w:bottom w:w="0" w:type="dxa"/>
            <w:right w:w="0" w:type="dxa"/>
          </w:tblCellMar>
        </w:tblPrEx>
        <w:tc>
          <w:tcPr>
            <w:tcW w:w="33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Factores que afectan al estado de salud y contactos</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17 990</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5 468</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w:t>
            </w:r>
          </w:p>
        </w:tc>
        <w:tc>
          <w:tcPr>
            <w:tcW w:w="810"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12 858</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Anuario de Estadísticas Médicas de Eslovenia, 2000 (los datos se han extraído de tres cuadros: Todas (Eslovenia) Cuadro 13A-2.1, Hombres Cuadro 13A-2.3.2 y Mujeres Cuadro 13A-2.3.3).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El SIDA y el VIH</w:t>
      </w:r>
    </w:p>
    <w:p w:rsidR="00000000" w:rsidRDefault="00000000">
      <w:pPr>
        <w:pStyle w:val="SingleTxt"/>
        <w:spacing w:after="0" w:line="120" w:lineRule="exact"/>
        <w:rPr>
          <w:sz w:val="10"/>
        </w:rPr>
      </w:pPr>
    </w:p>
    <w:p w:rsidR="00000000" w:rsidRDefault="00000000">
      <w:pPr>
        <w:pStyle w:val="SingleTxt"/>
      </w:pPr>
      <w:r>
        <w:tab/>
        <w:t>Del 1º de enero al 30 de septiembre de 2002 se registraron en Eslovenia 98 c</w:t>
      </w:r>
      <w:r>
        <w:t>a</w:t>
      </w:r>
      <w:r>
        <w:t>sos de SIDA. La mayor parte de los pacientes ya han fallecido, de modo que se ca</w:t>
      </w:r>
      <w:r>
        <w:t>l</w:t>
      </w:r>
      <w:r>
        <w:t>cula que viven todavía en el país unos 29 enfermos de SIDA. De los 98 casos regi</w:t>
      </w:r>
      <w:r>
        <w:t>s</w:t>
      </w:r>
      <w:r>
        <w:t>trados, 85 eran hombres, 11 mujeres y dos menores, un niño y una niña.</w:t>
      </w:r>
    </w:p>
    <w:p w:rsidR="00000000" w:rsidRDefault="00000000">
      <w:pPr>
        <w:pStyle w:val="SingleTxt"/>
      </w:pPr>
      <w:r>
        <w:tab/>
        <w:t>Del 1º de julio al 30 de septiembre de 2002 se comunicaron al Instituto de S</w:t>
      </w:r>
      <w:r>
        <w:t>e</w:t>
      </w:r>
      <w:r>
        <w:t>guros de Enfermedad de la República de Eslovenia seis casos nuevos de infección por VIH en los que no se había desarrollado todavía la enfermedad (5 hombres y 1 mujer). Del 1º de enero de 1986 al 30 de septiembre de 2002 se diagnosticaron 102 casos de infección por VIH, en los que no se había desarrollado el SIDA (76 hombres, 22 mujeres, dos niños y dos niñas).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Programas de concienciación general y programas de sensibilización de la mujer</w:t>
      </w:r>
    </w:p>
    <w:p w:rsidR="00000000" w:rsidRDefault="00000000">
      <w:pPr>
        <w:pStyle w:val="SingleTxt"/>
        <w:spacing w:after="0" w:line="120" w:lineRule="exact"/>
        <w:rPr>
          <w:sz w:val="10"/>
        </w:rPr>
      </w:pPr>
    </w:p>
    <w:p w:rsidR="00000000" w:rsidRDefault="00000000">
      <w:pPr>
        <w:pStyle w:val="SingleTxt"/>
      </w:pPr>
      <w:r>
        <w:tab/>
        <w:t>En el período transcurrido desde la elaboración del Segundo Informe se han llevado a cabo en Eslovenia numerosas actividades destinadas a ofrecer información en el ámbito de la salud de la mujer. La Oficina de Igualdad de Oportunidades, en colaboración con otras organizaciones competentes, realizó actividades de preve</w:t>
      </w:r>
      <w:r>
        <w:t>n</w:t>
      </w:r>
      <w:r>
        <w:t>ción de la osteoporosis, del cáncer de mama, del cáncer de cuello de útero y del cá</w:t>
      </w:r>
      <w:r>
        <w:t>n</w:t>
      </w:r>
      <w:r>
        <w:t>cer de ovarios. En 2001, para observar el 8 de marzo, Día Internacional de la Mujer, y los días internacionales de la Lucha contra el Cáncer, se publicó un folleto en el que se informaba a la mujer sobre la conducta a seguir para detectar a tiempo el cá</w:t>
      </w:r>
      <w:r>
        <w:t>n</w:t>
      </w:r>
      <w:r>
        <w:t>cer de cuello de útero y el cáncer de mama y en 2002 se publicó un folleto inform</w:t>
      </w:r>
      <w:r>
        <w:t>a</w:t>
      </w:r>
      <w:r>
        <w:t>tivo s</w:t>
      </w:r>
      <w:r>
        <w:t>o</w:t>
      </w:r>
      <w:r>
        <w:t>bre el cáncer de ovarios.</w:t>
      </w:r>
    </w:p>
    <w:p w:rsidR="00000000" w:rsidRDefault="00000000">
      <w:pPr>
        <w:pStyle w:val="SingleTxt"/>
      </w:pPr>
      <w:r>
        <w:tab/>
        <w:t>Por otra parte, la Oficina de Igualdad de Oportunidades editó un folleto en el que subrayábamos el derecho de decidir sobre su propio cuerpo, la protección de la privacidad y de la dignidad personal, que es especialmente importante en el ámbito de la atención médica. Dicho folleto se refería, además, al deber del médico de e</w:t>
      </w:r>
      <w:r>
        <w:t>x</w:t>
      </w:r>
      <w:r>
        <w:t>plicar cómo se realizará el diagnóstico y el tratamiento de la enfermedad o de las afecciones y el consentimiento a las intervenciones médicas, así como a las vías y proced</w:t>
      </w:r>
      <w:r>
        <w:t>i</w:t>
      </w:r>
      <w:r>
        <w:t>mientos de reclamación.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Otros aspectos de la vida económica y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Prestaciones a la familia</w:t>
      </w:r>
    </w:p>
    <w:p w:rsidR="00000000" w:rsidRDefault="00000000">
      <w:pPr>
        <w:pStyle w:val="SingleTxt"/>
        <w:spacing w:after="0" w:line="120" w:lineRule="exact"/>
        <w:rPr>
          <w:sz w:val="10"/>
        </w:rPr>
      </w:pPr>
    </w:p>
    <w:p w:rsidR="00000000" w:rsidRDefault="00000000">
      <w:pPr>
        <w:pStyle w:val="SingleTxt"/>
      </w:pPr>
      <w:r>
        <w:tab/>
        <w:t>La nueva Ley de atención a los hijos e ingreso de la familia regula los s</w:t>
      </w:r>
      <w:r>
        <w:t>i</w:t>
      </w:r>
      <w:r>
        <w:t>guientes tipos de prestaciones a la familia: el subsidio de los padres, la ayuda para el recién nacido, el subsidio por hijo, el subsidio de familia numerosa, el subsidio de atención especial del hijo, y el pago parcial de la pérdida de ganancias (Artículo 57).</w:t>
      </w:r>
    </w:p>
    <w:p w:rsidR="00000000" w:rsidRDefault="00000000">
      <w:pPr>
        <w:pStyle w:val="SingleTxt"/>
      </w:pPr>
      <w:r>
        <w:tab/>
        <w:t xml:space="preserve">El </w:t>
      </w:r>
      <w:r>
        <w:rPr>
          <w:b/>
        </w:rPr>
        <w:t>subsidio de los padres</w:t>
      </w:r>
      <w:r>
        <w:t xml:space="preserve"> es una ayuda económica a los padres que no tienen derecho a la prestación por nacimiento (Artículo 58). Puede solicitarlo toda madre que sea ciudadana y residente permanente de la República de Eslovenia. El derecho al subsidio de los padres puede ser concedido también al padre o a otra persona que se haga cargo del niño si la madre muere, abandona al hijo, o se halla imposibilitada para llevar una vida y un trabajo autónomos de manera temporal o permanente, o si ha expirado el contrato laboral de esta persona, o si dicha persona empieza a realizar una actividad agrícola u otro tipo de actividad autónoma (Artículo 59). El subsidio de los padres asciende a 35.000 tólares (152 dólares).</w:t>
      </w:r>
    </w:p>
    <w:p w:rsidR="00000000" w:rsidRDefault="00000000">
      <w:pPr>
        <w:pStyle w:val="SingleTxt"/>
      </w:pPr>
      <w:r>
        <w:tab/>
        <w:t xml:space="preserve">La </w:t>
      </w:r>
      <w:r>
        <w:rPr>
          <w:b/>
        </w:rPr>
        <w:t>ayuda para el recién nacido</w:t>
      </w:r>
      <w:r>
        <w:t xml:space="preserve"> es una asignación económica única de 50.000 tólares (217 dólares) destinada a adquirir el ajuar, que puede efectuarse ya sea en metálico o en especie (Artículo 63). Tiene derecho a esta asignación todo recién n</w:t>
      </w:r>
      <w:r>
        <w:t>a</w:t>
      </w:r>
      <w:r>
        <w:t>cido cuyo padre o madre tenga residencia permanente en la República de Eslovenia (Artículo 64).</w:t>
      </w:r>
    </w:p>
    <w:p w:rsidR="00000000" w:rsidRDefault="00000000">
      <w:pPr>
        <w:pStyle w:val="SingleTxt"/>
      </w:pPr>
      <w:r>
        <w:tab/>
        <w:t xml:space="preserve">Gracias al </w:t>
      </w:r>
      <w:r>
        <w:rPr>
          <w:b/>
        </w:rPr>
        <w:t>subsidio por hijo</w:t>
      </w:r>
      <w:r>
        <w:t xml:space="preserve">, los padres o el niño reciben ingresos adicionales para la subsistencia, el cuidado y la educación, cuando el ingreso de la familia no </w:t>
      </w:r>
      <w:r>
        <w:rPr>
          <w:w w:val="100"/>
        </w:rPr>
        <w:t xml:space="preserve">supera el límite más elevado del nivel de ingreso determinado por la ley (Artículo 65). </w:t>
      </w:r>
      <w:r>
        <w:t>La cuantía del subsidio por hijo se determina de conformidad con la categoría de la familia según el nivel de ingreso. Si el menor vive en una familia monoparental, la cuantía del subsidio por hijo se incrementa en 10% y si el menor no asiste a la gua</w:t>
      </w:r>
      <w:r>
        <w:t>r</w:t>
      </w:r>
      <w:r>
        <w:t>dería, en 20% (Artículo 66). Podrá ejercer el derecho al subsidio por hijo uno de los padres u otra persona respecto del menor con residencia permanente y ciudadanía en la República de Eslovenia; si él o ella no es ciudadano, la determinación se hará en base a la reciprocidad. Si se cumple la condición de que ha expirado el contrato de trabajo de al menos uno de los padres cuyo empleador tiene oficina registrada en la República de Eslovenia, él o ella tienen derecho al subsidio por hijo, incluso si éste no tiene residencia en la República de Eslovenia, si él o ella es ciudadano de la República de Eslovenia y no tiene derecho a subsidio por hijo en el Estado en el que vive, o si no es ciudadano de la República de Eslovenia y así se ha establecido por tratado internacional (Artículo 67).</w:t>
      </w:r>
    </w:p>
    <w:p w:rsidR="00000000" w:rsidRDefault="00000000">
      <w:pPr>
        <w:pStyle w:val="SingleTxt"/>
      </w:pPr>
      <w:r>
        <w:tab/>
        <w:t xml:space="preserve">El </w:t>
      </w:r>
      <w:r>
        <w:rPr>
          <w:b/>
        </w:rPr>
        <w:t>subsidio de familia numerosa</w:t>
      </w:r>
      <w:r>
        <w:t xml:space="preserve"> corresponde a las familias que tienen tres o más hijos y uno de éstos también tiene derecho a él cuando tres o más hijos de la misma familia viven sin padres. El subsidio se paga una vez al año y asciende a 70.000 tólares (304 dólares). Será titular del subsidio uno de los padres si éstos y los hijos son ciudadanos y tienen residencia permanente y conviven en la República de Eslovenia (Artículos 76 y 77).</w:t>
      </w:r>
    </w:p>
    <w:p w:rsidR="00000000" w:rsidRDefault="00000000">
      <w:pPr>
        <w:pStyle w:val="SingleTxt"/>
      </w:pPr>
      <w:r>
        <w:tab/>
        <w:t xml:space="preserve">El </w:t>
      </w:r>
      <w:r>
        <w:rPr>
          <w:b/>
        </w:rPr>
        <w:t>subsidio de atención especial del hijo</w:t>
      </w:r>
      <w:r>
        <w:t xml:space="preserve"> es una asignación económica para un menor que necesita cuidados especiales, destinada a sufragar los mayores gastos que supone para la familia por dicho motivo (Artículo 80). La cuantía mensual de dicho subsidio asciende a 18.000 tólares (78 dólares), y se duplica en el caso de un menor con el desarrollo mental gravemente afectado o deficiencia motora grave. El titular del derecho a este subsidio es uno de los padres si el hijo es ciudadano y tiene res</w:t>
      </w:r>
      <w:r>
        <w:t>i</w:t>
      </w:r>
      <w:r>
        <w:t>dencia permanente en la República de Eslovenia (Artículo 81).</w:t>
      </w:r>
    </w:p>
    <w:p w:rsidR="00000000" w:rsidRDefault="00000000">
      <w:pPr>
        <w:pStyle w:val="SingleTxt"/>
      </w:pPr>
      <w:r>
        <w:tab/>
        <w:t xml:space="preserve">El </w:t>
      </w:r>
      <w:r>
        <w:rPr>
          <w:b/>
        </w:rPr>
        <w:t>pago parcial de la pérdida salarial</w:t>
      </w:r>
      <w:r>
        <w:t xml:space="preserve"> es un ingreso personal que recibe uno de los padres cuando tiene que dejar su trabajo o trabajar media jornada para poder atender a un hijo con el desarrollo mental gravemente afectado o deficiencia motora grave (Artículo 84). Adquiere el derecho al subsidio uno de los padres si éste y el hijo reúnen las condiciones de ciudadanía eslovena y de residencia permanente en la R</w:t>
      </w:r>
      <w:r>
        <w:t>e</w:t>
      </w:r>
      <w:r>
        <w:t>pública de Eslovenia (Artículo 85).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Préstamos bancarios y otros créditos financieros</w:t>
      </w:r>
    </w:p>
    <w:p w:rsidR="00000000" w:rsidRDefault="00000000">
      <w:pPr>
        <w:pStyle w:val="SingleTxt"/>
        <w:spacing w:after="0" w:line="120" w:lineRule="exact"/>
        <w:rPr>
          <w:sz w:val="10"/>
        </w:rPr>
      </w:pPr>
    </w:p>
    <w:p w:rsidR="00000000" w:rsidRDefault="00000000">
      <w:pPr>
        <w:pStyle w:val="SingleTxt"/>
      </w:pPr>
      <w:r>
        <w:tab/>
        <w:t>El acceso a los préstamos es igual para la mujer y el hombre. El criterio del Fondo para la Vivienda, que se creó a fin de estimular la construcción de viviendas y la renovación y mantenimiento de departamentos y casas de departamentos, es co</w:t>
      </w:r>
      <w:r>
        <w:t>n</w:t>
      </w:r>
      <w:r>
        <w:t>ceder préstamos principalmente a aquellos que están resolviendo por vez primera sus problemas de vivienda, por lo general personas y familias jóvenes, familias con varios hijos o discapacitados. En las directrices del Programa nacional de vivienda se establece que se tendrán en cuenta los nuevos tipos de familia, especialmente las fam</w:t>
      </w:r>
      <w:r>
        <w:t>i</w:t>
      </w:r>
      <w:r>
        <w:t>lias monoparentales, y los divorcios.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El recreo, los deportes y otras facetas de la vida cultural</w:t>
      </w:r>
    </w:p>
    <w:p w:rsidR="00000000" w:rsidRDefault="00000000">
      <w:pPr>
        <w:pStyle w:val="SingleTxt"/>
        <w:spacing w:after="0" w:line="120" w:lineRule="exact"/>
        <w:rPr>
          <w:sz w:val="10"/>
        </w:rPr>
      </w:pPr>
    </w:p>
    <w:p w:rsidR="00000000" w:rsidRDefault="00000000">
      <w:pPr>
        <w:pStyle w:val="SingleTxt"/>
      </w:pPr>
      <w:r>
        <w:tab/>
        <w:t>No existen datos recientes disponibles sobre la participación de las mujeres en las actividades recreativas y otras formas de vida cultural. Una encuesta de 1998 s</w:t>
      </w:r>
      <w:r>
        <w:t>o</w:t>
      </w:r>
      <w:r>
        <w:t>bre la utilización del tiempo muestra que la mujer dedica menos tiempo que el ho</w:t>
      </w:r>
      <w:r>
        <w:t>m</w:t>
      </w:r>
      <w:r>
        <w:t>bre a la vida social, al deporte, a las aficiones, a los viajes, etc. El Programa Naci</w:t>
      </w:r>
      <w:r>
        <w:t>o</w:t>
      </w:r>
      <w:r>
        <w:t>nal de Deportes de la República de Eslovenia a partir de 2000 establece concret</w:t>
      </w:r>
      <w:r>
        <w:t>a</w:t>
      </w:r>
      <w:r>
        <w:t>mente la necesidad de mejorar los programas deportivos y recreativos para diversos grupos beneficiarios, incluidas las mujeres.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22</w:t>
      </w:r>
      <w:r>
        <w:br/>
        <w:t>Promedio de tiempo dedicado diariamente a los principales grupos de actividades (duración media en minutos)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440"/>
        <w:gridCol w:w="2440"/>
        <w:gridCol w:w="2441"/>
      </w:tblGrid>
      <w:tr w:rsidR="00000000">
        <w:tblPrEx>
          <w:tblCellMar>
            <w:top w:w="0" w:type="dxa"/>
            <w:left w:w="0" w:type="dxa"/>
            <w:bottom w:w="0" w:type="dxa"/>
            <w:right w:w="0" w:type="dxa"/>
          </w:tblCellMar>
        </w:tblPrEx>
        <w:trPr>
          <w:tblHead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Actividad</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244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44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Personal</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650</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Empleo</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210</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Quehaceres domésticos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Estudio</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Religión</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Relaciones sociales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Deporte</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Pasatiempos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Medios de comunicación</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162</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139</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Viajes</w:t>
            </w:r>
          </w:p>
        </w:tc>
        <w:tc>
          <w:tcPr>
            <w:tcW w:w="244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24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r>
      <w:tr w:rsidR="00000000">
        <w:tblPrEx>
          <w:tblCellMar>
            <w:top w:w="0" w:type="dxa"/>
            <w:left w:w="0" w:type="dxa"/>
            <w:bottom w:w="0" w:type="dxa"/>
            <w:right w:w="0" w:type="dxa"/>
          </w:tblCellMar>
        </w:tblPrEx>
        <w:tc>
          <w:tcPr>
            <w:tcW w:w="244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Otras</w:t>
            </w:r>
          </w:p>
        </w:tc>
        <w:tc>
          <w:tcPr>
            <w:tcW w:w="244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w:t>
            </w:r>
          </w:p>
        </w:tc>
        <w:tc>
          <w:tcPr>
            <w:tcW w:w="244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2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1 440</w:t>
            </w:r>
          </w:p>
        </w:tc>
        <w:tc>
          <w:tcPr>
            <w:tcW w:w="244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1 440</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Oficina de Estadísticas de la República de Eslovenia, Encuesta sobre la utilización del tiempo en Eslovenia, abril de 1998.</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de las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Según datos del Censo de las familias rurales de 2000, las mujeres representan 48% de toda la fuerza laboral en las fincas eslovenas. De entre las mujeres de todas las edades que viven y trabajan en familias rurales, 30% están empleadas en otras act</w:t>
      </w:r>
      <w:r>
        <w:t>i</w:t>
      </w:r>
      <w:r>
        <w:t>vidades; 23% de las mujeres rurales tienen 65 años o más.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23</w:t>
      </w:r>
      <w:r>
        <w:br/>
        <w:t>Situación de la fuerza laboral en las fincas eslovenas por sexo (%)</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140"/>
        <w:gridCol w:w="720"/>
        <w:gridCol w:w="810"/>
        <w:gridCol w:w="810"/>
        <w:gridCol w:w="841"/>
      </w:tblGrid>
      <w:tr w:rsidR="00000000">
        <w:tblPrEx>
          <w:tblCellMar>
            <w:top w:w="0" w:type="dxa"/>
            <w:left w:w="0" w:type="dxa"/>
            <w:bottom w:w="0" w:type="dxa"/>
            <w:right w:w="0" w:type="dxa"/>
          </w:tblCellMar>
        </w:tblPrEx>
        <w:trPr>
          <w:tblHeader/>
        </w:trPr>
        <w:tc>
          <w:tcPr>
            <w:tcW w:w="414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rPr>
                <w:i/>
                <w:sz w:val="14"/>
              </w:rPr>
            </w:pPr>
            <w:r>
              <w:rPr>
                <w:i/>
                <w:sz w:val="14"/>
              </w:rPr>
              <w:t>Situación</w:t>
            </w:r>
          </w:p>
        </w:tc>
        <w:tc>
          <w:tcPr>
            <w:tcW w:w="72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Hombres</w:t>
            </w:r>
          </w:p>
        </w:tc>
        <w:tc>
          <w:tcPr>
            <w:tcW w:w="81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Mujeres</w:t>
            </w:r>
          </w:p>
        </w:tc>
        <w:tc>
          <w:tcPr>
            <w:tcW w:w="810"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Todos</w:t>
            </w:r>
          </w:p>
        </w:tc>
        <w:tc>
          <w:tcPr>
            <w:tcW w:w="841" w:type="dxa"/>
            <w:tcBorders>
              <w:top w:val="single" w:sz="4" w:space="0" w:color="auto"/>
            </w:tcBorders>
            <w:vAlign w:val="bottom"/>
          </w:tcPr>
          <w:p w:rsidR="00000000" w:rsidRDefault="00000000">
            <w:pPr>
              <w:keepNext/>
              <w:tabs>
                <w:tab w:val="left" w:pos="288"/>
                <w:tab w:val="left" w:pos="576"/>
                <w:tab w:val="left" w:pos="864"/>
                <w:tab w:val="left" w:pos="1152"/>
              </w:tabs>
              <w:spacing w:before="81" w:after="81" w:line="160" w:lineRule="exact"/>
              <w:ind w:right="40"/>
              <w:jc w:val="right"/>
              <w:rPr>
                <w:i/>
                <w:sz w:val="14"/>
              </w:rPr>
            </w:pPr>
            <w:r>
              <w:rPr>
                <w:i/>
                <w:sz w:val="14"/>
              </w:rPr>
              <w:t>Número</w:t>
            </w:r>
          </w:p>
        </w:tc>
      </w:tr>
      <w:tr w:rsidR="00000000">
        <w:tblPrEx>
          <w:tblCellMar>
            <w:top w:w="0" w:type="dxa"/>
            <w:left w:w="0" w:type="dxa"/>
            <w:bottom w:w="0" w:type="dxa"/>
            <w:right w:w="0" w:type="dxa"/>
          </w:tblCellMar>
        </w:tblPrEx>
        <w:trPr>
          <w:trHeight w:hRule="exact" w:val="115"/>
          <w:tblHeader/>
        </w:trPr>
        <w:tc>
          <w:tcPr>
            <w:tcW w:w="414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rPr>
                <w:sz w:val="17"/>
              </w:rPr>
            </w:pPr>
          </w:p>
        </w:tc>
        <w:tc>
          <w:tcPr>
            <w:tcW w:w="72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c>
          <w:tcPr>
            <w:tcW w:w="841" w:type="dxa"/>
            <w:tcBorders>
              <w:top w:val="single" w:sz="12" w:space="0" w:color="auto"/>
            </w:tcBorders>
            <w:vAlign w:val="bottom"/>
          </w:tcPr>
          <w:p w:rsidR="00000000" w:rsidRDefault="00000000">
            <w:pPr>
              <w:keepNext/>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Fincas, explotaciones agrícolas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14,0</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35 182</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Trabajo realizado fuera de las explotaciones agrícolas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37,0</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92 634</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Desempleados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13 554</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Amas de casa</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19 600</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Niños, alumnos, estudiantes</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26 678</w:t>
            </w:r>
          </w:p>
        </w:tc>
      </w:tr>
      <w:tr w:rsidR="00000000">
        <w:tblPrEx>
          <w:tblCellMar>
            <w:top w:w="0" w:type="dxa"/>
            <w:left w:w="0" w:type="dxa"/>
            <w:bottom w:w="0" w:type="dxa"/>
            <w:right w:w="0" w:type="dxa"/>
          </w:tblCellMar>
        </w:tblPrEx>
        <w:tc>
          <w:tcPr>
            <w:tcW w:w="41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Pensionista no agrario</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c>
          <w:tcPr>
            <w:tcW w:w="84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44 903</w:t>
            </w:r>
          </w:p>
        </w:tc>
      </w:tr>
      <w:tr w:rsidR="00000000">
        <w:tblPrEx>
          <w:tblCellMar>
            <w:top w:w="0" w:type="dxa"/>
            <w:left w:w="0" w:type="dxa"/>
            <w:bottom w:w="0" w:type="dxa"/>
            <w:right w:w="0" w:type="dxa"/>
          </w:tblCellMar>
        </w:tblPrEx>
        <w:tc>
          <w:tcPr>
            <w:tcW w:w="41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Pensionista agrario</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c>
          <w:tcPr>
            <w:tcW w:w="84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19 977</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Censo de las familias rurales en 2000.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SingleTxt"/>
      </w:pPr>
      <w:r>
        <w:tab/>
        <w:t>Por lo general, la mujer que lleva una finca en Eslovenia suele ser una persona de edad (probablemente, además, viuda), con educación general y formación agraria escasas, al frente de una pequeña propiedad en la que, junto con otros familiares, produce un poco de todo, tal vez para sus propias necesidades. Al parecer, en Esl</w:t>
      </w:r>
      <w:r>
        <w:t>o</w:t>
      </w:r>
      <w:r>
        <w:t>venia las mujeres explotan una finca por ausencia de personas más jóvenes, esp</w:t>
      </w:r>
      <w:r>
        <w:t>e</w:t>
      </w:r>
      <w:r>
        <w:t>cialmente varones de la familia, que estarían preparados para hacerlo (el marido ha muerto, no hay otros sucesores o herederos) y porque esta actividad constituye la única fuente de seguridad económica y social mínima.</w:t>
      </w:r>
    </w:p>
    <w:p w:rsidR="00000000" w:rsidRDefault="00000000">
      <w:pPr>
        <w:pStyle w:val="SingleTxt"/>
      </w:pPr>
      <w:r>
        <w:tab/>
        <w:t>La nueva Ley de pensiones y seguro de invalidez contiene más o menos las mismas disposiciones que la ley anterior respecto del seguro obligatorio del hombre y la mujer agricultores. De modo que los agricultores (de ambos sexos) y los mie</w:t>
      </w:r>
      <w:r>
        <w:t>m</w:t>
      </w:r>
      <w:r>
        <w:t>bros de las explotaciones agrícolas y otras personas que independientemente real</w:t>
      </w:r>
      <w:r>
        <w:t>i</w:t>
      </w:r>
      <w:r>
        <w:t>zan actividades agrícolas como profesión única o principal, tienen la obligación de estar asegurados a menos que sean menores de 15 años y gocen de las condiciones de salud necesarias para realizar actividades agrícolas, lo que establece la medicina del servicio de trabajo (Artículo 16). Otra condición es que la explotación agrícola alcance un catastro u otro ingreso por miembro asegurado equivalente al salario m</w:t>
      </w:r>
      <w:r>
        <w:t>í</w:t>
      </w:r>
      <w:r>
        <w:t>nimo. Los agricultores (de ambos sexos) pueden solicitar la exención de pago del seguro obligatorio si la base mensual para el cálculo de impuestos sobre las activ</w:t>
      </w:r>
      <w:r>
        <w:t>i</w:t>
      </w:r>
      <w:r>
        <w:t>dades que realizan no alcanza a la mitad del salario mínimo en los seis meses inm</w:t>
      </w:r>
      <w:r>
        <w:t>e</w:t>
      </w:r>
      <w:r>
        <w:t>diatamente anteriores a la exención (Artículo 18).</w:t>
      </w:r>
    </w:p>
    <w:p w:rsidR="00000000" w:rsidRDefault="00000000">
      <w:pPr>
        <w:pStyle w:val="SingleTxt"/>
      </w:pPr>
      <w:r>
        <w:tab/>
        <w:t>La Ley de atención a los hijos e ingreso de la familia contempla igualmente a los agricultores (de ambos sexos) como beneficiarios de la protección a los padres (Artículo 6), lo que significa que tienen derecho a la licencia por nacimiento, a la prestación por nacimiento y a los derechos que contempla el epígrafe correspo</w:t>
      </w:r>
      <w:r>
        <w:t>n</w:t>
      </w:r>
      <w:r>
        <w:t>diente a la reducción de la jornada laboral. La mujer o los padres que no pagan el seguro para los diferentes tipos de licencia por nacimiento de un hijo tienen derecho al subsidio por nacimiento durante 365 días desde el nacimiento del hijo. Teniendo en cuenta que el porcentaje de agricultoras jóvenes que no alcanzan a pagar el seg</w:t>
      </w:r>
      <w:r>
        <w:t>u</w:t>
      </w:r>
      <w:r>
        <w:t>ro es insignificante, esta disposición es sensata.</w:t>
      </w:r>
    </w:p>
    <w:p w:rsidR="00000000" w:rsidRDefault="00000000">
      <w:pPr>
        <w:pStyle w:val="SingleTxt"/>
      </w:pPr>
      <w:r>
        <w:tab/>
        <w:t xml:space="preserve">El 62% de las mujeres agricultoras pagan regularmente contribuciones para </w:t>
      </w:r>
      <w:r>
        <w:rPr>
          <w:w w:val="100"/>
        </w:rPr>
        <w:t>t</w:t>
      </w:r>
      <w:r>
        <w:rPr>
          <w:w w:val="100"/>
        </w:rPr>
        <w:t>o</w:t>
      </w:r>
      <w:r>
        <w:rPr>
          <w:w w:val="100"/>
        </w:rPr>
        <w:t>dos los tipos de seguro: pensión, salud, contra el desempleo y protección de la mate</w:t>
      </w:r>
      <w:r>
        <w:rPr>
          <w:w w:val="100"/>
        </w:rPr>
        <w:t>r</w:t>
      </w:r>
      <w:r>
        <w:rPr>
          <w:w w:val="100"/>
        </w:rPr>
        <w:t xml:space="preserve">nidad; en la mayoría de los casos pagan seguro médico (89%) y, con menos frecuencia, </w:t>
      </w:r>
      <w:r>
        <w:t>el seguro de protección de la maternidad. El pago de las contribuciones en concepto de este último seguro está vinculado a la situación de empleo y a la edad de la m</w:t>
      </w:r>
      <w:r>
        <w:t>u</w:t>
      </w:r>
      <w:r>
        <w:t>jer; las mujeres menores de 15 años o mayores de 50 raramente están as</w:t>
      </w:r>
      <w:r>
        <w:t>e</w:t>
      </w:r>
      <w:r>
        <w:t>guradas.</w:t>
      </w:r>
    </w:p>
    <w:p w:rsidR="00000000" w:rsidRDefault="00000000">
      <w:pPr>
        <w:pStyle w:val="SingleTxt"/>
      </w:pPr>
      <w:r>
        <w:tab/>
        <w:t>El nivel de educación de la población rural eslovena es sensiblemente inferior al promedio del país y las diferencias de género en este sector de la población siguen siendo muy marcadas; 79% de las mujeres tienen sólo educación primaria o inferior, mientras que sólo 2,2% de las mujeres tienen educación superior o universitaria. P</w:t>
      </w:r>
      <w:r>
        <w:t>a</w:t>
      </w:r>
      <w:r>
        <w:t>ra dirigir sus fincas los agricultores se basan en conocimientos que han adquirido mediante el trabajo directo con la experiencia práctica. Ello es especialmente cierto respecto de la mujer, puesto que sólo 8% ha adquirido sus conocimientos a través de una educación regular en escuelas agrarias y en diversos cursos de agricultura. Sólo 0,3% mujeres al frente de una finca tiene educación universitaria.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rPr>
        <w:t>Cuadro 24</w:t>
      </w:r>
      <w:r>
        <w:br/>
        <w:t>Nivel de educación de toda la población y titulares de las fincas eslovenas, por sexo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060"/>
        <w:gridCol w:w="900"/>
        <w:gridCol w:w="810"/>
        <w:gridCol w:w="810"/>
        <w:gridCol w:w="810"/>
        <w:gridCol w:w="810"/>
      </w:tblGrid>
      <w:tr w:rsidR="00000000">
        <w:tblPrEx>
          <w:tblCellMar>
            <w:top w:w="0" w:type="dxa"/>
            <w:left w:w="0" w:type="dxa"/>
            <w:bottom w:w="0" w:type="dxa"/>
            <w:right w:w="0" w:type="dxa"/>
          </w:tblCellMar>
        </w:tblPrEx>
        <w:trPr>
          <w:tblHeader/>
        </w:trPr>
        <w:tc>
          <w:tcPr>
            <w:tcW w:w="306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Todos</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Hombres</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Mujeres</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Titulares varones</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jc w:val="right"/>
              <w:rPr>
                <w:i/>
                <w:sz w:val="14"/>
              </w:rPr>
            </w:pPr>
            <w:r>
              <w:rPr>
                <w:i/>
                <w:sz w:val="14"/>
              </w:rPr>
              <w:t>Titulares mujeres</w:t>
            </w:r>
          </w:p>
        </w:tc>
      </w:tr>
      <w:tr w:rsidR="00000000">
        <w:tblPrEx>
          <w:tblCellMar>
            <w:top w:w="0" w:type="dxa"/>
            <w:left w:w="0" w:type="dxa"/>
            <w:bottom w:w="0" w:type="dxa"/>
            <w:right w:w="0" w:type="dxa"/>
          </w:tblCellMar>
        </w:tblPrEx>
        <w:trPr>
          <w:trHeight w:hRule="exact" w:val="115"/>
          <w:tblHeader/>
        </w:trPr>
        <w:tc>
          <w:tcPr>
            <w:tcW w:w="306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Sin escuela primaria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Sin finalizar la escuela primaria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11,6</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primaria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40,4</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65,4</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profesional</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Escuela secundaria</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29,5</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28,8</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30,2</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w:t>
            </w:r>
          </w:p>
        </w:tc>
      </w:tr>
      <w:tr w:rsidR="00000000">
        <w:tblPrEx>
          <w:tblCellMar>
            <w:top w:w="0" w:type="dxa"/>
            <w:left w:w="0" w:type="dxa"/>
            <w:bottom w:w="0" w:type="dxa"/>
            <w:right w:w="0" w:type="dxa"/>
          </w:tblCellMar>
        </w:tblPrEx>
        <w:tc>
          <w:tcPr>
            <w:tcW w:w="306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 años de educación superior</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w:t>
            </w:r>
          </w:p>
        </w:tc>
      </w:tr>
      <w:tr w:rsidR="00000000">
        <w:tblPrEx>
          <w:tblCellMar>
            <w:top w:w="0" w:type="dxa"/>
            <w:left w:w="0" w:type="dxa"/>
            <w:bottom w:w="0" w:type="dxa"/>
            <w:right w:w="0" w:type="dxa"/>
          </w:tblCellMar>
        </w:tblPrEx>
        <w:tc>
          <w:tcPr>
            <w:tcW w:w="306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 años de educación superior</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rPr>
          <w:i/>
        </w:rPr>
        <w:t>Fuente</w:t>
      </w:r>
      <w:r>
        <w:t>: Anuario de Estadísticas 2001 y Censo de las familias rurales 2000.</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igualdad ante la ley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No se han producido cambios respecto del Segundo Informe.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matrimonio y las relaciones familiares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La base jurídica del matrimonio y las relaciones familiares sigue inalterada, pero en el marco del Ministerio de Trabajo, Familia y Asuntos Sociales se está pr</w:t>
      </w:r>
      <w:r>
        <w:t>e</w:t>
      </w:r>
      <w:r>
        <w:t>parando una nueva Ley sobre la cuestión.</w:t>
      </w:r>
    </w:p>
    <w:p w:rsidR="00000000" w:rsidRDefault="00000000">
      <w:pPr>
        <w:pStyle w:val="SingleTxt"/>
      </w:pPr>
      <w:r>
        <w:tab/>
        <w:t>Una innovación importante es la introducción de una pensión compensatoria para los hijos que no reciben pensión alimentaria por parte de las personas obligadas a pagarla. En virtud de las enmiendas a la ley de 1999, el Fondo de Garantía se transformó en Fondo de Garantía y de Pensiones Alimentarias de la República de Eslovenia, que desde aquel momento ha asumido además la competencia de establ</w:t>
      </w:r>
      <w:r>
        <w:t>e</w:t>
      </w:r>
      <w:r>
        <w:t>cer las obligaciones derivadas de los derechos de los hijos en caso de impago de la pensión alimentaria. Tiene derecho a pensión alimentaria compensatoria el menor a favor del cual se había acordado la pensión alimentaria por resolución judicial fi</w:t>
      </w:r>
      <w:r>
        <w:t>r</w:t>
      </w:r>
      <w:r>
        <w:t>me, por orden judicial temporal o por acuerdo con un centro de trabajo social, en el caso de incumplimiento de dicha obligación de pago por parte de la persona respo</w:t>
      </w:r>
      <w:r>
        <w:t>n</w:t>
      </w:r>
      <w:r>
        <w:t>sable (Artículo 21a). Se considera incumplida la obligación de pagar la pensión al</w:t>
      </w:r>
      <w:r>
        <w:t>i</w:t>
      </w:r>
      <w:r>
        <w:t>mentaria cuando ha dejado de pagarse durante tres meses sucesivos o cuando no se abona con regularidad. Además, el menor debe ser ciudadano de la República de Eslovenia y poseer la residencia permanente, no debe ser mayor de 18 años y el ingreso por miembro de la familia en la que vive no puede superar el 55% del s</w:t>
      </w:r>
      <w:r>
        <w:t>a</w:t>
      </w:r>
      <w:r>
        <w:t>lario promedio estatal correspondiente al año anterior. También tiene derecho a compensación el menor extranjero con residencia permanente en la República de Eslovenia si así se establece en tratado internacional o cuando exista reciprocidad (Artículo 21a). El derecho al pago de una pensión compensatoria dura hasta que el menor cumple 15 años, o 18 si no está empleado (Artículo 21b). La cuantía de la pensión compensatoria viene determinada por la ley teniendo en cuenta la edad del menor y se ajusta de la misma manera que la cuantía de la pensión alimentaria (Artículo 21d). En octubre de 2002, el Gobierno de la República de Eslovenia apr</w:t>
      </w:r>
      <w:r>
        <w:t>o</w:t>
      </w:r>
      <w:r>
        <w:t>bó una propuesta de enmienda de la Ley de garantía y pensiones alimentarias, que se halla actualmente en el Parlamento. El cambio fundamental que propone es que el derecho a la pensión compensatoria deje de estar vinculado al ingreso por miembro de la familia de modo que los menores que viven en una familia en la que dicho i</w:t>
      </w:r>
      <w:r>
        <w:t>n</w:t>
      </w:r>
      <w:r>
        <w:t>greso supere la cuantía mencionada también tengan derecho a él. De este modo, se conseguirá la igualdad de trato de los menores que viven en familias monoparentales y en las cuales la persona responsable no paga pensión alimentaria para la manute</w:t>
      </w:r>
      <w:r>
        <w:t>n</w:t>
      </w:r>
      <w:r>
        <w:t>ción de los hijos comunes.</w:t>
      </w:r>
    </w:p>
    <w:p w:rsidR="00000000" w:rsidRDefault="00000000">
      <w:pPr>
        <w:pStyle w:val="SingleTxt"/>
        <w:spacing w:after="0" w:line="240" w:lineRule="auto"/>
      </w:pPr>
      <w:r>
        <w:tab/>
        <w:t>En 2001, el fondo de pensiones alimentarias reconoció el derecho de recibir pensión compensatoria a 658 menores y 87 menores no cumplieron los requisitos necesarios para ejercer este derecho. Hasta el final del año, se ha pagado pensión compensatoria de alimentos a 2.330 menores por una cuantía total de 308 millones de tólares (1.339.130 dólares). Mediante la ejecución de las resoluciones, el Fondo recibió reclamaciones de menores contra las personas con obligación de pagarles la pensión alimentaria por una cuantía equivalente a los fondos desembolsados. A finales de 2001, 7,8% de todos los pagos realizados habían sido reembolsados al Fondo (en 2000, 3,1%).</w:t>
      </w:r>
    </w:p>
    <w:p w:rsidR="00000000" w:rsidRDefault="00000000">
      <w:pPr>
        <w:pStyle w:val="SingleTxt"/>
        <w:spacing w:after="0" w:line="240" w:lineRule="auto"/>
      </w:pPr>
      <w:r>
        <w:rPr>
          <w:noProof/>
          <w:w w:val="100"/>
        </w:rPr>
        <w:pict>
          <v:line id="_x0000_s2054" style="position:absolute;left:0;text-align:left;z-index:2;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NO&gt;&gt;N0275540S&lt;&lt;ODS JOB NO&gt;&gt;</w:t>
      </w:r>
    </w:p>
    <w:p w:rsidR="00000000" w:rsidRDefault="00000000">
      <w:pPr>
        <w:pStyle w:val="CommentText"/>
      </w:pPr>
      <w:r>
        <w:t>&lt;&lt;ODS DOC SYMBOL1&gt;&gt;CEDAW/C/SVN/3&lt;&lt;ODS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0275540s.doc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0275540s.doc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02-75540 (S)    050303    110303</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*0275540*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CEDAW/C/SVN/3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CEDAW/C/SVN/3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/C/SVN/3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4 de diciembre de 2002</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5/2003 9:57: AM"/>
    <w:docVar w:name="DocCategory" w:val="Doc"/>
    <w:docVar w:name="DocType" w:val="Final"/>
    <w:docVar w:name="JobNo" w:val="0275540S"/>
    <w:docVar w:name="OandT" w:val=" "/>
    <w:docVar w:name="Symbol1" w:val="CEDAW/C/SVN/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49</Pages>
  <Words>22197</Words>
  <Characters>110117</Characters>
  <Application>Microsoft Office Word</Application>
  <DocSecurity>4</DocSecurity>
  <Lines>3958</Lines>
  <Paragraphs>1941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Company>
  <LinksUpToDate>false</LinksUpToDate>
  <CharactersWithSpaces>130316</CharactersWithSpaces>
  <SharedDoc>false</SharedDoc>
  <HLinks>
    <vt:vector size="6" baseType="variant">
      <vt:variant>
        <vt:i4>4522087</vt:i4>
      </vt:variant>
      <vt:variant>
        <vt:i4>135466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c:creator>
  <cp:keywords/>
  <cp:lastModifiedBy>SUAREZ, Rosa</cp:lastModifiedBy>
  <cp:revision>10</cp:revision>
  <cp:lastPrinted>2003-03-11T11:24:00Z</cp:lastPrinted>
  <dcterms:created xsi:type="dcterms:W3CDTF">2003-03-11T11:15:00Z</dcterms:created>
  <dcterms:modified xsi:type="dcterms:W3CDTF">2003-03-11T11:30:00Z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0275540</vt:lpwstr>
  </property>
  <property fmtid="{D5CDD505-2E9C-101B-9397-08002B2CF9AE}" pid="3" name="Symbol1">
    <vt:lpwstr>CEDAW/C/SVN/3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49 </vt:lpwstr>
  </property>
  <property fmtid="{D5CDD505-2E9C-101B-9397-08002B2CF9AE}" pid="8" name="Operator">
    <vt:lpwstr>External/EB</vt:lpwstr>
  </property>
</Properties>
</file>