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000000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after="80" w:line="340" w:lineRule="exact"/>
              <w:rPr>
                <w:lang w:val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  <w:szCs w:val="28"/>
                <w:lang w:val="es-ES"/>
              </w:rPr>
            </w:pPr>
            <w:r>
              <w:rPr>
                <w:sz w:val="28"/>
                <w:lang w:val="es-ES"/>
              </w:rPr>
              <w:t>Naciones Unidas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000000">
            <w:pPr>
              <w:suppressAutoHyphens w:val="0"/>
              <w:spacing w:after="20"/>
              <w:jc w:val="right"/>
              <w:rPr>
                <w:lang w:val="es-ES"/>
              </w:rPr>
            </w:pPr>
            <w:r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/HRC/RES/14/11</w:t>
            </w:r>
          </w:p>
        </w:tc>
      </w:tr>
      <w:tr w:rsidR="00000000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00000" w:rsidRDefault="00000000">
            <w:pPr>
              <w:spacing w:before="120"/>
              <w:jc w:val="center"/>
              <w:rPr>
                <w:lang w:val="es-ES"/>
              </w:rPr>
            </w:pPr>
            <w:r>
              <w:rPr>
                <w:lang w:val="es-E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00000" w:rsidRDefault="00000000">
            <w:pPr>
              <w:spacing w:before="120" w:line="420" w:lineRule="exact"/>
              <w:rPr>
                <w:b/>
                <w:sz w:val="40"/>
                <w:szCs w:val="40"/>
                <w:lang w:val="es-ES"/>
              </w:rPr>
            </w:pPr>
            <w:r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00000" w:rsidRDefault="00000000">
            <w:pPr>
              <w:suppressAutoHyphens w:val="0"/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:rsidR="00000000" w:rsidRDefault="00000000">
            <w:pPr>
              <w:suppressAutoHyphens w:val="0"/>
              <w:rPr>
                <w:lang w:val="es-ES"/>
              </w:rPr>
            </w:pPr>
            <w:r>
              <w:rPr>
                <w:lang w:val="es-ES"/>
              </w:rPr>
              <w:t>23 de junio de 2010</w:t>
            </w:r>
          </w:p>
          <w:p w:rsidR="00000000" w:rsidRDefault="00000000">
            <w:pPr>
              <w:suppressAutoHyphens w:val="0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:rsidR="00000000" w:rsidRDefault="00000000">
            <w:pPr>
              <w:suppressAutoHyphens w:val="0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:rsidR="00000000" w:rsidRDefault="00000000">
      <w:pPr>
        <w:spacing w:before="120" w:after="240" w:line="240" w:lineRule="auto"/>
        <w:rPr>
          <w:b/>
          <w:lang w:val="es-ES"/>
        </w:rPr>
      </w:pPr>
      <w:r>
        <w:rPr>
          <w:b/>
          <w:sz w:val="24"/>
          <w:szCs w:val="24"/>
          <w:lang w:val="es-ES"/>
        </w:rPr>
        <w:t>Consejo de Derechos Humanos</w:t>
      </w:r>
      <w:r>
        <w:rPr>
          <w:b/>
          <w:sz w:val="24"/>
          <w:szCs w:val="24"/>
          <w:lang w:val="es-ES"/>
        </w:rPr>
        <w:br/>
      </w:r>
      <w:r>
        <w:rPr>
          <w:b/>
          <w:lang w:val="es-ES"/>
        </w:rPr>
        <w:t>14º período de sesiones</w:t>
      </w:r>
      <w:r>
        <w:rPr>
          <w:b/>
          <w:lang w:val="es-ES"/>
        </w:rPr>
        <w:br/>
      </w:r>
      <w:r>
        <w:rPr>
          <w:lang w:val="es-ES"/>
        </w:rPr>
        <w:t xml:space="preserve">Tema 3 de la agenda </w:t>
      </w:r>
      <w:r>
        <w:rPr>
          <w:lang w:val="es-ES"/>
        </w:rPr>
        <w:br/>
      </w:r>
      <w:r>
        <w:rPr>
          <w:b/>
          <w:lang w:val="es-ES"/>
        </w:rPr>
        <w:t>Promoción y protección de todos los derechos humanos,</w:t>
      </w:r>
      <w:r>
        <w:rPr>
          <w:b/>
          <w:lang w:val="es-ES"/>
        </w:rPr>
        <w:br/>
        <w:t xml:space="preserve">civiles, políticos, económicos, sociales y culturales, </w:t>
      </w:r>
      <w:r>
        <w:rPr>
          <w:b/>
          <w:lang w:val="es-ES"/>
        </w:rPr>
        <w:br/>
        <w:t>incluido el derecho al desarrollo</w:t>
      </w:r>
    </w:p>
    <w:p w:rsidR="00000000" w:rsidRDefault="00000000">
      <w:pPr>
        <w:pStyle w:val="HChG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  <w:t>Resolución aprobada por el Consejo de Derechos Humanos</w:t>
      </w:r>
      <w:r>
        <w:rPr>
          <w:rStyle w:val="FootnoteReference"/>
          <w:b w:val="0"/>
          <w:sz w:val="20"/>
          <w:vertAlign w:val="baseline"/>
          <w:lang w:val="es-ES"/>
        </w:rPr>
        <w:footnoteReference w:customMarkFollows="1" w:id="2"/>
        <w:t>*</w:t>
      </w:r>
    </w:p>
    <w:p w:rsidR="00000000" w:rsidRDefault="00000000">
      <w:pPr>
        <w:pStyle w:val="H23G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  <w:t>14/11</w:t>
      </w:r>
      <w:r>
        <w:rPr>
          <w:lang w:val="es-ES"/>
        </w:rPr>
        <w:br/>
        <w:t>Libertad de religión y de creencias: mandato de la Relatora Especial sobre la libertad de religión o de creencias</w:t>
      </w:r>
    </w:p>
    <w:p w:rsidR="00000000" w:rsidRDefault="00000000">
      <w:pPr>
        <w:pStyle w:val="SingleTxtG"/>
        <w:rPr>
          <w:lang w:val="es-ES"/>
        </w:rPr>
      </w:pPr>
      <w:r>
        <w:rPr>
          <w:i/>
          <w:lang w:val="es-ES"/>
        </w:rPr>
        <w:tab/>
        <w:t>El Consejo de Derechos Humanos</w:t>
      </w:r>
      <w:r>
        <w:rPr>
          <w:lang w:val="es-ES"/>
        </w:rPr>
        <w:t>,</w:t>
      </w:r>
    </w:p>
    <w:p w:rsidR="00000000" w:rsidRDefault="00000000">
      <w:pPr>
        <w:pStyle w:val="SingleTxtG"/>
        <w:rPr>
          <w:b/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Recordando</w:t>
      </w:r>
      <w:r>
        <w:rPr>
          <w:lang w:val="es-ES"/>
        </w:rPr>
        <w:t xml:space="preserve"> la resolución 36/55 de la Asamblea General, de 25 de noviembre de 1981, por la que la Asamblea proclamó la Declaración sobre la eliminación de todas las formas de intolerancia y discriminación fundadas en la religión o las convicciones, </w:t>
      </w:r>
    </w:p>
    <w:p w:rsidR="00000000" w:rsidRDefault="00000000">
      <w:pPr>
        <w:pStyle w:val="SingleTxtG"/>
        <w:rPr>
          <w:b/>
          <w:lang w:val="es-ES"/>
        </w:rPr>
      </w:pPr>
      <w:r>
        <w:rPr>
          <w:i/>
          <w:lang w:val="es-ES"/>
        </w:rPr>
        <w:tab/>
        <w:t>Recordando</w:t>
      </w:r>
      <w:r>
        <w:rPr>
          <w:lang w:val="es-ES"/>
        </w:rPr>
        <w:t xml:space="preserve"> </w:t>
      </w:r>
      <w:r>
        <w:rPr>
          <w:i/>
          <w:lang w:val="es-ES"/>
        </w:rPr>
        <w:t>también</w:t>
      </w:r>
      <w:r>
        <w:rPr>
          <w:lang w:val="es-ES"/>
        </w:rPr>
        <w:t xml:space="preserve"> el artículo 18 del Pacto Internacional de Derechos Civiles y Políticos, el artículo 18 de la Declaración Universal de Derechos Humanos, el párrafo 2 del artículo 2 del Pacto Internacional de Derechos Económicos, Sociales y Culturales y otras disposiciones pertinentes de derechos humanos,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Recordando además</w:t>
      </w:r>
      <w:r>
        <w:rPr>
          <w:lang w:val="es-ES"/>
        </w:rPr>
        <w:t xml:space="preserve"> su resolución 6/37, de 14 de diciembre de 2007, y otras resoluciones sobre la eliminación de todas las formas de intolerancia y discriminación fundadas en la religión o en las creencias aprobadas por la Asamblea General y la Comisión de Derechos Humanos,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Recordando</w:t>
      </w:r>
      <w:r>
        <w:rPr>
          <w:lang w:val="es-ES"/>
        </w:rPr>
        <w:t xml:space="preserve"> sus resoluciones 5/1, relativa a la construcción institucional del Consejo, y 5/2, relativa al Código de conducta para los titulares de mandatos de los procedimientos especiales del Consejo de Derechos Humanos, de 18 de junio de 2007, y destacando que los titulares de mandatos cumplirán sus funciones de conformidad con esas resoluciones y sus anexos,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1.</w:t>
      </w:r>
      <w:r>
        <w:rPr>
          <w:lang w:val="es-ES"/>
        </w:rPr>
        <w:tab/>
      </w:r>
      <w:r>
        <w:rPr>
          <w:i/>
          <w:lang w:val="es-ES"/>
        </w:rPr>
        <w:t>Condena</w:t>
      </w:r>
      <w:r>
        <w:rPr>
          <w:lang w:val="es-ES"/>
        </w:rPr>
        <w:t xml:space="preserve"> todas las formas de intolerancia y discriminación basadas en la religión o en las creencias, así como las violaciones de la libertad de pensamiento, conciencia, religión o creencias;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2.</w:t>
      </w:r>
      <w:r>
        <w:rPr>
          <w:lang w:val="es-ES"/>
        </w:rPr>
        <w:tab/>
      </w:r>
      <w:r>
        <w:rPr>
          <w:i/>
          <w:lang w:val="es-ES"/>
        </w:rPr>
        <w:t>Destaca</w:t>
      </w:r>
      <w:r>
        <w:rPr>
          <w:lang w:val="es-ES"/>
        </w:rPr>
        <w:t xml:space="preserve"> que toda persona tiene derecho a la libertad de pensamiento, conciencia y religión o creencias, lo que incluye la libertad de tener o adoptar la religión o las creencias que uno elija y la libertad de manifestarlas individual o colectivamente, tanto en público como en privado, mediante la enseñanza, las prácticas, el culto y la celebración de ritos;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3.</w:t>
      </w:r>
      <w:r>
        <w:rPr>
          <w:lang w:val="es-ES"/>
        </w:rPr>
        <w:tab/>
      </w:r>
      <w:r>
        <w:rPr>
          <w:i/>
          <w:lang w:val="es-ES"/>
        </w:rPr>
        <w:t>Condena</w:t>
      </w:r>
      <w:r>
        <w:rPr>
          <w:lang w:val="es-ES"/>
        </w:rPr>
        <w:t xml:space="preserve"> toda apología del odio religioso que constituya una incitación a la discriminación, la hostilidad o la violencia, tanto si se sirve de medios de difusión impresos, audiovisuales o electrónicos como de cualquier otro medio;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4.</w:t>
      </w:r>
      <w:r>
        <w:rPr>
          <w:lang w:val="es-ES"/>
        </w:rPr>
        <w:tab/>
      </w:r>
      <w:r>
        <w:rPr>
          <w:i/>
          <w:lang w:val="es-ES"/>
        </w:rPr>
        <w:t>Pone de relieve</w:t>
      </w:r>
      <w:r>
        <w:rPr>
          <w:lang w:val="es-ES"/>
        </w:rPr>
        <w:t xml:space="preserve"> que las restricciones a la libertad de profesar la religión o las creencias sólo se permiten si están prescritas por la ley, son necesarias para proteger la seguridad, el orden, la salud o la moral públicos o los derechos y las libertades fundamentales de los demás y se aplican de modo que no atenten contra el derecho a la libertad de pensamiento, conciencia y religión;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5.</w:t>
      </w:r>
      <w:r>
        <w:rPr>
          <w:lang w:val="es-ES"/>
        </w:rPr>
        <w:tab/>
      </w:r>
      <w:r>
        <w:rPr>
          <w:i/>
          <w:lang w:val="es-ES"/>
        </w:rPr>
        <w:t>Exhorta</w:t>
      </w:r>
      <w:r>
        <w:rPr>
          <w:lang w:val="es-ES"/>
        </w:rPr>
        <w:t xml:space="preserve"> a los Estados a que adopten medidas y políticas para promover el respeto de los lugares de culto y los sitios religiosos;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6.</w:t>
      </w:r>
      <w:r>
        <w:rPr>
          <w:lang w:val="es-ES"/>
        </w:rPr>
        <w:tab/>
      </w:r>
      <w:r>
        <w:rPr>
          <w:i/>
          <w:lang w:val="es-ES"/>
        </w:rPr>
        <w:t>Expresa preocupación</w:t>
      </w:r>
      <w:r>
        <w:rPr>
          <w:lang w:val="es-ES"/>
        </w:rPr>
        <w:t xml:space="preserve"> por la existencia persistente de casos de intolerancia religiosa, así como por los nuevos obstáculos al goce del derecho a la libertad de religión o de creencias, entre otros: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a)</w:t>
      </w:r>
      <w:r>
        <w:rPr>
          <w:lang w:val="es-ES"/>
        </w:rPr>
        <w:tab/>
        <w:t>Casos de intolerancia y violencia contra miembros de muchas minorías religiosas y otras comunidades en distintas partes del mundo;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b)</w:t>
      </w:r>
      <w:r>
        <w:rPr>
          <w:lang w:val="es-ES"/>
        </w:rPr>
        <w:tab/>
        <w:t>Incidentes de odio religioso, discriminación, intolerancia y violencia, que pueden manifestarse en el establecimiento de estereotipos derogatorios, la atribución de perfiles negativos y la estigmatización de personas en función de su religión o sus creencias;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c)</w:t>
      </w:r>
      <w:r>
        <w:rPr>
          <w:lang w:val="es-ES"/>
        </w:rPr>
        <w:tab/>
        <w:t>Atentados contra lugares de culto, lugares sagrados y santuarios contraviniendo el derecho internacional, en particular las normas de derechos humanos y el derecho humanitario, habida cuenta de que, para la dignidad y la vida de los miembros de las comunidades que tienen creencias espirituales o religiosas, esos lugares poseen un significado que trasciende lo material;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d)</w:t>
      </w:r>
      <w:r>
        <w:rPr>
          <w:lang w:val="es-ES"/>
        </w:rPr>
        <w:tab/>
        <w:t>Casos, en la ley y en la práctica, que constituyen violaciones del derecho fundamental a la libertad de religión o de creencias, incluido el derecho individual a expresar públicamente las creencias espirituales y religiosas de cada uno, teniendo en cuenta los artículos pertinentes del Pacto Internacional de Derechos Civiles y Políticos, así como otros instrumentos internacionales;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e)</w:t>
      </w:r>
      <w:r>
        <w:rPr>
          <w:lang w:val="es-ES"/>
        </w:rPr>
        <w:tab/>
        <w:t xml:space="preserve">Regímenes constitucionales y legislativos que no ofrecen garantías suficientes y efectivas de libertad de pensamiento, conciencia, religión y creencias para todos sin distinción;  </w:t>
      </w:r>
    </w:p>
    <w:p w:rsidR="00000000" w:rsidRDefault="00000000">
      <w:pPr>
        <w:pStyle w:val="SingleTxtG"/>
        <w:rPr>
          <w:b/>
          <w:lang w:val="es-ES"/>
        </w:rPr>
      </w:pPr>
      <w:r>
        <w:rPr>
          <w:lang w:val="es-ES"/>
        </w:rPr>
        <w:tab/>
        <w:t>7.</w:t>
      </w:r>
      <w:r>
        <w:rPr>
          <w:lang w:val="es-ES"/>
        </w:rPr>
        <w:tab/>
      </w:r>
      <w:r>
        <w:rPr>
          <w:i/>
          <w:lang w:val="es-ES"/>
        </w:rPr>
        <w:t>Acoge con beneplácito</w:t>
      </w:r>
      <w:r>
        <w:rPr>
          <w:lang w:val="es-ES"/>
        </w:rPr>
        <w:t xml:space="preserve"> el informe presentado por la Relatora Especial sobre la libertad de religión o de creencias (A/HRC/13/40);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8.</w:t>
      </w:r>
      <w:r>
        <w:rPr>
          <w:lang w:val="es-ES"/>
        </w:rPr>
        <w:tab/>
      </w:r>
      <w:r>
        <w:rPr>
          <w:i/>
          <w:lang w:val="es-ES"/>
        </w:rPr>
        <w:t>Acoge con beneplácito también</w:t>
      </w:r>
      <w:r>
        <w:rPr>
          <w:lang w:val="es-ES"/>
        </w:rPr>
        <w:t xml:space="preserve"> la labor de la Relatora Especial y concluye que es necesario que siga contribuyendo a la protección, promoción y aplicación universal del derecho a la libertad de religión y de creencias;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9.</w:t>
      </w:r>
      <w:r>
        <w:rPr>
          <w:lang w:val="es-ES"/>
        </w:rPr>
        <w:tab/>
      </w:r>
      <w:r>
        <w:rPr>
          <w:i/>
          <w:lang w:val="es-ES"/>
        </w:rPr>
        <w:t>Decide</w:t>
      </w:r>
      <w:r>
        <w:rPr>
          <w:lang w:val="es-ES"/>
        </w:rPr>
        <w:t xml:space="preserve"> prorrogar el mandato de la Relatora Especial por un nuevo período de tres años;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10.</w:t>
      </w:r>
      <w:r>
        <w:rPr>
          <w:lang w:val="es-ES"/>
        </w:rPr>
        <w:tab/>
      </w:r>
      <w:r>
        <w:rPr>
          <w:i/>
          <w:lang w:val="es-ES"/>
        </w:rPr>
        <w:t>Invita</w:t>
      </w:r>
      <w:r>
        <w:rPr>
          <w:lang w:val="es-ES"/>
        </w:rPr>
        <w:t xml:space="preserve"> a la Relatora Especial a que tenga en cuenta el contenido de todas las resoluciones anteriores sobre la libertad de religión o de creencias, en particular las preocupaciones expresadas en la presente resolución, al desempeñar su mandato de conformidad con el párrafo 18 de la resolución 6/37 del Consejo y al presentar informes al Consejo;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11.</w:t>
      </w:r>
      <w:r>
        <w:rPr>
          <w:lang w:val="es-ES"/>
        </w:rPr>
        <w:tab/>
      </w:r>
      <w:r>
        <w:rPr>
          <w:i/>
          <w:lang w:val="es-ES"/>
        </w:rPr>
        <w:t>Exhorta</w:t>
      </w:r>
      <w:r>
        <w:rPr>
          <w:lang w:val="es-ES"/>
        </w:rPr>
        <w:t xml:space="preserve"> a la Relatora Especial a que colabore con las organizaciones de medios de difusión para promover un entorno de respeto y tolerancia de la diversidad religiosa y cultural y del multiculturalismo.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12.</w:t>
      </w:r>
      <w:r>
        <w:rPr>
          <w:lang w:val="es-ES"/>
        </w:rPr>
        <w:tab/>
      </w:r>
      <w:r>
        <w:rPr>
          <w:i/>
          <w:lang w:val="es-ES"/>
        </w:rPr>
        <w:t>Solicita</w:t>
      </w:r>
      <w:r>
        <w:rPr>
          <w:lang w:val="es-ES"/>
        </w:rPr>
        <w:t xml:space="preserve"> al Secretario General que vele por que la Relatora Especial reciba los recursos necesarios para desempeñar cabalmente su mandato;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13.</w:t>
      </w:r>
      <w:r>
        <w:rPr>
          <w:lang w:val="es-ES"/>
        </w:rPr>
        <w:tab/>
      </w:r>
      <w:r>
        <w:rPr>
          <w:i/>
          <w:lang w:val="es-ES"/>
        </w:rPr>
        <w:t>Insta</w:t>
      </w:r>
      <w:r>
        <w:rPr>
          <w:lang w:val="es-ES"/>
        </w:rPr>
        <w:t xml:space="preserve"> a todos los gobiernos a que cooperen plenamente con la Relatora Especial, respondan favorablemente a cualquier solicitud que haga para visitar sus países y le suministren toda la información necesaria para que pueda cumplir su mandato de manera aún más eficaz;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14.</w:t>
      </w:r>
      <w:r>
        <w:rPr>
          <w:lang w:val="es-ES"/>
        </w:rPr>
        <w:tab/>
      </w:r>
      <w:r>
        <w:rPr>
          <w:i/>
          <w:lang w:val="es-ES"/>
        </w:rPr>
        <w:t>Solicita</w:t>
      </w:r>
      <w:r>
        <w:rPr>
          <w:lang w:val="es-ES"/>
        </w:rPr>
        <w:t xml:space="preserve"> a la Relatora Especial que presente sus informes al Consejo con arreglo al programa de trabajo anual, y que presente su próximo informe anual en 2011; 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15.</w:t>
      </w:r>
      <w:r>
        <w:rPr>
          <w:lang w:val="es-ES"/>
        </w:rPr>
        <w:tab/>
      </w:r>
      <w:r>
        <w:rPr>
          <w:i/>
          <w:lang w:val="es-ES"/>
        </w:rPr>
        <w:t>Decide</w:t>
      </w:r>
      <w:r>
        <w:rPr>
          <w:lang w:val="es-ES"/>
        </w:rPr>
        <w:t xml:space="preserve"> seguir ocupándose de esta cuestión en relación con el mismo tema de la agenda y proseguir el examen de medidas para dar cumplimiento a la Declaración sobre la eliminación de todas las formas de intolerancia y discriminación fundadas en la religión o las convicciones. </w:t>
      </w:r>
    </w:p>
    <w:p w:rsidR="00000000" w:rsidRDefault="00000000">
      <w:pPr>
        <w:pStyle w:val="SingleTxtG"/>
        <w:spacing w:before="240"/>
        <w:jc w:val="right"/>
        <w:rPr>
          <w:i/>
          <w:iCs/>
          <w:u w:val="single"/>
          <w:lang w:val="es-ES_tradnl"/>
        </w:rPr>
      </w:pPr>
      <w:r>
        <w:rPr>
          <w:i/>
          <w:iCs/>
          <w:lang w:val="es-ES_tradnl"/>
        </w:rPr>
        <w:t>36ª sesión</w:t>
      </w:r>
      <w:r>
        <w:rPr>
          <w:i/>
          <w:iCs/>
          <w:lang w:val="es-ES_tradnl"/>
        </w:rPr>
        <w:br/>
        <w:t>18 de junio de 2010</w:t>
      </w:r>
    </w:p>
    <w:p w:rsidR="00000000" w:rsidRDefault="00000000">
      <w:pPr>
        <w:pStyle w:val="SingleTxtG"/>
        <w:jc w:val="left"/>
        <w:rPr>
          <w:iCs/>
          <w:lang w:val="es-ES_tradnl"/>
        </w:rPr>
      </w:pPr>
      <w:r>
        <w:rPr>
          <w:iCs/>
          <w:lang w:val="es-ES_tradnl"/>
        </w:rPr>
        <w:t>[Aprobada sin votación.]</w:t>
      </w:r>
    </w:p>
    <w:p w:rsidR="00000000" w:rsidRDefault="00000000">
      <w:pPr>
        <w:spacing w:before="240"/>
        <w:jc w:val="center"/>
        <w:rPr>
          <w:lang w:val="es-ES"/>
        </w:rPr>
      </w:pPr>
      <w:r>
        <w:rPr>
          <w:iCs/>
          <w:u w:val="single"/>
          <w:lang w:val="es-ES_tradnl"/>
        </w:rPr>
        <w:tab/>
      </w:r>
      <w:r>
        <w:rPr>
          <w:iCs/>
          <w:u w:val="single"/>
          <w:lang w:val="es-ES_tradnl"/>
        </w:rPr>
        <w:tab/>
      </w:r>
      <w:r>
        <w:rPr>
          <w:iCs/>
          <w:u w:val="single"/>
          <w:lang w:val="es-ES_tradnl"/>
        </w:rPr>
        <w:tab/>
      </w:r>
    </w:p>
    <w:p w:rsidR="00000000" w:rsidRDefault="00000000">
      <w:pPr>
        <w:pStyle w:val="SingleTxtG"/>
        <w:rPr>
          <w:lang w:val="es-ES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/>
  </w:endnote>
  <w:endnote w:type="continuationSeparator" w:id="0">
    <w:p w:rsidR="00000000" w:rsidRDefault="00000000"/>
  </w:endnote>
  <w:endnote w:type="continuationNotice" w:id="1">
    <w:p w:rsidR="00000000" w:rsidRDefault="000000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ab/>
    </w:r>
    <w:r>
      <w:t>GE.10-14740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GE.10-14740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GE.10-14740</w:t>
    </w:r>
    <w:r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94.9pt;margin-top:-8.3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290610    050710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00000" w:rsidRDefault="00000000"/>
  </w:footnote>
  <w:footnote w:id="2">
    <w:p w:rsidR="00000000" w:rsidRDefault="00000000">
      <w:pPr>
        <w:pStyle w:val="FootnoteText"/>
        <w:rPr>
          <w:sz w:val="20"/>
          <w:lang w:val="es-ES"/>
        </w:rPr>
      </w:pPr>
      <w:r>
        <w:tab/>
      </w:r>
      <w:r>
        <w:rPr>
          <w:rStyle w:val="FootnoteReference"/>
          <w:sz w:val="20"/>
          <w:vertAlign w:val="baseline"/>
          <w:lang w:val="es-ES"/>
        </w:rPr>
        <w:t>*</w:t>
      </w:r>
      <w:r>
        <w:rPr>
          <w:lang w:val="es-ES"/>
        </w:rPr>
        <w:tab/>
        <w:t>La resoluciones y decisiones aprobadas por el Consejo de Derechos Humanos se publicarán en el informe del Consejo sobre su 14º período de sesiones (A/HRC/14/37), cap. 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A/HRC/RES/14/11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A/HRC/RES/14/11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075A641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5"/>
      </w:numPr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EndnoteReference">
    <w:name w:val="endnote reference"/>
    <w:aliases w:val="1_G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styleId="EndnoteText">
    <w:name w:val="endnote text"/>
    <w:aliases w:val="2_G"/>
    <w:basedOn w:val="FootnoteText"/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styleId="PageNumber">
    <w:name w:val="page number"/>
    <w:aliases w:val="7_G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Emphasis">
    <w:name w:val="Emphasis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HTMLAcronym">
    <w:name w:val="HTML Acronym"/>
    <w:basedOn w:val="DefaultParagraphFont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0</TotalTime>
  <Pages>3</Pages>
  <Words>1007</Words>
  <Characters>5542</Characters>
  <Application>Microsoft Office Word</Application>
  <DocSecurity>4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A/HRC/RES/14/11 - 10-14740</vt:lpstr>
    </vt:vector>
  </TitlesOfParts>
  <Company>CSD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A/HRC/RES/14/11 - 10-14740</dc:title>
  <dc:subject>FINAL</dc:subject>
  <dc:creator>Mabel Parada</dc:creator>
  <cp:keywords/>
  <dc:description/>
  <cp:lastModifiedBy>Admieng</cp:lastModifiedBy>
  <cp:revision>2</cp:revision>
  <cp:lastPrinted>2008-01-29T08:30:00Z</cp:lastPrinted>
  <dcterms:created xsi:type="dcterms:W3CDTF">2010-07-05T14:22:00Z</dcterms:created>
  <dcterms:modified xsi:type="dcterms:W3CDTF">2010-07-05T14:22:00Z</dcterms:modified>
</cp:coreProperties>
</file>