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C266D2" w14:textId="77777777" w:rsidR="001B4534" w:rsidRPr="0007717F" w:rsidRDefault="001B4534" w:rsidP="001B4534">
      <w:pPr>
        <w:spacing w:line="240" w:lineRule="auto"/>
        <w:rPr>
          <w:sz w:val="2"/>
        </w:rPr>
        <w:sectPr w:rsidR="001B4534" w:rsidRPr="0007717F" w:rsidSect="0007717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sidRPr="0007717F">
        <w:rPr>
          <w:rStyle w:val="CommentReference"/>
          <w:szCs w:val="20"/>
        </w:rPr>
        <w:commentReference w:id="0"/>
      </w:r>
    </w:p>
    <w:p w14:paraId="0D5CE593" w14:textId="77777777" w:rsidR="0007717F" w:rsidRPr="0007717F" w:rsidRDefault="0007717F" w:rsidP="0007717F">
      <w:pPr>
        <w:pStyle w:val="H1"/>
        <w:tabs>
          <w:tab w:val="right" w:pos="1022"/>
          <w:tab w:val="left" w:pos="1267"/>
          <w:tab w:val="left" w:pos="1742"/>
          <w:tab w:val="left" w:pos="2218"/>
          <w:tab w:val="left" w:pos="2693"/>
          <w:tab w:val="left" w:pos="3182"/>
          <w:tab w:val="left" w:pos="3658"/>
          <w:tab w:val="left" w:pos="4133"/>
          <w:tab w:val="left" w:pos="4622"/>
          <w:tab w:val="left" w:pos="5098"/>
          <w:tab w:val="left" w:pos="5400"/>
          <w:tab w:val="left" w:pos="6048"/>
        </w:tabs>
        <w:ind w:right="4440"/>
        <w:rPr>
          <w:lang w:val="es-ES_tradnl"/>
        </w:rPr>
      </w:pPr>
      <w:r w:rsidRPr="0007717F">
        <w:rPr>
          <w:lang w:val="es-ES_tradnl"/>
        </w:rPr>
        <w:t>Comité para la Eliminación de la Discriminación contra la Mujer</w:t>
      </w:r>
    </w:p>
    <w:p w14:paraId="3FDFE8F5" w14:textId="77777777" w:rsidR="0007717F" w:rsidRPr="0007717F" w:rsidRDefault="0007717F" w:rsidP="0007717F">
      <w:pPr>
        <w:pStyle w:val="Session"/>
        <w:rPr>
          <w:lang w:val="es-ES_tradnl"/>
        </w:rPr>
      </w:pPr>
      <w:r w:rsidRPr="0007717F">
        <w:rPr>
          <w:lang w:val="es-ES_tradnl"/>
        </w:rPr>
        <w:t>75º período de sesiones</w:t>
      </w:r>
    </w:p>
    <w:p w14:paraId="0BF8CD75" w14:textId="77777777" w:rsidR="0007717F" w:rsidRPr="0007717F" w:rsidRDefault="0007717F" w:rsidP="0007717F">
      <w:pPr>
        <w:rPr>
          <w:lang w:val="es-ES_tradnl"/>
        </w:rPr>
      </w:pPr>
      <w:r w:rsidRPr="0007717F">
        <w:rPr>
          <w:lang w:val="es-ES_tradnl"/>
        </w:rPr>
        <w:t>10 a 28 de febrero de 2020</w:t>
      </w:r>
    </w:p>
    <w:p w14:paraId="62EEBBCC" w14:textId="77777777" w:rsidR="0007717F" w:rsidRPr="0007717F" w:rsidRDefault="0007717F" w:rsidP="0007717F">
      <w:pPr>
        <w:pStyle w:val="AgendaItemNormal"/>
        <w:rPr>
          <w:lang w:val="es-ES_tradnl"/>
        </w:rPr>
      </w:pPr>
      <w:r w:rsidRPr="0007717F">
        <w:rPr>
          <w:lang w:val="es-ES_tradnl"/>
        </w:rPr>
        <w:t>Tema 5 del programa provisional</w:t>
      </w:r>
    </w:p>
    <w:p w14:paraId="7BA76715" w14:textId="74254E95" w:rsidR="0007717F" w:rsidRDefault="0007717F" w:rsidP="0007717F">
      <w:pPr>
        <w:pStyle w:val="AgendaTitleH2"/>
        <w:tabs>
          <w:tab w:val="clear" w:pos="5098"/>
          <w:tab w:val="left" w:pos="4500"/>
        </w:tabs>
        <w:ind w:right="4800"/>
        <w:rPr>
          <w:lang w:val="es-ES_tradnl"/>
        </w:rPr>
      </w:pPr>
      <w:r w:rsidRPr="0007717F">
        <w:rPr>
          <w:lang w:val="es-ES_tradnl"/>
        </w:rPr>
        <w:t>Seguimiento del examen de los informes presentados por los Estados partes en virtud del artículo 18</w:t>
      </w:r>
      <w:r>
        <w:rPr>
          <w:lang w:val="es-ES_tradnl"/>
        </w:rPr>
        <w:br/>
      </w:r>
      <w:r w:rsidRPr="0007717F">
        <w:rPr>
          <w:lang w:val="es-ES_tradnl"/>
        </w:rPr>
        <w:t>de la Convención</w:t>
      </w:r>
    </w:p>
    <w:p w14:paraId="35BB36CB" w14:textId="6A31E322" w:rsidR="0007717F" w:rsidRPr="0007717F" w:rsidRDefault="0007717F" w:rsidP="0007717F">
      <w:pPr>
        <w:spacing w:line="120" w:lineRule="exact"/>
        <w:rPr>
          <w:sz w:val="10"/>
          <w:lang w:val="es-ES_tradnl"/>
        </w:rPr>
      </w:pPr>
    </w:p>
    <w:p w14:paraId="16E383F1" w14:textId="3149804E" w:rsidR="0007717F" w:rsidRPr="0007717F" w:rsidRDefault="0007717F" w:rsidP="0007717F">
      <w:pPr>
        <w:spacing w:line="120" w:lineRule="exact"/>
        <w:rPr>
          <w:sz w:val="10"/>
          <w:lang w:val="es-ES_tradnl"/>
        </w:rPr>
      </w:pPr>
    </w:p>
    <w:p w14:paraId="6BCBFC50" w14:textId="0B9B69F3" w:rsidR="0007717F" w:rsidRPr="0007717F" w:rsidRDefault="0007717F" w:rsidP="0007717F">
      <w:pPr>
        <w:spacing w:line="120" w:lineRule="exact"/>
        <w:rPr>
          <w:sz w:val="10"/>
          <w:lang w:val="es-ES_tradnl"/>
        </w:rPr>
      </w:pPr>
    </w:p>
    <w:p w14:paraId="1DD2F957" w14:textId="6AF4271C" w:rsidR="006F461E" w:rsidRPr="006F461E" w:rsidRDefault="006F461E" w:rsidP="006F461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61312" behindDoc="0" locked="0" layoutInCell="1" allowOverlap="1" wp14:anchorId="6C50AF14" wp14:editId="7B7D6C8C">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5FDE78"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kern w:val="14"/>
          <w:sz w:val="17"/>
          <w:szCs w:val="20"/>
        </w:rPr>
        <w:tab/>
        <w:t>*</w:t>
      </w:r>
      <w:r>
        <w:rPr>
          <w:spacing w:val="5"/>
          <w:w w:val="104"/>
          <w:kern w:val="14"/>
          <w:sz w:val="17"/>
          <w:szCs w:val="20"/>
        </w:rPr>
        <w:tab/>
      </w:r>
      <w:r w:rsidRPr="006F461E">
        <w:rPr>
          <w:spacing w:val="5"/>
          <w:w w:val="104"/>
          <w:kern w:val="14"/>
          <w:sz w:val="17"/>
          <w:szCs w:val="20"/>
        </w:rPr>
        <w:t>La versión original del presente documento no fue objeto de revisión editorial oficial.</w:t>
      </w:r>
    </w:p>
    <w:p w14:paraId="66E16CD0" w14:textId="3B8F2E13" w:rsidR="0007717F" w:rsidRDefault="0007717F" w:rsidP="0007717F">
      <w:pPr>
        <w:pStyle w:val="TitleHCH"/>
        <w:ind w:right="1470"/>
        <w:rPr>
          <w:lang w:val="es-ES_tradnl"/>
        </w:rPr>
      </w:pPr>
      <w:r w:rsidRPr="0007717F">
        <w:rPr>
          <w:lang w:val="es-ES_tradnl"/>
        </w:rPr>
        <w:tab/>
      </w:r>
      <w:r w:rsidRPr="0007717F">
        <w:rPr>
          <w:lang w:val="es-ES_tradnl"/>
        </w:rPr>
        <w:tab/>
        <w:t>Información suministrada por Noruega sobre el seguimiento de las observaciones finales correspondientes a su noveno informe periódico</w:t>
      </w:r>
      <w:r w:rsidR="006F461E" w:rsidRPr="006F461E">
        <w:rPr>
          <w:b w:val="0"/>
          <w:bCs/>
          <w:sz w:val="20"/>
          <w:szCs w:val="20"/>
          <w:lang w:val="es-ES_tradnl"/>
        </w:rPr>
        <w:t>*</w:t>
      </w:r>
    </w:p>
    <w:p w14:paraId="0E104B58" w14:textId="79D5D8C0" w:rsidR="0007717F" w:rsidRPr="003A39F7" w:rsidRDefault="0007717F" w:rsidP="003A39F7">
      <w:pPr>
        <w:pStyle w:val="SingleTxt"/>
        <w:spacing w:after="0" w:line="120" w:lineRule="exact"/>
        <w:rPr>
          <w:sz w:val="10"/>
          <w:lang w:val="es-ES_tradnl"/>
        </w:rPr>
      </w:pPr>
      <w:bookmarkStart w:id="1" w:name="_GoBack"/>
      <w:bookmarkEnd w:id="1"/>
    </w:p>
    <w:p w14:paraId="1BE93809" w14:textId="77777777" w:rsidR="003A39F7" w:rsidRPr="0007717F" w:rsidRDefault="003A39F7" w:rsidP="0007717F">
      <w:pPr>
        <w:pStyle w:val="SingleTxt"/>
        <w:spacing w:after="0" w:line="120" w:lineRule="exact"/>
        <w:rPr>
          <w:sz w:val="10"/>
          <w:lang w:val="es-ES_tradnl"/>
        </w:rPr>
      </w:pPr>
    </w:p>
    <w:p w14:paraId="49D09D8F" w14:textId="1346CCD0" w:rsidR="001B4534" w:rsidRDefault="0007717F" w:rsidP="0007717F">
      <w:pPr>
        <w:pStyle w:val="SingleTxt"/>
        <w:jc w:val="right"/>
        <w:rPr>
          <w:lang w:val="es-ES_tradnl"/>
        </w:rPr>
      </w:pPr>
      <w:r w:rsidRPr="0007717F">
        <w:rPr>
          <w:lang w:val="es-ES_tradnl"/>
        </w:rPr>
        <w:t>[Fecha de recepción: 27 de noviembre de 2019]</w:t>
      </w:r>
    </w:p>
    <w:p w14:paraId="1E2C0C20" w14:textId="1AD9E2D2" w:rsidR="0007717F" w:rsidRDefault="0007717F">
      <w:pPr>
        <w:suppressAutoHyphens w:val="0"/>
        <w:spacing w:after="200" w:line="276" w:lineRule="auto"/>
        <w:rPr>
          <w:kern w:val="14"/>
          <w:lang w:val="es-ES_tradnl"/>
        </w:rPr>
      </w:pPr>
      <w:r>
        <w:rPr>
          <w:lang w:val="es-ES_tradnl"/>
        </w:rPr>
        <w:br w:type="page"/>
      </w:r>
    </w:p>
    <w:p w14:paraId="738BEA9F" w14:textId="6804A816" w:rsidR="0007717F" w:rsidRDefault="0007717F" w:rsidP="003A39F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F461E">
        <w:rPr>
          <w:sz w:val="20"/>
          <w:lang w:val="es-ES_tradnl"/>
        </w:rPr>
        <w:lastRenderedPageBreak/>
        <w:tab/>
      </w:r>
      <w:r w:rsidR="003A39F7">
        <w:rPr>
          <w:sz w:val="20"/>
          <w:lang w:val="es-ES_tradnl"/>
        </w:rPr>
        <w:tab/>
      </w:r>
      <w:r w:rsidRPr="0007717F">
        <w:rPr>
          <w:lang w:val="es-ES_tradnl"/>
        </w:rPr>
        <w:t>Introducción</w:t>
      </w:r>
    </w:p>
    <w:p w14:paraId="4FBF29AC" w14:textId="73AE9A3A" w:rsidR="0007717F" w:rsidRPr="0007717F" w:rsidRDefault="0007717F" w:rsidP="0007717F">
      <w:pPr>
        <w:pStyle w:val="SingleTxt"/>
        <w:spacing w:after="0" w:line="120" w:lineRule="exact"/>
        <w:rPr>
          <w:sz w:val="10"/>
          <w:lang w:val="es-ES_tradnl"/>
        </w:rPr>
      </w:pPr>
    </w:p>
    <w:p w14:paraId="0C5F8EBF" w14:textId="48F3E99D" w:rsidR="0007717F" w:rsidRPr="0007717F" w:rsidRDefault="0007717F" w:rsidP="0007717F">
      <w:pPr>
        <w:pStyle w:val="SingleTxt"/>
        <w:spacing w:after="0" w:line="120" w:lineRule="exact"/>
        <w:rPr>
          <w:sz w:val="10"/>
          <w:lang w:val="es-ES_tradnl"/>
        </w:rPr>
      </w:pPr>
    </w:p>
    <w:p w14:paraId="59B4BA64" w14:textId="7281E9EB" w:rsidR="0007717F" w:rsidRDefault="0007717F" w:rsidP="007C52B8">
      <w:pPr>
        <w:pStyle w:val="SingleTxt"/>
        <w:numPr>
          <w:ilvl w:val="0"/>
          <w:numId w:val="49"/>
        </w:numPr>
        <w:ind w:left="1267"/>
        <w:rPr>
          <w:lang w:val="es-ES_tradnl"/>
        </w:rPr>
      </w:pPr>
      <w:r w:rsidRPr="0007717F">
        <w:rPr>
          <w:lang w:val="es-ES_tradnl"/>
        </w:rPr>
        <w:t>En el párrafo 54 de sus observaciones finales sobre el noveno informe periódico de Noruega, de 22 de noviembre de 2017, el Comité para la Eliminación de la Discriminación contra la Mujer solicitó a Noruega que le proporcionara por escrito, en un plazo de dos años, información sobre las medidas adoptadas para aplicar las recomendaciones que figuran en los párrafos 19 b), 25 i), 41 y 49 a) de dicho documento. A continuación se presentan las respuestas del Gobierno de Noruega.</w:t>
      </w:r>
    </w:p>
    <w:p w14:paraId="177FF7E1" w14:textId="23553D25" w:rsidR="0007717F" w:rsidRPr="0007717F" w:rsidRDefault="0007717F" w:rsidP="0007717F">
      <w:pPr>
        <w:pStyle w:val="SingleTxt"/>
        <w:spacing w:after="0" w:line="120" w:lineRule="exact"/>
        <w:rPr>
          <w:sz w:val="10"/>
          <w:lang w:val="es-ES_tradnl"/>
        </w:rPr>
      </w:pPr>
    </w:p>
    <w:p w14:paraId="055F6613" w14:textId="6D3D88F5" w:rsidR="0007717F" w:rsidRDefault="0007717F" w:rsidP="000771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717F">
        <w:rPr>
          <w:lang w:val="es-ES_tradnl"/>
        </w:rPr>
        <w:tab/>
      </w:r>
      <w:r w:rsidRPr="0007717F">
        <w:rPr>
          <w:lang w:val="es-ES_tradnl"/>
        </w:rPr>
        <w:tab/>
        <w:t>Información de seguimiento en relación con el párrafo 19 b) de las observaciones finales (</w:t>
      </w:r>
      <w:hyperlink r:id="rId15" w:history="1">
        <w:r w:rsidRPr="006C79BC">
          <w:rPr>
            <w:rStyle w:val="Hyperlink"/>
            <w:lang w:val="es-ES_tradnl"/>
          </w:rPr>
          <w:t>CEDAW/C/NOR/CO/9</w:t>
        </w:r>
      </w:hyperlink>
      <w:r w:rsidRPr="0007717F">
        <w:rPr>
          <w:lang w:val="es-ES_tradnl"/>
        </w:rPr>
        <w:t>)</w:t>
      </w:r>
    </w:p>
    <w:p w14:paraId="113ED0B9" w14:textId="31DA1184" w:rsidR="0007717F" w:rsidRPr="0007717F" w:rsidRDefault="0007717F" w:rsidP="0007717F">
      <w:pPr>
        <w:pStyle w:val="SingleTxt"/>
        <w:spacing w:after="0" w:line="120" w:lineRule="exact"/>
        <w:rPr>
          <w:sz w:val="10"/>
          <w:lang w:val="es-ES_tradnl"/>
        </w:rPr>
      </w:pPr>
    </w:p>
    <w:p w14:paraId="37DB8EEA" w14:textId="050EFF9E" w:rsidR="0007717F" w:rsidRPr="0007717F" w:rsidRDefault="0007717F" w:rsidP="006C79BC">
      <w:pPr>
        <w:pStyle w:val="SingleTxt"/>
        <w:numPr>
          <w:ilvl w:val="0"/>
          <w:numId w:val="49"/>
        </w:numPr>
        <w:ind w:left="1267"/>
        <w:rPr>
          <w:lang w:val="es-ES_tradnl"/>
        </w:rPr>
      </w:pPr>
      <w:r w:rsidRPr="0007717F">
        <w:rPr>
          <w:lang w:val="es-ES_tradnl"/>
        </w:rPr>
        <w:t>En 2019, la Defensoría de la Igualdad y la Lucha contra la Discriminación recibió del Gobierno un total de 43.843.000 coronas noruegas (unos 4,3 millones de euros). La Defensoría cuenta con un servicio de consulta y asesoramiento para particulares, empleadores privados y públicos y autoridades públicas, y tiene funciones de apoyo y asesoramiento exclusivamente, dado que ya no se ocupa de denuncias de casos individuales, por lo que es la institución más indicada para dar orientación y asistencia jurídicas en casos de discriminación. También tiene competencia para:</w:t>
      </w:r>
    </w:p>
    <w:p w14:paraId="7D0680B2" w14:textId="340EE248" w:rsidR="0007717F" w:rsidRPr="0007717F" w:rsidRDefault="0007717F" w:rsidP="0007717F">
      <w:pPr>
        <w:pStyle w:val="SingleTxt"/>
        <w:tabs>
          <w:tab w:val="right" w:pos="1685"/>
        </w:tabs>
        <w:ind w:left="1742" w:hanging="475"/>
        <w:rPr>
          <w:lang w:val="es-ES_tradnl"/>
        </w:rPr>
      </w:pPr>
      <w:r>
        <w:rPr>
          <w:lang w:val="es-ES_tradnl"/>
        </w:rPr>
        <w:tab/>
        <w:t>•</w:t>
      </w:r>
      <w:r w:rsidRPr="0007717F">
        <w:rPr>
          <w:lang w:val="es-ES_tradnl"/>
        </w:rPr>
        <w:tab/>
        <w:t xml:space="preserve">Llevar los casos de discriminación ante los tribunales; </w:t>
      </w:r>
    </w:p>
    <w:p w14:paraId="7D8416C2" w14:textId="29F3FB64" w:rsidR="0007717F" w:rsidRPr="0007717F" w:rsidRDefault="0007717F" w:rsidP="0007717F">
      <w:pPr>
        <w:pStyle w:val="SingleTxt"/>
        <w:tabs>
          <w:tab w:val="right" w:pos="1685"/>
        </w:tabs>
        <w:ind w:left="1742" w:hanging="475"/>
        <w:rPr>
          <w:lang w:val="es-ES_tradnl"/>
        </w:rPr>
      </w:pPr>
      <w:r>
        <w:rPr>
          <w:lang w:val="es-ES_tradnl"/>
        </w:rPr>
        <w:tab/>
      </w:r>
      <w:r w:rsidRPr="0007717F">
        <w:rPr>
          <w:lang w:val="es-ES_tradnl"/>
        </w:rPr>
        <w:t>•</w:t>
      </w:r>
      <w:r w:rsidRPr="0007717F">
        <w:rPr>
          <w:lang w:val="es-ES_tradnl"/>
        </w:rPr>
        <w:tab/>
        <w:t>Iniciar acciones judiciales estratégicas y remitir casos a instituciones y tribunales;</w:t>
      </w:r>
    </w:p>
    <w:p w14:paraId="4F6A1879" w14:textId="0FFFE327" w:rsidR="0007717F" w:rsidRPr="0007717F" w:rsidRDefault="0007717F" w:rsidP="0007717F">
      <w:pPr>
        <w:pStyle w:val="SingleTxt"/>
        <w:tabs>
          <w:tab w:val="right" w:pos="1685"/>
        </w:tabs>
        <w:ind w:left="1742" w:hanging="475"/>
        <w:rPr>
          <w:lang w:val="es-ES_tradnl"/>
        </w:rPr>
      </w:pPr>
      <w:r>
        <w:rPr>
          <w:lang w:val="es-ES_tradnl"/>
        </w:rPr>
        <w:tab/>
      </w:r>
      <w:r w:rsidRPr="0007717F">
        <w:rPr>
          <w:lang w:val="es-ES_tradnl"/>
        </w:rPr>
        <w:t>•</w:t>
      </w:r>
      <w:r w:rsidRPr="0007717F">
        <w:rPr>
          <w:lang w:val="es-ES_tradnl"/>
        </w:rPr>
        <w:tab/>
        <w:t>Ser parte coadyuvante en los casos de discriminación;</w:t>
      </w:r>
    </w:p>
    <w:p w14:paraId="3439A782" w14:textId="66BA0F01" w:rsidR="0007717F" w:rsidRPr="0007717F" w:rsidRDefault="0007717F" w:rsidP="0007717F">
      <w:pPr>
        <w:pStyle w:val="SingleTxt"/>
        <w:tabs>
          <w:tab w:val="right" w:pos="1685"/>
        </w:tabs>
        <w:ind w:left="1742" w:hanging="475"/>
        <w:rPr>
          <w:lang w:val="es-ES_tradnl"/>
        </w:rPr>
      </w:pPr>
      <w:r>
        <w:rPr>
          <w:lang w:val="es-ES_tradnl"/>
        </w:rPr>
        <w:tab/>
      </w:r>
      <w:r w:rsidRPr="0007717F">
        <w:rPr>
          <w:lang w:val="es-ES_tradnl"/>
        </w:rPr>
        <w:t>•</w:t>
      </w:r>
      <w:r w:rsidRPr="0007717F">
        <w:rPr>
          <w:lang w:val="es-ES_tradnl"/>
        </w:rPr>
        <w:tab/>
        <w:t>Presentar comunicaciones escritas en los procedimientos judiciales para exponer cuestiones de interés público;</w:t>
      </w:r>
    </w:p>
    <w:p w14:paraId="22DBFFFE" w14:textId="0ADE9047" w:rsidR="0007717F" w:rsidRPr="0007717F" w:rsidRDefault="0007717F" w:rsidP="0007717F">
      <w:pPr>
        <w:pStyle w:val="SingleTxt"/>
        <w:tabs>
          <w:tab w:val="right" w:pos="1685"/>
        </w:tabs>
        <w:ind w:left="1742" w:hanging="475"/>
        <w:rPr>
          <w:lang w:val="es-ES_tradnl"/>
        </w:rPr>
      </w:pPr>
      <w:r>
        <w:rPr>
          <w:lang w:val="es-ES_tradnl"/>
        </w:rPr>
        <w:tab/>
      </w:r>
      <w:r w:rsidRPr="0007717F">
        <w:rPr>
          <w:lang w:val="es-ES_tradnl"/>
        </w:rPr>
        <w:t>•</w:t>
      </w:r>
      <w:r w:rsidRPr="0007717F">
        <w:rPr>
          <w:lang w:val="es-ES_tradnl"/>
        </w:rPr>
        <w:tab/>
        <w:t>Ofrecer representación letrada a las personas que sean objeto de discriminación o intolerancia.</w:t>
      </w:r>
    </w:p>
    <w:p w14:paraId="6CF87DF9" w14:textId="2B711077" w:rsidR="0007717F" w:rsidRPr="0007717F" w:rsidRDefault="0007717F" w:rsidP="006C79BC">
      <w:pPr>
        <w:pStyle w:val="SingleTxt"/>
        <w:numPr>
          <w:ilvl w:val="0"/>
          <w:numId w:val="49"/>
        </w:numPr>
        <w:ind w:left="1267"/>
        <w:rPr>
          <w:lang w:val="es-ES_tradnl"/>
        </w:rPr>
      </w:pPr>
      <w:r w:rsidRPr="0007717F">
        <w:rPr>
          <w:lang w:val="es-ES_tradnl"/>
        </w:rPr>
        <w:t xml:space="preserve">El Tribunal de la Igualdad y la Lucha contra la Discriminación puede conceder reparación en casos de discriminación en la vida laboral. </w:t>
      </w:r>
    </w:p>
    <w:p w14:paraId="1405BD55" w14:textId="2B916452" w:rsidR="0007717F" w:rsidRPr="0007717F" w:rsidRDefault="0007717F" w:rsidP="006C79BC">
      <w:pPr>
        <w:pStyle w:val="SingleTxt"/>
        <w:numPr>
          <w:ilvl w:val="0"/>
          <w:numId w:val="49"/>
        </w:numPr>
        <w:ind w:left="1267"/>
        <w:rPr>
          <w:lang w:val="es-ES_tradnl"/>
        </w:rPr>
      </w:pPr>
      <w:r w:rsidRPr="0007717F">
        <w:rPr>
          <w:lang w:val="es-ES_tradnl"/>
        </w:rPr>
        <w:t xml:space="preserve">El 11 de junio de 2019, el Storting (Parlamento de Noruega) aprobó varias enmiendas a la Ley de la Defensoría de la Igualdad y la Lucha contra la Discriminación y la Ley de Igualdad y la Lucha contra la Discriminación que constituyeron un nuevo e importante avance en la política de igualdad de género. </w:t>
      </w:r>
    </w:p>
    <w:p w14:paraId="3B3D33BB" w14:textId="03C27562" w:rsidR="0007717F" w:rsidRPr="0007717F" w:rsidRDefault="0007717F" w:rsidP="006C79BC">
      <w:pPr>
        <w:pStyle w:val="SingleTxt"/>
        <w:numPr>
          <w:ilvl w:val="0"/>
          <w:numId w:val="49"/>
        </w:numPr>
        <w:ind w:left="1267"/>
        <w:rPr>
          <w:lang w:val="es-ES_tradnl"/>
        </w:rPr>
      </w:pPr>
      <w:r w:rsidRPr="0007717F">
        <w:rPr>
          <w:lang w:val="es-ES_tradnl"/>
        </w:rPr>
        <w:t xml:space="preserve">Esas modificaciones legislativas confieren al Tribunal contra la Discriminación competencia para conocer de los casos de acoso sexual y refuerzan la obligación de actuar y rendir cuentas de los empleadores y las autoridades. </w:t>
      </w:r>
    </w:p>
    <w:p w14:paraId="35F65C35" w14:textId="087608F4" w:rsidR="0007717F" w:rsidRPr="0007717F" w:rsidRDefault="0007717F" w:rsidP="006C79BC">
      <w:pPr>
        <w:pStyle w:val="SingleTxt"/>
        <w:numPr>
          <w:ilvl w:val="0"/>
          <w:numId w:val="49"/>
        </w:numPr>
        <w:ind w:left="1267"/>
        <w:rPr>
          <w:lang w:val="es-ES_tradnl"/>
        </w:rPr>
      </w:pPr>
      <w:r w:rsidRPr="0007717F">
        <w:rPr>
          <w:lang w:val="es-ES_tradnl"/>
        </w:rPr>
        <w:t>La Defensoría de la Igualdad y la Lucha contra la Discriminación realiza labores de orientación y vigilancia sobre la obligación de actuar y rendir cuentas de los agentes privados y públicos. Además, los servicios de asesoramiento y asistencia que brinda a quienes han sido objeto de acoso sexual se reforzarán y ampliarán. En el proyecto de presupuesto para 2020 se propone aumentar las asignaciones del Tribunal contra la Discriminación y la Defensoría de la Igualdad y la Lucha contra la Discriminación, entre otras cosas para que puedan aplicar las nuevas normas. Según el proyecto de presupuesto para 2020, el presupuesto combinado de ambas instituciones pasaría de 62.849.000 coronas noruegas en 2019 (unos 6,25 millones de euros) a 70.280.000 coronas noruegas en 2020 (unos 7 millones de euros), lo que supone un aumento de 7.431.000 coronas noruegas (aproximadamente 730.000 euros).</w:t>
      </w:r>
      <w:r w:rsidR="006C79BC">
        <w:rPr>
          <w:lang w:val="es-ES_tradnl"/>
        </w:rPr>
        <w:t xml:space="preserve"> </w:t>
      </w:r>
    </w:p>
    <w:p w14:paraId="473C3DD6" w14:textId="399445A9" w:rsidR="0007717F" w:rsidRDefault="002F4FBF" w:rsidP="003A39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Pr>
          <w:lang w:val="es-ES_tradnl"/>
        </w:rPr>
        <w:lastRenderedPageBreak/>
        <w:tab/>
      </w:r>
      <w:r w:rsidR="0007717F" w:rsidRPr="0007717F">
        <w:rPr>
          <w:lang w:val="es-ES_tradnl"/>
        </w:rPr>
        <w:tab/>
        <w:t>Información de seguimiento en relación con el párrafo 25 i) de las observaciones finales</w:t>
      </w:r>
    </w:p>
    <w:p w14:paraId="08413FA9" w14:textId="4A33F303" w:rsidR="002F4FBF" w:rsidRPr="002F4FBF" w:rsidRDefault="002F4FBF" w:rsidP="002F4FBF">
      <w:pPr>
        <w:pStyle w:val="SingleTxt"/>
        <w:spacing w:after="0" w:line="120" w:lineRule="exact"/>
        <w:rPr>
          <w:sz w:val="10"/>
          <w:lang w:val="es-ES_tradnl"/>
        </w:rPr>
      </w:pPr>
    </w:p>
    <w:p w14:paraId="6D1D19C0" w14:textId="55B4EE90" w:rsidR="0007717F" w:rsidRDefault="0007717F" w:rsidP="006C79BC">
      <w:pPr>
        <w:pStyle w:val="SingleTxt"/>
        <w:numPr>
          <w:ilvl w:val="0"/>
          <w:numId w:val="49"/>
        </w:numPr>
        <w:ind w:left="1267"/>
        <w:rPr>
          <w:lang w:val="es-ES_tradnl"/>
        </w:rPr>
      </w:pPr>
      <w:r w:rsidRPr="0007717F">
        <w:rPr>
          <w:lang w:val="es-ES_tradnl"/>
        </w:rPr>
        <w:t>La policía noruega dispone de diversos recursos para proteger a las personas que son víctimas de la violencia doméstica, como los dispositivos móviles de alerta para las víctimas, las prohibiciones de aproximación o comunicación, o la ocultación del domicilio. Desde 2013, las órdenes de alejamiento pueden ejecutarse con ayuda de medios de control electrónico como los dispositivos de rastreo de los agresores. En su directriz para el Ministerio Público de 2019, el Fiscal General afirmó que los fiscales eran demasiado reticentes a solicitar penas que entrañaran el uso de dispositivos de rastreo de los agresores e insistió en que lo hicieran más a menudo. Hasta junio de 2019, se habían aceptado 27 solicitudes de ese tipo de dispositivos. Por el momento, el uso de medios de control electrónico de los agresores solo puede autorizarse mediante sentencia judicial. En la actualidad, el Gobierno está estudiando la posibilidad de ampliarlo a las órdenes de alejamiento impuestas por la policía en virtud de la Ley de Procedimiento Penal. El Ministerio de Justicia y Seguridad Pública ha encargado al Instituto Noruego de Investigación Social NOVA que realice un análisis exhaustivo de las órdenes de alejamiento como medida de protección para determinar sus resultados, el uso que de ellas hace la policía y las medidas aplicadas en casos de incumplimiento.</w:t>
      </w:r>
    </w:p>
    <w:p w14:paraId="21123DB2" w14:textId="53D599C6" w:rsidR="002F4FBF" w:rsidRPr="002F4FBF" w:rsidRDefault="002F4FBF" w:rsidP="002F4FBF">
      <w:pPr>
        <w:pStyle w:val="SingleTxt"/>
        <w:spacing w:after="0" w:line="120" w:lineRule="exact"/>
        <w:rPr>
          <w:sz w:val="10"/>
          <w:lang w:val="es-ES_tradnl"/>
        </w:rPr>
      </w:pPr>
    </w:p>
    <w:p w14:paraId="1071C0E1" w14:textId="75A8A1DD" w:rsidR="0007717F" w:rsidRDefault="0007717F" w:rsidP="003A39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07717F">
        <w:rPr>
          <w:lang w:val="es-ES_tradnl"/>
        </w:rPr>
        <w:tab/>
      </w:r>
      <w:r w:rsidRPr="0007717F">
        <w:rPr>
          <w:lang w:val="es-ES_tradnl"/>
        </w:rPr>
        <w:tab/>
        <w:t>Información de seguimiento en relación con el párrafo 41 de las observaciones finales</w:t>
      </w:r>
    </w:p>
    <w:p w14:paraId="61569651" w14:textId="51D18528" w:rsidR="002F4FBF" w:rsidRPr="002F4FBF" w:rsidRDefault="002F4FBF" w:rsidP="002F4FBF">
      <w:pPr>
        <w:pStyle w:val="SingleTxt"/>
        <w:spacing w:after="0" w:line="120" w:lineRule="exact"/>
        <w:rPr>
          <w:sz w:val="10"/>
          <w:lang w:val="es-ES_tradnl"/>
        </w:rPr>
      </w:pPr>
    </w:p>
    <w:p w14:paraId="77014164" w14:textId="1930F3AA" w:rsidR="0007717F" w:rsidRPr="0007717F" w:rsidRDefault="0007717F" w:rsidP="006C79BC">
      <w:pPr>
        <w:pStyle w:val="SingleTxt"/>
        <w:numPr>
          <w:ilvl w:val="0"/>
          <w:numId w:val="49"/>
        </w:numPr>
        <w:ind w:left="1267"/>
        <w:rPr>
          <w:iCs/>
          <w:lang w:val="es-ES_tradnl"/>
        </w:rPr>
      </w:pPr>
      <w:r w:rsidRPr="0007717F">
        <w:rPr>
          <w:lang w:val="es-ES_tradnl"/>
        </w:rPr>
        <w:t>Las cifras de la Dirección de Trabajo y Bienestar muestran con toda claridad que entre los ancianos de Noruega que perciben la pensión mínima hay mayor proporción de mujeres (véase el cuadro siguiente). Las cifras también muestran que esa proporción ha disminuido del 37,1 % en 2012 al 26,8 % en 2019.</w:t>
      </w:r>
    </w:p>
    <w:p w14:paraId="33DF58CC" w14:textId="13F71EC5" w:rsidR="0007717F" w:rsidRPr="002F4FBF" w:rsidRDefault="0007717F" w:rsidP="002F4FBF">
      <w:pPr>
        <w:pStyle w:val="SingleTxt"/>
        <w:spacing w:after="0" w:line="120" w:lineRule="exact"/>
        <w:rPr>
          <w:sz w:val="10"/>
          <w:lang w:val="es-ES_tradnl"/>
        </w:rPr>
      </w:pPr>
    </w:p>
    <w:p w14:paraId="0A6439CC" w14:textId="497F75B5" w:rsidR="002F4FBF" w:rsidRDefault="002F4FBF" w:rsidP="003A39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ES_tradnl"/>
        </w:rPr>
      </w:pPr>
      <w:r>
        <w:rPr>
          <w:lang w:val="es-ES_tradnl"/>
        </w:rPr>
        <w:tab/>
      </w:r>
      <w:r>
        <w:rPr>
          <w:lang w:val="es-ES_tradnl"/>
        </w:rPr>
        <w:tab/>
      </w:r>
      <w:r w:rsidRPr="002F4FBF">
        <w:rPr>
          <w:lang w:val="es-ES_tradnl"/>
        </w:rPr>
        <w:t>Porcentaje de hombres y mujeres que perciben la pensión mínima. Junio de 2012–2019</w:t>
      </w:r>
    </w:p>
    <w:p w14:paraId="0A93082C" w14:textId="45E2BC7C" w:rsidR="002F4FBF" w:rsidRPr="003A39F7" w:rsidRDefault="002F4FBF" w:rsidP="003A39F7">
      <w:pPr>
        <w:pStyle w:val="SingleTxt"/>
        <w:spacing w:after="0" w:line="120" w:lineRule="exact"/>
        <w:rPr>
          <w:sz w:val="10"/>
          <w:lang w:val="es-ES_tradnl"/>
        </w:rPr>
      </w:pPr>
    </w:p>
    <w:p w14:paraId="2665AAB4" w14:textId="77777777" w:rsidR="003A39F7" w:rsidRPr="002F4FBF" w:rsidRDefault="003A39F7" w:rsidP="002F4FBF">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2476"/>
        <w:gridCol w:w="2476"/>
        <w:gridCol w:w="2476"/>
      </w:tblGrid>
      <w:tr w:rsidR="002F4FBF" w:rsidRPr="002F4FBF" w14:paraId="4C592DCC" w14:textId="77777777" w:rsidTr="002F4FBF">
        <w:trPr>
          <w:tblHeader/>
        </w:trPr>
        <w:tc>
          <w:tcPr>
            <w:tcW w:w="2476" w:type="dxa"/>
            <w:tcBorders>
              <w:top w:val="single" w:sz="4" w:space="0" w:color="auto"/>
              <w:bottom w:val="single" w:sz="12" w:space="0" w:color="auto"/>
            </w:tcBorders>
            <w:shd w:val="clear" w:color="auto" w:fill="auto"/>
            <w:vAlign w:val="bottom"/>
          </w:tcPr>
          <w:p w14:paraId="1035BEC5" w14:textId="54A5FFD8" w:rsidR="002F4FBF" w:rsidRPr="002F4FBF" w:rsidRDefault="002F4FBF" w:rsidP="002F4FBF">
            <w:pPr>
              <w:tabs>
                <w:tab w:val="left" w:pos="288"/>
                <w:tab w:val="left" w:pos="576"/>
                <w:tab w:val="left" w:pos="864"/>
                <w:tab w:val="left" w:pos="1152"/>
              </w:tabs>
              <w:spacing w:before="80" w:after="80" w:line="160" w:lineRule="exact"/>
              <w:ind w:right="40"/>
              <w:rPr>
                <w:i/>
                <w:sz w:val="14"/>
                <w:lang w:val="es-ES_tradnl"/>
              </w:rPr>
            </w:pPr>
            <w:r w:rsidRPr="002F4FBF">
              <w:rPr>
                <w:i/>
                <w:sz w:val="14"/>
                <w:lang w:val="es-ES_tradnl"/>
              </w:rPr>
              <w:t>Año</w:t>
            </w:r>
          </w:p>
        </w:tc>
        <w:tc>
          <w:tcPr>
            <w:tcW w:w="2476" w:type="dxa"/>
            <w:tcBorders>
              <w:top w:val="single" w:sz="4" w:space="0" w:color="auto"/>
              <w:bottom w:val="single" w:sz="12" w:space="0" w:color="auto"/>
            </w:tcBorders>
            <w:shd w:val="clear" w:color="auto" w:fill="auto"/>
            <w:vAlign w:val="bottom"/>
          </w:tcPr>
          <w:p w14:paraId="78E44B2D" w14:textId="3C7E8FFC" w:rsidR="002F4FBF" w:rsidRPr="002F4FBF" w:rsidRDefault="002F4FBF" w:rsidP="002F4FBF">
            <w:pPr>
              <w:tabs>
                <w:tab w:val="left" w:pos="288"/>
                <w:tab w:val="left" w:pos="576"/>
                <w:tab w:val="left" w:pos="864"/>
                <w:tab w:val="left" w:pos="1152"/>
              </w:tabs>
              <w:spacing w:before="80" w:after="80" w:line="160" w:lineRule="exact"/>
              <w:ind w:right="40"/>
              <w:jc w:val="right"/>
              <w:rPr>
                <w:i/>
                <w:sz w:val="14"/>
                <w:lang w:val="es-ES_tradnl"/>
              </w:rPr>
            </w:pPr>
            <w:r w:rsidRPr="002F4FBF">
              <w:rPr>
                <w:i/>
                <w:sz w:val="14"/>
                <w:lang w:val="es-ES_tradnl"/>
              </w:rPr>
              <w:t>Hombres</w:t>
            </w:r>
          </w:p>
        </w:tc>
        <w:tc>
          <w:tcPr>
            <w:tcW w:w="2476" w:type="dxa"/>
            <w:tcBorders>
              <w:top w:val="single" w:sz="4" w:space="0" w:color="auto"/>
              <w:bottom w:val="single" w:sz="12" w:space="0" w:color="auto"/>
            </w:tcBorders>
            <w:shd w:val="clear" w:color="auto" w:fill="auto"/>
            <w:vAlign w:val="bottom"/>
          </w:tcPr>
          <w:p w14:paraId="692505B7" w14:textId="11670DC3" w:rsidR="002F4FBF" w:rsidRPr="002F4FBF" w:rsidRDefault="002F4FBF" w:rsidP="002F4FBF">
            <w:pPr>
              <w:tabs>
                <w:tab w:val="left" w:pos="288"/>
                <w:tab w:val="left" w:pos="576"/>
                <w:tab w:val="left" w:pos="864"/>
                <w:tab w:val="left" w:pos="1152"/>
              </w:tabs>
              <w:spacing w:before="80" w:after="80" w:line="160" w:lineRule="exact"/>
              <w:ind w:right="40"/>
              <w:jc w:val="right"/>
              <w:rPr>
                <w:i/>
                <w:sz w:val="14"/>
                <w:lang w:val="es-ES_tradnl"/>
              </w:rPr>
            </w:pPr>
            <w:r w:rsidRPr="002F4FBF">
              <w:rPr>
                <w:i/>
                <w:sz w:val="14"/>
                <w:lang w:val="es-ES_tradnl"/>
              </w:rPr>
              <w:t>Mujeres</w:t>
            </w:r>
          </w:p>
        </w:tc>
      </w:tr>
      <w:tr w:rsidR="002F4FBF" w:rsidRPr="002F4FBF" w14:paraId="45BDBC70" w14:textId="77777777" w:rsidTr="002F4FBF">
        <w:trPr>
          <w:trHeight w:hRule="exact" w:val="115"/>
          <w:tblHeader/>
        </w:trPr>
        <w:tc>
          <w:tcPr>
            <w:tcW w:w="2476" w:type="dxa"/>
            <w:tcBorders>
              <w:top w:val="single" w:sz="12" w:space="0" w:color="auto"/>
            </w:tcBorders>
            <w:shd w:val="clear" w:color="auto" w:fill="auto"/>
            <w:vAlign w:val="bottom"/>
          </w:tcPr>
          <w:p w14:paraId="2EE34AE9" w14:textId="77777777" w:rsidR="002F4FBF" w:rsidRPr="002F4FBF" w:rsidRDefault="002F4FBF" w:rsidP="002F4FBF">
            <w:pPr>
              <w:tabs>
                <w:tab w:val="left" w:pos="288"/>
                <w:tab w:val="left" w:pos="576"/>
                <w:tab w:val="left" w:pos="864"/>
                <w:tab w:val="left" w:pos="1152"/>
              </w:tabs>
              <w:spacing w:before="40" w:after="40" w:line="210" w:lineRule="exact"/>
              <w:ind w:right="40"/>
              <w:rPr>
                <w:sz w:val="17"/>
                <w:lang w:val="es-ES_tradnl"/>
              </w:rPr>
            </w:pPr>
          </w:p>
        </w:tc>
        <w:tc>
          <w:tcPr>
            <w:tcW w:w="2476" w:type="dxa"/>
            <w:tcBorders>
              <w:top w:val="single" w:sz="12" w:space="0" w:color="auto"/>
            </w:tcBorders>
            <w:shd w:val="clear" w:color="auto" w:fill="auto"/>
            <w:vAlign w:val="bottom"/>
          </w:tcPr>
          <w:p w14:paraId="60BDAA74" w14:textId="77777777" w:rsidR="002F4FBF" w:rsidRPr="002F4FBF" w:rsidRDefault="002F4FBF" w:rsidP="002F4FBF">
            <w:pPr>
              <w:tabs>
                <w:tab w:val="left" w:pos="288"/>
                <w:tab w:val="left" w:pos="576"/>
                <w:tab w:val="left" w:pos="864"/>
                <w:tab w:val="left" w:pos="1152"/>
              </w:tabs>
              <w:spacing w:before="40" w:after="40" w:line="210" w:lineRule="exact"/>
              <w:ind w:right="40"/>
              <w:jc w:val="right"/>
              <w:rPr>
                <w:sz w:val="17"/>
                <w:lang w:val="es-ES_tradnl"/>
              </w:rPr>
            </w:pPr>
          </w:p>
        </w:tc>
        <w:tc>
          <w:tcPr>
            <w:tcW w:w="2476" w:type="dxa"/>
            <w:tcBorders>
              <w:top w:val="single" w:sz="12" w:space="0" w:color="auto"/>
            </w:tcBorders>
            <w:shd w:val="clear" w:color="auto" w:fill="auto"/>
            <w:vAlign w:val="bottom"/>
          </w:tcPr>
          <w:p w14:paraId="67410DDD" w14:textId="77777777" w:rsidR="002F4FBF" w:rsidRPr="002F4FBF" w:rsidRDefault="002F4FBF" w:rsidP="002F4FBF">
            <w:pPr>
              <w:tabs>
                <w:tab w:val="left" w:pos="288"/>
                <w:tab w:val="left" w:pos="576"/>
                <w:tab w:val="left" w:pos="864"/>
                <w:tab w:val="left" w:pos="1152"/>
              </w:tabs>
              <w:spacing w:before="40" w:after="40" w:line="210" w:lineRule="exact"/>
              <w:ind w:right="40"/>
              <w:jc w:val="right"/>
              <w:rPr>
                <w:sz w:val="17"/>
                <w:lang w:val="es-ES_tradnl"/>
              </w:rPr>
            </w:pPr>
          </w:p>
        </w:tc>
      </w:tr>
      <w:tr w:rsidR="002F4FBF" w:rsidRPr="002F4FBF" w14:paraId="552EB957" w14:textId="77777777" w:rsidTr="002F4FBF">
        <w:tc>
          <w:tcPr>
            <w:tcW w:w="2476" w:type="dxa"/>
            <w:shd w:val="clear" w:color="auto" w:fill="auto"/>
            <w:vAlign w:val="bottom"/>
          </w:tcPr>
          <w:p w14:paraId="143ECFAB" w14:textId="5F77B9DB" w:rsidR="002F4FBF" w:rsidRPr="002F4FBF" w:rsidRDefault="002F4FBF" w:rsidP="002F4FBF">
            <w:pPr>
              <w:tabs>
                <w:tab w:val="left" w:pos="288"/>
                <w:tab w:val="left" w:pos="576"/>
                <w:tab w:val="left" w:pos="864"/>
                <w:tab w:val="left" w:pos="1152"/>
              </w:tabs>
              <w:spacing w:before="40" w:after="40" w:line="210" w:lineRule="exact"/>
              <w:ind w:right="40"/>
              <w:rPr>
                <w:sz w:val="17"/>
                <w:lang w:val="es-ES_tradnl"/>
              </w:rPr>
            </w:pPr>
            <w:r w:rsidRPr="002F4FBF">
              <w:rPr>
                <w:sz w:val="17"/>
                <w:lang w:val="es-ES_tradnl"/>
              </w:rPr>
              <w:t xml:space="preserve">2012 </w:t>
            </w:r>
          </w:p>
        </w:tc>
        <w:tc>
          <w:tcPr>
            <w:tcW w:w="2476" w:type="dxa"/>
            <w:shd w:val="clear" w:color="auto" w:fill="auto"/>
            <w:vAlign w:val="bottom"/>
          </w:tcPr>
          <w:p w14:paraId="48B17D75" w14:textId="69A187B8" w:rsidR="002F4FBF" w:rsidRPr="002F4FBF" w:rsidRDefault="002F4FBF" w:rsidP="002F4FBF">
            <w:pPr>
              <w:tabs>
                <w:tab w:val="left" w:pos="288"/>
                <w:tab w:val="left" w:pos="576"/>
                <w:tab w:val="left" w:pos="864"/>
                <w:tab w:val="left" w:pos="1152"/>
              </w:tabs>
              <w:spacing w:before="40" w:after="40" w:line="210" w:lineRule="exact"/>
              <w:ind w:right="40"/>
              <w:jc w:val="right"/>
              <w:rPr>
                <w:sz w:val="17"/>
                <w:lang w:val="es-ES_tradnl"/>
              </w:rPr>
            </w:pPr>
            <w:r w:rsidRPr="002F4FBF">
              <w:rPr>
                <w:sz w:val="17"/>
                <w:lang w:val="es-ES_tradnl"/>
              </w:rPr>
              <w:t>6</w:t>
            </w:r>
            <w:r w:rsidR="003A39F7">
              <w:rPr>
                <w:sz w:val="17"/>
                <w:lang w:val="es-ES_tradnl"/>
              </w:rPr>
              <w:t>,</w:t>
            </w:r>
            <w:r w:rsidRPr="002F4FBF">
              <w:rPr>
                <w:sz w:val="17"/>
                <w:lang w:val="es-ES_tradnl"/>
              </w:rPr>
              <w:t>1</w:t>
            </w:r>
          </w:p>
        </w:tc>
        <w:tc>
          <w:tcPr>
            <w:tcW w:w="2476" w:type="dxa"/>
            <w:shd w:val="clear" w:color="auto" w:fill="auto"/>
            <w:vAlign w:val="bottom"/>
          </w:tcPr>
          <w:p w14:paraId="5C26BD08" w14:textId="65BD7F51" w:rsidR="002F4FBF" w:rsidRPr="002F4FBF" w:rsidRDefault="002F4FBF" w:rsidP="002F4FBF">
            <w:pPr>
              <w:tabs>
                <w:tab w:val="left" w:pos="288"/>
                <w:tab w:val="left" w:pos="576"/>
                <w:tab w:val="left" w:pos="864"/>
                <w:tab w:val="left" w:pos="1152"/>
              </w:tabs>
              <w:spacing w:before="40" w:after="40" w:line="210" w:lineRule="exact"/>
              <w:ind w:right="40"/>
              <w:jc w:val="right"/>
              <w:rPr>
                <w:sz w:val="17"/>
                <w:lang w:val="es-ES_tradnl"/>
              </w:rPr>
            </w:pPr>
            <w:r w:rsidRPr="002F4FBF">
              <w:rPr>
                <w:sz w:val="17"/>
                <w:lang w:val="es-ES_tradnl"/>
              </w:rPr>
              <w:t>37</w:t>
            </w:r>
            <w:r w:rsidR="003A39F7">
              <w:rPr>
                <w:sz w:val="17"/>
                <w:lang w:val="es-ES_tradnl"/>
              </w:rPr>
              <w:t>,</w:t>
            </w:r>
            <w:r w:rsidRPr="002F4FBF">
              <w:rPr>
                <w:sz w:val="17"/>
                <w:lang w:val="es-ES_tradnl"/>
              </w:rPr>
              <w:t>1</w:t>
            </w:r>
          </w:p>
        </w:tc>
      </w:tr>
      <w:tr w:rsidR="002F4FBF" w:rsidRPr="002F4FBF" w14:paraId="3421CA37" w14:textId="77777777" w:rsidTr="002F4FBF">
        <w:tc>
          <w:tcPr>
            <w:tcW w:w="2476" w:type="dxa"/>
            <w:shd w:val="clear" w:color="auto" w:fill="auto"/>
            <w:vAlign w:val="bottom"/>
          </w:tcPr>
          <w:p w14:paraId="7C892BD9" w14:textId="74DA11ED" w:rsidR="002F4FBF" w:rsidRPr="002F4FBF" w:rsidRDefault="002F4FBF" w:rsidP="002F4FBF">
            <w:pPr>
              <w:tabs>
                <w:tab w:val="left" w:pos="288"/>
                <w:tab w:val="left" w:pos="576"/>
                <w:tab w:val="left" w:pos="864"/>
                <w:tab w:val="left" w:pos="1152"/>
              </w:tabs>
              <w:spacing w:before="40" w:after="40" w:line="210" w:lineRule="exact"/>
              <w:ind w:right="40"/>
              <w:rPr>
                <w:sz w:val="17"/>
                <w:lang w:val="es-ES_tradnl"/>
              </w:rPr>
            </w:pPr>
            <w:r w:rsidRPr="002F4FBF">
              <w:rPr>
                <w:sz w:val="17"/>
                <w:lang w:val="es-ES_tradnl"/>
              </w:rPr>
              <w:t xml:space="preserve">2013 </w:t>
            </w:r>
          </w:p>
        </w:tc>
        <w:tc>
          <w:tcPr>
            <w:tcW w:w="2476" w:type="dxa"/>
            <w:shd w:val="clear" w:color="auto" w:fill="auto"/>
            <w:vAlign w:val="bottom"/>
          </w:tcPr>
          <w:p w14:paraId="35641D97" w14:textId="360A76EC" w:rsidR="002F4FBF" w:rsidRPr="002F4FBF" w:rsidRDefault="002F4FBF" w:rsidP="002F4FBF">
            <w:pPr>
              <w:tabs>
                <w:tab w:val="left" w:pos="288"/>
                <w:tab w:val="left" w:pos="576"/>
                <w:tab w:val="left" w:pos="864"/>
                <w:tab w:val="left" w:pos="1152"/>
              </w:tabs>
              <w:spacing w:before="40" w:after="40" w:line="210" w:lineRule="exact"/>
              <w:ind w:right="40"/>
              <w:jc w:val="right"/>
              <w:rPr>
                <w:sz w:val="17"/>
                <w:lang w:val="es-ES_tradnl"/>
              </w:rPr>
            </w:pPr>
            <w:r w:rsidRPr="002F4FBF">
              <w:rPr>
                <w:sz w:val="17"/>
                <w:lang w:val="es-ES_tradnl"/>
              </w:rPr>
              <w:t>5</w:t>
            </w:r>
            <w:r w:rsidR="003A39F7">
              <w:rPr>
                <w:sz w:val="17"/>
                <w:lang w:val="es-ES_tradnl"/>
              </w:rPr>
              <w:t>,</w:t>
            </w:r>
            <w:r w:rsidRPr="002F4FBF">
              <w:rPr>
                <w:sz w:val="17"/>
                <w:lang w:val="es-ES_tradnl"/>
              </w:rPr>
              <w:t>5</w:t>
            </w:r>
          </w:p>
        </w:tc>
        <w:tc>
          <w:tcPr>
            <w:tcW w:w="2476" w:type="dxa"/>
            <w:shd w:val="clear" w:color="auto" w:fill="auto"/>
            <w:vAlign w:val="bottom"/>
          </w:tcPr>
          <w:p w14:paraId="5CD00A23" w14:textId="548A410F" w:rsidR="002F4FBF" w:rsidRPr="002F4FBF" w:rsidRDefault="002F4FBF" w:rsidP="002F4FBF">
            <w:pPr>
              <w:tabs>
                <w:tab w:val="left" w:pos="288"/>
                <w:tab w:val="left" w:pos="576"/>
                <w:tab w:val="left" w:pos="864"/>
                <w:tab w:val="left" w:pos="1152"/>
              </w:tabs>
              <w:spacing w:before="40" w:after="40" w:line="210" w:lineRule="exact"/>
              <w:ind w:right="40"/>
              <w:jc w:val="right"/>
              <w:rPr>
                <w:sz w:val="17"/>
                <w:lang w:val="es-ES_tradnl"/>
              </w:rPr>
            </w:pPr>
            <w:r w:rsidRPr="002F4FBF">
              <w:rPr>
                <w:sz w:val="17"/>
                <w:lang w:val="es-ES_tradnl"/>
              </w:rPr>
              <w:t>34</w:t>
            </w:r>
            <w:r w:rsidR="003A39F7">
              <w:rPr>
                <w:sz w:val="17"/>
                <w:lang w:val="es-ES_tradnl"/>
              </w:rPr>
              <w:t>,</w:t>
            </w:r>
            <w:r w:rsidRPr="002F4FBF">
              <w:rPr>
                <w:sz w:val="17"/>
                <w:lang w:val="es-ES_tradnl"/>
              </w:rPr>
              <w:t>3</w:t>
            </w:r>
          </w:p>
        </w:tc>
      </w:tr>
      <w:tr w:rsidR="002F4FBF" w:rsidRPr="002F4FBF" w14:paraId="13FC92C0" w14:textId="77777777" w:rsidTr="002F4FBF">
        <w:tc>
          <w:tcPr>
            <w:tcW w:w="2476" w:type="dxa"/>
            <w:shd w:val="clear" w:color="auto" w:fill="auto"/>
            <w:vAlign w:val="bottom"/>
          </w:tcPr>
          <w:p w14:paraId="0F57703B" w14:textId="2E3D60F3" w:rsidR="002F4FBF" w:rsidRPr="002F4FBF" w:rsidRDefault="002F4FBF" w:rsidP="002F4FBF">
            <w:pPr>
              <w:tabs>
                <w:tab w:val="left" w:pos="288"/>
                <w:tab w:val="left" w:pos="576"/>
                <w:tab w:val="left" w:pos="864"/>
                <w:tab w:val="left" w:pos="1152"/>
              </w:tabs>
              <w:spacing w:before="40" w:after="40" w:line="210" w:lineRule="exact"/>
              <w:ind w:right="40"/>
              <w:rPr>
                <w:sz w:val="17"/>
                <w:lang w:val="es-ES_tradnl"/>
              </w:rPr>
            </w:pPr>
            <w:r w:rsidRPr="002F4FBF">
              <w:rPr>
                <w:sz w:val="17"/>
                <w:lang w:val="es-ES_tradnl"/>
              </w:rPr>
              <w:t xml:space="preserve">2014 </w:t>
            </w:r>
          </w:p>
        </w:tc>
        <w:tc>
          <w:tcPr>
            <w:tcW w:w="2476" w:type="dxa"/>
            <w:shd w:val="clear" w:color="auto" w:fill="auto"/>
            <w:vAlign w:val="bottom"/>
          </w:tcPr>
          <w:p w14:paraId="28794F84" w14:textId="1D9D9486" w:rsidR="002F4FBF" w:rsidRPr="002F4FBF" w:rsidRDefault="002F4FBF" w:rsidP="002F4FBF">
            <w:pPr>
              <w:tabs>
                <w:tab w:val="left" w:pos="288"/>
                <w:tab w:val="left" w:pos="576"/>
                <w:tab w:val="left" w:pos="864"/>
                <w:tab w:val="left" w:pos="1152"/>
              </w:tabs>
              <w:spacing w:before="40" w:after="40" w:line="210" w:lineRule="exact"/>
              <w:ind w:right="40"/>
              <w:jc w:val="right"/>
              <w:rPr>
                <w:sz w:val="17"/>
                <w:lang w:val="es-ES_tradnl"/>
              </w:rPr>
            </w:pPr>
            <w:r w:rsidRPr="002F4FBF">
              <w:rPr>
                <w:sz w:val="17"/>
                <w:lang w:val="es-ES_tradnl"/>
              </w:rPr>
              <w:t>5</w:t>
            </w:r>
            <w:r w:rsidR="003A39F7">
              <w:rPr>
                <w:sz w:val="17"/>
                <w:lang w:val="es-ES_tradnl"/>
              </w:rPr>
              <w:t>,</w:t>
            </w:r>
            <w:r w:rsidRPr="002F4FBF">
              <w:rPr>
                <w:sz w:val="17"/>
                <w:lang w:val="es-ES_tradnl"/>
              </w:rPr>
              <w:t>0</w:t>
            </w:r>
          </w:p>
        </w:tc>
        <w:tc>
          <w:tcPr>
            <w:tcW w:w="2476" w:type="dxa"/>
            <w:shd w:val="clear" w:color="auto" w:fill="auto"/>
            <w:vAlign w:val="bottom"/>
          </w:tcPr>
          <w:p w14:paraId="50EC4AC0" w14:textId="5A0CC525" w:rsidR="002F4FBF" w:rsidRPr="002F4FBF" w:rsidRDefault="002F4FBF" w:rsidP="002F4FBF">
            <w:pPr>
              <w:tabs>
                <w:tab w:val="left" w:pos="288"/>
                <w:tab w:val="left" w:pos="576"/>
                <w:tab w:val="left" w:pos="864"/>
                <w:tab w:val="left" w:pos="1152"/>
              </w:tabs>
              <w:spacing w:before="40" w:after="40" w:line="210" w:lineRule="exact"/>
              <w:ind w:right="40"/>
              <w:jc w:val="right"/>
              <w:rPr>
                <w:sz w:val="17"/>
                <w:lang w:val="es-ES_tradnl"/>
              </w:rPr>
            </w:pPr>
            <w:r w:rsidRPr="002F4FBF">
              <w:rPr>
                <w:sz w:val="17"/>
                <w:lang w:val="es-ES_tradnl"/>
              </w:rPr>
              <w:t>31</w:t>
            </w:r>
            <w:r w:rsidR="003A39F7">
              <w:rPr>
                <w:sz w:val="17"/>
                <w:lang w:val="es-ES_tradnl"/>
              </w:rPr>
              <w:t>,</w:t>
            </w:r>
            <w:r w:rsidRPr="002F4FBF">
              <w:rPr>
                <w:sz w:val="17"/>
                <w:lang w:val="es-ES_tradnl"/>
              </w:rPr>
              <w:t>3</w:t>
            </w:r>
          </w:p>
        </w:tc>
      </w:tr>
      <w:tr w:rsidR="002F4FBF" w:rsidRPr="002F4FBF" w14:paraId="1DDE837A" w14:textId="77777777" w:rsidTr="002F4FBF">
        <w:tc>
          <w:tcPr>
            <w:tcW w:w="2476" w:type="dxa"/>
            <w:shd w:val="clear" w:color="auto" w:fill="auto"/>
            <w:vAlign w:val="bottom"/>
          </w:tcPr>
          <w:p w14:paraId="5B9691E9" w14:textId="56643E36" w:rsidR="002F4FBF" w:rsidRPr="002F4FBF" w:rsidRDefault="002F4FBF" w:rsidP="002F4FBF">
            <w:pPr>
              <w:tabs>
                <w:tab w:val="left" w:pos="288"/>
                <w:tab w:val="left" w:pos="576"/>
                <w:tab w:val="left" w:pos="864"/>
                <w:tab w:val="left" w:pos="1152"/>
              </w:tabs>
              <w:spacing w:before="40" w:after="40" w:line="210" w:lineRule="exact"/>
              <w:ind w:right="40"/>
              <w:rPr>
                <w:sz w:val="17"/>
                <w:lang w:val="es-ES_tradnl"/>
              </w:rPr>
            </w:pPr>
            <w:r w:rsidRPr="002F4FBF">
              <w:rPr>
                <w:sz w:val="17"/>
                <w:lang w:val="es-ES_tradnl"/>
              </w:rPr>
              <w:t xml:space="preserve">2015 </w:t>
            </w:r>
          </w:p>
        </w:tc>
        <w:tc>
          <w:tcPr>
            <w:tcW w:w="2476" w:type="dxa"/>
            <w:shd w:val="clear" w:color="auto" w:fill="auto"/>
            <w:vAlign w:val="bottom"/>
          </w:tcPr>
          <w:p w14:paraId="3A688065" w14:textId="4B60D59E" w:rsidR="002F4FBF" w:rsidRPr="002F4FBF" w:rsidRDefault="002F4FBF" w:rsidP="002F4FBF">
            <w:pPr>
              <w:tabs>
                <w:tab w:val="left" w:pos="288"/>
                <w:tab w:val="left" w:pos="576"/>
                <w:tab w:val="left" w:pos="864"/>
                <w:tab w:val="left" w:pos="1152"/>
              </w:tabs>
              <w:spacing w:before="40" w:after="40" w:line="210" w:lineRule="exact"/>
              <w:ind w:right="40"/>
              <w:jc w:val="right"/>
              <w:rPr>
                <w:sz w:val="17"/>
                <w:lang w:val="es-ES_tradnl"/>
              </w:rPr>
            </w:pPr>
            <w:r w:rsidRPr="002F4FBF">
              <w:rPr>
                <w:sz w:val="17"/>
                <w:lang w:val="es-ES_tradnl"/>
              </w:rPr>
              <w:t>4</w:t>
            </w:r>
            <w:r w:rsidR="003A39F7">
              <w:rPr>
                <w:sz w:val="17"/>
                <w:lang w:val="es-ES_tradnl"/>
              </w:rPr>
              <w:t>,</w:t>
            </w:r>
            <w:r w:rsidRPr="002F4FBF">
              <w:rPr>
                <w:sz w:val="17"/>
                <w:lang w:val="es-ES_tradnl"/>
              </w:rPr>
              <w:t>6</w:t>
            </w:r>
          </w:p>
        </w:tc>
        <w:tc>
          <w:tcPr>
            <w:tcW w:w="2476" w:type="dxa"/>
            <w:shd w:val="clear" w:color="auto" w:fill="auto"/>
            <w:vAlign w:val="bottom"/>
          </w:tcPr>
          <w:p w14:paraId="561279FB" w14:textId="7A2903C7" w:rsidR="002F4FBF" w:rsidRPr="002F4FBF" w:rsidRDefault="002F4FBF" w:rsidP="002F4FBF">
            <w:pPr>
              <w:tabs>
                <w:tab w:val="left" w:pos="288"/>
                <w:tab w:val="left" w:pos="576"/>
                <w:tab w:val="left" w:pos="864"/>
                <w:tab w:val="left" w:pos="1152"/>
              </w:tabs>
              <w:spacing w:before="40" w:after="40" w:line="210" w:lineRule="exact"/>
              <w:ind w:right="40"/>
              <w:jc w:val="right"/>
              <w:rPr>
                <w:sz w:val="17"/>
                <w:lang w:val="es-ES_tradnl"/>
              </w:rPr>
            </w:pPr>
            <w:r w:rsidRPr="002F4FBF">
              <w:rPr>
                <w:sz w:val="17"/>
                <w:lang w:val="es-ES_tradnl"/>
              </w:rPr>
              <w:t>28</w:t>
            </w:r>
            <w:r w:rsidR="003A39F7">
              <w:rPr>
                <w:sz w:val="17"/>
                <w:lang w:val="es-ES_tradnl"/>
              </w:rPr>
              <w:t>,</w:t>
            </w:r>
            <w:r w:rsidRPr="002F4FBF">
              <w:rPr>
                <w:sz w:val="17"/>
                <w:lang w:val="es-ES_tradnl"/>
              </w:rPr>
              <w:t>9</w:t>
            </w:r>
          </w:p>
        </w:tc>
      </w:tr>
      <w:tr w:rsidR="002F4FBF" w:rsidRPr="002F4FBF" w14:paraId="2ECDFBD6" w14:textId="77777777" w:rsidTr="002F4FBF">
        <w:tc>
          <w:tcPr>
            <w:tcW w:w="2476" w:type="dxa"/>
            <w:shd w:val="clear" w:color="auto" w:fill="auto"/>
            <w:vAlign w:val="bottom"/>
          </w:tcPr>
          <w:p w14:paraId="7C66AB5F" w14:textId="00F1AAB1" w:rsidR="002F4FBF" w:rsidRPr="002F4FBF" w:rsidRDefault="002F4FBF" w:rsidP="002F4FBF">
            <w:pPr>
              <w:tabs>
                <w:tab w:val="left" w:pos="288"/>
                <w:tab w:val="left" w:pos="576"/>
                <w:tab w:val="left" w:pos="864"/>
                <w:tab w:val="left" w:pos="1152"/>
              </w:tabs>
              <w:spacing w:before="40" w:after="40" w:line="210" w:lineRule="exact"/>
              <w:ind w:right="40"/>
              <w:rPr>
                <w:sz w:val="17"/>
                <w:lang w:val="es-ES_tradnl"/>
              </w:rPr>
            </w:pPr>
            <w:r w:rsidRPr="002F4FBF">
              <w:rPr>
                <w:sz w:val="17"/>
                <w:lang w:val="es-ES_tradnl"/>
              </w:rPr>
              <w:t xml:space="preserve">2016 </w:t>
            </w:r>
          </w:p>
        </w:tc>
        <w:tc>
          <w:tcPr>
            <w:tcW w:w="2476" w:type="dxa"/>
            <w:shd w:val="clear" w:color="auto" w:fill="auto"/>
            <w:vAlign w:val="bottom"/>
          </w:tcPr>
          <w:p w14:paraId="09C9435E" w14:textId="42DD038A" w:rsidR="002F4FBF" w:rsidRPr="002F4FBF" w:rsidRDefault="002F4FBF" w:rsidP="002F4FBF">
            <w:pPr>
              <w:tabs>
                <w:tab w:val="left" w:pos="288"/>
                <w:tab w:val="left" w:pos="576"/>
                <w:tab w:val="left" w:pos="864"/>
                <w:tab w:val="left" w:pos="1152"/>
              </w:tabs>
              <w:spacing w:before="40" w:after="40" w:line="210" w:lineRule="exact"/>
              <w:ind w:right="40"/>
              <w:jc w:val="right"/>
              <w:rPr>
                <w:sz w:val="17"/>
                <w:lang w:val="es-ES_tradnl"/>
              </w:rPr>
            </w:pPr>
            <w:r w:rsidRPr="002F4FBF">
              <w:rPr>
                <w:sz w:val="17"/>
                <w:lang w:val="es-ES_tradnl"/>
              </w:rPr>
              <w:t>4</w:t>
            </w:r>
            <w:r w:rsidR="003A39F7">
              <w:rPr>
                <w:sz w:val="17"/>
                <w:lang w:val="es-ES_tradnl"/>
              </w:rPr>
              <w:t>,</w:t>
            </w:r>
            <w:r w:rsidRPr="002F4FBF">
              <w:rPr>
                <w:sz w:val="17"/>
                <w:lang w:val="es-ES_tradnl"/>
              </w:rPr>
              <w:t>3</w:t>
            </w:r>
          </w:p>
        </w:tc>
        <w:tc>
          <w:tcPr>
            <w:tcW w:w="2476" w:type="dxa"/>
            <w:shd w:val="clear" w:color="auto" w:fill="auto"/>
            <w:vAlign w:val="bottom"/>
          </w:tcPr>
          <w:p w14:paraId="092A1756" w14:textId="585F25AC" w:rsidR="002F4FBF" w:rsidRPr="002F4FBF" w:rsidRDefault="002F4FBF" w:rsidP="002F4FBF">
            <w:pPr>
              <w:tabs>
                <w:tab w:val="left" w:pos="288"/>
                <w:tab w:val="left" w:pos="576"/>
                <w:tab w:val="left" w:pos="864"/>
                <w:tab w:val="left" w:pos="1152"/>
              </w:tabs>
              <w:spacing w:before="40" w:after="40" w:line="210" w:lineRule="exact"/>
              <w:ind w:right="40"/>
              <w:jc w:val="right"/>
              <w:rPr>
                <w:sz w:val="17"/>
                <w:lang w:val="es-ES_tradnl"/>
              </w:rPr>
            </w:pPr>
            <w:r w:rsidRPr="002F4FBF">
              <w:rPr>
                <w:sz w:val="17"/>
                <w:lang w:val="es-ES_tradnl"/>
              </w:rPr>
              <w:t>27</w:t>
            </w:r>
            <w:r w:rsidR="003A39F7">
              <w:rPr>
                <w:sz w:val="17"/>
                <w:lang w:val="es-ES_tradnl"/>
              </w:rPr>
              <w:t>,</w:t>
            </w:r>
            <w:r w:rsidRPr="002F4FBF">
              <w:rPr>
                <w:sz w:val="17"/>
                <w:lang w:val="es-ES_tradnl"/>
              </w:rPr>
              <w:t>1</w:t>
            </w:r>
          </w:p>
        </w:tc>
      </w:tr>
      <w:tr w:rsidR="002F4FBF" w:rsidRPr="002F4FBF" w14:paraId="048940BC" w14:textId="77777777" w:rsidTr="002F4FBF">
        <w:tc>
          <w:tcPr>
            <w:tcW w:w="2476" w:type="dxa"/>
            <w:shd w:val="clear" w:color="auto" w:fill="auto"/>
            <w:vAlign w:val="bottom"/>
          </w:tcPr>
          <w:p w14:paraId="2F43000F" w14:textId="26C4773A" w:rsidR="002F4FBF" w:rsidRPr="002F4FBF" w:rsidRDefault="002F4FBF" w:rsidP="002F4FBF">
            <w:pPr>
              <w:tabs>
                <w:tab w:val="left" w:pos="288"/>
                <w:tab w:val="left" w:pos="576"/>
                <w:tab w:val="left" w:pos="864"/>
                <w:tab w:val="left" w:pos="1152"/>
              </w:tabs>
              <w:spacing w:before="40" w:after="40" w:line="210" w:lineRule="exact"/>
              <w:ind w:right="40"/>
              <w:rPr>
                <w:sz w:val="17"/>
                <w:lang w:val="es-ES_tradnl"/>
              </w:rPr>
            </w:pPr>
            <w:r w:rsidRPr="002F4FBF">
              <w:rPr>
                <w:sz w:val="17"/>
                <w:lang w:val="es-ES_tradnl"/>
              </w:rPr>
              <w:t xml:space="preserve">2017 </w:t>
            </w:r>
          </w:p>
        </w:tc>
        <w:tc>
          <w:tcPr>
            <w:tcW w:w="2476" w:type="dxa"/>
            <w:shd w:val="clear" w:color="auto" w:fill="auto"/>
            <w:vAlign w:val="bottom"/>
          </w:tcPr>
          <w:p w14:paraId="38660595" w14:textId="6F98D250" w:rsidR="002F4FBF" w:rsidRPr="002F4FBF" w:rsidRDefault="002F4FBF" w:rsidP="002F4FBF">
            <w:pPr>
              <w:tabs>
                <w:tab w:val="left" w:pos="288"/>
                <w:tab w:val="left" w:pos="576"/>
                <w:tab w:val="left" w:pos="864"/>
                <w:tab w:val="left" w:pos="1152"/>
              </w:tabs>
              <w:spacing w:before="40" w:after="40" w:line="210" w:lineRule="exact"/>
              <w:ind w:right="40"/>
              <w:jc w:val="right"/>
              <w:rPr>
                <w:sz w:val="17"/>
                <w:lang w:val="es-ES_tradnl"/>
              </w:rPr>
            </w:pPr>
            <w:r w:rsidRPr="002F4FBF">
              <w:rPr>
                <w:sz w:val="17"/>
                <w:lang w:val="es-ES_tradnl"/>
              </w:rPr>
              <w:t>4</w:t>
            </w:r>
            <w:r w:rsidR="003A39F7">
              <w:rPr>
                <w:sz w:val="17"/>
                <w:lang w:val="es-ES_tradnl"/>
              </w:rPr>
              <w:t>,</w:t>
            </w:r>
            <w:r w:rsidRPr="002F4FBF">
              <w:rPr>
                <w:sz w:val="17"/>
                <w:lang w:val="es-ES_tradnl"/>
              </w:rPr>
              <w:t>6</w:t>
            </w:r>
          </w:p>
        </w:tc>
        <w:tc>
          <w:tcPr>
            <w:tcW w:w="2476" w:type="dxa"/>
            <w:shd w:val="clear" w:color="auto" w:fill="auto"/>
            <w:vAlign w:val="bottom"/>
          </w:tcPr>
          <w:p w14:paraId="3CF0FF91" w14:textId="481BF4E5" w:rsidR="002F4FBF" w:rsidRPr="002F4FBF" w:rsidRDefault="002F4FBF" w:rsidP="002F4FBF">
            <w:pPr>
              <w:tabs>
                <w:tab w:val="left" w:pos="288"/>
                <w:tab w:val="left" w:pos="576"/>
                <w:tab w:val="left" w:pos="864"/>
                <w:tab w:val="left" w:pos="1152"/>
              </w:tabs>
              <w:spacing w:before="40" w:after="40" w:line="210" w:lineRule="exact"/>
              <w:ind w:right="40"/>
              <w:jc w:val="right"/>
              <w:rPr>
                <w:sz w:val="17"/>
                <w:lang w:val="es-ES_tradnl"/>
              </w:rPr>
            </w:pPr>
            <w:r w:rsidRPr="002F4FBF">
              <w:rPr>
                <w:sz w:val="17"/>
                <w:lang w:val="es-ES_tradnl"/>
              </w:rPr>
              <w:t>28</w:t>
            </w:r>
            <w:r w:rsidR="003A39F7">
              <w:rPr>
                <w:sz w:val="17"/>
                <w:lang w:val="es-ES_tradnl"/>
              </w:rPr>
              <w:t>,</w:t>
            </w:r>
            <w:r w:rsidRPr="002F4FBF">
              <w:rPr>
                <w:sz w:val="17"/>
                <w:lang w:val="es-ES_tradnl"/>
              </w:rPr>
              <w:t>3</w:t>
            </w:r>
          </w:p>
        </w:tc>
      </w:tr>
      <w:tr w:rsidR="002F4FBF" w:rsidRPr="002F4FBF" w14:paraId="4B7837D9" w14:textId="77777777" w:rsidTr="002F4FBF">
        <w:tc>
          <w:tcPr>
            <w:tcW w:w="2476" w:type="dxa"/>
            <w:shd w:val="clear" w:color="auto" w:fill="auto"/>
            <w:vAlign w:val="bottom"/>
          </w:tcPr>
          <w:p w14:paraId="208524B8" w14:textId="3344EDAD" w:rsidR="002F4FBF" w:rsidRPr="002F4FBF" w:rsidRDefault="002F4FBF" w:rsidP="002F4FBF">
            <w:pPr>
              <w:tabs>
                <w:tab w:val="left" w:pos="288"/>
                <w:tab w:val="left" w:pos="576"/>
                <w:tab w:val="left" w:pos="864"/>
                <w:tab w:val="left" w:pos="1152"/>
              </w:tabs>
              <w:spacing w:before="40" w:after="40" w:line="210" w:lineRule="exact"/>
              <w:ind w:right="40"/>
              <w:rPr>
                <w:sz w:val="17"/>
                <w:lang w:val="es-ES_tradnl"/>
              </w:rPr>
            </w:pPr>
            <w:r w:rsidRPr="002F4FBF">
              <w:rPr>
                <w:sz w:val="17"/>
                <w:lang w:val="es-ES_tradnl"/>
              </w:rPr>
              <w:t xml:space="preserve">2018 </w:t>
            </w:r>
          </w:p>
        </w:tc>
        <w:tc>
          <w:tcPr>
            <w:tcW w:w="2476" w:type="dxa"/>
            <w:shd w:val="clear" w:color="auto" w:fill="auto"/>
            <w:vAlign w:val="bottom"/>
          </w:tcPr>
          <w:p w14:paraId="2EDE7811" w14:textId="4B63B827" w:rsidR="002F4FBF" w:rsidRPr="002F4FBF" w:rsidRDefault="002F4FBF" w:rsidP="002F4FBF">
            <w:pPr>
              <w:tabs>
                <w:tab w:val="left" w:pos="288"/>
                <w:tab w:val="left" w:pos="576"/>
                <w:tab w:val="left" w:pos="864"/>
                <w:tab w:val="left" w:pos="1152"/>
              </w:tabs>
              <w:spacing w:before="40" w:after="40" w:line="210" w:lineRule="exact"/>
              <w:ind w:right="40"/>
              <w:jc w:val="right"/>
              <w:rPr>
                <w:sz w:val="17"/>
                <w:lang w:val="es-ES_tradnl"/>
              </w:rPr>
            </w:pPr>
            <w:r w:rsidRPr="002F4FBF">
              <w:rPr>
                <w:sz w:val="17"/>
                <w:lang w:val="es-ES_tradnl"/>
              </w:rPr>
              <w:t>4</w:t>
            </w:r>
            <w:r w:rsidR="003A39F7">
              <w:rPr>
                <w:sz w:val="17"/>
                <w:lang w:val="es-ES_tradnl"/>
              </w:rPr>
              <w:t>,</w:t>
            </w:r>
            <w:r w:rsidRPr="002F4FBF">
              <w:rPr>
                <w:sz w:val="17"/>
                <w:lang w:val="es-ES_tradnl"/>
              </w:rPr>
              <w:t>5</w:t>
            </w:r>
          </w:p>
        </w:tc>
        <w:tc>
          <w:tcPr>
            <w:tcW w:w="2476" w:type="dxa"/>
            <w:shd w:val="clear" w:color="auto" w:fill="auto"/>
            <w:vAlign w:val="bottom"/>
          </w:tcPr>
          <w:p w14:paraId="27B0FA1F" w14:textId="4EC087E6" w:rsidR="002F4FBF" w:rsidRPr="002F4FBF" w:rsidRDefault="002F4FBF" w:rsidP="002F4FBF">
            <w:pPr>
              <w:tabs>
                <w:tab w:val="left" w:pos="288"/>
                <w:tab w:val="left" w:pos="576"/>
                <w:tab w:val="left" w:pos="864"/>
                <w:tab w:val="left" w:pos="1152"/>
              </w:tabs>
              <w:spacing w:before="40" w:after="40" w:line="210" w:lineRule="exact"/>
              <w:ind w:right="40"/>
              <w:jc w:val="right"/>
              <w:rPr>
                <w:sz w:val="17"/>
                <w:lang w:val="es-ES_tradnl"/>
              </w:rPr>
            </w:pPr>
            <w:r w:rsidRPr="002F4FBF">
              <w:rPr>
                <w:sz w:val="17"/>
                <w:lang w:val="es-ES_tradnl"/>
              </w:rPr>
              <w:t>26</w:t>
            </w:r>
            <w:r w:rsidR="003A39F7">
              <w:rPr>
                <w:sz w:val="17"/>
                <w:lang w:val="es-ES_tradnl"/>
              </w:rPr>
              <w:t>,</w:t>
            </w:r>
            <w:r w:rsidRPr="002F4FBF">
              <w:rPr>
                <w:sz w:val="17"/>
                <w:lang w:val="es-ES_tradnl"/>
              </w:rPr>
              <w:t>8</w:t>
            </w:r>
          </w:p>
        </w:tc>
      </w:tr>
      <w:tr w:rsidR="002F4FBF" w:rsidRPr="002F4FBF" w14:paraId="0CB47794" w14:textId="77777777" w:rsidTr="002F4FBF">
        <w:tc>
          <w:tcPr>
            <w:tcW w:w="2476" w:type="dxa"/>
            <w:tcBorders>
              <w:bottom w:val="single" w:sz="12" w:space="0" w:color="auto"/>
            </w:tcBorders>
            <w:shd w:val="clear" w:color="auto" w:fill="auto"/>
            <w:vAlign w:val="bottom"/>
          </w:tcPr>
          <w:p w14:paraId="5E036FB3" w14:textId="43C3D874" w:rsidR="002F4FBF" w:rsidRPr="002F4FBF" w:rsidRDefault="002F4FBF" w:rsidP="003A39F7">
            <w:pPr>
              <w:tabs>
                <w:tab w:val="left" w:pos="288"/>
                <w:tab w:val="left" w:pos="576"/>
                <w:tab w:val="left" w:pos="864"/>
                <w:tab w:val="left" w:pos="1152"/>
              </w:tabs>
              <w:spacing w:before="40" w:after="80" w:line="210" w:lineRule="exact"/>
              <w:ind w:right="43"/>
              <w:rPr>
                <w:sz w:val="17"/>
                <w:lang w:val="es-ES_tradnl"/>
              </w:rPr>
            </w:pPr>
            <w:r w:rsidRPr="002F4FBF">
              <w:rPr>
                <w:sz w:val="17"/>
                <w:lang w:val="es-ES_tradnl"/>
              </w:rPr>
              <w:t xml:space="preserve">2019 </w:t>
            </w:r>
          </w:p>
        </w:tc>
        <w:tc>
          <w:tcPr>
            <w:tcW w:w="2476" w:type="dxa"/>
            <w:tcBorders>
              <w:bottom w:val="single" w:sz="12" w:space="0" w:color="auto"/>
            </w:tcBorders>
            <w:shd w:val="clear" w:color="auto" w:fill="auto"/>
            <w:vAlign w:val="bottom"/>
          </w:tcPr>
          <w:p w14:paraId="44E10722" w14:textId="346951E1" w:rsidR="002F4FBF" w:rsidRPr="002F4FBF" w:rsidRDefault="002F4FBF" w:rsidP="003A39F7">
            <w:pPr>
              <w:tabs>
                <w:tab w:val="left" w:pos="288"/>
                <w:tab w:val="left" w:pos="576"/>
                <w:tab w:val="left" w:pos="864"/>
                <w:tab w:val="left" w:pos="1152"/>
              </w:tabs>
              <w:spacing w:before="40" w:after="80" w:line="210" w:lineRule="exact"/>
              <w:ind w:right="43"/>
              <w:jc w:val="right"/>
              <w:rPr>
                <w:sz w:val="17"/>
                <w:lang w:val="es-ES_tradnl"/>
              </w:rPr>
            </w:pPr>
            <w:r w:rsidRPr="002F4FBF">
              <w:rPr>
                <w:sz w:val="17"/>
                <w:lang w:val="es-ES_tradnl"/>
              </w:rPr>
              <w:t>4</w:t>
            </w:r>
            <w:r w:rsidR="003A39F7">
              <w:rPr>
                <w:sz w:val="17"/>
                <w:lang w:val="es-ES_tradnl"/>
              </w:rPr>
              <w:t>,</w:t>
            </w:r>
            <w:r w:rsidRPr="002F4FBF">
              <w:rPr>
                <w:sz w:val="17"/>
                <w:lang w:val="es-ES_tradnl"/>
              </w:rPr>
              <w:t>2</w:t>
            </w:r>
          </w:p>
        </w:tc>
        <w:tc>
          <w:tcPr>
            <w:tcW w:w="2476" w:type="dxa"/>
            <w:tcBorders>
              <w:bottom w:val="single" w:sz="12" w:space="0" w:color="auto"/>
            </w:tcBorders>
            <w:shd w:val="clear" w:color="auto" w:fill="auto"/>
            <w:vAlign w:val="bottom"/>
          </w:tcPr>
          <w:p w14:paraId="07DB8CC8" w14:textId="3AD20849" w:rsidR="002F4FBF" w:rsidRPr="002F4FBF" w:rsidRDefault="002F4FBF" w:rsidP="003A39F7">
            <w:pPr>
              <w:tabs>
                <w:tab w:val="left" w:pos="288"/>
                <w:tab w:val="left" w:pos="576"/>
                <w:tab w:val="left" w:pos="864"/>
                <w:tab w:val="left" w:pos="1152"/>
              </w:tabs>
              <w:spacing w:before="40" w:after="80" w:line="210" w:lineRule="exact"/>
              <w:ind w:right="43"/>
              <w:jc w:val="right"/>
              <w:rPr>
                <w:sz w:val="17"/>
                <w:lang w:val="es-ES_tradnl"/>
              </w:rPr>
            </w:pPr>
            <w:r w:rsidRPr="002F4FBF">
              <w:rPr>
                <w:sz w:val="17"/>
                <w:lang w:val="es-ES_tradnl"/>
              </w:rPr>
              <w:t>24</w:t>
            </w:r>
            <w:r w:rsidR="003A39F7">
              <w:rPr>
                <w:sz w:val="17"/>
                <w:lang w:val="es-ES_tradnl"/>
              </w:rPr>
              <w:t>,</w:t>
            </w:r>
            <w:r w:rsidRPr="002F4FBF">
              <w:rPr>
                <w:sz w:val="17"/>
                <w:lang w:val="es-ES_tradnl"/>
              </w:rPr>
              <w:t>6</w:t>
            </w:r>
          </w:p>
        </w:tc>
      </w:tr>
    </w:tbl>
    <w:p w14:paraId="76711562" w14:textId="71136A19" w:rsidR="002F4FBF" w:rsidRPr="002F4FBF" w:rsidRDefault="002F4FBF" w:rsidP="002F4FBF">
      <w:pPr>
        <w:pStyle w:val="SingleTxt"/>
        <w:spacing w:after="0" w:line="120" w:lineRule="exact"/>
        <w:rPr>
          <w:sz w:val="10"/>
          <w:lang w:val="es-ES_tradnl"/>
        </w:rPr>
      </w:pPr>
    </w:p>
    <w:p w14:paraId="462AFF1F" w14:textId="0F3CF6F6" w:rsidR="002F4FBF" w:rsidRDefault="002F4FBF" w:rsidP="002F4FBF">
      <w:pPr>
        <w:pStyle w:val="FootnoteText"/>
        <w:tabs>
          <w:tab w:val="clear" w:pos="418"/>
          <w:tab w:val="right" w:pos="1476"/>
          <w:tab w:val="left" w:pos="1548"/>
          <w:tab w:val="right" w:pos="1836"/>
          <w:tab w:val="left" w:pos="1908"/>
        </w:tabs>
        <w:ind w:left="1548" w:right="1267" w:hanging="288"/>
        <w:rPr>
          <w:lang w:val="es-ES_tradnl"/>
        </w:rPr>
      </w:pPr>
      <w:r w:rsidRPr="002F758F">
        <w:rPr>
          <w:i/>
          <w:iCs/>
          <w:lang w:val="es-ES_tradnl"/>
        </w:rPr>
        <w:t>Fuente</w:t>
      </w:r>
      <w:r w:rsidRPr="002F4FBF">
        <w:rPr>
          <w:lang w:val="es-ES_tradnl"/>
        </w:rPr>
        <w:t xml:space="preserve">: Dirección de Trabajo y Bienestar </w:t>
      </w:r>
    </w:p>
    <w:p w14:paraId="30DAE5B4" w14:textId="544492AD" w:rsidR="002F4FBF" w:rsidRPr="002F4FBF" w:rsidRDefault="002F4FBF" w:rsidP="002F4FBF">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65BBCF7C" w14:textId="7113C3AD" w:rsidR="002F4FBF" w:rsidRPr="002F4FBF" w:rsidRDefault="002F4FBF" w:rsidP="002F4FBF">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4A166BDE" w14:textId="06008313" w:rsidR="002F4FBF" w:rsidRPr="002F4FBF" w:rsidRDefault="002F4FBF" w:rsidP="006C79BC">
      <w:pPr>
        <w:pStyle w:val="SingleTxt"/>
        <w:numPr>
          <w:ilvl w:val="0"/>
          <w:numId w:val="49"/>
        </w:numPr>
        <w:ind w:left="1267"/>
        <w:rPr>
          <w:lang w:val="es-ES_tradnl"/>
        </w:rPr>
      </w:pPr>
      <w:r w:rsidRPr="002F4FBF">
        <w:rPr>
          <w:lang w:val="es-ES_tradnl"/>
        </w:rPr>
        <w:t xml:space="preserve">Diversos factores influyen en la proporción de ancianos que perciben la pensión mínima, como la actividad laboral de las mujeres, las características del régimen de pensiones y la cuantía de la pensión mínima. Además, el nuevo sistema público de pensiones de Noruega, en vigor desde 2011, permite un acceso flexible a la pensión de vejez, lo que hace más difícil evaluar sus efectos en el porcentaje de hombres y mujeres que perciben la pensión mínima. La reforma de las pensiones seguirá teniendo efectos económicos en los próximos decenios. </w:t>
      </w:r>
    </w:p>
    <w:p w14:paraId="5934F0C0" w14:textId="5CB119DC" w:rsidR="002F4FBF" w:rsidRPr="002F4FBF" w:rsidRDefault="002F4FBF" w:rsidP="006C79BC">
      <w:pPr>
        <w:pStyle w:val="SingleTxt"/>
        <w:numPr>
          <w:ilvl w:val="0"/>
          <w:numId w:val="49"/>
        </w:numPr>
        <w:ind w:left="1267"/>
        <w:rPr>
          <w:lang w:val="es-ES_tradnl"/>
        </w:rPr>
      </w:pPr>
      <w:r w:rsidRPr="002F4FBF">
        <w:rPr>
          <w:lang w:val="es-ES_tradnl"/>
        </w:rPr>
        <w:t xml:space="preserve">En primer lugar, la proporción de ancianos que perciben la pensión mínima debe evaluarse teniendo en cuenta que, en Noruega, su cuantía es elevada en comparación </w:t>
      </w:r>
      <w:r w:rsidRPr="002F4FBF">
        <w:rPr>
          <w:lang w:val="es-ES_tradnl"/>
        </w:rPr>
        <w:lastRenderedPageBreak/>
        <w:t xml:space="preserve">con la de muchos otros países. En los últimos años ha habido varias subidas de la cuantía mínima de las pensiones de personas con ingresos bajos. No obstante, el aumento de la prestación mínima hace que crezca el número de personas que la perciben. Aun así, la proporción de ancianos y ancianas con pensiones mínimas ha disminuido considerablemente a lo largo del tiempo, más en el caso de las mujeres que en el de los hombres. </w:t>
      </w:r>
    </w:p>
    <w:p w14:paraId="5F04CC11" w14:textId="113A0256" w:rsidR="002F4FBF" w:rsidRPr="002F4FBF" w:rsidRDefault="002F4FBF" w:rsidP="006C79BC">
      <w:pPr>
        <w:pStyle w:val="SingleTxt"/>
        <w:numPr>
          <w:ilvl w:val="0"/>
          <w:numId w:val="49"/>
        </w:numPr>
        <w:ind w:left="1267"/>
        <w:rPr>
          <w:lang w:val="es-ES_tradnl"/>
        </w:rPr>
      </w:pPr>
      <w:r w:rsidRPr="002F4FBF">
        <w:rPr>
          <w:lang w:val="es-ES_tradnl"/>
        </w:rPr>
        <w:t xml:space="preserve">En segundo lugar, las personas que perciben actualmente la pensión de vejez en Noruega nacieron en 1957 o antes, pues los miembros de las cohortes más jóvenes todavía no han cumplido los 62 años. Como la actividad laboral de las cohortes más jóvenes es considerablemente superior al promedio histórico durante el ciclo de vida, cabe esperar que la proporción de perceptoras de la pensión mínima siga disminuyendo a medida que se vayan jubilando las mujeres de las nuevas cohortes. También se prevé que ello contribuya a equilibrar la proporción de jubilados de uno y otro sexo que cobran la pensión mínima. </w:t>
      </w:r>
    </w:p>
    <w:p w14:paraId="56158B9B" w14:textId="7367B49C" w:rsidR="002F4FBF" w:rsidRPr="002F4FBF" w:rsidRDefault="002F4FBF" w:rsidP="006C79BC">
      <w:pPr>
        <w:pStyle w:val="SingleTxt"/>
        <w:numPr>
          <w:ilvl w:val="0"/>
          <w:numId w:val="49"/>
        </w:numPr>
        <w:ind w:left="1267"/>
        <w:rPr>
          <w:iCs/>
          <w:lang w:val="es-ES_tradnl"/>
        </w:rPr>
      </w:pPr>
      <w:r w:rsidRPr="002F4FBF">
        <w:rPr>
          <w:lang w:val="es-ES_tradnl"/>
        </w:rPr>
        <w:t>El nuevo sistema público de pensiones se está implantando gradualmente. Las pensiones de jubilación de los nacidos entre 1954 y 1962 se calculará en parte con arreglo a las nuevas disposiciones en materia de ingresos y en parte aplicando las disposiciones anteriores, mientras que las de los nacidos en 1963 o con posterioridad se calcularán en su</w:t>
      </w:r>
      <w:r w:rsidR="006C79BC">
        <w:rPr>
          <w:lang w:val="es-ES_tradnl"/>
        </w:rPr>
        <w:t xml:space="preserve"> </w:t>
      </w:r>
      <w:r w:rsidRPr="002F4FBF">
        <w:rPr>
          <w:lang w:val="es-ES_tradnl"/>
        </w:rPr>
        <w:t xml:space="preserve">totalidad atendiendo a las nuevas disposiciones. Diversos aspectos del nuevo sistema de pensiones, como el límite máximo de remuneración pensionable, la acumulación de derechos de pensión por cuidados no remunerados y el divisor de anualidades neutro en cuanto al género, contribuyen a que la cuantía de las pensiones sea más equitativa aunque los ingresos del trabajo sean desiguales. Esos aspectos afectan en mayor medida a las mujeres que a los hombres y contribuyen a cerrar la brecha de género en el monto de las pensiones. </w:t>
      </w:r>
    </w:p>
    <w:p w14:paraId="13999493" w14:textId="1B5DEABF" w:rsidR="002F4FBF" w:rsidRPr="002F4FBF" w:rsidRDefault="002F4FBF" w:rsidP="006C79BC">
      <w:pPr>
        <w:pStyle w:val="SingleTxt"/>
        <w:numPr>
          <w:ilvl w:val="0"/>
          <w:numId w:val="49"/>
        </w:numPr>
        <w:ind w:left="1267"/>
        <w:rPr>
          <w:lang w:val="es-ES_tradnl"/>
        </w:rPr>
      </w:pPr>
      <w:r w:rsidRPr="002F4FBF">
        <w:rPr>
          <w:lang w:val="es-ES_tradnl"/>
        </w:rPr>
        <w:t xml:space="preserve">La reforma de las pensiones introdujo la posibilidad de decidir de manera flexible cuándo empezar a cobrarlas. Para percibir una pensión de jubilación antes de los 67 años, la cuantía de la pensión potencial de la persona solicitante debe ser al menos igual a la de la pensión mínima a los 67 años. La cuantía de la pensión mínima garantizada no está vinculada a los ingresos del trabajo, pero la parte correspondiente se reduce en un 80 % del monto de la pensión vinculada a los ingresos. Como la pensión garantizada solo es objeto de esa reducción y habida cuenta de la flexibilidad en el cobro tanto de la pensión ocupacional como de la pensión garantizada, un uso generalizado del cobro anticipado de la pensión contribuirá a que aumente la proporción de receptores de la pensión mínima a los 67 años. Queda por ver cómo afectará eso a la proporción de ancianos de uno y otro sexos que perciban la pensión mínima en el futuro. </w:t>
      </w:r>
    </w:p>
    <w:p w14:paraId="05E58806" w14:textId="7D036019" w:rsidR="002F4FBF" w:rsidRPr="002F4FBF" w:rsidRDefault="002F4FBF" w:rsidP="006C79BC">
      <w:pPr>
        <w:pStyle w:val="SingleTxt"/>
        <w:numPr>
          <w:ilvl w:val="0"/>
          <w:numId w:val="49"/>
        </w:numPr>
        <w:ind w:left="1267"/>
        <w:rPr>
          <w:lang w:val="es-ES_tradnl"/>
        </w:rPr>
      </w:pPr>
      <w:r w:rsidRPr="002F4FBF">
        <w:rPr>
          <w:lang w:val="es-ES_tradnl"/>
        </w:rPr>
        <w:t xml:space="preserve">Por último, cabe señalar que uno de los principales objetivos de la reforma de las pensiones era incentivar en mayor medida el trabajo, tanto de hombres como de mujeres. La evaluación de la reforma del sistema noruego de pensiones que se llevó a cabo en el período 2011-2018 muestra que gracias a la reforma se ha logrado incrementar los incentivos al trabajo y las tasas de ocupación de las personas mayores después de 2011. Un documento de debate de la Oficina de Estadística de Noruega (núm. 855, enero de 2017) concluye que el sistema de pensiones reformado de Noruega funciona comparativamente bien a la hora de cerrar la brecha de género, pero lo hace en parte gracias a los componentes de las prestaciones que desincentivan el trabajo de las mujeres y recompensan a las parejas que optan por un reparto desigual del trabajo formal e informal. </w:t>
      </w:r>
    </w:p>
    <w:p w14:paraId="519FFFA2" w14:textId="058AA090" w:rsidR="002F4FBF" w:rsidRDefault="002F4FBF" w:rsidP="006C79BC">
      <w:pPr>
        <w:pStyle w:val="SingleTxt"/>
        <w:numPr>
          <w:ilvl w:val="0"/>
          <w:numId w:val="49"/>
        </w:numPr>
        <w:ind w:left="1267"/>
        <w:rPr>
          <w:lang w:val="es-ES_tradnl"/>
        </w:rPr>
      </w:pPr>
      <w:r w:rsidRPr="002F4FBF">
        <w:rPr>
          <w:lang w:val="es-ES_tradnl"/>
        </w:rPr>
        <w:t xml:space="preserve">El sistema de pensiones noruego debería evaluarse no solo en función de la igualdad en el monto de las pensiones, sino también atendiendo a si contribuye al reparto equitativo de la actividad laboral y las tareas no remuneradas de cuidado. Un sistema de pensiones no puede ni debe compensar todas las diferencias de actividad </w:t>
      </w:r>
      <w:r w:rsidRPr="002F4FBF">
        <w:rPr>
          <w:lang w:val="es-ES_tradnl"/>
        </w:rPr>
        <w:lastRenderedPageBreak/>
        <w:t xml:space="preserve">laboral entre hombres y mujeres. Con todo, en razón de su tasa ocupacional relativamente alta, las mujeres tienen en Noruega mayor grado de independencia económica que en muchos otros países. </w:t>
      </w:r>
    </w:p>
    <w:p w14:paraId="16E26C56" w14:textId="0762E36E" w:rsidR="002F4FBF" w:rsidRPr="002F4FBF" w:rsidRDefault="002F4FBF" w:rsidP="002F4FBF">
      <w:pPr>
        <w:pStyle w:val="SingleTxt"/>
        <w:spacing w:after="0" w:line="120" w:lineRule="exact"/>
        <w:rPr>
          <w:sz w:val="10"/>
          <w:lang w:val="es-ES_tradnl"/>
        </w:rPr>
      </w:pPr>
    </w:p>
    <w:p w14:paraId="021EBF33" w14:textId="769C14F5" w:rsidR="002F4FBF" w:rsidRDefault="002F4FBF" w:rsidP="003A39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2F4FBF">
        <w:rPr>
          <w:lang w:val="es-ES_tradnl"/>
        </w:rPr>
        <w:tab/>
      </w:r>
      <w:r w:rsidRPr="002F4FBF">
        <w:rPr>
          <w:lang w:val="es-ES_tradnl"/>
        </w:rPr>
        <w:tab/>
        <w:t>Información de seguimiento en relación con el párrafo 49 a) de las observaciones finales</w:t>
      </w:r>
    </w:p>
    <w:p w14:paraId="5CDCF669" w14:textId="23E5FA48" w:rsidR="002F4FBF" w:rsidRPr="002F4FBF" w:rsidRDefault="002F4FBF" w:rsidP="002F4FBF">
      <w:pPr>
        <w:pStyle w:val="SingleTxt"/>
        <w:spacing w:after="0" w:line="120" w:lineRule="exact"/>
        <w:rPr>
          <w:sz w:val="10"/>
          <w:lang w:val="es-ES_tradnl"/>
        </w:rPr>
      </w:pPr>
    </w:p>
    <w:p w14:paraId="7099B6BB" w14:textId="3C9A4A6E" w:rsidR="002F4FBF" w:rsidRPr="002F4FBF" w:rsidRDefault="002F4FBF" w:rsidP="006C79BC">
      <w:pPr>
        <w:pStyle w:val="SingleTxt"/>
        <w:numPr>
          <w:ilvl w:val="0"/>
          <w:numId w:val="49"/>
        </w:numPr>
        <w:ind w:left="1267"/>
        <w:rPr>
          <w:lang w:val="es-ES_tradnl"/>
        </w:rPr>
      </w:pPr>
      <w:bookmarkStart w:id="2" w:name="aaa"/>
      <w:r w:rsidRPr="002F4FBF">
        <w:rPr>
          <w:lang w:val="es-ES_tradnl"/>
        </w:rPr>
        <w:t xml:space="preserve">Noruega </w:t>
      </w:r>
      <w:bookmarkEnd w:id="2"/>
      <w:r w:rsidRPr="002F4FBF">
        <w:rPr>
          <w:lang w:val="es-ES_tradnl"/>
        </w:rPr>
        <w:t xml:space="preserve">ha examinado detenidamente la recomendación núm. 49 a) del Comité. El objetivo del país, que se ajusta a la recomendación general núm. </w:t>
      </w:r>
      <w:r w:rsidRPr="00972D2E">
        <w:rPr>
          <w:lang w:val="es-ES_tradnl"/>
        </w:rPr>
        <w:t>29 (2013)</w:t>
      </w:r>
      <w:r w:rsidRPr="002F4FBF">
        <w:rPr>
          <w:lang w:val="es-ES_tradnl"/>
        </w:rPr>
        <w:t xml:space="preserve"> del Comité, es que las ventajas y desventajas económicas derivadas de la relación y de su disolución deben recaer por igual en ambos cónyuges cuando estos no acuerden otra cosa. El reparto de papeles y funciones durante la convivencia de los cónyuges no debería tener consecuencias económicas lesivas para ninguno de ellos. La legislación noruega también reconoce el valor de las contribuciones indirectas, incluidas las de carácter no financiero, en el conjunto de bienes adquiridos durante el matrimonio, aunque puede que persistan problemas derivados de los efectos de las leyes vigentes. Noruega estudiará pues la necesidad de investigar esos efectos para ver si debe seguir desarrollando la ley. En la actualidad no se prevén modificaciones legislativas en lo tocante a la pensión alimenticia.</w:t>
      </w:r>
    </w:p>
    <w:p w14:paraId="54040E68" w14:textId="7115A8FF" w:rsidR="002F4FBF" w:rsidRPr="002F4FBF" w:rsidRDefault="002F4FBF" w:rsidP="006C79BC">
      <w:pPr>
        <w:pStyle w:val="SingleTxt"/>
        <w:numPr>
          <w:ilvl w:val="0"/>
          <w:numId w:val="49"/>
        </w:numPr>
        <w:ind w:left="1267"/>
        <w:rPr>
          <w:lang w:val="es-ES_tradnl"/>
        </w:rPr>
      </w:pPr>
      <w:r w:rsidRPr="002F4FBF">
        <w:rPr>
          <w:lang w:val="es-ES_tradnl"/>
        </w:rPr>
        <w:t xml:space="preserve">El Plan de Seguro Nacional de Noruega protege a todos los residentes legales en el país. Dado que todos los residentes, independientemente del género, la edad o la actividad profesional, están incluidos en el Plan, el estado civil tiene menos importancia. </w:t>
      </w:r>
    </w:p>
    <w:p w14:paraId="3AA9A0E5" w14:textId="67014116" w:rsidR="002F4FBF" w:rsidRPr="002F4FBF" w:rsidRDefault="002F4FBF" w:rsidP="006C79BC">
      <w:pPr>
        <w:pStyle w:val="SingleTxt"/>
        <w:numPr>
          <w:ilvl w:val="0"/>
          <w:numId w:val="49"/>
        </w:numPr>
        <w:ind w:left="1267"/>
        <w:rPr>
          <w:lang w:val="es-ES_tradnl"/>
        </w:rPr>
      </w:pPr>
      <w:r w:rsidRPr="002F4FBF">
        <w:rPr>
          <w:lang w:val="es-ES_tradnl"/>
        </w:rPr>
        <w:t xml:space="preserve">Ya existen disposiciones que garantizan una mayor igualdad en la cuantía de las pensiones, aunque los ingresos del trabajo sean desiguales. La acumulación de derechos de pensión por cuidados no remunerados es una de ellas. Además, se puede conceder una pensión de viudedad al cónyuge supérstite divorciado que no se haya vuelto a casar, siempre que el fallecimiento se produzca en los cinco años siguientes al divorcio y que el matrimonio haya durado al menos 25 años (15 años en caso de que haya hijos). Si el cónyuge supérstite divorciado recibía una pensión alimenticia en el momento del fallecimiento, el requisito de los cinco años no se aplica. </w:t>
      </w:r>
    </w:p>
    <w:p w14:paraId="1E46B8D0" w14:textId="362ACBF9" w:rsidR="002F4FBF" w:rsidRDefault="002F4FBF" w:rsidP="006C79BC">
      <w:pPr>
        <w:pStyle w:val="SingleTxt"/>
        <w:numPr>
          <w:ilvl w:val="0"/>
          <w:numId w:val="49"/>
        </w:numPr>
        <w:ind w:left="1267"/>
        <w:rPr>
          <w:lang w:val="es-ES_tradnl"/>
        </w:rPr>
      </w:pPr>
      <w:r w:rsidRPr="002F4FBF">
        <w:rPr>
          <w:lang w:val="es-ES_tradnl"/>
        </w:rPr>
        <w:t>Actualmente no se prevé modificar el sistema de seguridad social para compensar en mayor medida a las mujeres que han permanecido en el hogar a fin de cuidar a la familia.</w:t>
      </w:r>
    </w:p>
    <w:p w14:paraId="632C5E53" w14:textId="2E06308E" w:rsidR="002F4FBF" w:rsidRPr="002F4FBF" w:rsidRDefault="002F4FBF" w:rsidP="002F4FBF">
      <w:pPr>
        <w:pStyle w:val="SingleTxt"/>
        <w:rPr>
          <w:lang w:val="es-ES_tradnl"/>
        </w:rPr>
      </w:pPr>
      <w:r>
        <w:rPr>
          <w:noProof/>
          <w:w w:val="100"/>
          <w:lang w:val="es-ES_tradnl"/>
        </w:rPr>
        <mc:AlternateContent>
          <mc:Choice Requires="wps">
            <w:drawing>
              <wp:anchor distT="0" distB="0" distL="114300" distR="114300" simplePos="0" relativeHeight="251659264" behindDoc="0" locked="0" layoutInCell="1" allowOverlap="1" wp14:anchorId="3E818E6E" wp14:editId="677EB96C">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DE58B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F4FBF" w:rsidRPr="002F4FBF" w:rsidSect="0007717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26T17:46:00Z" w:initials="Start">
    <w:p w14:paraId="1DE36CEF" w14:textId="77777777" w:rsidR="001B4534" w:rsidRPr="0007717F" w:rsidRDefault="001B4534">
      <w:pPr>
        <w:pStyle w:val="CommentText"/>
        <w:rPr>
          <w:lang w:val="en-US"/>
        </w:rPr>
      </w:pPr>
      <w:r>
        <w:fldChar w:fldCharType="begin"/>
      </w:r>
      <w:r w:rsidRPr="0007717F">
        <w:rPr>
          <w:rStyle w:val="CommentReference"/>
          <w:lang w:val="en-US"/>
        </w:rPr>
        <w:instrText xml:space="preserve"> </w:instrText>
      </w:r>
      <w:r w:rsidRPr="0007717F">
        <w:rPr>
          <w:lang w:val="en-US"/>
        </w:rPr>
        <w:instrText>PAGE \# "'Page: '#'</w:instrText>
      </w:r>
      <w:r w:rsidRPr="0007717F">
        <w:rPr>
          <w:lang w:val="en-US"/>
        </w:rPr>
        <w:br/>
        <w:instrText>'"</w:instrText>
      </w:r>
      <w:r w:rsidRPr="0007717F">
        <w:rPr>
          <w:rStyle w:val="CommentReference"/>
          <w:lang w:val="en-US"/>
        </w:rPr>
        <w:instrText xml:space="preserve"> </w:instrText>
      </w:r>
      <w:r>
        <w:fldChar w:fldCharType="end"/>
      </w:r>
      <w:r>
        <w:rPr>
          <w:rStyle w:val="CommentReference"/>
        </w:rPr>
        <w:annotationRef/>
      </w:r>
      <w:r w:rsidRPr="0007717F">
        <w:rPr>
          <w:lang w:val="en-US"/>
        </w:rPr>
        <w:t>&lt;&lt;ODS JOB NO&gt;&gt;N1941413S&lt;&lt;ODS JOB NO&gt;&gt;</w:t>
      </w:r>
    </w:p>
    <w:p w14:paraId="38D6DBE0" w14:textId="77777777" w:rsidR="001B4534" w:rsidRPr="0007717F" w:rsidRDefault="001B4534">
      <w:pPr>
        <w:pStyle w:val="CommentText"/>
        <w:rPr>
          <w:lang w:val="en-US"/>
        </w:rPr>
      </w:pPr>
      <w:r w:rsidRPr="0007717F">
        <w:rPr>
          <w:lang w:val="en-US"/>
        </w:rPr>
        <w:t>&lt;&lt;ODS DOC SYMBOL1&gt;&gt;CEDAW/C/NOR/FCO/9&lt;&lt;ODS DOC SYMBOL1&gt;&gt;</w:t>
      </w:r>
    </w:p>
    <w:p w14:paraId="25BDEC0E" w14:textId="77777777" w:rsidR="001B4534" w:rsidRDefault="001B453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5BDEC0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5F46DB" w14:textId="77777777" w:rsidR="007A0C99" w:rsidRDefault="007A0C99" w:rsidP="00101B18">
      <w:r>
        <w:separator/>
      </w:r>
    </w:p>
  </w:endnote>
  <w:endnote w:type="continuationSeparator" w:id="0">
    <w:p w14:paraId="120F2782" w14:textId="77777777" w:rsidR="007A0C99" w:rsidRDefault="007A0C99"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B4534" w14:paraId="0174FDC9" w14:textId="77777777" w:rsidTr="001B4534">
      <w:tc>
        <w:tcPr>
          <w:tcW w:w="4920" w:type="dxa"/>
          <w:shd w:val="clear" w:color="auto" w:fill="auto"/>
          <w:vAlign w:val="bottom"/>
        </w:tcPr>
        <w:p w14:paraId="77417D98" w14:textId="77777777" w:rsidR="001B4534" w:rsidRPr="001B4534" w:rsidRDefault="001B4534" w:rsidP="001B4534">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67C166C" w14:textId="718B708F" w:rsidR="001B4534" w:rsidRPr="001B4534" w:rsidRDefault="001B4534" w:rsidP="001B4534">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41DAA">
            <w:rPr>
              <w:b w:val="0"/>
              <w:color w:val="000000"/>
              <w:sz w:val="14"/>
            </w:rPr>
            <w:t>19-21828</w:t>
          </w:r>
          <w:r>
            <w:rPr>
              <w:b w:val="0"/>
              <w:color w:val="000000"/>
              <w:sz w:val="14"/>
            </w:rPr>
            <w:fldChar w:fldCharType="end"/>
          </w:r>
        </w:p>
      </w:tc>
    </w:tr>
  </w:tbl>
  <w:p w14:paraId="0038C59D" w14:textId="77777777" w:rsidR="001B4534" w:rsidRPr="001B4534" w:rsidRDefault="001B4534" w:rsidP="001B45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B4534" w14:paraId="547BBE23" w14:textId="77777777" w:rsidTr="001B4534">
      <w:tc>
        <w:tcPr>
          <w:tcW w:w="4920" w:type="dxa"/>
          <w:shd w:val="clear" w:color="auto" w:fill="auto"/>
          <w:vAlign w:val="bottom"/>
        </w:tcPr>
        <w:p w14:paraId="6AAF6953" w14:textId="37EBD455" w:rsidR="001B4534" w:rsidRPr="001B4534" w:rsidRDefault="001B4534" w:rsidP="001B4534">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41DAA">
            <w:rPr>
              <w:b w:val="0"/>
              <w:color w:val="000000"/>
              <w:sz w:val="14"/>
            </w:rPr>
            <w:t>19-21828</w:t>
          </w:r>
          <w:r>
            <w:rPr>
              <w:b w:val="0"/>
              <w:color w:val="000000"/>
              <w:sz w:val="14"/>
            </w:rPr>
            <w:fldChar w:fldCharType="end"/>
          </w:r>
        </w:p>
      </w:tc>
      <w:tc>
        <w:tcPr>
          <w:tcW w:w="4920" w:type="dxa"/>
          <w:shd w:val="clear" w:color="auto" w:fill="auto"/>
          <w:vAlign w:val="bottom"/>
        </w:tcPr>
        <w:p w14:paraId="6668907B" w14:textId="77777777" w:rsidR="001B4534" w:rsidRPr="001B4534" w:rsidRDefault="001B4534" w:rsidP="001B4534">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A3A1D6E" w14:textId="77777777" w:rsidR="001B4534" w:rsidRPr="001B4534" w:rsidRDefault="001B4534" w:rsidP="001B45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3B6629" w14:textId="77777777" w:rsidR="001B4534" w:rsidRPr="001B4534" w:rsidRDefault="001B4534" w:rsidP="001B4534">
    <w:pPr>
      <w:pStyle w:val="Footer"/>
      <w:spacing w:line="120" w:lineRule="exact"/>
      <w:rPr>
        <w:b w:val="0"/>
        <w:sz w:val="10"/>
      </w:rPr>
    </w:pPr>
    <w:r>
      <w:rPr>
        <w:b w:val="0"/>
        <w:sz w:val="10"/>
      </w:rPr>
      <w:drawing>
        <wp:anchor distT="0" distB="0" distL="114300" distR="114300" simplePos="0" relativeHeight="251658240" behindDoc="0" locked="0" layoutInCell="1" allowOverlap="1" wp14:anchorId="65733F41" wp14:editId="114E8CD0">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NOR/FCO/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OR/FCO/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B4534" w14:paraId="5700E8BB" w14:textId="77777777" w:rsidTr="001B4534">
      <w:tc>
        <w:tcPr>
          <w:tcW w:w="3830" w:type="dxa"/>
          <w:shd w:val="clear" w:color="auto" w:fill="auto"/>
        </w:tcPr>
        <w:p w14:paraId="30CB3F9C" w14:textId="7ED9E6BE" w:rsidR="001B4534" w:rsidRDefault="001B4534" w:rsidP="001B4534">
          <w:pPr>
            <w:pStyle w:val="ReleaseDate0"/>
          </w:pPr>
          <w:r>
            <w:t>19-21828 (S)    2</w:t>
          </w:r>
          <w:r w:rsidR="006C79BC">
            <w:t>4</w:t>
          </w:r>
          <w:r>
            <w:t xml:space="preserve">1219    </w:t>
          </w:r>
          <w:r w:rsidR="006C79BC">
            <w:t>060120</w:t>
          </w:r>
        </w:p>
        <w:p w14:paraId="0054224F" w14:textId="77777777" w:rsidR="001B4534" w:rsidRPr="001B4534" w:rsidRDefault="001B4534" w:rsidP="001B453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*1921828*</w:t>
          </w:r>
        </w:p>
      </w:tc>
      <w:tc>
        <w:tcPr>
          <w:tcW w:w="4920" w:type="dxa"/>
          <w:shd w:val="clear" w:color="auto" w:fill="auto"/>
        </w:tcPr>
        <w:p w14:paraId="36B4F3FC" w14:textId="77777777" w:rsidR="001B4534" w:rsidRDefault="001B4534" w:rsidP="001B4534">
          <w:pPr>
            <w:pStyle w:val="Footer"/>
            <w:jc w:val="right"/>
            <w:rPr>
              <w:b w:val="0"/>
              <w:sz w:val="20"/>
            </w:rPr>
          </w:pPr>
          <w:r>
            <w:rPr>
              <w:b w:val="0"/>
              <w:sz w:val="20"/>
            </w:rPr>
            <w:drawing>
              <wp:inline distT="0" distB="0" distL="0" distR="0" wp14:anchorId="0D7CC622" wp14:editId="06C9AD2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8ED4285" w14:textId="77777777" w:rsidR="001B4534" w:rsidRPr="001B4534" w:rsidRDefault="001B4534" w:rsidP="001B453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C56FBA" w14:textId="77777777" w:rsidR="007A0C99" w:rsidRDefault="007A0C99" w:rsidP="00101B18">
      <w:r>
        <w:separator/>
      </w:r>
    </w:p>
  </w:footnote>
  <w:footnote w:type="continuationSeparator" w:id="0">
    <w:p w14:paraId="05BACCDE" w14:textId="77777777" w:rsidR="007A0C99" w:rsidRDefault="007A0C99"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B4534" w14:paraId="7B3FA856" w14:textId="77777777" w:rsidTr="001B4534">
      <w:trPr>
        <w:trHeight w:hRule="exact" w:val="864"/>
      </w:trPr>
      <w:tc>
        <w:tcPr>
          <w:tcW w:w="4920" w:type="dxa"/>
          <w:shd w:val="clear" w:color="auto" w:fill="auto"/>
          <w:vAlign w:val="bottom"/>
        </w:tcPr>
        <w:p w14:paraId="36B2D9A7" w14:textId="6C80D824" w:rsidR="001B4534" w:rsidRPr="001B4534" w:rsidRDefault="001B4534" w:rsidP="001B4534">
          <w:pPr>
            <w:pStyle w:val="Header"/>
            <w:spacing w:after="80"/>
            <w:rPr>
              <w:b/>
            </w:rPr>
          </w:pPr>
          <w:r>
            <w:rPr>
              <w:b/>
            </w:rPr>
            <w:fldChar w:fldCharType="begin"/>
          </w:r>
          <w:r>
            <w:rPr>
              <w:b/>
            </w:rPr>
            <w:instrText xml:space="preserve"> DOCVARIABLE "sss1" \* MERGEFORMAT </w:instrText>
          </w:r>
          <w:r>
            <w:rPr>
              <w:b/>
            </w:rPr>
            <w:fldChar w:fldCharType="separate"/>
          </w:r>
          <w:r w:rsidR="00841DAA">
            <w:rPr>
              <w:b/>
            </w:rPr>
            <w:t>CEDAW/C/NOR/FCO/9</w:t>
          </w:r>
          <w:r>
            <w:rPr>
              <w:b/>
            </w:rPr>
            <w:fldChar w:fldCharType="end"/>
          </w:r>
        </w:p>
      </w:tc>
      <w:tc>
        <w:tcPr>
          <w:tcW w:w="4920" w:type="dxa"/>
          <w:shd w:val="clear" w:color="auto" w:fill="auto"/>
          <w:vAlign w:val="bottom"/>
        </w:tcPr>
        <w:p w14:paraId="0654B8BC" w14:textId="77777777" w:rsidR="001B4534" w:rsidRDefault="001B4534" w:rsidP="001B4534">
          <w:pPr>
            <w:pStyle w:val="Header"/>
          </w:pPr>
        </w:p>
      </w:tc>
    </w:tr>
  </w:tbl>
  <w:p w14:paraId="5429D33E" w14:textId="77777777" w:rsidR="001B4534" w:rsidRPr="001B4534" w:rsidRDefault="001B4534" w:rsidP="001B45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B4534" w14:paraId="2E98A895" w14:textId="77777777" w:rsidTr="001B4534">
      <w:trPr>
        <w:trHeight w:hRule="exact" w:val="864"/>
      </w:trPr>
      <w:tc>
        <w:tcPr>
          <w:tcW w:w="4920" w:type="dxa"/>
          <w:shd w:val="clear" w:color="auto" w:fill="auto"/>
          <w:vAlign w:val="bottom"/>
        </w:tcPr>
        <w:p w14:paraId="1EC7F8B3" w14:textId="77777777" w:rsidR="001B4534" w:rsidRDefault="001B4534" w:rsidP="001B4534">
          <w:pPr>
            <w:pStyle w:val="Header"/>
          </w:pPr>
        </w:p>
      </w:tc>
      <w:tc>
        <w:tcPr>
          <w:tcW w:w="4920" w:type="dxa"/>
          <w:shd w:val="clear" w:color="auto" w:fill="auto"/>
          <w:vAlign w:val="bottom"/>
        </w:tcPr>
        <w:p w14:paraId="789CB354" w14:textId="22383DFF" w:rsidR="001B4534" w:rsidRPr="001B4534" w:rsidRDefault="001B4534" w:rsidP="001B4534">
          <w:pPr>
            <w:pStyle w:val="Header"/>
            <w:spacing w:after="80"/>
            <w:jc w:val="right"/>
            <w:rPr>
              <w:b/>
            </w:rPr>
          </w:pPr>
          <w:r>
            <w:rPr>
              <w:b/>
            </w:rPr>
            <w:fldChar w:fldCharType="begin"/>
          </w:r>
          <w:r>
            <w:rPr>
              <w:b/>
            </w:rPr>
            <w:instrText xml:space="preserve"> DOCVARIABLE "sss1" \* MERGEFORMAT </w:instrText>
          </w:r>
          <w:r>
            <w:rPr>
              <w:b/>
            </w:rPr>
            <w:fldChar w:fldCharType="separate"/>
          </w:r>
          <w:r w:rsidR="00841DAA">
            <w:rPr>
              <w:b/>
            </w:rPr>
            <w:t>CEDAW/C/NOR/FCO/9</w:t>
          </w:r>
          <w:r>
            <w:rPr>
              <w:b/>
            </w:rPr>
            <w:fldChar w:fldCharType="end"/>
          </w:r>
        </w:p>
      </w:tc>
    </w:tr>
  </w:tbl>
  <w:p w14:paraId="31883AC4" w14:textId="77777777" w:rsidR="001B4534" w:rsidRPr="001B4534" w:rsidRDefault="001B4534" w:rsidP="001B45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B4534" w14:paraId="59549A18" w14:textId="77777777" w:rsidTr="001B4534">
      <w:trPr>
        <w:gridAfter w:val="1"/>
        <w:wAfter w:w="15" w:type="dxa"/>
        <w:trHeight w:hRule="exact" w:val="864"/>
      </w:trPr>
      <w:tc>
        <w:tcPr>
          <w:tcW w:w="1267" w:type="dxa"/>
          <w:tcBorders>
            <w:bottom w:val="single" w:sz="4" w:space="0" w:color="auto"/>
          </w:tcBorders>
          <w:shd w:val="clear" w:color="auto" w:fill="auto"/>
          <w:vAlign w:val="bottom"/>
        </w:tcPr>
        <w:p w14:paraId="01D72C03" w14:textId="77777777" w:rsidR="001B4534" w:rsidRDefault="001B4534" w:rsidP="001B4534">
          <w:pPr>
            <w:pStyle w:val="Header"/>
            <w:spacing w:after="120"/>
          </w:pPr>
        </w:p>
      </w:tc>
      <w:tc>
        <w:tcPr>
          <w:tcW w:w="2059" w:type="dxa"/>
          <w:tcBorders>
            <w:bottom w:val="single" w:sz="4" w:space="0" w:color="auto"/>
          </w:tcBorders>
          <w:shd w:val="clear" w:color="auto" w:fill="auto"/>
          <w:vAlign w:val="bottom"/>
        </w:tcPr>
        <w:p w14:paraId="36C01155" w14:textId="77777777" w:rsidR="001B4534" w:rsidRPr="001B4534" w:rsidRDefault="001B4534" w:rsidP="001B4534">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165C419" w14:textId="77777777" w:rsidR="001B4534" w:rsidRDefault="001B4534" w:rsidP="001B4534">
          <w:pPr>
            <w:pStyle w:val="Header"/>
            <w:spacing w:after="120"/>
          </w:pPr>
        </w:p>
      </w:tc>
      <w:tc>
        <w:tcPr>
          <w:tcW w:w="6480" w:type="dxa"/>
          <w:gridSpan w:val="3"/>
          <w:tcBorders>
            <w:bottom w:val="single" w:sz="4" w:space="0" w:color="auto"/>
          </w:tcBorders>
          <w:shd w:val="clear" w:color="auto" w:fill="auto"/>
          <w:vAlign w:val="bottom"/>
        </w:tcPr>
        <w:p w14:paraId="3820B1DF" w14:textId="77777777" w:rsidR="001B4534" w:rsidRPr="001B4534" w:rsidRDefault="001B4534" w:rsidP="001B4534">
          <w:pPr>
            <w:spacing w:after="80" w:line="240" w:lineRule="auto"/>
            <w:jc w:val="right"/>
            <w:rPr>
              <w:position w:val="-4"/>
            </w:rPr>
          </w:pPr>
          <w:r>
            <w:rPr>
              <w:position w:val="-4"/>
              <w:sz w:val="40"/>
            </w:rPr>
            <w:t>CEDAW</w:t>
          </w:r>
          <w:r>
            <w:rPr>
              <w:position w:val="-4"/>
            </w:rPr>
            <w:t>/C/NOR/FCO/9</w:t>
          </w:r>
        </w:p>
      </w:tc>
    </w:tr>
    <w:tr w:rsidR="001B4534" w:rsidRPr="001B4534" w14:paraId="30247FC3" w14:textId="77777777" w:rsidTr="001B4534">
      <w:trPr>
        <w:trHeight w:hRule="exact" w:val="2880"/>
      </w:trPr>
      <w:tc>
        <w:tcPr>
          <w:tcW w:w="1267" w:type="dxa"/>
          <w:tcBorders>
            <w:top w:val="single" w:sz="4" w:space="0" w:color="auto"/>
            <w:bottom w:val="single" w:sz="12" w:space="0" w:color="auto"/>
          </w:tcBorders>
          <w:shd w:val="clear" w:color="auto" w:fill="auto"/>
        </w:tcPr>
        <w:p w14:paraId="1DA8671C" w14:textId="77777777" w:rsidR="001B4534" w:rsidRPr="001B4534" w:rsidRDefault="001B4534" w:rsidP="001B4534">
          <w:pPr>
            <w:pStyle w:val="Header"/>
            <w:spacing w:before="120"/>
            <w:jc w:val="center"/>
          </w:pPr>
          <w:r>
            <w:t xml:space="preserve"> </w:t>
          </w:r>
          <w:r>
            <w:drawing>
              <wp:inline distT="0" distB="0" distL="0" distR="0" wp14:anchorId="4EDAC497" wp14:editId="39B4BAE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0884F39" w14:textId="77777777" w:rsidR="001B4534" w:rsidRPr="001B4534" w:rsidRDefault="001B4534" w:rsidP="001B453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854246E" w14:textId="77777777" w:rsidR="001B4534" w:rsidRPr="0007717F" w:rsidRDefault="001B4534" w:rsidP="001B4534">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7F069149" w14:textId="77777777" w:rsidR="001B4534" w:rsidRDefault="001B4534" w:rsidP="001B4534">
          <w:pPr>
            <w:pStyle w:val="Distribution"/>
            <w:spacing w:before="240"/>
          </w:pPr>
          <w:r>
            <w:t>Distr. general</w:t>
          </w:r>
        </w:p>
        <w:p w14:paraId="3A008AFE" w14:textId="49A8EF96" w:rsidR="001B4534" w:rsidRDefault="001B4534" w:rsidP="001B4534">
          <w:pPr>
            <w:pStyle w:val="Publication"/>
          </w:pPr>
          <w:r>
            <w:t>17 de diciembre de 2019</w:t>
          </w:r>
        </w:p>
        <w:p w14:paraId="41E0F449" w14:textId="77777777" w:rsidR="001B4534" w:rsidRDefault="001B4534" w:rsidP="001B4534">
          <w:r>
            <w:t>Español</w:t>
          </w:r>
        </w:p>
        <w:p w14:paraId="6E086F55" w14:textId="77777777" w:rsidR="001B4534" w:rsidRDefault="001B4534" w:rsidP="001B4534">
          <w:pPr>
            <w:pStyle w:val="Original"/>
          </w:pPr>
          <w:r>
            <w:t>Original: inglés</w:t>
          </w:r>
        </w:p>
        <w:p w14:paraId="54A3EF69" w14:textId="25164652" w:rsidR="001B4534" w:rsidRPr="001B4534" w:rsidRDefault="0007717F" w:rsidP="0007717F">
          <w:r w:rsidRPr="0007717F">
            <w:rPr>
              <w:lang w:val="es-ES_tradnl"/>
            </w:rPr>
            <w:t>Español, francés e inglés únicamente</w:t>
          </w:r>
        </w:p>
      </w:tc>
    </w:tr>
  </w:tbl>
  <w:p w14:paraId="034635E8" w14:textId="77777777" w:rsidR="001B4534" w:rsidRPr="0007717F" w:rsidRDefault="001B4534" w:rsidP="001B4534">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69A1CF4"/>
    <w:multiLevelType w:val="singleLevel"/>
    <w:tmpl w:val="671E500C"/>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7CF6499E"/>
    <w:multiLevelType w:val="hybridMultilevel"/>
    <w:tmpl w:val="C02AAB38"/>
    <w:lvl w:ilvl="0" w:tplc="BECE5B2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5"/>
  </w:num>
  <w:num w:numId="3">
    <w:abstractNumId w:val="0"/>
  </w:num>
  <w:num w:numId="4">
    <w:abstractNumId w:val="1"/>
  </w:num>
  <w:num w:numId="5">
    <w:abstractNumId w:val="8"/>
  </w:num>
  <w:num w:numId="6">
    <w:abstractNumId w:val="3"/>
  </w:num>
  <w:num w:numId="7">
    <w:abstractNumId w:val="7"/>
  </w:num>
  <w:num w:numId="8">
    <w:abstractNumId w:val="6"/>
  </w:num>
  <w:num w:numId="9">
    <w:abstractNumId w:val="8"/>
  </w:num>
  <w:num w:numId="10">
    <w:abstractNumId w:val="3"/>
  </w:num>
  <w:num w:numId="11">
    <w:abstractNumId w:val="7"/>
  </w:num>
  <w:num w:numId="12">
    <w:abstractNumId w:val="6"/>
  </w:num>
  <w:num w:numId="13">
    <w:abstractNumId w:val="8"/>
  </w:num>
  <w:num w:numId="14">
    <w:abstractNumId w:val="3"/>
  </w:num>
  <w:num w:numId="15">
    <w:abstractNumId w:val="7"/>
  </w:num>
  <w:num w:numId="16">
    <w:abstractNumId w:val="6"/>
  </w:num>
  <w:num w:numId="17">
    <w:abstractNumId w:val="8"/>
  </w:num>
  <w:num w:numId="18">
    <w:abstractNumId w:val="3"/>
  </w:num>
  <w:num w:numId="19">
    <w:abstractNumId w:val="7"/>
  </w:num>
  <w:num w:numId="20">
    <w:abstractNumId w:val="6"/>
  </w:num>
  <w:num w:numId="21">
    <w:abstractNumId w:val="8"/>
  </w:num>
  <w:num w:numId="22">
    <w:abstractNumId w:val="3"/>
  </w:num>
  <w:num w:numId="23">
    <w:abstractNumId w:val="7"/>
  </w:num>
  <w:num w:numId="24">
    <w:abstractNumId w:val="6"/>
  </w:num>
  <w:num w:numId="25">
    <w:abstractNumId w:val="8"/>
  </w:num>
  <w:num w:numId="26">
    <w:abstractNumId w:val="3"/>
  </w:num>
  <w:num w:numId="27">
    <w:abstractNumId w:val="7"/>
  </w:num>
  <w:num w:numId="28">
    <w:abstractNumId w:val="6"/>
  </w:num>
  <w:num w:numId="29">
    <w:abstractNumId w:val="8"/>
  </w:num>
  <w:num w:numId="30">
    <w:abstractNumId w:val="3"/>
  </w:num>
  <w:num w:numId="31">
    <w:abstractNumId w:val="7"/>
  </w:num>
  <w:num w:numId="32">
    <w:abstractNumId w:val="6"/>
  </w:num>
  <w:num w:numId="33">
    <w:abstractNumId w:val="8"/>
  </w:num>
  <w:num w:numId="34">
    <w:abstractNumId w:val="3"/>
  </w:num>
  <w:num w:numId="35">
    <w:abstractNumId w:val="7"/>
  </w:num>
  <w:num w:numId="36">
    <w:abstractNumId w:val="6"/>
  </w:num>
  <w:num w:numId="37">
    <w:abstractNumId w:val="8"/>
  </w:num>
  <w:num w:numId="38">
    <w:abstractNumId w:val="3"/>
  </w:num>
  <w:num w:numId="39">
    <w:abstractNumId w:val="7"/>
  </w:num>
  <w:num w:numId="40">
    <w:abstractNumId w:val="6"/>
  </w:num>
  <w:num w:numId="41">
    <w:abstractNumId w:val="8"/>
  </w:num>
  <w:num w:numId="42">
    <w:abstractNumId w:val="3"/>
  </w:num>
  <w:num w:numId="43">
    <w:abstractNumId w:val="7"/>
  </w:num>
  <w:num w:numId="44">
    <w:abstractNumId w:val="6"/>
  </w:num>
  <w:num w:numId="45">
    <w:abstractNumId w:val="8"/>
  </w:num>
  <w:num w:numId="46">
    <w:abstractNumId w:val="3"/>
  </w:num>
  <w:num w:numId="47">
    <w:abstractNumId w:val="7"/>
  </w:num>
  <w:num w:numId="48">
    <w:abstractNumId w:val="6"/>
  </w:num>
  <w:num w:numId="49">
    <w:abstractNumId w:val="4"/>
  </w:num>
  <w:num w:numId="50">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SpellingErrors/>
  <w:revisionView w:markup="0"/>
  <w:defaultTabStop w:val="475"/>
  <w:autoHyphenation/>
  <w:hyphenationZone w:val="425"/>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1828*"/>
    <w:docVar w:name="CreationDt" w:val="26/12/2019 5:45: PM"/>
    <w:docVar w:name="DocCategory" w:val="Doc"/>
    <w:docVar w:name="DocType" w:val="Final"/>
    <w:docVar w:name="DutyStation" w:val="New York"/>
    <w:docVar w:name="FooterJN" w:val="19-21828"/>
    <w:docVar w:name="jobn" w:val="19-21828 (S)"/>
    <w:docVar w:name="jobnDT" w:val="19-21828 (S)   261219"/>
    <w:docVar w:name="jobnDTDT" w:val="19-21828 (S)   261219   261219"/>
    <w:docVar w:name="JobNo" w:val="1921828S"/>
    <w:docVar w:name="JobNo2" w:val="19414135:45: PM"/>
    <w:docVar w:name="LocalDrive" w:val="0"/>
    <w:docVar w:name="OandT" w:val="MAO/Jordina Guitart"/>
    <w:docVar w:name="sss1" w:val="CEDAW/C/NOR/FCO/9"/>
    <w:docVar w:name="sss2" w:val="-"/>
    <w:docVar w:name="Symbol1" w:val="CEDAW/C/NOR/FCO/9"/>
    <w:docVar w:name="Symbol2" w:val="-"/>
  </w:docVars>
  <w:rsids>
    <w:rsidRoot w:val="007A0C99"/>
    <w:rsid w:val="00002584"/>
    <w:rsid w:val="000352C3"/>
    <w:rsid w:val="000365CB"/>
    <w:rsid w:val="000633EC"/>
    <w:rsid w:val="0006491F"/>
    <w:rsid w:val="00067B89"/>
    <w:rsid w:val="00071D43"/>
    <w:rsid w:val="0007717F"/>
    <w:rsid w:val="00082144"/>
    <w:rsid w:val="000B676C"/>
    <w:rsid w:val="000F1F99"/>
    <w:rsid w:val="00101B18"/>
    <w:rsid w:val="00117EA0"/>
    <w:rsid w:val="00122A56"/>
    <w:rsid w:val="00134FEE"/>
    <w:rsid w:val="00146C6A"/>
    <w:rsid w:val="00147570"/>
    <w:rsid w:val="00151388"/>
    <w:rsid w:val="00166A0D"/>
    <w:rsid w:val="00187C80"/>
    <w:rsid w:val="001A249C"/>
    <w:rsid w:val="001B4534"/>
    <w:rsid w:val="001D5969"/>
    <w:rsid w:val="001E4B50"/>
    <w:rsid w:val="0020036E"/>
    <w:rsid w:val="00241B93"/>
    <w:rsid w:val="002478A0"/>
    <w:rsid w:val="002678F6"/>
    <w:rsid w:val="002A5E20"/>
    <w:rsid w:val="002D1584"/>
    <w:rsid w:val="002F4FBF"/>
    <w:rsid w:val="002F758F"/>
    <w:rsid w:val="00304428"/>
    <w:rsid w:val="00340F38"/>
    <w:rsid w:val="00356DCA"/>
    <w:rsid w:val="00366D21"/>
    <w:rsid w:val="0039127C"/>
    <w:rsid w:val="003A39F7"/>
    <w:rsid w:val="003A3DA8"/>
    <w:rsid w:val="003A675A"/>
    <w:rsid w:val="003B24AA"/>
    <w:rsid w:val="003D096D"/>
    <w:rsid w:val="003D1B6E"/>
    <w:rsid w:val="003E43FA"/>
    <w:rsid w:val="003F61E1"/>
    <w:rsid w:val="00415E1D"/>
    <w:rsid w:val="00431E47"/>
    <w:rsid w:val="00436F99"/>
    <w:rsid w:val="00440C93"/>
    <w:rsid w:val="00446BA0"/>
    <w:rsid w:val="00480B84"/>
    <w:rsid w:val="004B64F9"/>
    <w:rsid w:val="004C1A25"/>
    <w:rsid w:val="00515991"/>
    <w:rsid w:val="005225EC"/>
    <w:rsid w:val="00525097"/>
    <w:rsid w:val="005509B6"/>
    <w:rsid w:val="005A4BA5"/>
    <w:rsid w:val="005B5B06"/>
    <w:rsid w:val="005F1F5F"/>
    <w:rsid w:val="005F22B0"/>
    <w:rsid w:val="00622288"/>
    <w:rsid w:val="00632C10"/>
    <w:rsid w:val="00643BC3"/>
    <w:rsid w:val="00657C5A"/>
    <w:rsid w:val="00663D70"/>
    <w:rsid w:val="00690698"/>
    <w:rsid w:val="006C144C"/>
    <w:rsid w:val="006C79BC"/>
    <w:rsid w:val="006E4A4B"/>
    <w:rsid w:val="006F461E"/>
    <w:rsid w:val="00703106"/>
    <w:rsid w:val="007459AE"/>
    <w:rsid w:val="007526FF"/>
    <w:rsid w:val="007531A5"/>
    <w:rsid w:val="00753D8A"/>
    <w:rsid w:val="00771C9E"/>
    <w:rsid w:val="00783685"/>
    <w:rsid w:val="007A089B"/>
    <w:rsid w:val="007A0C99"/>
    <w:rsid w:val="007C0F4E"/>
    <w:rsid w:val="007C52B8"/>
    <w:rsid w:val="00807B29"/>
    <w:rsid w:val="0081536D"/>
    <w:rsid w:val="0082045E"/>
    <w:rsid w:val="008222A3"/>
    <w:rsid w:val="00833F85"/>
    <w:rsid w:val="00840664"/>
    <w:rsid w:val="00841DAA"/>
    <w:rsid w:val="008A7C91"/>
    <w:rsid w:val="008B3FC7"/>
    <w:rsid w:val="008F3462"/>
    <w:rsid w:val="0093246F"/>
    <w:rsid w:val="00935932"/>
    <w:rsid w:val="009559A6"/>
    <w:rsid w:val="00972D2E"/>
    <w:rsid w:val="00987668"/>
    <w:rsid w:val="00993CB7"/>
    <w:rsid w:val="009D0EE3"/>
    <w:rsid w:val="00A1038C"/>
    <w:rsid w:val="00A2494D"/>
    <w:rsid w:val="00A31C1D"/>
    <w:rsid w:val="00A536A1"/>
    <w:rsid w:val="00A73B01"/>
    <w:rsid w:val="00AB0B7D"/>
    <w:rsid w:val="00AD5F2F"/>
    <w:rsid w:val="00AF4336"/>
    <w:rsid w:val="00B1010E"/>
    <w:rsid w:val="00B114E4"/>
    <w:rsid w:val="00B17487"/>
    <w:rsid w:val="00B6370C"/>
    <w:rsid w:val="00B65B34"/>
    <w:rsid w:val="00B858D5"/>
    <w:rsid w:val="00B927BC"/>
    <w:rsid w:val="00BA0469"/>
    <w:rsid w:val="00BA2A2A"/>
    <w:rsid w:val="00BB462D"/>
    <w:rsid w:val="00BB4CFD"/>
    <w:rsid w:val="00BD113B"/>
    <w:rsid w:val="00BF6C8E"/>
    <w:rsid w:val="00C026EE"/>
    <w:rsid w:val="00C07FF6"/>
    <w:rsid w:val="00C32BC2"/>
    <w:rsid w:val="00C43505"/>
    <w:rsid w:val="00C5036A"/>
    <w:rsid w:val="00C75DB5"/>
    <w:rsid w:val="00CB06FB"/>
    <w:rsid w:val="00CB63C5"/>
    <w:rsid w:val="00D0035F"/>
    <w:rsid w:val="00D3073B"/>
    <w:rsid w:val="00D30EED"/>
    <w:rsid w:val="00D64F76"/>
    <w:rsid w:val="00D9073D"/>
    <w:rsid w:val="00DB32F0"/>
    <w:rsid w:val="00DB66DE"/>
    <w:rsid w:val="00DC7881"/>
    <w:rsid w:val="00DD5701"/>
    <w:rsid w:val="00E00C09"/>
    <w:rsid w:val="00E117BC"/>
    <w:rsid w:val="00E15B9B"/>
    <w:rsid w:val="00E343A6"/>
    <w:rsid w:val="00E443AC"/>
    <w:rsid w:val="00E47A1E"/>
    <w:rsid w:val="00E517AD"/>
    <w:rsid w:val="00E7105F"/>
    <w:rsid w:val="00E818DE"/>
    <w:rsid w:val="00E97D84"/>
    <w:rsid w:val="00ED471D"/>
    <w:rsid w:val="00EE37EC"/>
    <w:rsid w:val="00EF1684"/>
    <w:rsid w:val="00EF2DFA"/>
    <w:rsid w:val="00F0704E"/>
    <w:rsid w:val="00F15942"/>
    <w:rsid w:val="00F272D7"/>
    <w:rsid w:val="00F313F6"/>
    <w:rsid w:val="00F5012D"/>
    <w:rsid w:val="00F67280"/>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205018C"/>
  <w15:chartTrackingRefBased/>
  <w15:docId w15:val="{A60BD56A-9E16-42A3-B595-EEF4FB6C8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1684"/>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EF168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F168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F168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F168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F168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F168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F168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F168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F1684"/>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F1684"/>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F1684"/>
    <w:pPr>
      <w:spacing w:line="360" w:lineRule="exact"/>
    </w:pPr>
    <w:rPr>
      <w:spacing w:val="-3"/>
      <w:w w:val="99"/>
      <w:sz w:val="34"/>
    </w:rPr>
  </w:style>
  <w:style w:type="paragraph" w:customStyle="1" w:styleId="H23">
    <w:name w:val="_ H_2/3"/>
    <w:basedOn w:val="H1"/>
    <w:next w:val="SingleTxt"/>
    <w:qFormat/>
    <w:rsid w:val="00EF1684"/>
    <w:pPr>
      <w:spacing w:line="240" w:lineRule="exact"/>
      <w:outlineLvl w:val="1"/>
    </w:pPr>
    <w:rPr>
      <w:spacing w:val="2"/>
      <w:sz w:val="20"/>
    </w:rPr>
  </w:style>
  <w:style w:type="paragraph" w:customStyle="1" w:styleId="H4">
    <w:name w:val="_ H_4"/>
    <w:basedOn w:val="Normal"/>
    <w:next w:val="Normal"/>
    <w:qFormat/>
    <w:rsid w:val="00EF1684"/>
    <w:pPr>
      <w:keepNext/>
      <w:keepLines/>
      <w:tabs>
        <w:tab w:val="right" w:pos="360"/>
      </w:tabs>
      <w:outlineLvl w:val="3"/>
    </w:pPr>
    <w:rPr>
      <w:i/>
      <w:spacing w:val="3"/>
      <w:kern w:val="14"/>
    </w:rPr>
  </w:style>
  <w:style w:type="paragraph" w:customStyle="1" w:styleId="H56">
    <w:name w:val="_ H_5/6"/>
    <w:basedOn w:val="Normal"/>
    <w:next w:val="Normal"/>
    <w:qFormat/>
    <w:rsid w:val="00EF1684"/>
    <w:pPr>
      <w:keepNext/>
      <w:keepLines/>
      <w:tabs>
        <w:tab w:val="right" w:pos="360"/>
      </w:tabs>
      <w:outlineLvl w:val="4"/>
    </w:pPr>
    <w:rPr>
      <w:kern w:val="14"/>
    </w:rPr>
  </w:style>
  <w:style w:type="paragraph" w:customStyle="1" w:styleId="DualTxt">
    <w:name w:val="__Dual Txt"/>
    <w:basedOn w:val="Normal"/>
    <w:qFormat/>
    <w:rsid w:val="00EF168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F168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F1684"/>
    <w:pPr>
      <w:spacing w:line="540" w:lineRule="exact"/>
    </w:pPr>
    <w:rPr>
      <w:spacing w:val="-8"/>
      <w:w w:val="96"/>
      <w:sz w:val="57"/>
    </w:rPr>
  </w:style>
  <w:style w:type="paragraph" w:customStyle="1" w:styleId="SS">
    <w:name w:val="__S_S"/>
    <w:basedOn w:val="HCh0"/>
    <w:next w:val="Normal"/>
    <w:qFormat/>
    <w:rsid w:val="00EF1684"/>
    <w:pPr>
      <w:ind w:left="1267" w:right="1267"/>
    </w:pPr>
  </w:style>
  <w:style w:type="paragraph" w:customStyle="1" w:styleId="SingleTxt">
    <w:name w:val="__Single Txt"/>
    <w:basedOn w:val="Normal"/>
    <w:qFormat/>
    <w:rsid w:val="00EF168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F168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F168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EF168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F1684"/>
    <w:rPr>
      <w:rFonts w:ascii="Tahoma" w:hAnsi="Tahoma" w:cs="Tahoma"/>
      <w:sz w:val="16"/>
      <w:szCs w:val="16"/>
    </w:rPr>
  </w:style>
  <w:style w:type="character" w:customStyle="1" w:styleId="BalloonTextChar">
    <w:name w:val="Balloon Text Char"/>
    <w:basedOn w:val="DefaultParagraphFont"/>
    <w:link w:val="BalloonText"/>
    <w:semiHidden/>
    <w:rsid w:val="00EF1684"/>
    <w:rPr>
      <w:rFonts w:ascii="Tahoma" w:eastAsiaTheme="minorHAnsi" w:hAnsi="Tahoma" w:cs="Tahoma"/>
      <w:spacing w:val="4"/>
      <w:w w:val="103"/>
      <w:sz w:val="16"/>
      <w:szCs w:val="16"/>
      <w:lang w:val="es-ES" w:eastAsia="en-US"/>
    </w:rPr>
  </w:style>
  <w:style w:type="paragraph" w:customStyle="1" w:styleId="Bullet1">
    <w:name w:val="Bullet 1"/>
    <w:basedOn w:val="Normal"/>
    <w:qFormat/>
    <w:rsid w:val="00EF1684"/>
    <w:pPr>
      <w:numPr>
        <w:numId w:val="45"/>
      </w:numPr>
      <w:spacing w:after="120"/>
      <w:ind w:right="1264"/>
      <w:jc w:val="both"/>
    </w:pPr>
  </w:style>
  <w:style w:type="paragraph" w:customStyle="1" w:styleId="Bullet2">
    <w:name w:val="Bullet 2"/>
    <w:basedOn w:val="Normal"/>
    <w:qFormat/>
    <w:rsid w:val="00EF1684"/>
    <w:pPr>
      <w:numPr>
        <w:numId w:val="46"/>
      </w:numPr>
      <w:spacing w:after="120"/>
      <w:ind w:right="1264"/>
      <w:jc w:val="both"/>
    </w:pPr>
  </w:style>
  <w:style w:type="paragraph" w:customStyle="1" w:styleId="Bullet3">
    <w:name w:val="Bullet 3"/>
    <w:basedOn w:val="SingleTxt"/>
    <w:qFormat/>
    <w:rsid w:val="00EF1684"/>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F168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EF168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F1684"/>
    <w:pPr>
      <w:spacing w:after="80"/>
    </w:pPr>
  </w:style>
  <w:style w:type="character" w:customStyle="1" w:styleId="EndnoteTextChar">
    <w:name w:val="Endnote Text Char"/>
    <w:basedOn w:val="DefaultParagraphFont"/>
    <w:link w:val="EndnoteText"/>
    <w:semiHidden/>
    <w:rsid w:val="00EF1684"/>
    <w:rPr>
      <w:rFonts w:ascii="Times New Roman" w:eastAsiaTheme="minorHAnsi" w:hAnsi="Times New Roman" w:cs="Times New Roman"/>
      <w:spacing w:val="5"/>
      <w:w w:val="104"/>
      <w:sz w:val="17"/>
      <w:lang w:val="es-ES" w:eastAsia="en-US"/>
    </w:rPr>
  </w:style>
  <w:style w:type="paragraph" w:styleId="Footer">
    <w:name w:val="footer"/>
    <w:link w:val="FooterChar"/>
    <w:qFormat/>
    <w:rsid w:val="00EF168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EF1684"/>
    <w:rPr>
      <w:rFonts w:ascii="Times New Roman" w:eastAsiaTheme="minorHAnsi" w:hAnsi="Times New Roman" w:cs="Times New Roman"/>
      <w:b/>
      <w:noProof/>
      <w:sz w:val="17"/>
      <w:lang w:val="en-US" w:eastAsia="en-US"/>
    </w:rPr>
  </w:style>
  <w:style w:type="character" w:styleId="FootnoteReference">
    <w:name w:val="footnote reference"/>
    <w:semiHidden/>
    <w:rsid w:val="00EF168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F168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EF1684"/>
    <w:rPr>
      <w:rFonts w:ascii="Times New Roman" w:eastAsiaTheme="minorHAnsi" w:hAnsi="Times New Roman" w:cs="Times New Roman"/>
      <w:spacing w:val="5"/>
      <w:w w:val="104"/>
      <w:sz w:val="17"/>
      <w:lang w:val="es-ES" w:eastAsia="en-US"/>
    </w:rPr>
  </w:style>
  <w:style w:type="paragraph" w:styleId="Header">
    <w:name w:val="header"/>
    <w:link w:val="HeaderChar"/>
    <w:qFormat/>
    <w:rsid w:val="00EF168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EF168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F168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EF168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EF168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EF168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EF168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EF168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F168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EF168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EF1684"/>
    <w:rPr>
      <w:rFonts w:ascii="Cambria" w:eastAsia="Times New Roman" w:hAnsi="Cambria" w:cs="Times New Roman"/>
      <w:i/>
      <w:iCs/>
      <w:spacing w:val="5"/>
      <w:w w:val="103"/>
      <w:sz w:val="20"/>
      <w:szCs w:val="20"/>
      <w:lang w:val="es-ES" w:eastAsia="en-US"/>
    </w:rPr>
  </w:style>
  <w:style w:type="character" w:styleId="LineNumber">
    <w:name w:val="line number"/>
    <w:qFormat/>
    <w:rsid w:val="00EF1684"/>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EF1684"/>
    <w:pPr>
      <w:spacing w:line="240" w:lineRule="auto"/>
    </w:pPr>
  </w:style>
  <w:style w:type="paragraph" w:customStyle="1" w:styleId="Original">
    <w:name w:val="Original"/>
    <w:next w:val="Normal"/>
    <w:autoRedefine/>
    <w:qFormat/>
    <w:rsid w:val="00EF1684"/>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EF168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F1684"/>
    <w:pPr>
      <w:tabs>
        <w:tab w:val="right" w:pos="9965"/>
      </w:tabs>
      <w:spacing w:line="210" w:lineRule="exact"/>
    </w:pPr>
    <w:rPr>
      <w:spacing w:val="5"/>
      <w:w w:val="104"/>
      <w:kern w:val="14"/>
      <w:sz w:val="17"/>
    </w:rPr>
  </w:style>
  <w:style w:type="paragraph" w:customStyle="1" w:styleId="SmallX">
    <w:name w:val="SmallX"/>
    <w:basedOn w:val="Small"/>
    <w:next w:val="Normal"/>
    <w:qFormat/>
    <w:rsid w:val="00EF1684"/>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F16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F16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F1684"/>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SingleTxt"/>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EF168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EF1684"/>
    <w:pPr>
      <w:spacing w:line="300" w:lineRule="exact"/>
    </w:pPr>
    <w:rPr>
      <w:spacing w:val="-2"/>
      <w:sz w:val="28"/>
    </w:rPr>
  </w:style>
  <w:style w:type="paragraph" w:styleId="Caption">
    <w:name w:val="caption"/>
    <w:basedOn w:val="Normal"/>
    <w:next w:val="Normal"/>
    <w:uiPriority w:val="35"/>
    <w:semiHidden/>
    <w:unhideWhenUsed/>
    <w:rsid w:val="00EF1684"/>
    <w:pPr>
      <w:spacing w:line="240" w:lineRule="auto"/>
    </w:pPr>
    <w:rPr>
      <w:b/>
      <w:bCs/>
      <w:color w:val="4F81BD"/>
      <w:sz w:val="18"/>
      <w:szCs w:val="18"/>
    </w:rPr>
  </w:style>
  <w:style w:type="character" w:styleId="CommentReference">
    <w:name w:val="annotation reference"/>
    <w:semiHidden/>
    <w:rsid w:val="00EF1684"/>
    <w:rPr>
      <w:sz w:val="6"/>
    </w:rPr>
  </w:style>
  <w:style w:type="paragraph" w:customStyle="1" w:styleId="HdBanner">
    <w:name w:val="Hd Banner"/>
    <w:basedOn w:val="Normal"/>
    <w:next w:val="Normal"/>
    <w:qFormat/>
    <w:rsid w:val="00EF168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F168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F1684"/>
    <w:pPr>
      <w:spacing w:before="240"/>
    </w:pPr>
    <w:rPr>
      <w:b/>
      <w:spacing w:val="-2"/>
      <w:w w:val="100"/>
    </w:rPr>
  </w:style>
  <w:style w:type="paragraph" w:customStyle="1" w:styleId="HdChapterBdLg">
    <w:name w:val="Hd Chapter Bd Lg"/>
    <w:basedOn w:val="HdChapterBD"/>
    <w:next w:val="Normal"/>
    <w:qFormat/>
    <w:rsid w:val="00EF1684"/>
    <w:rPr>
      <w:spacing w:val="-3"/>
      <w:w w:val="99"/>
      <w:kern w:val="14"/>
      <w:sz w:val="34"/>
      <w:szCs w:val="34"/>
    </w:rPr>
  </w:style>
  <w:style w:type="paragraph" w:customStyle="1" w:styleId="JournalHeading1">
    <w:name w:val="Journal_Heading1"/>
    <w:basedOn w:val="Normal"/>
    <w:next w:val="Normal"/>
    <w:qFormat/>
    <w:rsid w:val="00EF1684"/>
    <w:pPr>
      <w:keepNext/>
      <w:spacing w:before="190" w:line="270" w:lineRule="exact"/>
    </w:pPr>
    <w:rPr>
      <w:b/>
      <w:kern w:val="14"/>
      <w:sz w:val="24"/>
    </w:rPr>
  </w:style>
  <w:style w:type="paragraph" w:customStyle="1" w:styleId="JournalHeading2">
    <w:name w:val="Journal_Heading2"/>
    <w:basedOn w:val="Normal"/>
    <w:next w:val="Normal"/>
    <w:qFormat/>
    <w:rsid w:val="00EF1684"/>
    <w:pPr>
      <w:keepNext/>
      <w:keepLines/>
      <w:spacing w:before="240"/>
      <w:outlineLvl w:val="1"/>
    </w:pPr>
    <w:rPr>
      <w:b/>
      <w:spacing w:val="2"/>
      <w:kern w:val="14"/>
    </w:rPr>
  </w:style>
  <w:style w:type="paragraph" w:customStyle="1" w:styleId="JournalHeading4">
    <w:name w:val="Journal_Heading4"/>
    <w:basedOn w:val="Normal"/>
    <w:next w:val="Normal"/>
    <w:qFormat/>
    <w:rsid w:val="00EF1684"/>
    <w:pPr>
      <w:keepNext/>
      <w:keepLines/>
      <w:spacing w:before="240"/>
      <w:outlineLvl w:val="3"/>
    </w:pPr>
    <w:rPr>
      <w:i/>
      <w:kern w:val="14"/>
    </w:rPr>
  </w:style>
  <w:style w:type="paragraph" w:customStyle="1" w:styleId="NormalBullet">
    <w:name w:val="Normal Bullet"/>
    <w:basedOn w:val="Normal"/>
    <w:next w:val="Normal"/>
    <w:qFormat/>
    <w:rsid w:val="00EF1684"/>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EF1684"/>
    <w:pPr>
      <w:tabs>
        <w:tab w:val="left" w:leader="dot" w:pos="2218"/>
        <w:tab w:val="left" w:pos="2707"/>
        <w:tab w:val="right" w:leader="dot" w:pos="9835"/>
      </w:tabs>
    </w:pPr>
    <w:rPr>
      <w:kern w:val="14"/>
    </w:rPr>
  </w:style>
  <w:style w:type="paragraph" w:customStyle="1" w:styleId="ReleaseDate0">
    <w:name w:val="ReleaseDate"/>
    <w:next w:val="Footer"/>
    <w:autoRedefine/>
    <w:qFormat/>
    <w:rsid w:val="00EF1684"/>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F1684"/>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1B4534"/>
    <w:pPr>
      <w:spacing w:line="240" w:lineRule="auto"/>
    </w:pPr>
    <w:rPr>
      <w:szCs w:val="20"/>
    </w:rPr>
  </w:style>
  <w:style w:type="character" w:customStyle="1" w:styleId="CommentTextChar">
    <w:name w:val="Comment Text Char"/>
    <w:basedOn w:val="DefaultParagraphFont"/>
    <w:link w:val="CommentText"/>
    <w:uiPriority w:val="99"/>
    <w:semiHidden/>
    <w:rsid w:val="001B453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B4534"/>
    <w:rPr>
      <w:b/>
      <w:bCs/>
    </w:rPr>
  </w:style>
  <w:style w:type="character" w:customStyle="1" w:styleId="CommentSubjectChar">
    <w:name w:val="Comment Subject Char"/>
    <w:basedOn w:val="CommentTextChar"/>
    <w:link w:val="CommentSubject"/>
    <w:uiPriority w:val="99"/>
    <w:semiHidden/>
    <w:rsid w:val="001B4534"/>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6C79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CEDAW/C/NOR/CO/9"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1900</Words>
  <Characters>11043</Characters>
  <Application>Microsoft Office Word</Application>
  <DocSecurity>0</DocSecurity>
  <Lines>581</Lines>
  <Paragraphs>392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Patricia Lopez Horta</cp:lastModifiedBy>
  <cp:revision>3</cp:revision>
  <cp:lastPrinted>2020-01-06T20:58:00Z</cp:lastPrinted>
  <dcterms:created xsi:type="dcterms:W3CDTF">2020-01-06T20:58:00Z</dcterms:created>
  <dcterms:modified xsi:type="dcterms:W3CDTF">2020-01-06T20:58:00Z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1921828</vt:lpwstr>
  </property>
  <property fmtid="{D5CDD505-2E9C-101B-9397-08002B2CF9AE}" pid="3" name="ODSRefJobNo">
    <vt:lpwstr>1941413</vt:lpwstr>
  </property>
  <property fmtid="{D5CDD505-2E9C-101B-9397-08002B2CF9AE}" pid="4" name="Symbol1">
    <vt:lpwstr>CEDAW/C/NOR/FCO/9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1921828.XVC.JGU</vt:lpwstr>
  </property>
  <property fmtid="{D5CDD505-2E9C-101B-9397-08002B2CF9AE}" pid="9" name="DraftPages">
    <vt:lpwstr> </vt:lpwstr>
  </property>
  <property fmtid="{D5CDD505-2E9C-101B-9397-08002B2CF9AE}" pid="10" name="Operator">
    <vt:lpwstr>MAO</vt:lpwstr>
  </property>
  <property fmtid="{D5CDD505-2E9C-101B-9397-08002B2CF9AE}" pid="11" name="Translator">
    <vt:lpwstr>Jordina Guitart</vt:lpwstr>
  </property>
  <property fmtid="{D5CDD505-2E9C-101B-9397-08002B2CF9AE}" pid="12" name="Release Date">
    <vt:lpwstr>241219</vt:lpwstr>
  </property>
  <property fmtid="{D5CDD505-2E9C-101B-9397-08002B2CF9AE}" pid="13" name="Session1">
    <vt:lpwstr>75º período de sesiones_x000d_</vt:lpwstr>
  </property>
  <property fmtid="{D5CDD505-2E9C-101B-9397-08002B2CF9AE}" pid="14" name="Agenda1">
    <vt:lpwstr>Tema 5 del programa provisional_x000d_</vt:lpwstr>
  </property>
  <property fmtid="{D5CDD505-2E9C-101B-9397-08002B2CF9AE}" pid="15" name="Agenda Title1">
    <vt:lpwstr>Seguimiento del examen de los informes presentados por los Estados partes en virtud del artículo 18_x000b_de la Convención_x000d_</vt:lpwstr>
  </property>
  <property fmtid="{D5CDD505-2E9C-101B-9397-08002B2CF9AE}" pid="16" name="Title1">
    <vt:lpwstr>		Información suministrada por Noruega sobre el seguimiento de las observaciones finales correspondientes a su noveno informe periódico*_x000d_</vt:lpwstr>
  </property>
</Properties>
</file>