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DC6DD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DC6DDB" w:rsidP="00DC6DDB">
            <w:pPr>
              <w:jc w:val="right"/>
            </w:pPr>
            <w:r w:rsidRPr="00DC6DDB">
              <w:rPr>
                <w:sz w:val="40"/>
              </w:rPr>
              <w:t>A</w:t>
            </w:r>
            <w:r>
              <w:t>/HRC/RES/42/16</w:t>
            </w:r>
          </w:p>
        </w:tc>
      </w:tr>
      <w:tr w:rsidR="002D5AAC" w:rsidRPr="00625F3F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en-US"/>
              </w:rPr>
              <w:drawing>
                <wp:inline distT="0" distB="0" distL="0" distR="0" wp14:anchorId="2039C0AB" wp14:editId="62A13324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DC6DDB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DC6DDB" w:rsidRDefault="00DC6DDB" w:rsidP="00DC6DDB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7 October 2019</w:t>
            </w:r>
          </w:p>
          <w:p w:rsidR="00DC6DDB" w:rsidRDefault="00DC6DDB" w:rsidP="00DC6DDB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DC6DDB" w:rsidRPr="00E71476" w:rsidRDefault="00DC6DDB" w:rsidP="00DC6DDB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:rsidR="00DC6DDB" w:rsidRPr="00625F3F" w:rsidRDefault="00DF71B9" w:rsidP="006F0B59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:rsidR="00DC6DDB" w:rsidRPr="00534B80" w:rsidRDefault="00DC6DDB" w:rsidP="00DC6DDB">
      <w:pPr>
        <w:rPr>
          <w:b/>
        </w:rPr>
      </w:pPr>
      <w:r>
        <w:rPr>
          <w:b/>
          <w:bCs/>
        </w:rPr>
        <w:t>Сорок вторая сессия</w:t>
      </w:r>
    </w:p>
    <w:p w:rsidR="00DC6DDB" w:rsidRPr="00534B80" w:rsidRDefault="00DC6DDB" w:rsidP="00DC6DDB">
      <w:r>
        <w:t>9–27 сентября 2019 года</w:t>
      </w:r>
    </w:p>
    <w:p w:rsidR="00DC6DDB" w:rsidRPr="00534B80" w:rsidRDefault="00DC6DDB" w:rsidP="00DC6DDB">
      <w:r>
        <w:t>Пункт 3 повестки дня</w:t>
      </w:r>
    </w:p>
    <w:p w:rsidR="00DC6DDB" w:rsidRPr="00B274D0" w:rsidRDefault="00DC6DDB" w:rsidP="00DC6DDB">
      <w:pPr>
        <w:pStyle w:val="HChG"/>
      </w:pPr>
      <w:r>
        <w:tab/>
      </w:r>
      <w:r>
        <w:tab/>
      </w:r>
      <w:r w:rsidRPr="00B274D0">
        <w:t xml:space="preserve">Резолюция, принятая Советом по правам человека </w:t>
      </w:r>
      <w:r>
        <w:br/>
      </w:r>
      <w:r w:rsidRPr="00B274D0">
        <w:t>2</w:t>
      </w:r>
      <w:r w:rsidRPr="00BB0154">
        <w:t>6</w:t>
      </w:r>
      <w:r>
        <w:t xml:space="preserve"> сентября</w:t>
      </w:r>
      <w:r w:rsidRPr="00B274D0">
        <w:t xml:space="preserve"> 2019 года</w:t>
      </w:r>
    </w:p>
    <w:p w:rsidR="00DC6DDB" w:rsidRPr="009B23DE" w:rsidRDefault="00265D08" w:rsidP="00265D08">
      <w:pPr>
        <w:pStyle w:val="H1G"/>
      </w:pPr>
      <w:r>
        <w:tab/>
      </w:r>
      <w:r w:rsidR="00DC6DDB" w:rsidRPr="00A4224E">
        <w:t>42/</w:t>
      </w:r>
      <w:r w:rsidR="00DC6DDB" w:rsidRPr="00592C2F">
        <w:t>16.</w:t>
      </w:r>
      <w:r w:rsidR="00DC6DDB">
        <w:tab/>
      </w:r>
      <w:r w:rsidR="00DC6DDB" w:rsidRPr="009B23DE">
        <w:t>Право каждого человека на наивысший достижимый уровень физического и психического здоровья</w:t>
      </w:r>
    </w:p>
    <w:p w:rsidR="00DC6DDB" w:rsidRPr="009B23DE" w:rsidRDefault="00DC6DDB" w:rsidP="00DC6DDB">
      <w:pPr>
        <w:spacing w:after="120"/>
        <w:ind w:left="1134" w:right="1134"/>
        <w:jc w:val="both"/>
      </w:pPr>
      <w:r>
        <w:tab/>
      </w:r>
      <w:r>
        <w:tab/>
      </w:r>
      <w:r>
        <w:rPr>
          <w:i/>
          <w:iCs/>
        </w:rPr>
        <w:t>Совет по правам человека</w:t>
      </w:r>
      <w:r w:rsidRPr="00625F3F">
        <w:rPr>
          <w:iCs/>
        </w:rPr>
        <w:t>,</w:t>
      </w:r>
    </w:p>
    <w:p w:rsidR="00DC6DDB" w:rsidRPr="009B23DE" w:rsidRDefault="00DC6DDB" w:rsidP="00DC6DDB">
      <w:pPr>
        <w:pStyle w:val="SingleTxtG"/>
        <w:ind w:firstLine="567"/>
      </w:pPr>
      <w:r>
        <w:rPr>
          <w:i/>
          <w:iCs/>
        </w:rPr>
        <w:t>руководствуясь</w:t>
      </w:r>
      <w:r>
        <w:t xml:space="preserve"> целями и принципами Устава Организации Объединенных Наций,</w:t>
      </w:r>
    </w:p>
    <w:p w:rsidR="00DC6DDB" w:rsidRPr="009B23DE" w:rsidRDefault="00DC6DDB" w:rsidP="00DC6DDB">
      <w:pPr>
        <w:pStyle w:val="SingleTxtG"/>
        <w:ind w:firstLine="567"/>
      </w:pPr>
      <w:r>
        <w:rPr>
          <w:i/>
          <w:iCs/>
        </w:rPr>
        <w:t>вновь подтверждая</w:t>
      </w:r>
      <w:r>
        <w:t xml:space="preserve"> Всеобщую декларацию прав человека и ссылаясь на Международный пакт об экономических, социальных и культурных правах, Международную конвенцию о ликвидации всех форм расовой дискриминации, Конвенцию о ликвидации всех форм дискриминации в отношении женщин, Конвенцию о правах ребенка и Конвенцию о правах инвалидов,</w:t>
      </w:r>
    </w:p>
    <w:p w:rsidR="00DC6DDB" w:rsidRPr="009B23DE" w:rsidRDefault="00DC6DDB" w:rsidP="00DC6DDB">
      <w:pPr>
        <w:pStyle w:val="SingleTxtG"/>
        <w:ind w:firstLine="567"/>
      </w:pPr>
      <w:r>
        <w:rPr>
          <w:i/>
          <w:iCs/>
        </w:rPr>
        <w:t>вновь подтверждая также</w:t>
      </w:r>
      <w:r>
        <w:t xml:space="preserve"> право каждого человека на наивысший достижимый уровень физического и психического здоровья и особо отмечая, что все права человека </w:t>
      </w:r>
      <w:r w:rsidRPr="001A02C0">
        <w:t>являются</w:t>
      </w:r>
      <w:r w:rsidRPr="003D0D7C">
        <w:t xml:space="preserve"> </w:t>
      </w:r>
      <w:r>
        <w:t>универсальными, неделимыми, взаимосвязанными, взаимозависимыми и взаимодополняющими,</w:t>
      </w:r>
    </w:p>
    <w:p w:rsidR="00DC6DDB" w:rsidRPr="009B23DE" w:rsidRDefault="00DC6DDB" w:rsidP="00DC6DDB">
      <w:pPr>
        <w:pStyle w:val="SingleTxtG"/>
        <w:ind w:firstLine="567"/>
      </w:pPr>
      <w:r>
        <w:rPr>
          <w:i/>
          <w:iCs/>
        </w:rPr>
        <w:t>напоминая</w:t>
      </w:r>
      <w:r>
        <w:t>, что психическое здоровье является одним из неотъемлемых элементов права каждого человека на наивысший достижимый уровень здоровья,</w:t>
      </w:r>
    </w:p>
    <w:p w:rsidR="00DC6DDB" w:rsidRPr="009B23DE" w:rsidRDefault="00DC6DDB" w:rsidP="00DC6DDB">
      <w:pPr>
        <w:pStyle w:val="SingleTxtG"/>
        <w:ind w:firstLine="567"/>
      </w:pPr>
      <w:r>
        <w:rPr>
          <w:i/>
          <w:iCs/>
        </w:rPr>
        <w:t>вновь подтверждая</w:t>
      </w:r>
      <w:r>
        <w:t xml:space="preserve"> резолюцию 70/1 Генеральной Ассамблеи от 2</w:t>
      </w:r>
      <w:r w:rsidRPr="00592C2F">
        <w:t>5</w:t>
      </w:r>
      <w:r>
        <w:t xml:space="preserve"> сентября 2015 года, озаглавленную </w:t>
      </w:r>
      <w:r w:rsidRPr="00F4741D">
        <w:t>«</w:t>
      </w:r>
      <w:r>
        <w:t xml:space="preserve">Преобразование нашего мира: Повестка дня в области устойчивого развития на период до 2030 года», и приветствуя </w:t>
      </w:r>
      <w:r w:rsidR="00D203EC">
        <w:t xml:space="preserve">Цели </w:t>
      </w:r>
      <w:r>
        <w:t>в области устойчивого развития, в том числе, в частности,</w:t>
      </w:r>
      <w:r w:rsidR="00D203EC">
        <w:t xml:space="preserve"> Цель </w:t>
      </w:r>
      <w:r>
        <w:t>3, касающуюся обеспечения здорового образа жизни и содействия благополучию для всех в любом возрасте, а также ее конкретные и взаимосвязанные задачи и другие цели и задачи, касающиеся здоровья,</w:t>
      </w:r>
    </w:p>
    <w:p w:rsidR="00DC6DDB" w:rsidRPr="009B23DE" w:rsidRDefault="00DC6DDB" w:rsidP="00DC6DDB">
      <w:pPr>
        <w:pStyle w:val="SingleTxtG"/>
        <w:ind w:firstLine="567"/>
      </w:pPr>
      <w:r>
        <w:rPr>
          <w:i/>
          <w:iCs/>
        </w:rPr>
        <w:t>ссылаясь</w:t>
      </w:r>
      <w:r>
        <w:t xml:space="preserve"> на резолюции Совета по правам человека 6/29 от 14 декабря 2007 года, 15/22 от 27 сентября 2010 года, 24/6 от 8 октября 2013 года и 33/9 от 29 сентября 2016 года и на все предыдущие резолюции Комиссии по правам человека и Совета, касающиеся реализации права каждого человека на наивысший достижимый уровень физического и психического здоровья,</w:t>
      </w:r>
    </w:p>
    <w:p w:rsidR="00DC6DDB" w:rsidRPr="009B23DE" w:rsidRDefault="00DC6DDB" w:rsidP="00DC6DDB">
      <w:pPr>
        <w:pStyle w:val="SingleTxtG"/>
        <w:ind w:firstLine="567"/>
      </w:pPr>
      <w:r>
        <w:rPr>
          <w:i/>
          <w:iCs/>
        </w:rPr>
        <w:t>признавая</w:t>
      </w:r>
      <w:r>
        <w:t xml:space="preserve"> необходимость того, чтобы государства в сотрудничестве с международными организациями и гражданским обществом, включая неправительственные организации и частный сектор, создавали на национальном, региональном и международном уровнях благоприятные условия для обеспечения </w:t>
      </w:r>
      <w:r>
        <w:lastRenderedPageBreak/>
        <w:t>полного и эффективного осуществления права каждого человека на наивысший достижимый уровень физического и психического здоровья и рассматривали основополагающие и социальные детерминанты здоровья,</w:t>
      </w:r>
    </w:p>
    <w:p w:rsidR="00DC6DDB" w:rsidRPr="009B23DE" w:rsidRDefault="00DC6DDB" w:rsidP="00DC6DDB">
      <w:pPr>
        <w:pStyle w:val="SingleTxtG"/>
        <w:ind w:firstLine="567"/>
      </w:pPr>
      <w:r>
        <w:rPr>
          <w:i/>
          <w:iCs/>
        </w:rPr>
        <w:t>ссылаясь</w:t>
      </w:r>
      <w:r>
        <w:t xml:space="preserve"> на резолюции Совета по правам человека 5/1 об институциональном строительстве Совета и 5/2 о Кодексе поведения мандатариев специальных процедур Совета от 18 июня 2007 года и подчеркивая, что мандатарий исполняет свои обязанности в соответствии с этими резолюциями и приложениями к ним,</w:t>
      </w:r>
    </w:p>
    <w:p w:rsidR="00DC6DDB" w:rsidRPr="009B23DE" w:rsidRDefault="00DC6DDB" w:rsidP="00DC6DDB">
      <w:pPr>
        <w:pStyle w:val="SingleTxtG"/>
        <w:ind w:firstLine="567"/>
      </w:pPr>
      <w:r>
        <w:t>1.</w:t>
      </w:r>
      <w:r>
        <w:tab/>
      </w:r>
      <w:r>
        <w:rPr>
          <w:i/>
          <w:iCs/>
        </w:rPr>
        <w:t>приветствует</w:t>
      </w:r>
      <w:r>
        <w:t xml:space="preserve"> работу Специального докладчика по вопросу о праве каждого человека на наивысший достижимый уровень физического и психического здоровья;</w:t>
      </w:r>
    </w:p>
    <w:p w:rsidR="00DC6DDB" w:rsidRPr="009B23DE" w:rsidRDefault="00DC6DDB" w:rsidP="00DC6DDB">
      <w:pPr>
        <w:pStyle w:val="SingleTxtG"/>
        <w:ind w:firstLine="567"/>
      </w:pPr>
      <w:r>
        <w:t>2.</w:t>
      </w:r>
      <w:r>
        <w:tab/>
      </w:r>
      <w:r>
        <w:rPr>
          <w:i/>
          <w:iCs/>
        </w:rPr>
        <w:t>принимает к сведению</w:t>
      </w:r>
      <w:r>
        <w:t xml:space="preserve"> доклады Специального докладчика, представленные Совету по правам человека на его тридцать пятой, тридцать восьмой и сорок первой сессиях</w:t>
      </w:r>
      <w:r>
        <w:rPr>
          <w:rStyle w:val="aa"/>
        </w:rPr>
        <w:footnoteReference w:id="1"/>
      </w:r>
      <w:r>
        <w:t>;</w:t>
      </w:r>
    </w:p>
    <w:p w:rsidR="00DC6DDB" w:rsidRPr="009B23DE" w:rsidRDefault="00DC6DDB" w:rsidP="00DC6DDB">
      <w:pPr>
        <w:pStyle w:val="SingleTxtG"/>
        <w:ind w:firstLine="567"/>
      </w:pPr>
      <w:r>
        <w:t>3.</w:t>
      </w:r>
      <w:r>
        <w:tab/>
      </w:r>
      <w:r>
        <w:rPr>
          <w:i/>
          <w:iCs/>
        </w:rPr>
        <w:t>постановляет</w:t>
      </w:r>
      <w:r>
        <w:t xml:space="preserve"> продлить еще на один трехлетний срок мандат Специального докладчика по вопросу о праве каждого человека на наивысший достижимый уровень физического и психического здоровья, закрепленный Советом по правам человека в пункте 1 его резолюции 6/29;</w:t>
      </w:r>
    </w:p>
    <w:p w:rsidR="00DC6DDB" w:rsidRPr="009B23DE" w:rsidRDefault="00DC6DDB" w:rsidP="00DC6DDB">
      <w:pPr>
        <w:pStyle w:val="SingleTxtG"/>
        <w:ind w:firstLine="567"/>
      </w:pPr>
      <w:r>
        <w:t>4.</w:t>
      </w:r>
      <w:r>
        <w:tab/>
      </w:r>
      <w:r>
        <w:rPr>
          <w:i/>
          <w:iCs/>
        </w:rPr>
        <w:t>рекомендует</w:t>
      </w:r>
      <w:r>
        <w:t xml:space="preserve"> Специальному докладчику в ходе выполнения своего мандата продолжать принимать во внимание и поддерживать достижение </w:t>
      </w:r>
      <w:r w:rsidR="00D203EC">
        <w:t xml:space="preserve">Целей </w:t>
      </w:r>
      <w:r>
        <w:t>и задач в области устойчивого развития, связанных со здоровьем;</w:t>
      </w:r>
    </w:p>
    <w:p w:rsidR="00DC6DDB" w:rsidRPr="009B23DE" w:rsidRDefault="00DC6DDB" w:rsidP="00DC6DDB">
      <w:pPr>
        <w:pStyle w:val="SingleTxtG"/>
        <w:ind w:firstLine="567"/>
      </w:pPr>
      <w:r>
        <w:t>5.</w:t>
      </w:r>
      <w:r>
        <w:tab/>
      </w:r>
      <w:r>
        <w:rPr>
          <w:i/>
          <w:iCs/>
        </w:rPr>
        <w:t>просит</w:t>
      </w:r>
      <w:r>
        <w:t xml:space="preserve"> все правительства в полной мере сотрудничать со Специальным докладчиком в деле выполнения возложенных на него задач и обязанностей и надлежащим образом учитывать рекомендации, выносимые мандатарием;</w:t>
      </w:r>
    </w:p>
    <w:p w:rsidR="00DC6DDB" w:rsidRPr="009B23DE" w:rsidRDefault="00DC6DDB" w:rsidP="00DC6DDB">
      <w:pPr>
        <w:pStyle w:val="SingleTxtG"/>
        <w:ind w:firstLine="567"/>
      </w:pPr>
      <w:r>
        <w:t>6.</w:t>
      </w:r>
      <w:r>
        <w:tab/>
      </w:r>
      <w:r>
        <w:rPr>
          <w:i/>
          <w:iCs/>
        </w:rPr>
        <w:t>рекомендует</w:t>
      </w:r>
      <w:r>
        <w:t xml:space="preserve"> всем правительствам уделять серьезное внимание возможности удовлетворения просьб Специального докладчика о посещении их стран, с тем чтобы позволить мандатарию эффективно выполнять свой мандат;</w:t>
      </w:r>
    </w:p>
    <w:p w:rsidR="00DC6DDB" w:rsidRPr="009B23DE" w:rsidRDefault="00DC6DDB" w:rsidP="00DC6DDB">
      <w:pPr>
        <w:pStyle w:val="SingleTxtG"/>
        <w:ind w:firstLine="567"/>
      </w:pPr>
      <w:r>
        <w:t>7.</w:t>
      </w:r>
      <w:r>
        <w:tab/>
      </w:r>
      <w:r>
        <w:rPr>
          <w:i/>
          <w:iCs/>
        </w:rPr>
        <w:t>просит</w:t>
      </w:r>
      <w:r>
        <w:t xml:space="preserve"> Генерального секретаря и Верховного комиссара Организации Объединенных Наций по правам человека продолжать предоставлять все ресурсы, необходимые для эффективного выполнения мандата Специального докладчика;</w:t>
      </w:r>
    </w:p>
    <w:p w:rsidR="00DC6DDB" w:rsidRPr="009B23DE" w:rsidRDefault="00DC6DDB" w:rsidP="00DC6DDB">
      <w:pPr>
        <w:pStyle w:val="SingleTxtG"/>
        <w:ind w:firstLine="567"/>
      </w:pPr>
      <w:r>
        <w:t>8.</w:t>
      </w:r>
      <w:r>
        <w:tab/>
      </w:r>
      <w:r>
        <w:rPr>
          <w:i/>
          <w:iCs/>
        </w:rPr>
        <w:t>просит</w:t>
      </w:r>
      <w:r>
        <w:t xml:space="preserve"> Специального докладчика представлять Совету по правам человека и Генеральной Ассамблее ежегодный док</w:t>
      </w:r>
      <w:bookmarkStart w:id="0" w:name="_GoBack"/>
      <w:bookmarkEnd w:id="0"/>
      <w:r>
        <w:t>лад, охватывающий все связанные с его мандатом виды деятельности, с целью получения максимальной выгоды от процесса отчетности;</w:t>
      </w:r>
    </w:p>
    <w:p w:rsidR="00DC6DDB" w:rsidRDefault="00DC6DDB" w:rsidP="00DC6DDB">
      <w:pPr>
        <w:pStyle w:val="SingleTxtG"/>
        <w:ind w:firstLine="567"/>
      </w:pPr>
      <w:r>
        <w:t>9.</w:t>
      </w:r>
      <w:r>
        <w:tab/>
      </w:r>
      <w:r>
        <w:rPr>
          <w:i/>
          <w:iCs/>
        </w:rPr>
        <w:t>постановляет</w:t>
      </w:r>
      <w:r>
        <w:t xml:space="preserve"> продолжить рассмотрение данного вопроса в рамках этого же пункта повестки дня в соответствии со своей программой работы.</w:t>
      </w:r>
    </w:p>
    <w:p w:rsidR="00DC6DDB" w:rsidRPr="00B274D0" w:rsidRDefault="00DC6DDB" w:rsidP="00DC6DDB">
      <w:pPr>
        <w:pStyle w:val="SingleTxtG"/>
        <w:jc w:val="right"/>
        <w:rPr>
          <w:i/>
          <w:iCs/>
        </w:rPr>
      </w:pPr>
      <w:r w:rsidRPr="002D529A">
        <w:rPr>
          <w:i/>
          <w:iCs/>
        </w:rPr>
        <w:t>39</w:t>
      </w:r>
      <w:r w:rsidRPr="00B274D0">
        <w:rPr>
          <w:i/>
          <w:iCs/>
        </w:rPr>
        <w:t>-е заседание</w:t>
      </w:r>
      <w:r>
        <w:rPr>
          <w:i/>
          <w:iCs/>
        </w:rPr>
        <w:br/>
      </w:r>
      <w:r w:rsidRPr="00B274D0">
        <w:rPr>
          <w:i/>
          <w:iCs/>
        </w:rPr>
        <w:t>2</w:t>
      </w:r>
      <w:r w:rsidRPr="002D529A">
        <w:rPr>
          <w:i/>
          <w:iCs/>
        </w:rPr>
        <w:t>6</w:t>
      </w:r>
      <w:r>
        <w:rPr>
          <w:i/>
          <w:iCs/>
        </w:rPr>
        <w:t xml:space="preserve"> сентября</w:t>
      </w:r>
      <w:r w:rsidRPr="00B274D0">
        <w:rPr>
          <w:i/>
          <w:iCs/>
        </w:rPr>
        <w:t xml:space="preserve"> 2019 года</w:t>
      </w:r>
    </w:p>
    <w:p w:rsidR="00DC6DDB" w:rsidRDefault="00DC6DDB" w:rsidP="00DC6DDB">
      <w:pPr>
        <w:pStyle w:val="SingleTxtG"/>
      </w:pPr>
      <w:r w:rsidRPr="00B274D0">
        <w:t>[</w:t>
      </w:r>
      <w:r w:rsidRPr="00DE6257">
        <w:t>Принята без голосования.</w:t>
      </w:r>
      <w:r w:rsidRPr="00B274D0">
        <w:t>]</w:t>
      </w:r>
    </w:p>
    <w:p w:rsidR="00DC6DDB" w:rsidRPr="009B23DE" w:rsidRDefault="00DC6DDB" w:rsidP="00DC6DDB">
      <w:pPr>
        <w:pStyle w:val="SingleTxtG"/>
        <w:spacing w:before="240" w:after="0"/>
        <w:jc w:val="center"/>
        <w:rPr>
          <w:u w:val="single"/>
        </w:rPr>
      </w:pPr>
      <w:r w:rsidRPr="009B23DE">
        <w:rPr>
          <w:u w:val="single"/>
        </w:rPr>
        <w:tab/>
      </w:r>
      <w:r w:rsidRPr="009B23DE">
        <w:rPr>
          <w:u w:val="single"/>
        </w:rPr>
        <w:tab/>
      </w:r>
      <w:r w:rsidRPr="009B23DE">
        <w:rPr>
          <w:u w:val="single"/>
        </w:rPr>
        <w:tab/>
      </w:r>
      <w:r w:rsidRPr="009B23DE">
        <w:rPr>
          <w:u w:val="single"/>
        </w:rPr>
        <w:tab/>
      </w:r>
    </w:p>
    <w:p w:rsidR="00CB0692" w:rsidRPr="00625F3F" w:rsidRDefault="00CB0692" w:rsidP="002E5067"/>
    <w:sectPr w:rsidR="00CB0692" w:rsidRPr="00625F3F" w:rsidSect="00DC6DD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5D7F" w:rsidRPr="00A312BC" w:rsidRDefault="005D5D7F" w:rsidP="00A312BC"/>
  </w:endnote>
  <w:endnote w:type="continuationSeparator" w:id="0">
    <w:p w:rsidR="005D5D7F" w:rsidRPr="00A312BC" w:rsidRDefault="005D5D7F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6DDB" w:rsidRPr="00DC6DDB" w:rsidRDefault="00DC6DDB">
    <w:pPr>
      <w:pStyle w:val="a8"/>
    </w:pPr>
    <w:r w:rsidRPr="00DC6DDB">
      <w:rPr>
        <w:b/>
        <w:sz w:val="18"/>
      </w:rPr>
      <w:fldChar w:fldCharType="begin"/>
    </w:r>
    <w:r w:rsidRPr="00DC6DDB">
      <w:rPr>
        <w:b/>
        <w:sz w:val="18"/>
      </w:rPr>
      <w:instrText xml:space="preserve"> PAGE  \* MERGEFORMAT </w:instrText>
    </w:r>
    <w:r w:rsidRPr="00DC6DDB">
      <w:rPr>
        <w:b/>
        <w:sz w:val="18"/>
      </w:rPr>
      <w:fldChar w:fldCharType="separate"/>
    </w:r>
    <w:r w:rsidR="0012740E">
      <w:rPr>
        <w:b/>
        <w:noProof/>
        <w:sz w:val="18"/>
      </w:rPr>
      <w:t>2</w:t>
    </w:r>
    <w:r w:rsidRPr="00DC6DDB">
      <w:rPr>
        <w:b/>
        <w:sz w:val="18"/>
      </w:rPr>
      <w:fldChar w:fldCharType="end"/>
    </w:r>
    <w:r>
      <w:rPr>
        <w:b/>
        <w:sz w:val="18"/>
      </w:rPr>
      <w:tab/>
    </w:r>
    <w:r>
      <w:t>GE.19-17154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6DDB" w:rsidRPr="00DC6DDB" w:rsidRDefault="00DC6DDB" w:rsidP="00DC6DDB">
    <w:pPr>
      <w:pStyle w:val="a8"/>
      <w:tabs>
        <w:tab w:val="clear" w:pos="9639"/>
        <w:tab w:val="right" w:pos="9638"/>
      </w:tabs>
      <w:rPr>
        <w:b/>
        <w:sz w:val="18"/>
      </w:rPr>
    </w:pPr>
    <w:r>
      <w:t>GE.19-17154</w:t>
    </w:r>
    <w:r>
      <w:tab/>
    </w:r>
    <w:r w:rsidRPr="00DC6DDB">
      <w:rPr>
        <w:b/>
        <w:sz w:val="18"/>
      </w:rPr>
      <w:fldChar w:fldCharType="begin"/>
    </w:r>
    <w:r w:rsidRPr="00DC6DDB">
      <w:rPr>
        <w:b/>
        <w:sz w:val="18"/>
      </w:rPr>
      <w:instrText xml:space="preserve"> PAGE  \* MERGEFORMAT </w:instrText>
    </w:r>
    <w:r w:rsidRPr="00DC6DDB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DC6DDB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DC6DDB" w:rsidRDefault="00DC6DDB" w:rsidP="00DC6DDB">
    <w:pPr>
      <w:spacing w:before="120" w:line="240" w:lineRule="auto"/>
    </w:pPr>
    <w:r>
      <w:t>GE.</w:t>
    </w:r>
    <w:r w:rsidR="00DF71B9">
      <w:rPr>
        <w:b/>
        <w:noProof/>
        <w:lang w:val="en-US"/>
      </w:rPr>
      <w:drawing>
        <wp:anchor distT="0" distB="0" distL="114300" distR="114300" simplePos="0" relativeHeight="251658240" behindDoc="0" locked="0" layoutInCell="1" allowOverlap="1" wp14:anchorId="698A042D" wp14:editId="6ECF259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19-</w:t>
    </w:r>
    <w:proofErr w:type="gramStart"/>
    <w:r>
      <w:t>17154  (</w:t>
    </w:r>
    <w:proofErr w:type="gramEnd"/>
    <w:r>
      <w:t>R)</w:t>
    </w:r>
    <w:r w:rsidR="00265D08">
      <w:rPr>
        <w:lang w:val="en-US"/>
      </w:rPr>
      <w:t xml:space="preserve">  101019  101019</w:t>
    </w:r>
    <w:r>
      <w:br/>
    </w:r>
    <w:r w:rsidRPr="00DC6DDB">
      <w:rPr>
        <w:rFonts w:ascii="C39T30Lfz" w:hAnsi="C39T30Lfz"/>
        <w:kern w:val="14"/>
        <w:sz w:val="56"/>
      </w:rPr>
      <w:t></w:t>
    </w:r>
    <w:r w:rsidRPr="00DC6DDB">
      <w:rPr>
        <w:rFonts w:ascii="C39T30Lfz" w:hAnsi="C39T30Lfz"/>
        <w:kern w:val="14"/>
        <w:sz w:val="56"/>
      </w:rPr>
      <w:t></w:t>
    </w:r>
    <w:r w:rsidRPr="00DC6DDB">
      <w:rPr>
        <w:rFonts w:ascii="C39T30Lfz" w:hAnsi="C39T30Lfz"/>
        <w:kern w:val="14"/>
        <w:sz w:val="56"/>
      </w:rPr>
      <w:t></w:t>
    </w:r>
    <w:r w:rsidRPr="00DC6DDB">
      <w:rPr>
        <w:rFonts w:ascii="C39T30Lfz" w:hAnsi="C39T30Lfz"/>
        <w:kern w:val="14"/>
        <w:sz w:val="56"/>
      </w:rPr>
      <w:t></w:t>
    </w:r>
    <w:r w:rsidRPr="00DC6DDB">
      <w:rPr>
        <w:rFonts w:ascii="C39T30Lfz" w:hAnsi="C39T30Lfz"/>
        <w:kern w:val="14"/>
        <w:sz w:val="56"/>
      </w:rPr>
      <w:t></w:t>
    </w:r>
    <w:r w:rsidRPr="00DC6DDB">
      <w:rPr>
        <w:rFonts w:ascii="C39T30Lfz" w:hAnsi="C39T30Lfz"/>
        <w:kern w:val="14"/>
        <w:sz w:val="56"/>
      </w:rPr>
      <w:t></w:t>
    </w:r>
    <w:r w:rsidRPr="00DC6DDB">
      <w:rPr>
        <w:rFonts w:ascii="C39T30Lfz" w:hAnsi="C39T30Lfz"/>
        <w:kern w:val="14"/>
        <w:sz w:val="56"/>
      </w:rPr>
      <w:t></w:t>
    </w:r>
    <w:r w:rsidRPr="00DC6DDB">
      <w:rPr>
        <w:rFonts w:ascii="C39T30Lfz" w:hAnsi="C39T30Lfz"/>
        <w:kern w:val="14"/>
        <w:sz w:val="56"/>
      </w:rPr>
      <w:t></w:t>
    </w:r>
    <w:r w:rsidRPr="00DC6DDB">
      <w:rPr>
        <w:rFonts w:ascii="C39T30Lfz" w:hAnsi="C39T30Lfz"/>
        <w:kern w:val="14"/>
        <w:sz w:val="56"/>
      </w:rPr>
      <w:t></w:t>
    </w: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A/HRC/RES/42/16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A/HRC/RES/42/16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5D7F" w:rsidRPr="001075E9" w:rsidRDefault="005D5D7F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5D5D7F" w:rsidRDefault="005D5D7F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DC6DDB" w:rsidRPr="00F4741D" w:rsidRDefault="00DC6DDB" w:rsidP="00DC6DDB">
      <w:pPr>
        <w:pStyle w:val="ad"/>
        <w:rPr>
          <w:lang w:val="en-US"/>
        </w:rPr>
      </w:pPr>
      <w:r>
        <w:tab/>
      </w:r>
      <w:r>
        <w:rPr>
          <w:rStyle w:val="aa"/>
        </w:rPr>
        <w:footnoteRef/>
      </w:r>
      <w:r w:rsidRPr="009B23DE">
        <w:rPr>
          <w:lang w:val="en-US"/>
        </w:rPr>
        <w:t xml:space="preserve"> </w:t>
      </w:r>
      <w:r w:rsidRPr="009B23DE">
        <w:rPr>
          <w:lang w:val="en-US"/>
        </w:rPr>
        <w:tab/>
        <w:t xml:space="preserve">A/HRC/35/21 </w:t>
      </w:r>
      <w:r>
        <w:t>и</w:t>
      </w:r>
      <w:r w:rsidRPr="009B23DE">
        <w:rPr>
          <w:lang w:val="en-US"/>
        </w:rPr>
        <w:t xml:space="preserve"> Add.1</w:t>
      </w:r>
      <w:r w:rsidR="00625F3F">
        <w:rPr>
          <w:lang w:val="en-US"/>
        </w:rPr>
        <w:t>–</w:t>
      </w:r>
      <w:r w:rsidRPr="009B23DE">
        <w:rPr>
          <w:lang w:val="en-US"/>
        </w:rPr>
        <w:t xml:space="preserve">2, A/HRC/38/36 </w:t>
      </w:r>
      <w:r>
        <w:t>и</w:t>
      </w:r>
      <w:r w:rsidRPr="009B23DE">
        <w:rPr>
          <w:lang w:val="en-US"/>
        </w:rPr>
        <w:t xml:space="preserve"> Add.1</w:t>
      </w:r>
      <w:r w:rsidR="00625F3F">
        <w:rPr>
          <w:lang w:val="en-US"/>
        </w:rPr>
        <w:t>–</w:t>
      </w:r>
      <w:r w:rsidRPr="009B23DE">
        <w:rPr>
          <w:lang w:val="en-US"/>
        </w:rPr>
        <w:t xml:space="preserve">2 </w:t>
      </w:r>
      <w:r>
        <w:t>и</w:t>
      </w:r>
      <w:r w:rsidRPr="009B23DE">
        <w:rPr>
          <w:lang w:val="en-US"/>
        </w:rPr>
        <w:t xml:space="preserve"> A/HRC/41/34 </w:t>
      </w:r>
      <w:r>
        <w:t>и</w:t>
      </w:r>
      <w:r w:rsidRPr="009B23DE">
        <w:rPr>
          <w:lang w:val="en-US"/>
        </w:rPr>
        <w:t xml:space="preserve"> Add.1</w:t>
      </w:r>
      <w:r w:rsidR="00625F3F">
        <w:rPr>
          <w:lang w:val="en-US"/>
        </w:rPr>
        <w:t>–</w:t>
      </w:r>
      <w:r w:rsidRPr="009B23DE">
        <w:rPr>
          <w:lang w:val="en-US"/>
        </w:rPr>
        <w:t>2.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6DDB" w:rsidRPr="00DC6DDB" w:rsidRDefault="00426325">
    <w:pPr>
      <w:pStyle w:val="a5"/>
    </w:pPr>
    <w:fldSimple w:instr=" TITLE  \* MERGEFORMAT ">
      <w:r w:rsidR="0012740E">
        <w:t>A/HRC/RES/42/16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6DDB" w:rsidRPr="00DC6DDB" w:rsidRDefault="00426325" w:rsidP="00DC6DDB">
    <w:pPr>
      <w:pStyle w:val="a5"/>
      <w:jc w:val="right"/>
    </w:pPr>
    <w:fldSimple w:instr=" TITLE  \* MERGEFORMAT ">
      <w:r w:rsidR="0012740E">
        <w:t>A/HRC/RES/42/16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5D7F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2740E"/>
    <w:rsid w:val="00180183"/>
    <w:rsid w:val="0018024D"/>
    <w:rsid w:val="0018649F"/>
    <w:rsid w:val="00196389"/>
    <w:rsid w:val="001B3EF6"/>
    <w:rsid w:val="001C7A89"/>
    <w:rsid w:val="002501D7"/>
    <w:rsid w:val="00265D08"/>
    <w:rsid w:val="00277321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958D0"/>
    <w:rsid w:val="003B00E5"/>
    <w:rsid w:val="003B3FBC"/>
    <w:rsid w:val="00407B78"/>
    <w:rsid w:val="00424203"/>
    <w:rsid w:val="00426325"/>
    <w:rsid w:val="00452493"/>
    <w:rsid w:val="00454E07"/>
    <w:rsid w:val="00456135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961C8"/>
    <w:rsid w:val="005D5D7F"/>
    <w:rsid w:val="005D7914"/>
    <w:rsid w:val="005E2B41"/>
    <w:rsid w:val="005F0B42"/>
    <w:rsid w:val="00625F3F"/>
    <w:rsid w:val="00681A10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57357"/>
    <w:rsid w:val="00782C09"/>
    <w:rsid w:val="007D3BD5"/>
    <w:rsid w:val="007D5A02"/>
    <w:rsid w:val="00825F8D"/>
    <w:rsid w:val="00834B71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36A21"/>
    <w:rsid w:val="00951972"/>
    <w:rsid w:val="009604DF"/>
    <w:rsid w:val="009608F3"/>
    <w:rsid w:val="009675B6"/>
    <w:rsid w:val="009A24AC"/>
    <w:rsid w:val="00A01942"/>
    <w:rsid w:val="00A10122"/>
    <w:rsid w:val="00A312BC"/>
    <w:rsid w:val="00A84021"/>
    <w:rsid w:val="00A84D35"/>
    <w:rsid w:val="00A917B3"/>
    <w:rsid w:val="00AB4B51"/>
    <w:rsid w:val="00B10CC7"/>
    <w:rsid w:val="00B25BD7"/>
    <w:rsid w:val="00B539E7"/>
    <w:rsid w:val="00B62458"/>
    <w:rsid w:val="00BC18B2"/>
    <w:rsid w:val="00BD33EE"/>
    <w:rsid w:val="00BE0674"/>
    <w:rsid w:val="00C106D6"/>
    <w:rsid w:val="00C60F0C"/>
    <w:rsid w:val="00C805C9"/>
    <w:rsid w:val="00C92939"/>
    <w:rsid w:val="00CA1679"/>
    <w:rsid w:val="00CB0692"/>
    <w:rsid w:val="00CB151C"/>
    <w:rsid w:val="00CE5A1A"/>
    <w:rsid w:val="00CF55F6"/>
    <w:rsid w:val="00D203EC"/>
    <w:rsid w:val="00D33D63"/>
    <w:rsid w:val="00D90028"/>
    <w:rsid w:val="00D90138"/>
    <w:rsid w:val="00DC2121"/>
    <w:rsid w:val="00DC6DDB"/>
    <w:rsid w:val="00DD78D1"/>
    <w:rsid w:val="00DF71B9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F43903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D7D8493"/>
  <w15:docId w15:val="{10815A6E-0D19-46F3-B8F9-E1E77ACA0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DC212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0</TotalTime>
  <Pages>2</Pages>
  <Words>696</Words>
  <Characters>3970</Characters>
  <Application>Microsoft Office Word</Application>
  <DocSecurity>0</DocSecurity>
  <Lines>33</Lines>
  <Paragraphs>9</Paragraphs>
  <ScaleCrop>false</ScaleCrop>
  <HeadingPairs>
    <vt:vector size="8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4" baseType="lpstr">
      <vt:lpstr>A/</vt:lpstr>
      <vt:lpstr>A/</vt:lpstr>
      <vt:lpstr>A/</vt:lpstr>
      <vt:lpstr>A/</vt:lpstr>
    </vt:vector>
  </TitlesOfParts>
  <Company>DCM</Company>
  <LinksUpToDate>false</LinksUpToDate>
  <CharactersWithSpaces>4657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A/HRC/RES/42/16</dc:title>
  <dc:subject/>
  <dc:creator>Tatiana SHARKINA</dc:creator>
  <cp:keywords/>
  <cp:lastModifiedBy>Ekaterina Salynskaya</cp:lastModifiedBy>
  <cp:revision>3</cp:revision>
  <cp:lastPrinted>2019-10-10T11:45:00Z</cp:lastPrinted>
  <dcterms:created xsi:type="dcterms:W3CDTF">2019-10-10T11:45:00Z</dcterms:created>
  <dcterms:modified xsi:type="dcterms:W3CDTF">2019-10-10T11:45:00Z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