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2B21EC"/>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2B21EC" w:rsidP="002B21EC">
            <w:pPr>
              <w:jc w:val="right"/>
            </w:pPr>
            <w:r w:rsidRPr="002B21EC">
              <w:rPr>
                <w:sz w:val="40"/>
              </w:rPr>
              <w:t>E</w:t>
            </w:r>
            <w:r>
              <w:t>/C.12/BGR/QPR/6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0C7F0214" wp14:editId="7F7F6C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2B21EC" w:rsidP="002443B1">
            <w:pPr>
              <w:spacing w:before="240"/>
            </w:pPr>
            <w:r>
              <w:t>Distr. générale</w:t>
            </w:r>
          </w:p>
          <w:p w:rsidR="002B21EC" w:rsidRDefault="002B21EC" w:rsidP="002B21EC">
            <w:pPr>
              <w:spacing w:line="240" w:lineRule="exact"/>
            </w:pPr>
            <w:r>
              <w:t xml:space="preserve">22 mars 2016 </w:t>
            </w:r>
          </w:p>
          <w:p w:rsidR="002B21EC" w:rsidRDefault="002B21EC" w:rsidP="002B21EC">
            <w:pPr>
              <w:spacing w:line="240" w:lineRule="exact"/>
            </w:pPr>
            <w:r>
              <w:t>Français</w:t>
            </w:r>
          </w:p>
          <w:p w:rsidR="002B21EC" w:rsidRDefault="002B21EC" w:rsidP="002B21EC">
            <w:pPr>
              <w:spacing w:line="240" w:lineRule="exact"/>
            </w:pPr>
            <w:r>
              <w:t>Original : anglais</w:t>
            </w:r>
          </w:p>
          <w:p w:rsidR="00BC1251" w:rsidRPr="00DB58B5" w:rsidRDefault="00BC1251" w:rsidP="002B21EC">
            <w:pPr>
              <w:spacing w:line="240" w:lineRule="exact"/>
            </w:pPr>
            <w:r>
              <w:t>Anglais, espagnol et français seulement</w:t>
            </w:r>
          </w:p>
        </w:tc>
      </w:tr>
    </w:tbl>
    <w:p w:rsidR="002B21EC" w:rsidRPr="002B21EC" w:rsidRDefault="002B21EC" w:rsidP="0097482B">
      <w:pPr>
        <w:spacing w:before="120"/>
        <w:rPr>
          <w:b/>
        </w:rPr>
      </w:pPr>
      <w:r w:rsidRPr="002B21EC">
        <w:rPr>
          <w:b/>
        </w:rPr>
        <w:t>Comité des droits économiques, sociaux et culturels</w:t>
      </w:r>
    </w:p>
    <w:p w:rsidR="002B21EC" w:rsidRPr="002B21EC" w:rsidRDefault="002B21EC" w:rsidP="00C71171">
      <w:pPr>
        <w:pStyle w:val="HChG"/>
      </w:pPr>
      <w:r w:rsidRPr="002B21EC">
        <w:tab/>
      </w:r>
      <w:r w:rsidRPr="002B21EC">
        <w:tab/>
        <w:t>Liste des points</w:t>
      </w:r>
      <w:r w:rsidR="00BC1251">
        <w:t xml:space="preserve"> </w:t>
      </w:r>
      <w:r w:rsidR="00C71171">
        <w:t>établie avant la soumission</w:t>
      </w:r>
      <w:r w:rsidR="00BC1251">
        <w:t xml:space="preserve"> du sixième</w:t>
      </w:r>
      <w:r w:rsidR="00BC1251">
        <w:br/>
      </w:r>
      <w:r w:rsidRPr="002B21EC">
        <w:t>rapport périodique de la Bulgarie</w:t>
      </w:r>
      <w:r w:rsidRPr="00C71171">
        <w:rPr>
          <w:b w:val="0"/>
          <w:sz w:val="20"/>
        </w:rPr>
        <w:footnoteReference w:customMarkFollows="1" w:id="2"/>
        <w:t>*</w:t>
      </w:r>
    </w:p>
    <w:p w:rsidR="002B21EC" w:rsidRPr="002B21EC" w:rsidRDefault="002B21EC" w:rsidP="00C71171">
      <w:pPr>
        <w:pStyle w:val="H1G"/>
      </w:pPr>
      <w:r w:rsidRPr="002B21EC">
        <w:tab/>
        <w:t>A.</w:t>
      </w:r>
      <w:r w:rsidRPr="002B21EC">
        <w:tab/>
        <w:t>Points présentant un intérêt particulier</w:t>
      </w:r>
    </w:p>
    <w:p w:rsidR="002B21EC" w:rsidRPr="002B21EC" w:rsidRDefault="002B21EC" w:rsidP="00C71171">
      <w:pPr>
        <w:pStyle w:val="ParNoG"/>
      </w:pPr>
      <w:r w:rsidRPr="002B21EC">
        <w:t xml:space="preserve">Fournir des renseignements sur les progrès réalisés pour </w:t>
      </w:r>
      <w:r w:rsidR="00BC1251">
        <w:t xml:space="preserve">ce qui est de </w:t>
      </w:r>
      <w:r w:rsidRPr="002B21EC">
        <w:t xml:space="preserve">combler </w:t>
      </w:r>
      <w:r w:rsidR="00BC1251">
        <w:t>l’écart</w:t>
      </w:r>
      <w:r w:rsidRPr="002B21EC">
        <w:t xml:space="preserve"> entre </w:t>
      </w:r>
      <w:r w:rsidR="00BC1251">
        <w:t xml:space="preserve">les </w:t>
      </w:r>
      <w:r w:rsidRPr="002B21EC">
        <w:t xml:space="preserve">zones rurales et </w:t>
      </w:r>
      <w:r w:rsidR="00BC1251">
        <w:t xml:space="preserve">les </w:t>
      </w:r>
      <w:r w:rsidRPr="002B21EC">
        <w:t xml:space="preserve">zones urbaines et </w:t>
      </w:r>
      <w:r w:rsidR="00BC1251">
        <w:t>de remédier aux</w:t>
      </w:r>
      <w:r w:rsidRPr="002B21EC">
        <w:t xml:space="preserve"> inégalités fondées sur l’origine ethnique ou nationale et sur l’état de santé dans l’exercice des droits économiques, sociaux et culturels dans l’</w:t>
      </w:r>
      <w:r w:rsidR="00C71171">
        <w:t>É</w:t>
      </w:r>
      <w:r w:rsidR="00BC1251">
        <w:t>tat partie,</w:t>
      </w:r>
      <w:r w:rsidRPr="002B21EC">
        <w:t xml:space="preserve"> en particulier </w:t>
      </w:r>
      <w:r w:rsidR="00BC1251" w:rsidRPr="002B21EC">
        <w:t>concernant</w:t>
      </w:r>
      <w:r w:rsidR="00BC1251">
        <w:t xml:space="preserve"> </w:t>
      </w:r>
      <w:r w:rsidRPr="002B21EC">
        <w:t>le niveau de vie et l’accès à la santé et à l’éducation.</w:t>
      </w:r>
    </w:p>
    <w:p w:rsidR="002B21EC" w:rsidRPr="002B21EC" w:rsidRDefault="00BC1251" w:rsidP="00C71171">
      <w:pPr>
        <w:pStyle w:val="ParNoG"/>
      </w:pPr>
      <w:r>
        <w:t xml:space="preserve">Donner </w:t>
      </w:r>
      <w:r w:rsidR="002B21EC" w:rsidRPr="002B21EC">
        <w:t>des informations sur les résultats positifs obtenus grâce à la mise en œuvre de la Stratégie nationale d’intégration des Roms (2012-2020). Donner également des renseignements à jour sur l’impact des mesures prises, notamment</w:t>
      </w:r>
      <w:r>
        <w:t>,</w:t>
      </w:r>
      <w:r w:rsidR="002B21EC" w:rsidRPr="002B21EC">
        <w:t xml:space="preserve"> mais pas uniquement</w:t>
      </w:r>
      <w:r>
        <w:t>,</w:t>
      </w:r>
      <w:r w:rsidR="002B21EC" w:rsidRPr="002B21EC">
        <w:t xml:space="preserve"> dans le cadre de la Stratégie d’intégration des Roms, pour améliorer les conditions de logement des Roms et mettre fin à l’installation </w:t>
      </w:r>
      <w:r w:rsidRPr="002B21EC">
        <w:t xml:space="preserve">de campements réservés </w:t>
      </w:r>
      <w:r w:rsidR="002B21EC" w:rsidRPr="002B21EC">
        <w:t xml:space="preserve">de facto à ces </w:t>
      </w:r>
      <w:r>
        <w:t>communautés</w:t>
      </w:r>
      <w:r w:rsidR="002B21EC" w:rsidRPr="002B21EC">
        <w:t>.</w:t>
      </w:r>
    </w:p>
    <w:p w:rsidR="002B21EC" w:rsidRPr="002B21EC" w:rsidRDefault="002B21EC" w:rsidP="00C71171">
      <w:pPr>
        <w:pStyle w:val="ParNoG"/>
      </w:pPr>
      <w:r w:rsidRPr="002B21EC">
        <w:t xml:space="preserve">Donner des renseignements sur les mesures prises pour lutter contre l’augmentation du </w:t>
      </w:r>
      <w:r w:rsidR="00BC1251">
        <w:t>nombre</w:t>
      </w:r>
      <w:r w:rsidRPr="002B21EC">
        <w:t xml:space="preserve"> de jeunes qui sont sans emploi et ne sont ni scolarisés ni en formation, en particulier </w:t>
      </w:r>
      <w:r w:rsidR="00BC1251">
        <w:t xml:space="preserve">parmi </w:t>
      </w:r>
      <w:r w:rsidRPr="002B21EC">
        <w:t xml:space="preserve">les jeunes Roms </w:t>
      </w:r>
      <w:r w:rsidR="00BC1251">
        <w:t>et</w:t>
      </w:r>
      <w:r w:rsidRPr="002B21EC">
        <w:t xml:space="preserve"> les jeunes vivant dans des zones </w:t>
      </w:r>
      <w:r w:rsidR="00BC1251">
        <w:t>isolées</w:t>
      </w:r>
      <w:r w:rsidRPr="002B21EC">
        <w:t>.</w:t>
      </w:r>
    </w:p>
    <w:p w:rsidR="002B21EC" w:rsidRPr="002B21EC" w:rsidRDefault="002B21EC" w:rsidP="00C71171">
      <w:pPr>
        <w:pStyle w:val="ParNoG"/>
      </w:pPr>
      <w:r w:rsidRPr="002B21EC">
        <w:t>Décrire les mesures prises pour lutter contre la pauvreté et l’exclusion sociale</w:t>
      </w:r>
      <w:r w:rsidR="00BC1251">
        <w:t xml:space="preserve"> qui touchent certains groupes, </w:t>
      </w:r>
      <w:r w:rsidRPr="002B21EC">
        <w:t xml:space="preserve">dont les Roms, les familles </w:t>
      </w:r>
      <w:r w:rsidR="00BC1251">
        <w:t xml:space="preserve">comptant </w:t>
      </w:r>
      <w:r w:rsidRPr="002B21EC">
        <w:t xml:space="preserve">trois enfants </w:t>
      </w:r>
      <w:r w:rsidR="00BC1251">
        <w:t>ou</w:t>
      </w:r>
      <w:r w:rsidRPr="002B21EC">
        <w:t xml:space="preserve"> plus, les personnes handicapées et les personnes âgées, et les effets de ces mesures.</w:t>
      </w:r>
    </w:p>
    <w:p w:rsidR="002B21EC" w:rsidRPr="002B21EC" w:rsidRDefault="00BC1251" w:rsidP="00C71171">
      <w:pPr>
        <w:pStyle w:val="ParNoG"/>
      </w:pPr>
      <w:r>
        <w:t>Décrire les effets</w:t>
      </w:r>
      <w:r w:rsidR="002B21EC" w:rsidRPr="002B21EC">
        <w:t xml:space="preserve"> de la Stratégie nationale sur la migration, l’asile et l’intégration (2011-2020) et les ressources financières et administratives qui y sont consacrées.</w:t>
      </w:r>
    </w:p>
    <w:p w:rsidR="002B21EC" w:rsidRPr="002B21EC" w:rsidRDefault="002B21EC" w:rsidP="00C71171">
      <w:pPr>
        <w:pStyle w:val="H1G"/>
      </w:pPr>
      <w:r w:rsidRPr="002B21EC">
        <w:tab/>
        <w:t>B.</w:t>
      </w:r>
      <w:r w:rsidRPr="002B21EC">
        <w:tab/>
        <w:t xml:space="preserve">Poursuite de la mise en œuvre du Pacte </w:t>
      </w:r>
    </w:p>
    <w:p w:rsidR="002B21EC" w:rsidRPr="002B21EC" w:rsidRDefault="00BC1251" w:rsidP="00BC1251">
      <w:pPr>
        <w:pStyle w:val="ParNoG"/>
      </w:pPr>
      <w:r>
        <w:t>Sachant</w:t>
      </w:r>
      <w:r w:rsidR="002B21EC" w:rsidRPr="002B21EC">
        <w:t xml:space="preserve"> que le Pacte fait partie intégrante du droit interne de la Bulgarie et </w:t>
      </w:r>
      <w:r>
        <w:t xml:space="preserve">que ses dispositions priment sur toute disposition contraire de </w:t>
      </w:r>
      <w:r w:rsidR="002B21EC" w:rsidRPr="002B21EC">
        <w:t xml:space="preserve">la législation </w:t>
      </w:r>
      <w:r>
        <w:t>nationale</w:t>
      </w:r>
      <w:r w:rsidR="002B21EC" w:rsidRPr="002B21EC">
        <w:t>, donner des renseignements sur les affaires dans lesquelles les dispositions du Pacte ont été invoquées devant les tribunaux bulgares ou appliquées par eux. Donner également des renseignements sur toutes</w:t>
      </w:r>
      <w:r>
        <w:t xml:space="preserve"> </w:t>
      </w:r>
      <w:r w:rsidR="002B21EC" w:rsidRPr="002B21EC">
        <w:t xml:space="preserve">affaires dans lesquelles </w:t>
      </w:r>
      <w:r>
        <w:t>d</w:t>
      </w:r>
      <w:r w:rsidR="002B21EC" w:rsidRPr="002B21EC">
        <w:t xml:space="preserve">es droits </w:t>
      </w:r>
      <w:r w:rsidR="002B7BA5">
        <w:t>protégés</w:t>
      </w:r>
      <w:r w:rsidR="002B21EC" w:rsidRPr="002B21EC">
        <w:t xml:space="preserve"> par le Pacte ont été </w:t>
      </w:r>
      <w:r w:rsidR="002B7BA5">
        <w:t>défendus</w:t>
      </w:r>
      <w:r w:rsidR="002B21EC" w:rsidRPr="002B21EC">
        <w:t xml:space="preserve"> avec </w:t>
      </w:r>
      <w:r w:rsidR="002B21EC" w:rsidRPr="002B21EC">
        <w:lastRenderedPageBreak/>
        <w:t xml:space="preserve">succès devant les </w:t>
      </w:r>
      <w:r w:rsidR="002B7BA5">
        <w:t>juridictions nationales</w:t>
      </w:r>
      <w:r w:rsidR="002B21EC" w:rsidRPr="002B21EC">
        <w:t xml:space="preserve">, </w:t>
      </w:r>
      <w:r w:rsidR="002B7BA5">
        <w:t>en invoquant</w:t>
      </w:r>
      <w:r w:rsidR="002B21EC" w:rsidRPr="002B21EC">
        <w:t xml:space="preserve"> </w:t>
      </w:r>
      <w:r w:rsidR="002B7BA5">
        <w:t>l</w:t>
      </w:r>
      <w:r w:rsidR="002B21EC" w:rsidRPr="002B21EC">
        <w:t>es dispositions équivalentes du chapitre 2 de la Constitution bulgare (en particulier les articles 46 à 55) ou de la Charte sociale européenne .</w:t>
      </w:r>
    </w:p>
    <w:p w:rsidR="002B21EC" w:rsidRPr="002B21EC" w:rsidRDefault="002B7BA5" w:rsidP="00C71171">
      <w:pPr>
        <w:pStyle w:val="ParNoG"/>
      </w:pPr>
      <w:r>
        <w:t xml:space="preserve">Fournir, </w:t>
      </w:r>
      <w:r w:rsidR="002B21EC" w:rsidRPr="002B21EC">
        <w:t>pour la période 2012-2016</w:t>
      </w:r>
      <w:r>
        <w:t>, des données à jour</w:t>
      </w:r>
      <w:r w:rsidR="002B21EC" w:rsidRPr="002B21EC">
        <w:t xml:space="preserve"> </w:t>
      </w:r>
      <w:r w:rsidR="006C0B4A">
        <w:t>sur</w:t>
      </w:r>
      <w:r w:rsidR="002B21EC" w:rsidRPr="002B21EC">
        <w:t xml:space="preserve"> le niveau des dépenses publiques, en pourcentage du produit intérieur brut, </w:t>
      </w:r>
      <w:r w:rsidRPr="002B7BA5">
        <w:t>consacrées aux</w:t>
      </w:r>
      <w:r w:rsidR="002B21EC" w:rsidRPr="002B7BA5">
        <w:t xml:space="preserve"> secteurs liés aux droits économiques, sociaux et culturels, notamment la protection sociale, la santé et </w:t>
      </w:r>
      <w:r w:rsidR="002B21EC" w:rsidRPr="002B21EC">
        <w:t>l’éducation, et indiquer également si le niveau d</w:t>
      </w:r>
      <w:r>
        <w:t>e ces</w:t>
      </w:r>
      <w:r w:rsidR="002B21EC" w:rsidRPr="002B21EC">
        <w:t xml:space="preserve"> dépenses a été réduit au cours de cette période.</w:t>
      </w:r>
    </w:p>
    <w:p w:rsidR="002B21EC" w:rsidRPr="002B21EC" w:rsidRDefault="002B7BA5" w:rsidP="00C71171">
      <w:pPr>
        <w:pStyle w:val="ParNoG"/>
      </w:pPr>
      <w:r>
        <w:t>Donner des informations sur les obstacles</w:t>
      </w:r>
      <w:r w:rsidR="002B21EC" w:rsidRPr="002B21EC">
        <w:t xml:space="preserve"> qui entravent </w:t>
      </w:r>
      <w:r>
        <w:t xml:space="preserve">encore </w:t>
      </w:r>
      <w:r w:rsidR="002B21EC" w:rsidRPr="002B21EC">
        <w:t>la lutte contre la corruption dans l’</w:t>
      </w:r>
      <w:r w:rsidR="00C71171">
        <w:t>É</w:t>
      </w:r>
      <w:r w:rsidR="002B21EC" w:rsidRPr="002B21EC">
        <w:t>tat partie, notamment au sein de l’appareil judiciaire. Donner aussi des renseignements sur le nombre de poursuites engagées et de c</w:t>
      </w:r>
      <w:r>
        <w:t xml:space="preserve">ondamnations prononcées </w:t>
      </w:r>
      <w:r w:rsidR="002B21EC" w:rsidRPr="002B21EC">
        <w:t>contre des hauts fonctionnaires reconnus coupables de corruption</w:t>
      </w:r>
      <w:r>
        <w:t>, le cas échéant</w:t>
      </w:r>
      <w:r w:rsidR="002B21EC" w:rsidRPr="002B21EC">
        <w:t>.</w:t>
      </w:r>
    </w:p>
    <w:p w:rsidR="002B21EC" w:rsidRPr="002B21EC" w:rsidRDefault="002B21EC" w:rsidP="00C71171">
      <w:pPr>
        <w:pStyle w:val="ParNoG"/>
      </w:pPr>
      <w:r w:rsidRPr="002B21EC">
        <w:t>Décrire les mesures prises pour mettre en œuvre les recommandations du Sous</w:t>
      </w:r>
      <w:r w:rsidR="006C0B4A">
        <w:noBreakHyphen/>
      </w:r>
      <w:r w:rsidRPr="002B21EC">
        <w:t xml:space="preserve">Comité d’accréditation du Comité international de coordination des institutions nationales des droits de l’homme, fondées sur les Principes de Paris. Indiquer en outre si les droits économiques, sociaux et culturels relèvent des mandats du Bureau de l’Ombudsman et de la Commission pour la protection contre la discrimination, et si tel est le cas, donner des exemples </w:t>
      </w:r>
      <w:r w:rsidR="002B7BA5">
        <w:t>de la façon dont chacun de</w:t>
      </w:r>
      <w:r w:rsidRPr="002B21EC">
        <w:t xml:space="preserve"> ces organes </w:t>
      </w:r>
      <w:r w:rsidR="002B7BA5">
        <w:t>défend ces</w:t>
      </w:r>
      <w:r w:rsidRPr="002B21EC">
        <w:t xml:space="preserve"> droits.</w:t>
      </w:r>
      <w:r w:rsidRPr="002B21EC">
        <w:rPr>
          <w:vertAlign w:val="superscript"/>
        </w:rPr>
        <w:t xml:space="preserve"> </w:t>
      </w:r>
    </w:p>
    <w:p w:rsidR="002B21EC" w:rsidRPr="002B21EC" w:rsidRDefault="002B21EC" w:rsidP="00C71171">
      <w:pPr>
        <w:pStyle w:val="ParNoG"/>
      </w:pPr>
      <w:r w:rsidRPr="002B21EC">
        <w:t>Donner des informations à jour sur les mesures législatives et</w:t>
      </w:r>
      <w:r w:rsidR="002B7BA5">
        <w:t xml:space="preserve"> de</w:t>
      </w:r>
      <w:r w:rsidRPr="002B21EC">
        <w:t xml:space="preserve"> politiqu</w:t>
      </w:r>
      <w:r w:rsidR="002B7BA5">
        <w:t>e</w:t>
      </w:r>
      <w:r w:rsidRPr="002B21EC">
        <w:t xml:space="preserve"> prises pour assurer l’égalité des sexes et</w:t>
      </w:r>
      <w:r w:rsidR="002B7BA5">
        <w:t xml:space="preserve"> faire évoluer</w:t>
      </w:r>
      <w:r w:rsidRPr="002B21EC">
        <w:t xml:space="preserve"> les conceptions traditionnelles </w:t>
      </w:r>
      <w:r w:rsidR="002B7BA5">
        <w:t>concernant les</w:t>
      </w:r>
      <w:r w:rsidRPr="002B21EC">
        <w:t xml:space="preserve"> rôles et </w:t>
      </w:r>
      <w:r w:rsidR="002B7BA5">
        <w:t xml:space="preserve">les </w:t>
      </w:r>
      <w:r w:rsidRPr="002B21EC">
        <w:t xml:space="preserve">responsabilités des femmes et des hommes </w:t>
      </w:r>
      <w:r w:rsidR="002B7BA5">
        <w:t xml:space="preserve">qui prévalent </w:t>
      </w:r>
      <w:r w:rsidRPr="002B21EC">
        <w:t>dans l’</w:t>
      </w:r>
      <w:r w:rsidR="00C71171">
        <w:t>É</w:t>
      </w:r>
      <w:r w:rsidRPr="002B21EC">
        <w:t xml:space="preserve">tat partie. </w:t>
      </w:r>
    </w:p>
    <w:p w:rsidR="002B21EC" w:rsidRPr="002B21EC" w:rsidRDefault="002B21EC" w:rsidP="00C71171">
      <w:pPr>
        <w:pStyle w:val="ParNoG"/>
      </w:pPr>
      <w:r w:rsidRPr="002B21EC">
        <w:t>Fournir des données à jour sur l’ampleur du chômage dans l’</w:t>
      </w:r>
      <w:r w:rsidR="00C71171">
        <w:t>É</w:t>
      </w:r>
      <w:r w:rsidRPr="002B21EC">
        <w:t>tat partie depuis 2013, en particulier le chômage de longue durée, ventilées par sexe, âge, appartenance ethnique, nationalité et état de santé ou handicap. Donner également des renseignements sur l</w:t>
      </w:r>
      <w:r w:rsidR="002B7BA5">
        <w:t>es effets</w:t>
      </w:r>
      <w:r w:rsidRPr="002B21EC">
        <w:t xml:space="preserve"> des mesures prises pour réduire le chômage.</w:t>
      </w:r>
    </w:p>
    <w:p w:rsidR="002B21EC" w:rsidRPr="002B21EC" w:rsidRDefault="002B21EC" w:rsidP="00C71171">
      <w:pPr>
        <w:pStyle w:val="ParNoG"/>
      </w:pPr>
      <w:r w:rsidRPr="002B21EC">
        <w:t xml:space="preserve">Fournir des renseignements sur les mesures prises pour modifier le Code du travail </w:t>
      </w:r>
      <w:r w:rsidR="002B7BA5">
        <w:t xml:space="preserve">de façon </w:t>
      </w:r>
      <w:r w:rsidRPr="002B21EC">
        <w:t xml:space="preserve">que les dispositions permettant aux employeurs </w:t>
      </w:r>
      <w:r w:rsidR="002B7BA5">
        <w:t>de ne pas se soumettre à la</w:t>
      </w:r>
      <w:r w:rsidRPr="002B21EC">
        <w:t xml:space="preserve"> </w:t>
      </w:r>
      <w:r w:rsidR="002B7BA5">
        <w:t xml:space="preserve"> norme </w:t>
      </w:r>
      <w:r w:rsidRPr="002B21EC">
        <w:t xml:space="preserve">générale des </w:t>
      </w:r>
      <w:r w:rsidR="002B7BA5">
        <w:t>huit</w:t>
      </w:r>
      <w:r w:rsidRPr="002B21EC">
        <w:t xml:space="preserve"> heures de travail </w:t>
      </w:r>
      <w:r w:rsidR="002B7BA5">
        <w:t>par jour</w:t>
      </w:r>
      <w:r w:rsidRPr="002B21EC">
        <w:t xml:space="preserve"> et</w:t>
      </w:r>
      <w:r w:rsidR="002B7BA5">
        <w:t xml:space="preserve"> quarante-huit</w:t>
      </w:r>
      <w:r w:rsidRPr="002B21EC">
        <w:t xml:space="preserve"> heures de travail </w:t>
      </w:r>
      <w:r w:rsidR="002B7BA5">
        <w:t xml:space="preserve">par semaine </w:t>
      </w:r>
      <w:r w:rsidRPr="002B21EC">
        <w:t xml:space="preserve">soient durcies </w:t>
      </w:r>
      <w:r w:rsidR="002B7BA5">
        <w:t>pour éviter le risque d’abus et, plus généralement, se conformer à la Convention (</w:t>
      </w:r>
      <w:r w:rsidR="002B7BA5">
        <w:rPr>
          <w:rFonts w:eastAsia="MS Mincho"/>
        </w:rPr>
        <w:t>n</w:t>
      </w:r>
      <w:r w:rsidR="002B7BA5">
        <w:rPr>
          <w:rFonts w:eastAsia="MS Mincho"/>
          <w:vertAlign w:val="superscript"/>
        </w:rPr>
        <w:t>o</w:t>
      </w:r>
      <w:r w:rsidR="002B7BA5">
        <w:t> 1)</w:t>
      </w:r>
      <w:r w:rsidRPr="002B21EC">
        <w:t xml:space="preserve"> de l’Organisation internationale du Travail </w:t>
      </w:r>
      <w:r w:rsidR="004F138F">
        <w:t>sur la durée du travail (industrie)</w:t>
      </w:r>
      <w:r w:rsidR="006C0B4A">
        <w:t xml:space="preserve"> de 1919</w:t>
      </w:r>
      <w:r w:rsidR="004F138F">
        <w:t>.</w:t>
      </w:r>
    </w:p>
    <w:p w:rsidR="002B21EC" w:rsidRPr="002B21EC" w:rsidRDefault="004F138F" w:rsidP="004F138F">
      <w:pPr>
        <w:pStyle w:val="ParNoG"/>
      </w:pPr>
      <w:r>
        <w:t>Décrire</w:t>
      </w:r>
      <w:r w:rsidR="002B21EC" w:rsidRPr="002B21EC">
        <w:t xml:space="preserve"> les mesures prises ou envisagées pour </w:t>
      </w:r>
      <w:r>
        <w:t>relever le montant du salaire minimum</w:t>
      </w:r>
      <w:r w:rsidR="002B21EC" w:rsidRPr="002B21EC">
        <w:t xml:space="preserve"> national et en assurer l’indexation sur le coût de la vie de manière à garantir un niveau de vie convenable aux travailleurs et à leur famille.</w:t>
      </w:r>
    </w:p>
    <w:p w:rsidR="002B21EC" w:rsidRPr="002B21EC" w:rsidRDefault="002B21EC" w:rsidP="00C71171">
      <w:pPr>
        <w:pStyle w:val="ParNoG"/>
      </w:pPr>
      <w:r w:rsidRPr="002B21EC">
        <w:t>Indiquer si l’</w:t>
      </w:r>
      <w:r w:rsidR="00C71171">
        <w:t>É</w:t>
      </w:r>
      <w:r w:rsidRPr="002B21EC">
        <w:t xml:space="preserve">tat partie a l’intention d’entreprendre la révision législative nécessaire </w:t>
      </w:r>
      <w:r w:rsidR="004F138F">
        <w:t>pour</w:t>
      </w:r>
      <w:r w:rsidR="00B222B3">
        <w:t> </w:t>
      </w:r>
      <w:r w:rsidRPr="002B21EC">
        <w:t xml:space="preserve">: a) lever les restrictions au droit de grève </w:t>
      </w:r>
      <w:r w:rsidR="004F138F">
        <w:t>figurant</w:t>
      </w:r>
      <w:r w:rsidRPr="002B21EC">
        <w:t xml:space="preserve"> dans la loi relative au règlement des conflits collectifs du travail</w:t>
      </w:r>
      <w:r w:rsidR="00B222B3">
        <w:t> </w:t>
      </w:r>
      <w:r w:rsidRPr="002B21EC">
        <w:t xml:space="preserve">; b) modifier l’interdiction générale de faire grève </w:t>
      </w:r>
      <w:r w:rsidR="004F138F">
        <w:t>s’</w:t>
      </w:r>
      <w:r w:rsidR="006C0B4A">
        <w:t>ap</w:t>
      </w:r>
      <w:r w:rsidR="004F138F">
        <w:t>pliquant aux</w:t>
      </w:r>
      <w:r w:rsidRPr="002B21EC">
        <w:t xml:space="preserve"> fonctionnaires</w:t>
      </w:r>
      <w:r w:rsidR="00B222B3">
        <w:t> </w:t>
      </w:r>
      <w:r w:rsidRPr="002B21EC">
        <w:t xml:space="preserve">; et c) modérer les restrictions imposées aux cheminots sur le droit de grève. Fournir également des données à jour sur les mesures prises pour assurer à tous les travailleurs, </w:t>
      </w:r>
      <w:r w:rsidR="006C0B4A">
        <w:t xml:space="preserve">y compris les travailleurs étrangers, </w:t>
      </w:r>
      <w:r w:rsidR="004F138F" w:rsidRPr="002B21EC">
        <w:t xml:space="preserve">la pleine jouissance des droits syndicaux </w:t>
      </w:r>
      <w:r w:rsidRPr="002B21EC">
        <w:t xml:space="preserve">sans </w:t>
      </w:r>
      <w:r w:rsidR="004F138F">
        <w:t xml:space="preserve">subir de </w:t>
      </w:r>
      <w:r w:rsidRPr="002B21EC">
        <w:t xml:space="preserve">discrimination </w:t>
      </w:r>
      <w:r w:rsidR="004F138F">
        <w:t>ou craindre des</w:t>
      </w:r>
      <w:r w:rsidRPr="002B21EC">
        <w:t xml:space="preserve"> répercussions.</w:t>
      </w:r>
    </w:p>
    <w:p w:rsidR="002B21EC" w:rsidRPr="002B21EC" w:rsidRDefault="002B21EC" w:rsidP="00C71171">
      <w:pPr>
        <w:pStyle w:val="ParNoG"/>
      </w:pPr>
      <w:r w:rsidRPr="002B21EC">
        <w:t>Donner des renseignements sur les obstacles qui</w:t>
      </w:r>
      <w:r w:rsidR="006C0B4A">
        <w:t>, selon certaines informations</w:t>
      </w:r>
      <w:r w:rsidRPr="002B21EC">
        <w:t xml:space="preserve">, empêcheraient les demandeurs d’asile et les réfugiés de jouir de leurs droits sociaux, notamment en ce qui concerne l’assistance sociale, les soins de santé, l’éducation et le logement social, et sur les mesures prises pour </w:t>
      </w:r>
      <w:r w:rsidR="004F138F">
        <w:t>remédier à cette</w:t>
      </w:r>
      <w:r w:rsidRPr="002B21EC">
        <w:t xml:space="preserve"> situation.</w:t>
      </w:r>
    </w:p>
    <w:p w:rsidR="002B21EC" w:rsidRPr="002B21EC" w:rsidRDefault="002B21EC" w:rsidP="00C71171">
      <w:pPr>
        <w:pStyle w:val="ParNoG"/>
      </w:pPr>
      <w:r w:rsidRPr="002B21EC">
        <w:t xml:space="preserve">Donner des renseignements sur les mesures prises pour </w:t>
      </w:r>
      <w:r w:rsidR="004F138F">
        <w:t>veiller à ce que les prestations</w:t>
      </w:r>
      <w:r w:rsidRPr="002B21EC">
        <w:t xml:space="preserve"> de chômage et d’assistance sociale soient suffisantes pour permettre aux bénéficiaires et à leurs familles d’avoir un niveau de vie décent. </w:t>
      </w:r>
    </w:p>
    <w:p w:rsidR="002B21EC" w:rsidRPr="002B21EC" w:rsidRDefault="002B21EC" w:rsidP="00C71171">
      <w:pPr>
        <w:pStyle w:val="ParNoG"/>
      </w:pPr>
      <w:r w:rsidRPr="002B21EC">
        <w:lastRenderedPageBreak/>
        <w:t xml:space="preserve">Fournir des informations à jour sur les progrès accomplis dans le processus de </w:t>
      </w:r>
      <w:r w:rsidR="0097482B">
        <w:t>désinstitutio</w:t>
      </w:r>
      <w:r w:rsidR="0097482B" w:rsidRPr="002B21EC">
        <w:t>nalisation</w:t>
      </w:r>
      <w:r w:rsidRPr="002B21EC">
        <w:t xml:space="preserve"> des enfants. </w:t>
      </w:r>
      <w:r w:rsidR="004F138F">
        <w:t>Indiquer également, à ce sujet, quels cadres de vie</w:t>
      </w:r>
      <w:r w:rsidRPr="002B21EC">
        <w:t xml:space="preserve"> </w:t>
      </w:r>
      <w:r w:rsidR="004F138F">
        <w:t>sont proposés en remplacement aux enfants retirés des institutions et quels types de soutien sont offerts aux familles pour éviter la séparation familiale</w:t>
      </w:r>
      <w:r w:rsidRPr="002B21EC">
        <w:t>.</w:t>
      </w:r>
    </w:p>
    <w:p w:rsidR="002B21EC" w:rsidRPr="002B21EC" w:rsidRDefault="002B21EC" w:rsidP="00C71171">
      <w:pPr>
        <w:pStyle w:val="ParNoG"/>
      </w:pPr>
      <w:r w:rsidRPr="002B21EC">
        <w:t xml:space="preserve">Donner des informations à jour sur </w:t>
      </w:r>
      <w:r w:rsidR="004F138F">
        <w:t>l’importance du phénomène du</w:t>
      </w:r>
      <w:r w:rsidRPr="002B21EC">
        <w:t xml:space="preserve"> travail des enfants dans l’</w:t>
      </w:r>
      <w:r w:rsidR="00C71171">
        <w:t>É</w:t>
      </w:r>
      <w:r w:rsidRPr="002B21EC">
        <w:t>tat partie. Indiquer également les mesures prises pour identifier et assister les enfants qui sont particulièrement exposés au risque d’</w:t>
      </w:r>
      <w:r w:rsidR="004F138F">
        <w:t>être astreints</w:t>
      </w:r>
      <w:r w:rsidRPr="002B21EC">
        <w:t xml:space="preserve"> au travail des mineurs</w:t>
      </w:r>
      <w:r w:rsidR="004F138F">
        <w:t xml:space="preserve">, y compris à des </w:t>
      </w:r>
      <w:r w:rsidRPr="002B21EC">
        <w:t>travaux dangereux.</w:t>
      </w:r>
    </w:p>
    <w:p w:rsidR="002B21EC" w:rsidRPr="002B21EC" w:rsidRDefault="002B21EC" w:rsidP="00C71171">
      <w:pPr>
        <w:pStyle w:val="ParNoG"/>
      </w:pPr>
      <w:r w:rsidRPr="002B21EC">
        <w:t>Fournir des données ventilées selon le sexe, l’âge, l’</w:t>
      </w:r>
      <w:r w:rsidR="004F138F">
        <w:t>origine</w:t>
      </w:r>
      <w:r w:rsidRPr="002B21EC">
        <w:t xml:space="preserve"> ethnique et l’état de santé sur l’ampleur du phénomène des sans-abri dans l’</w:t>
      </w:r>
      <w:r w:rsidR="00C71171">
        <w:t>É</w:t>
      </w:r>
      <w:r w:rsidRPr="002B21EC">
        <w:t xml:space="preserve">tat partie, et décrire les mesures prises pour enrayer ce phénomène. Donner des renseignements sur la fréquence </w:t>
      </w:r>
      <w:r w:rsidR="004F138F">
        <w:t xml:space="preserve">et les motifs </w:t>
      </w:r>
      <w:r w:rsidRPr="002B21EC">
        <w:t>des expulsions forcées</w:t>
      </w:r>
      <w:r w:rsidR="004F138F">
        <w:t xml:space="preserve">, </w:t>
      </w:r>
      <w:r w:rsidRPr="002B21EC">
        <w:t xml:space="preserve">et indiquer si un logement de remplacement et une </w:t>
      </w:r>
      <w:r w:rsidR="004F138F">
        <w:t>indemnisation</w:t>
      </w:r>
      <w:r w:rsidRPr="002B21EC">
        <w:t xml:space="preserve"> sont octroyés aux personnes qui sont victimes</w:t>
      </w:r>
      <w:r w:rsidR="004F138F">
        <w:t xml:space="preserve"> de ces expulsions</w:t>
      </w:r>
      <w:r w:rsidRPr="002B21EC">
        <w:t>.</w:t>
      </w:r>
    </w:p>
    <w:p w:rsidR="002B21EC" w:rsidRPr="002B21EC" w:rsidRDefault="002B21EC" w:rsidP="00C71171">
      <w:pPr>
        <w:pStyle w:val="ParNoG"/>
      </w:pPr>
      <w:r w:rsidRPr="002B21EC">
        <w:t xml:space="preserve">Fournir des données </w:t>
      </w:r>
      <w:r w:rsidR="004F138F">
        <w:t xml:space="preserve">à jour </w:t>
      </w:r>
      <w:r w:rsidRPr="002B21EC">
        <w:t>ventilées selon l’</w:t>
      </w:r>
      <w:r w:rsidR="004F138F">
        <w:t xml:space="preserve">origine </w:t>
      </w:r>
      <w:r w:rsidRPr="002B21EC">
        <w:t>ethnique, la région (urbaine ou rurale) et l’origine socioéconomique</w:t>
      </w:r>
      <w:r w:rsidR="004F138F">
        <w:t>,</w:t>
      </w:r>
      <w:r w:rsidRPr="002B21EC">
        <w:t xml:space="preserve"> sur la mortalité infantile et maternelle dans l’</w:t>
      </w:r>
      <w:r w:rsidR="00C71171">
        <w:t>É</w:t>
      </w:r>
      <w:r w:rsidRPr="002B21EC">
        <w:t xml:space="preserve">tat partie. </w:t>
      </w:r>
    </w:p>
    <w:p w:rsidR="002B21EC" w:rsidRPr="002B21EC" w:rsidRDefault="002B21EC" w:rsidP="00C71171">
      <w:pPr>
        <w:pStyle w:val="ParNoG"/>
      </w:pPr>
      <w:r w:rsidRPr="002B21EC">
        <w:t xml:space="preserve">Compte tenu </w:t>
      </w:r>
      <w:r w:rsidR="004F138F">
        <w:t>du nombre toujours</w:t>
      </w:r>
      <w:r w:rsidRPr="002B21EC">
        <w:t xml:space="preserve"> </w:t>
      </w:r>
      <w:r w:rsidR="004F138F">
        <w:t>important</w:t>
      </w:r>
      <w:r w:rsidRPr="002B21EC">
        <w:t xml:space="preserve"> d’avortement</w:t>
      </w:r>
      <w:r w:rsidR="004F138F">
        <w:t>s</w:t>
      </w:r>
      <w:r w:rsidRPr="002B21EC">
        <w:t xml:space="preserve"> et de grossesses d’adolescentes dans l’</w:t>
      </w:r>
      <w:r w:rsidR="00C71171">
        <w:t>É</w:t>
      </w:r>
      <w:r w:rsidRPr="002B21EC">
        <w:t xml:space="preserve">tat partie, donner des renseignements sur les mesures prises pour faciliter l’accès à des soins, des services et une éducation en matière de santé sexuelle et procréative. </w:t>
      </w:r>
    </w:p>
    <w:p w:rsidR="002B21EC" w:rsidRPr="002B21EC" w:rsidRDefault="004F138F" w:rsidP="00C71171">
      <w:pPr>
        <w:pStyle w:val="ParNoG"/>
      </w:pPr>
      <w:r>
        <w:t>Décrire les</w:t>
      </w:r>
      <w:r w:rsidR="002B21EC" w:rsidRPr="002B21EC">
        <w:t xml:space="preserve"> progrès réalisés dans la révision du régime juridique </w:t>
      </w:r>
      <w:r>
        <w:t>régissant la privation de la capacité juridique</w:t>
      </w:r>
      <w:r w:rsidR="002B21EC" w:rsidRPr="002B21EC">
        <w:t xml:space="preserve"> des adultes atteints de déficience intellectuelle ou de troubles psychosociaux. </w:t>
      </w:r>
      <w:r>
        <w:t xml:space="preserve">Décrire </w:t>
      </w:r>
      <w:r w:rsidR="002B21EC" w:rsidRPr="002B21EC">
        <w:t xml:space="preserve">également les mesures prises pour offrir à ces personnes d’autres possibilités que le placement en institution, </w:t>
      </w:r>
      <w:r>
        <w:t xml:space="preserve">comme </w:t>
      </w:r>
      <w:r w:rsidR="002B21EC" w:rsidRPr="002B21EC">
        <w:t xml:space="preserve">des services de proximité, et les effets de </w:t>
      </w:r>
      <w:r>
        <w:t>ces</w:t>
      </w:r>
      <w:r w:rsidR="002B21EC" w:rsidRPr="002B21EC">
        <w:t xml:space="preserve"> mesures.</w:t>
      </w:r>
    </w:p>
    <w:p w:rsidR="002B21EC" w:rsidRPr="002B21EC" w:rsidRDefault="004F138F" w:rsidP="00C71171">
      <w:pPr>
        <w:pStyle w:val="ParNoG"/>
      </w:pPr>
      <w:r>
        <w:t xml:space="preserve">Donner </w:t>
      </w:r>
      <w:r w:rsidR="002B21EC" w:rsidRPr="002B21EC">
        <w:t xml:space="preserve">des informations actualisées </w:t>
      </w:r>
      <w:r>
        <w:t>sur</w:t>
      </w:r>
      <w:r w:rsidR="002B21EC" w:rsidRPr="002B21EC">
        <w:t xml:space="preserve"> les mesures prises pour faciliter l’accès des personnes atteint</w:t>
      </w:r>
      <w:r>
        <w:t>es</w:t>
      </w:r>
      <w:r w:rsidR="002B21EC" w:rsidRPr="002B21EC">
        <w:t xml:space="preserve"> de démence et de la maladie d’Alzheimer</w:t>
      </w:r>
      <w:r>
        <w:t xml:space="preserve"> à des soins et des traitements</w:t>
      </w:r>
      <w:r w:rsidR="002B21EC" w:rsidRPr="002B21EC">
        <w:t>, et pour sensibiliser le grand public à ces maladies.</w:t>
      </w:r>
    </w:p>
    <w:p w:rsidR="002B21EC" w:rsidRPr="004F138F" w:rsidRDefault="004F138F" w:rsidP="00C71171">
      <w:pPr>
        <w:pStyle w:val="ParNoG"/>
      </w:pPr>
      <w:r>
        <w:t>Fournir des informations actualisées</w:t>
      </w:r>
      <w:r w:rsidR="002B21EC" w:rsidRPr="004F138F">
        <w:t xml:space="preserve"> sur les mesures prises pour favoriser l’accès de tous les e</w:t>
      </w:r>
      <w:r>
        <w:t>nfants</w:t>
      </w:r>
      <w:r w:rsidR="002B21EC" w:rsidRPr="004F138F">
        <w:t xml:space="preserve">, y compris les enfants demandeurs d’asile </w:t>
      </w:r>
      <w:r>
        <w:t>ou réfugiés, à un enseignement de qualité, et pour faire baisser le taux d’abandon scolaire, en particulier chez les enfants roms, ainsi que des renseignements sur les effets de ces mesures.</w:t>
      </w:r>
      <w:r w:rsidR="002B21EC" w:rsidRPr="004F138F">
        <w:t xml:space="preserve"> </w:t>
      </w:r>
    </w:p>
    <w:p w:rsidR="002B21EC" w:rsidRPr="002B21EC" w:rsidRDefault="004F138F" w:rsidP="00C71171">
      <w:pPr>
        <w:pStyle w:val="ParNoG"/>
      </w:pPr>
      <w:r>
        <w:t>Donner des renseignements sur les mesures</w:t>
      </w:r>
      <w:r w:rsidR="002B21EC" w:rsidRPr="002B21EC">
        <w:t xml:space="preserve"> prises pour </w:t>
      </w:r>
      <w:r w:rsidR="0097482B">
        <w:t xml:space="preserve">faire en sorte </w:t>
      </w:r>
      <w:r w:rsidR="002B21EC" w:rsidRPr="002B21EC">
        <w:t xml:space="preserve">que les enfants handicapés, y compris ceux qui sont actuellement scolarisés dans des écoles spéciales ou des internats, aient accès à un enseignement inclusif, et </w:t>
      </w:r>
      <w:r w:rsidR="0097482B">
        <w:t>en décrire les effets.</w:t>
      </w:r>
    </w:p>
    <w:p w:rsidR="002B21EC" w:rsidRPr="002B21EC" w:rsidRDefault="002B21EC" w:rsidP="00C71171">
      <w:pPr>
        <w:pStyle w:val="H1G"/>
      </w:pPr>
      <w:r w:rsidRPr="002B21EC">
        <w:tab/>
        <w:t>C.</w:t>
      </w:r>
      <w:r w:rsidRPr="002B21EC">
        <w:tab/>
        <w:t>Bonnes pratiques</w:t>
      </w:r>
      <w:bookmarkStart w:id="0" w:name="_GoBack"/>
      <w:bookmarkEnd w:id="0"/>
    </w:p>
    <w:p w:rsidR="002B21EC" w:rsidRPr="002B21EC" w:rsidRDefault="002B21EC" w:rsidP="00C71171">
      <w:pPr>
        <w:pStyle w:val="ParNoG"/>
      </w:pPr>
      <w:r w:rsidRPr="002B21EC">
        <w:t xml:space="preserve">Fournir des informations sur les bonnes pratiques </w:t>
      </w:r>
      <w:r w:rsidR="0097482B">
        <w:t>en matière de</w:t>
      </w:r>
      <w:r w:rsidRPr="002B21EC">
        <w:t xml:space="preserve"> formulation et </w:t>
      </w:r>
      <w:r w:rsidR="0097482B">
        <w:t>d</w:t>
      </w:r>
      <w:r w:rsidRPr="002B21EC">
        <w:t xml:space="preserve">’application des politiques </w:t>
      </w:r>
      <w:r w:rsidR="0097482B">
        <w:t>que</w:t>
      </w:r>
      <w:r w:rsidRPr="002B21EC">
        <w:t xml:space="preserve"> l’</w:t>
      </w:r>
      <w:r w:rsidR="00C71171">
        <w:t>É</w:t>
      </w:r>
      <w:r w:rsidRPr="002B21EC">
        <w:t xml:space="preserve">tat partie </w:t>
      </w:r>
      <w:r w:rsidR="0097482B">
        <w:t xml:space="preserve">a élaborées </w:t>
      </w:r>
      <w:r w:rsidRPr="002B21EC">
        <w:t xml:space="preserve">au cours </w:t>
      </w:r>
      <w:r w:rsidR="006C0B4A">
        <w:t>de la dernière période examinée</w:t>
      </w:r>
      <w:r w:rsidRPr="002B21EC">
        <w:t xml:space="preserve"> </w:t>
      </w:r>
      <w:r w:rsidR="0097482B">
        <w:t>et qui ont favorisé</w:t>
      </w:r>
      <w:r w:rsidRPr="002B21EC">
        <w:t xml:space="preserve"> la réalisation des droits économiques, sociaux et culturels, en particulier d</w:t>
      </w:r>
      <w:r w:rsidR="0097482B">
        <w:t>e personnes</w:t>
      </w:r>
      <w:r w:rsidRPr="002B21EC">
        <w:t xml:space="preserve"> et de groupes marginalisés et défavorisés. Indiquer de quelle manière les précédentes observations finales du Comité ont été prises en </w:t>
      </w:r>
      <w:r w:rsidR="0097482B">
        <w:t>compte dans l’élaboration</w:t>
      </w:r>
      <w:r w:rsidRPr="002B21EC">
        <w:t xml:space="preserve"> de telles pratiques.</w:t>
      </w:r>
    </w:p>
    <w:p w:rsidR="002B21EC" w:rsidRPr="002B21EC" w:rsidRDefault="002B21EC" w:rsidP="002B21EC">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2B21E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9E3" w:rsidRDefault="003949E3" w:rsidP="00F95C08">
      <w:pPr>
        <w:spacing w:line="240" w:lineRule="auto"/>
      </w:pPr>
    </w:p>
  </w:endnote>
  <w:endnote w:type="continuationSeparator" w:id="0">
    <w:p w:rsidR="003949E3" w:rsidRPr="00AC3823" w:rsidRDefault="003949E3" w:rsidP="00AC3823">
      <w:pPr>
        <w:pStyle w:val="Pieddepage"/>
      </w:pPr>
    </w:p>
  </w:endnote>
  <w:endnote w:type="continuationNotice" w:id="1">
    <w:p w:rsidR="003949E3" w:rsidRDefault="003949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1EC" w:rsidRPr="002B21EC" w:rsidRDefault="002B21EC" w:rsidP="002B21EC">
    <w:pPr>
      <w:pStyle w:val="Pieddepage"/>
      <w:tabs>
        <w:tab w:val="right" w:pos="9638"/>
      </w:tabs>
    </w:pPr>
    <w:r w:rsidRPr="002B21EC">
      <w:rPr>
        <w:b/>
        <w:sz w:val="18"/>
      </w:rPr>
      <w:fldChar w:fldCharType="begin"/>
    </w:r>
    <w:r w:rsidRPr="002B21EC">
      <w:rPr>
        <w:b/>
        <w:sz w:val="18"/>
      </w:rPr>
      <w:instrText xml:space="preserve"> PAGE  \* MERGEFORMAT </w:instrText>
    </w:r>
    <w:r w:rsidRPr="002B21EC">
      <w:rPr>
        <w:b/>
        <w:sz w:val="18"/>
      </w:rPr>
      <w:fldChar w:fldCharType="separate"/>
    </w:r>
    <w:r w:rsidR="006C0B4A">
      <w:rPr>
        <w:b/>
        <w:noProof/>
        <w:sz w:val="18"/>
      </w:rPr>
      <w:t>2</w:t>
    </w:r>
    <w:r w:rsidRPr="002B21EC">
      <w:rPr>
        <w:b/>
        <w:sz w:val="18"/>
      </w:rPr>
      <w:fldChar w:fldCharType="end"/>
    </w:r>
    <w:r>
      <w:rPr>
        <w:b/>
        <w:sz w:val="18"/>
      </w:rPr>
      <w:tab/>
    </w:r>
    <w:r>
      <w:t>GE.16-04530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1EC" w:rsidRPr="002B21EC" w:rsidRDefault="002B21EC" w:rsidP="002B21EC">
    <w:pPr>
      <w:pStyle w:val="Pieddepage"/>
      <w:tabs>
        <w:tab w:val="right" w:pos="9638"/>
      </w:tabs>
      <w:rPr>
        <w:b/>
        <w:sz w:val="18"/>
      </w:rPr>
    </w:pPr>
    <w:r>
      <w:t>GE.16-04530</w:t>
    </w:r>
    <w:r>
      <w:tab/>
    </w:r>
    <w:r w:rsidRPr="002B21EC">
      <w:rPr>
        <w:b/>
        <w:sz w:val="18"/>
      </w:rPr>
      <w:fldChar w:fldCharType="begin"/>
    </w:r>
    <w:r w:rsidRPr="002B21EC">
      <w:rPr>
        <w:b/>
        <w:sz w:val="18"/>
      </w:rPr>
      <w:instrText xml:space="preserve"> PAGE  \* MERGEFORMAT </w:instrText>
    </w:r>
    <w:r w:rsidRPr="002B21EC">
      <w:rPr>
        <w:b/>
        <w:sz w:val="18"/>
      </w:rPr>
      <w:fldChar w:fldCharType="separate"/>
    </w:r>
    <w:r w:rsidR="006C0B4A">
      <w:rPr>
        <w:b/>
        <w:noProof/>
        <w:sz w:val="18"/>
      </w:rPr>
      <w:t>3</w:t>
    </w:r>
    <w:r w:rsidRPr="002B21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2B21EC" w:rsidRDefault="002B21EC" w:rsidP="002B21E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78D62B5" wp14:editId="361097C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16-04530  (F)</w:t>
    </w:r>
    <w:r w:rsidR="00C71171">
      <w:rPr>
        <w:sz w:val="20"/>
      </w:rPr>
      <w:t xml:space="preserve">    120416    140416</w:t>
    </w:r>
    <w:r>
      <w:rPr>
        <w:sz w:val="20"/>
      </w:rPr>
      <w:br/>
    </w:r>
    <w:r w:rsidRPr="002B21EC">
      <w:rPr>
        <w:rFonts w:ascii="C39T30Lfz" w:hAnsi="C39T30Lfz"/>
        <w:sz w:val="56"/>
      </w:rPr>
      <w:t></w:t>
    </w:r>
    <w:r w:rsidRPr="002B21EC">
      <w:rPr>
        <w:rFonts w:ascii="C39T30Lfz" w:hAnsi="C39T30Lfz"/>
        <w:sz w:val="56"/>
      </w:rPr>
      <w:t></w:t>
    </w:r>
    <w:r w:rsidRPr="002B21EC">
      <w:rPr>
        <w:rFonts w:ascii="C39T30Lfz" w:hAnsi="C39T30Lfz"/>
        <w:sz w:val="56"/>
      </w:rPr>
      <w:t></w:t>
    </w:r>
    <w:r w:rsidRPr="002B21EC">
      <w:rPr>
        <w:rFonts w:ascii="C39T30Lfz" w:hAnsi="C39T30Lfz"/>
        <w:sz w:val="56"/>
      </w:rPr>
      <w:t></w:t>
    </w:r>
    <w:r w:rsidRPr="002B21EC">
      <w:rPr>
        <w:rFonts w:ascii="C39T30Lfz" w:hAnsi="C39T30Lfz"/>
        <w:sz w:val="56"/>
      </w:rPr>
      <w:t></w:t>
    </w:r>
    <w:r w:rsidRPr="002B21EC">
      <w:rPr>
        <w:rFonts w:ascii="C39T30Lfz" w:hAnsi="C39T30Lfz"/>
        <w:sz w:val="56"/>
      </w:rPr>
      <w:t></w:t>
    </w:r>
    <w:r w:rsidRPr="002B21EC">
      <w:rPr>
        <w:rFonts w:ascii="C39T30Lfz" w:hAnsi="C39T30Lfz"/>
        <w:sz w:val="56"/>
      </w:rPr>
      <w:t></w:t>
    </w:r>
    <w:r w:rsidRPr="002B21EC">
      <w:rPr>
        <w:rFonts w:ascii="C39T30Lfz" w:hAnsi="C39T30Lfz"/>
        <w:sz w:val="56"/>
      </w:rPr>
      <w:t></w:t>
    </w:r>
    <w:r w:rsidRPr="002B21E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BGR/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GR/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9E3" w:rsidRPr="00AC3823" w:rsidRDefault="003949E3" w:rsidP="00AC3823">
      <w:pPr>
        <w:pStyle w:val="Pieddepage"/>
        <w:tabs>
          <w:tab w:val="right" w:pos="2155"/>
        </w:tabs>
        <w:spacing w:after="80" w:line="240" w:lineRule="atLeast"/>
        <w:ind w:left="680"/>
        <w:rPr>
          <w:u w:val="single"/>
        </w:rPr>
      </w:pPr>
      <w:r>
        <w:rPr>
          <w:u w:val="single"/>
        </w:rPr>
        <w:tab/>
      </w:r>
    </w:p>
  </w:footnote>
  <w:footnote w:type="continuationSeparator" w:id="0">
    <w:p w:rsidR="003949E3" w:rsidRPr="00AC3823" w:rsidRDefault="003949E3" w:rsidP="00AC3823">
      <w:pPr>
        <w:pStyle w:val="Pieddepage"/>
        <w:tabs>
          <w:tab w:val="right" w:pos="2155"/>
        </w:tabs>
        <w:spacing w:after="80" w:line="240" w:lineRule="atLeast"/>
        <w:ind w:left="680"/>
        <w:rPr>
          <w:u w:val="single"/>
        </w:rPr>
      </w:pPr>
      <w:r>
        <w:rPr>
          <w:u w:val="single"/>
        </w:rPr>
        <w:tab/>
      </w:r>
    </w:p>
  </w:footnote>
  <w:footnote w:type="continuationNotice" w:id="1">
    <w:p w:rsidR="003949E3" w:rsidRPr="00AC3823" w:rsidRDefault="003949E3">
      <w:pPr>
        <w:spacing w:line="240" w:lineRule="auto"/>
        <w:rPr>
          <w:sz w:val="2"/>
          <w:szCs w:val="2"/>
        </w:rPr>
      </w:pPr>
    </w:p>
  </w:footnote>
  <w:footnote w:id="2">
    <w:p w:rsidR="002B21EC" w:rsidRPr="00353AB2" w:rsidRDefault="002B21EC" w:rsidP="00C71171">
      <w:pPr>
        <w:pStyle w:val="Notedebasdepage"/>
      </w:pPr>
      <w:r>
        <w:tab/>
      </w:r>
      <w:r w:rsidRPr="00C71171">
        <w:rPr>
          <w:rStyle w:val="Appelnotedebasdep"/>
          <w:sz w:val="20"/>
          <w:vertAlign w:val="baseline"/>
        </w:rPr>
        <w:t>*</w:t>
      </w:r>
      <w:r>
        <w:tab/>
        <w:t xml:space="preserve">Adoptée par le Comité à sa </w:t>
      </w:r>
      <w:r w:rsidRPr="00C71171">
        <w:t>cinquante</w:t>
      </w:r>
      <w:r>
        <w:t>-septième session</w:t>
      </w:r>
      <w:r w:rsidRPr="00F2577A">
        <w:rPr>
          <w:lang w:eastAsia="fr-FR"/>
        </w:rPr>
        <w:t xml:space="preserve"> (</w:t>
      </w:r>
      <w:r>
        <w:rPr>
          <w:lang w:eastAsia="fr-FR"/>
        </w:rPr>
        <w:t>22 février-4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1EC" w:rsidRPr="002B21EC" w:rsidRDefault="002B21EC">
    <w:pPr>
      <w:pStyle w:val="En-tte"/>
    </w:pPr>
    <w:r>
      <w:t>E/C.12/BGR/QPR/6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1EC" w:rsidRPr="002B21EC" w:rsidRDefault="002B21EC" w:rsidP="002B21EC">
    <w:pPr>
      <w:pStyle w:val="En-tte"/>
      <w:jc w:val="right"/>
    </w:pPr>
    <w:r>
      <w:t>E/C.12/BGR/QPR/6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9E3"/>
    <w:rsid w:val="00017F94"/>
    <w:rsid w:val="00023842"/>
    <w:rsid w:val="000334F9"/>
    <w:rsid w:val="0007796D"/>
    <w:rsid w:val="000B7790"/>
    <w:rsid w:val="00111F2F"/>
    <w:rsid w:val="0014365E"/>
    <w:rsid w:val="00176178"/>
    <w:rsid w:val="001F525A"/>
    <w:rsid w:val="00223272"/>
    <w:rsid w:val="0024779E"/>
    <w:rsid w:val="002832AC"/>
    <w:rsid w:val="002B21EC"/>
    <w:rsid w:val="002B7BA5"/>
    <w:rsid w:val="002D7C93"/>
    <w:rsid w:val="003949E3"/>
    <w:rsid w:val="00441C3B"/>
    <w:rsid w:val="00446FE5"/>
    <w:rsid w:val="00452396"/>
    <w:rsid w:val="004E468C"/>
    <w:rsid w:val="004F138F"/>
    <w:rsid w:val="005049D5"/>
    <w:rsid w:val="005505B7"/>
    <w:rsid w:val="00573BE5"/>
    <w:rsid w:val="00586ED3"/>
    <w:rsid w:val="00596AA9"/>
    <w:rsid w:val="006C0B4A"/>
    <w:rsid w:val="0071601D"/>
    <w:rsid w:val="007A62E6"/>
    <w:rsid w:val="0080236C"/>
    <w:rsid w:val="0080684C"/>
    <w:rsid w:val="00871C75"/>
    <w:rsid w:val="008776DC"/>
    <w:rsid w:val="00967489"/>
    <w:rsid w:val="009705C8"/>
    <w:rsid w:val="0097482B"/>
    <w:rsid w:val="009C1CF4"/>
    <w:rsid w:val="00A30353"/>
    <w:rsid w:val="00AA42FA"/>
    <w:rsid w:val="00AC3823"/>
    <w:rsid w:val="00AE323C"/>
    <w:rsid w:val="00AF290F"/>
    <w:rsid w:val="00B00181"/>
    <w:rsid w:val="00B00B0D"/>
    <w:rsid w:val="00B222B3"/>
    <w:rsid w:val="00B765F7"/>
    <w:rsid w:val="00BA0CA9"/>
    <w:rsid w:val="00BC1251"/>
    <w:rsid w:val="00C02897"/>
    <w:rsid w:val="00C71171"/>
    <w:rsid w:val="00D3439C"/>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Pages>
  <Words>1446</Words>
  <Characters>7954</Characters>
  <Application>Microsoft Office Word</Application>
  <DocSecurity>0</DocSecurity>
  <Lines>66</Lines>
  <Paragraphs>18</Paragraphs>
  <ScaleCrop>false</ScaleCrop>
  <HeadingPairs>
    <vt:vector size="2" baseType="variant">
      <vt:variant>
        <vt:lpstr>Titre</vt:lpstr>
      </vt:variant>
      <vt:variant>
        <vt:i4>1</vt:i4>
      </vt:variant>
    </vt:vector>
  </HeadingPairs>
  <TitlesOfParts>
    <vt:vector size="1" baseType="lpstr">
      <vt:lpstr>E/C.12/BGR/QPR/6</vt:lpstr>
    </vt:vector>
  </TitlesOfParts>
  <Company>DCM</Company>
  <LinksUpToDate>false</LinksUpToDate>
  <CharactersWithSpaces>9382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E/C.12/BGR/QPR/6</dc:title>
  <dc:subject>final</dc:subject>
  <dc:creator>Beaunee</dc:creator>
  <cp:keywords/>
  <dc:description/>
  <cp:lastModifiedBy>Beaunee</cp:lastModifiedBy>
  <cp:revision>2</cp:revision>
  <cp:lastPrinted>2016-04-14T07:55:00Z</cp:lastPrinted>
  <dcterms:created xsi:type="dcterms:W3CDTF">2016-04-14T10:16:00Z</dcterms:created>
  <dcterms:modified xsi:type="dcterms:W3CDTF">2016-04-14T10:16:00Z</dcterms:modified>
</cp:coreProperties>
</file>