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6FFC2" w14:textId="77777777" w:rsidR="0042533D" w:rsidRDefault="0042533D" w:rsidP="0042533D">
      <w:pPr>
        <w:spacing w:line="60" w:lineRule="exact"/>
        <w:rPr>
          <w:sz w:val="2"/>
        </w:rPr>
        <w:sectPr w:rsidR="0042533D" w:rsidSect="0013534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46DC3CF8" w14:textId="77777777" w:rsidR="00D56F5B" w:rsidRPr="00D56F5B" w:rsidRDefault="00D56F5B" w:rsidP="00D56F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D56F5B">
        <w:t>消除对妇女歧视委员会</w:t>
      </w:r>
    </w:p>
    <w:p w14:paraId="0A1BDB53" w14:textId="77777777" w:rsidR="00D56F5B" w:rsidRPr="00D56F5B" w:rsidRDefault="00D56F5B" w:rsidP="00D56F5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D56F5B">
        <w:tab/>
      </w:r>
      <w:r w:rsidRPr="00D56F5B">
        <w:tab/>
      </w:r>
      <w:r w:rsidRPr="00D56F5B">
        <w:t>关于立陶宛第七次定期报告的结论性意见</w:t>
      </w:r>
      <w:r w:rsidRPr="00830A2C">
        <w:footnoteReference w:customMarkFollows="1" w:id="1"/>
        <w:t>*</w:t>
      </w:r>
    </w:p>
    <w:p w14:paraId="69B9C1D6" w14:textId="043A81ED" w:rsidR="00D56F5B" w:rsidRPr="00D56F5B" w:rsidRDefault="00D56F5B" w:rsidP="00D56F5B">
      <w:pPr>
        <w:pStyle w:val="SingleTxt"/>
      </w:pPr>
      <w:r w:rsidRPr="00D56F5B">
        <w:t>1.</w:t>
      </w:r>
      <w:r w:rsidRPr="00D56F5B">
        <w:tab/>
      </w:r>
      <w:r w:rsidRPr="00D56F5B">
        <w:t>委员会在</w:t>
      </w:r>
      <w:r w:rsidRPr="00D56F5B">
        <w:t>2026</w:t>
      </w:r>
      <w:r w:rsidRPr="00D56F5B">
        <w:t>年</w:t>
      </w:r>
      <w:r w:rsidRPr="00D56F5B">
        <w:t>2</w:t>
      </w:r>
      <w:r w:rsidRPr="00D56F5B">
        <w:t>月</w:t>
      </w:r>
      <w:r w:rsidRPr="00D56F5B">
        <w:t>5</w:t>
      </w:r>
      <w:r w:rsidRPr="00D56F5B">
        <w:t>日举行的第</w:t>
      </w:r>
      <w:r w:rsidRPr="00D56F5B">
        <w:t>2184</w:t>
      </w:r>
      <w:r w:rsidRPr="00D56F5B">
        <w:t>次和第</w:t>
      </w:r>
      <w:r w:rsidRPr="00D56F5B">
        <w:t>2185</w:t>
      </w:r>
      <w:r w:rsidRPr="00D56F5B">
        <w:t>次会议</w:t>
      </w:r>
      <w:r w:rsidR="00830A2C">
        <w:t>(</w:t>
      </w:r>
      <w:r w:rsidRPr="00D56F5B">
        <w:t>见</w:t>
      </w:r>
      <w:hyperlink r:id="rId20" w:history="1">
        <w:r w:rsidRPr="00D56F5B">
          <w:rPr>
            <w:rStyle w:val="af7"/>
          </w:rPr>
          <w:t>CEDAW/C/SR.2184</w:t>
        </w:r>
      </w:hyperlink>
      <w:r w:rsidRPr="00D56F5B">
        <w:t>和</w:t>
      </w:r>
      <w:hyperlink r:id="rId21" w:history="1">
        <w:r w:rsidRPr="00D56F5B">
          <w:rPr>
            <w:rStyle w:val="af7"/>
          </w:rPr>
          <w:t>CEDAW/C/SR.2185</w:t>
        </w:r>
      </w:hyperlink>
      <w:r w:rsidR="00830A2C">
        <w:t>)</w:t>
      </w:r>
      <w:r w:rsidRPr="00D56F5B">
        <w:t>审议了立陶宛的第七次定期报告</w:t>
      </w:r>
      <w:r w:rsidR="00830A2C">
        <w:t>(</w:t>
      </w:r>
      <w:hyperlink r:id="rId22" w:history="1">
        <w:r w:rsidRPr="00D56F5B">
          <w:rPr>
            <w:rStyle w:val="af7"/>
          </w:rPr>
          <w:t>CEDAW/C/LTU/7</w:t>
        </w:r>
      </w:hyperlink>
      <w:r w:rsidR="00830A2C">
        <w:t>)</w:t>
      </w:r>
      <w:r w:rsidRPr="00D56F5B">
        <w:t>。会前工作组提出的议题和问题清单载于</w:t>
      </w:r>
      <w:hyperlink r:id="rId23" w:history="1">
        <w:r w:rsidRPr="00D56F5B">
          <w:rPr>
            <w:rStyle w:val="af7"/>
          </w:rPr>
          <w:t>CEDAW/C/LTU/Q/7</w:t>
        </w:r>
      </w:hyperlink>
      <w:r w:rsidRPr="00D56F5B">
        <w:t>号文件，立陶宛的答复载于</w:t>
      </w:r>
      <w:hyperlink r:id="rId24" w:history="1">
        <w:r w:rsidRPr="00D56F5B">
          <w:rPr>
            <w:rStyle w:val="af7"/>
          </w:rPr>
          <w:t>CEDAW/C/LTU/RQ/7</w:t>
        </w:r>
      </w:hyperlink>
      <w:r w:rsidRPr="00D56F5B">
        <w:t>号文件。</w:t>
      </w:r>
      <w:r w:rsidR="00507899" w:rsidRPr="00D56F5B">
        <w:t xml:space="preserve"> </w:t>
      </w:r>
    </w:p>
    <w:p w14:paraId="164E21E9" w14:textId="77777777" w:rsidR="00D56F5B" w:rsidRPr="00D56F5B" w:rsidRDefault="00D56F5B" w:rsidP="00D56F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t>A.</w:t>
      </w:r>
      <w:r w:rsidRPr="00D56F5B">
        <w:tab/>
      </w:r>
      <w:r w:rsidRPr="00D56F5B">
        <w:t>导言</w:t>
      </w:r>
    </w:p>
    <w:p w14:paraId="4E77A217" w14:textId="77777777" w:rsidR="00D56F5B" w:rsidRPr="00D56F5B" w:rsidRDefault="00D56F5B" w:rsidP="00D56F5B">
      <w:pPr>
        <w:pStyle w:val="SingleTxt"/>
      </w:pPr>
      <w:r w:rsidRPr="00D56F5B">
        <w:t>2.</w:t>
      </w:r>
      <w:r w:rsidRPr="00D56F5B">
        <w:tab/>
      </w:r>
      <w:r w:rsidRPr="00D56F5B">
        <w:t>委员会感谢缔约国提交第七次定期报告。委员会还感谢缔约国对会前工作组提出的议题和问题清单作出书面答复。委员会欢迎该国代表团在对话期间进行口头介绍并对委员会口头提问作出进一步说明。</w:t>
      </w:r>
    </w:p>
    <w:p w14:paraId="5E9219E8" w14:textId="77777777" w:rsidR="00D56F5B" w:rsidRPr="00D56F5B" w:rsidRDefault="00D56F5B" w:rsidP="00D56F5B">
      <w:pPr>
        <w:pStyle w:val="SingleTxt"/>
      </w:pPr>
      <w:r w:rsidRPr="00D56F5B">
        <w:t>3.</w:t>
      </w:r>
      <w:r w:rsidRPr="00D56F5B">
        <w:tab/>
      </w:r>
      <w:r w:rsidRPr="00D56F5B">
        <w:t>委员会赞扬缔约国派出由社会保障与劳动部副部长</w:t>
      </w:r>
      <w:r w:rsidRPr="00D56F5B">
        <w:t>Rita Grigalienė</w:t>
      </w:r>
      <w:r w:rsidRPr="00D56F5B">
        <w:t>率领的杰出代表团。代表团成员还包括议会人权委员会主席以及社会保障与劳动部、外交部、司法部、内政部、卫生部、经济与创新部、农业部、教育、科学和体育部、总检察长办公室、国家法院管理局、少数民族事务部、国家数据局、警察局、国家儿童权利保护和收养服务局、接待和融合事务署</w:t>
      </w:r>
      <w:r w:rsidRPr="00D56F5B">
        <w:rPr>
          <w:rFonts w:hint="eastAsia"/>
        </w:rPr>
        <w:t>、</w:t>
      </w:r>
      <w:r w:rsidRPr="00D56F5B">
        <w:t>国家边防局以及立陶宛常驻联合国日内瓦办事处和其他国际组织代表团的代表。</w:t>
      </w:r>
    </w:p>
    <w:p w14:paraId="25F8B30C" w14:textId="77777777" w:rsidR="00D56F5B" w:rsidRPr="00D56F5B" w:rsidRDefault="00D56F5B" w:rsidP="00D56F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t>B.</w:t>
      </w:r>
      <w:r w:rsidRPr="00D56F5B">
        <w:tab/>
      </w:r>
      <w:r w:rsidRPr="00D56F5B">
        <w:t>积极方面</w:t>
      </w:r>
    </w:p>
    <w:p w14:paraId="50F99E10" w14:textId="66D7933E" w:rsidR="00D56F5B" w:rsidRPr="00D56F5B" w:rsidRDefault="00D56F5B" w:rsidP="00D56F5B">
      <w:pPr>
        <w:pStyle w:val="SingleTxt"/>
      </w:pPr>
      <w:r w:rsidRPr="00D56F5B">
        <w:t>4.</w:t>
      </w:r>
      <w:r w:rsidRPr="00D56F5B">
        <w:tab/>
      </w:r>
      <w:r w:rsidRPr="00D56F5B">
        <w:t>委员会欢迎自</w:t>
      </w:r>
      <w:r w:rsidRPr="00D56F5B">
        <w:t>2019</w:t>
      </w:r>
      <w:r w:rsidRPr="00D56F5B">
        <w:t>年审议缔约国</w:t>
      </w:r>
      <w:r w:rsidRPr="00D56F5B">
        <w:rPr>
          <w:rFonts w:hint="eastAsia"/>
        </w:rPr>
        <w:t>前一份</w:t>
      </w:r>
      <w:r w:rsidRPr="00D56F5B">
        <w:t>定期报告</w:t>
      </w:r>
      <w:r w:rsidRPr="00D56F5B">
        <w:t>(</w:t>
      </w:r>
      <w:hyperlink r:id="rId25" w:history="1">
        <w:r w:rsidRPr="00D56F5B">
          <w:rPr>
            <w:rStyle w:val="af7"/>
          </w:rPr>
          <w:t>CEDAW/C/LTU/6</w:t>
        </w:r>
      </w:hyperlink>
      <w:r w:rsidRPr="00D56F5B">
        <w:t>)</w:t>
      </w:r>
      <w:r w:rsidRPr="00D56F5B">
        <w:t>以来在进行立法改革方面取得的进展，特别是通过了：</w:t>
      </w:r>
      <w:r w:rsidR="00507899" w:rsidRPr="00D56F5B">
        <w:t xml:space="preserve"> </w:t>
      </w:r>
    </w:p>
    <w:p w14:paraId="1331A953" w14:textId="588E13C2" w:rsidR="00D56F5B" w:rsidRPr="00D56F5B" w:rsidRDefault="00D56F5B" w:rsidP="00D56F5B">
      <w:pPr>
        <w:pStyle w:val="SingleTxt"/>
      </w:pPr>
      <w:r>
        <w:tab/>
      </w:r>
      <w:r w:rsidRPr="00D56F5B">
        <w:t>(a)</w:t>
      </w:r>
      <w:r w:rsidRPr="00D56F5B">
        <w:tab/>
        <w:t>2022</w:t>
      </w:r>
      <w:r w:rsidRPr="00D56F5B">
        <w:t>年《平等机会法》修正案，其中引入关于性骚扰的法律规范，并规定雇主有义务在工作场所和公务员体系中落实平等机会；</w:t>
      </w:r>
    </w:p>
    <w:p w14:paraId="7339A300" w14:textId="5D98D38A" w:rsidR="00D56F5B" w:rsidRPr="00D56F5B" w:rsidRDefault="00D56F5B" w:rsidP="00D56F5B">
      <w:pPr>
        <w:pStyle w:val="SingleTxt"/>
      </w:pPr>
      <w:r>
        <w:lastRenderedPageBreak/>
        <w:tab/>
      </w:r>
      <w:r w:rsidRPr="00D56F5B">
        <w:t>(b)</w:t>
      </w:r>
      <w:r w:rsidRPr="00D56F5B">
        <w:tab/>
        <w:t>2022</w:t>
      </w:r>
      <w:r w:rsidRPr="00D56F5B">
        <w:t>年《劳动法》修正案，旨在促进工作与家庭责任的协调，支持父母、有健康问题的个人以及</w:t>
      </w:r>
      <w:r w:rsidRPr="00D56F5B">
        <w:rPr>
          <w:rFonts w:hint="eastAsia"/>
        </w:rPr>
        <w:t>正在</w:t>
      </w:r>
      <w:r w:rsidRPr="00D56F5B">
        <w:t>护理或照料家庭成员或同住者的</w:t>
      </w:r>
      <w:r w:rsidRPr="00D56F5B">
        <w:rPr>
          <w:rFonts w:hint="eastAsia"/>
        </w:rPr>
        <w:t>个人</w:t>
      </w:r>
      <w:r w:rsidRPr="00D56F5B">
        <w:t>参与劳动力市场；</w:t>
      </w:r>
    </w:p>
    <w:p w14:paraId="052F2CA4" w14:textId="4AF83BB6" w:rsidR="00D56F5B" w:rsidRPr="00D56F5B" w:rsidRDefault="00D56F5B" w:rsidP="00D56F5B">
      <w:pPr>
        <w:pStyle w:val="SingleTxt"/>
      </w:pPr>
      <w:r>
        <w:tab/>
      </w:r>
      <w:r w:rsidRPr="00D56F5B">
        <w:t>(c)</w:t>
      </w:r>
      <w:r w:rsidRPr="00D56F5B">
        <w:tab/>
        <w:t>2023</w:t>
      </w:r>
      <w:r w:rsidRPr="00D56F5B">
        <w:t>年《紧急禁止令》；</w:t>
      </w:r>
    </w:p>
    <w:p w14:paraId="7DD049F2" w14:textId="30178225" w:rsidR="00D56F5B" w:rsidRPr="00D56F5B" w:rsidRDefault="00D56F5B" w:rsidP="00D56F5B">
      <w:pPr>
        <w:pStyle w:val="SingleTxt"/>
      </w:pPr>
      <w:r>
        <w:tab/>
      </w:r>
      <w:r w:rsidRPr="00D56F5B">
        <w:t>(d)</w:t>
      </w:r>
      <w:r w:rsidRPr="00D56F5B">
        <w:tab/>
        <w:t>2023</w:t>
      </w:r>
      <w:r w:rsidRPr="00D56F5B">
        <w:t>年经修订的</w:t>
      </w:r>
      <w:r w:rsidRPr="00D56F5B">
        <w:rPr>
          <w:rFonts w:hint="eastAsia"/>
        </w:rPr>
        <w:t>《</w:t>
      </w:r>
      <w:r w:rsidRPr="00D56F5B">
        <w:t>家庭暴力受害者援助法</w:t>
      </w:r>
      <w:r w:rsidRPr="00D56F5B">
        <w:rPr>
          <w:rFonts w:hint="eastAsia"/>
        </w:rPr>
        <w:t>》</w:t>
      </w:r>
      <w:r w:rsidRPr="00D56F5B">
        <w:t>，该法通过设立专门的综合援助中心建立国家支助框架；</w:t>
      </w:r>
    </w:p>
    <w:p w14:paraId="3AB1B5DC" w14:textId="07901BF5" w:rsidR="00D56F5B" w:rsidRPr="00D56F5B" w:rsidRDefault="00D56F5B" w:rsidP="00D56F5B">
      <w:pPr>
        <w:pStyle w:val="SingleTxt"/>
      </w:pPr>
      <w:r>
        <w:tab/>
      </w:r>
      <w:r w:rsidRPr="00D56F5B">
        <w:t>(e)</w:t>
      </w:r>
      <w:r w:rsidRPr="00D56F5B">
        <w:tab/>
        <w:t>2020</w:t>
      </w:r>
      <w:r w:rsidRPr="00D56F5B">
        <w:t>年第</w:t>
      </w:r>
      <w:r w:rsidRPr="00D56F5B">
        <w:t>XIV-123</w:t>
      </w:r>
      <w:r w:rsidRPr="00D56F5B">
        <w:t>号法律，规定国家社会保险基金委员会</w:t>
      </w:r>
      <w:r w:rsidR="00830A2C">
        <w:t>(</w:t>
      </w:r>
      <w:r w:rsidRPr="00D56F5B">
        <w:t>Sodra</w:t>
      </w:r>
      <w:r w:rsidR="00830A2C">
        <w:t>)</w:t>
      </w:r>
      <w:r w:rsidRPr="00D56F5B">
        <w:t>须公布按性别分列的平均工资。</w:t>
      </w:r>
    </w:p>
    <w:p w14:paraId="6C1B8547" w14:textId="77777777" w:rsidR="00D56F5B" w:rsidRPr="00D56F5B" w:rsidRDefault="00D56F5B" w:rsidP="00D56F5B">
      <w:pPr>
        <w:pStyle w:val="SingleTxt"/>
      </w:pPr>
      <w:r w:rsidRPr="00D56F5B">
        <w:t>5.</w:t>
      </w:r>
      <w:r w:rsidRPr="00D56F5B">
        <w:tab/>
      </w:r>
      <w:r w:rsidRPr="00D56F5B">
        <w:t>委员会欢迎缔约国努力改进体制和政策框架，以加快消除对妇女的歧视，促进性别平等，例如通过了以下</w:t>
      </w:r>
      <w:r w:rsidRPr="00D56F5B">
        <w:rPr>
          <w:rFonts w:hint="eastAsia"/>
        </w:rPr>
        <w:t>计划</w:t>
      </w:r>
      <w:r w:rsidRPr="00D56F5B">
        <w:t>：</w:t>
      </w:r>
    </w:p>
    <w:p w14:paraId="76D4D4B3" w14:textId="45A0F0EF" w:rsidR="00D56F5B" w:rsidRPr="00D56F5B" w:rsidRDefault="00D56F5B" w:rsidP="00D56F5B">
      <w:pPr>
        <w:pStyle w:val="SingleTxt"/>
      </w:pPr>
      <w:r>
        <w:tab/>
      </w:r>
      <w:r w:rsidRPr="00D56F5B">
        <w:t>(a)</w:t>
      </w:r>
      <w:r w:rsidRPr="00D56F5B">
        <w:tab/>
        <w:t>2</w:t>
      </w:r>
      <w:r w:rsidRPr="000707B8">
        <w:rPr>
          <w:spacing w:val="-4"/>
        </w:rPr>
        <w:t>020-2024</w:t>
      </w:r>
      <w:r w:rsidRPr="000707B8">
        <w:rPr>
          <w:spacing w:val="-4"/>
        </w:rPr>
        <w:t>年和</w:t>
      </w:r>
      <w:r w:rsidRPr="000707B8">
        <w:rPr>
          <w:spacing w:val="-4"/>
        </w:rPr>
        <w:t>2025-2029</w:t>
      </w:r>
      <w:r w:rsidRPr="000707B8">
        <w:rPr>
          <w:spacing w:val="-4"/>
        </w:rPr>
        <w:t>年执行妇女与和平与安全议程国家行动计划；</w:t>
      </w:r>
    </w:p>
    <w:p w14:paraId="5DF0C40C" w14:textId="4A47DBB6" w:rsidR="00D56F5B" w:rsidRPr="00D56F5B" w:rsidRDefault="00D56F5B" w:rsidP="00D56F5B">
      <w:pPr>
        <w:pStyle w:val="SingleTxt"/>
      </w:pPr>
      <w:r>
        <w:tab/>
      </w:r>
      <w:r w:rsidRPr="00D56F5B">
        <w:t>(b)</w:t>
      </w:r>
      <w:r w:rsidRPr="00D56F5B">
        <w:tab/>
        <w:t>2023-2025</w:t>
      </w:r>
      <w:r w:rsidRPr="00D56F5B">
        <w:t>年男女机会平等行动计划；</w:t>
      </w:r>
    </w:p>
    <w:p w14:paraId="789DE549" w14:textId="41C4BB9F" w:rsidR="00D56F5B" w:rsidRPr="00D56F5B" w:rsidRDefault="00D56F5B" w:rsidP="00D56F5B">
      <w:pPr>
        <w:pStyle w:val="SingleTxt"/>
      </w:pPr>
      <w:r>
        <w:tab/>
      </w:r>
      <w:r w:rsidRPr="00D56F5B">
        <w:t>(c)</w:t>
      </w:r>
      <w:r w:rsidRPr="00D56F5B">
        <w:tab/>
        <w:t>2024-2026</w:t>
      </w:r>
      <w:r w:rsidRPr="00D56F5B">
        <w:t>年机会平等行动计划；</w:t>
      </w:r>
    </w:p>
    <w:p w14:paraId="5C72150F" w14:textId="335E88D2" w:rsidR="00D56F5B" w:rsidRPr="00D56F5B" w:rsidRDefault="00D56F5B" w:rsidP="00D56F5B">
      <w:pPr>
        <w:pStyle w:val="SingleTxt"/>
      </w:pPr>
      <w:r>
        <w:tab/>
      </w:r>
      <w:r w:rsidRPr="00D56F5B">
        <w:t>(d)</w:t>
      </w:r>
      <w:r w:rsidRPr="00D56F5B">
        <w:tab/>
        <w:t>2024-2026</w:t>
      </w:r>
      <w:r w:rsidRPr="00D56F5B">
        <w:t>年预防家庭暴力及援助受害者行动计划；</w:t>
      </w:r>
    </w:p>
    <w:p w14:paraId="1F9EBDE3" w14:textId="4CB3B3C2" w:rsidR="00D56F5B" w:rsidRPr="00D56F5B" w:rsidRDefault="00D56F5B" w:rsidP="00D56F5B">
      <w:pPr>
        <w:pStyle w:val="SingleTxt"/>
      </w:pPr>
      <w:r>
        <w:tab/>
      </w:r>
      <w:r w:rsidRPr="00D56F5B">
        <w:t>(e)</w:t>
      </w:r>
      <w:r w:rsidRPr="00D56F5B">
        <w:tab/>
        <w:t>2024-2026</w:t>
      </w:r>
      <w:r w:rsidRPr="00D56F5B">
        <w:t>年打击人口贩运行动计划。</w:t>
      </w:r>
    </w:p>
    <w:p w14:paraId="27E77459" w14:textId="77777777" w:rsidR="00D56F5B" w:rsidRPr="00D56F5B" w:rsidRDefault="00D56F5B" w:rsidP="00D56F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t>C.</w:t>
      </w:r>
      <w:r w:rsidRPr="00D56F5B">
        <w:tab/>
      </w:r>
      <w:r w:rsidRPr="00D56F5B">
        <w:t>可持续发展目标</w:t>
      </w:r>
    </w:p>
    <w:p w14:paraId="75674DB9" w14:textId="77777777" w:rsidR="00D56F5B" w:rsidRPr="00D56F5B" w:rsidRDefault="00D56F5B" w:rsidP="00D56F5B">
      <w:pPr>
        <w:pStyle w:val="SingleTxt"/>
        <w:rPr>
          <w:rFonts w:asciiTheme="majorBidi" w:eastAsia="黑体" w:hAnsiTheme="majorBidi" w:cstheme="majorBidi"/>
        </w:rPr>
      </w:pPr>
      <w:r w:rsidRPr="00D56F5B">
        <w:t>6.</w:t>
      </w:r>
      <w:r w:rsidRPr="00D56F5B">
        <w:tab/>
      </w:r>
      <w:r w:rsidRPr="00D56F5B">
        <w:rPr>
          <w:rFonts w:asciiTheme="majorBidi" w:eastAsia="黑体" w:hAnsiTheme="majorBidi" w:cstheme="majorBidi"/>
        </w:rPr>
        <w:t>委员会欢迎国际社会对可持续发展目标的支持，并呼吁在执行《</w:t>
      </w:r>
      <w:r w:rsidRPr="00D56F5B">
        <w:rPr>
          <w:rFonts w:asciiTheme="majorBidi" w:eastAsia="黑体" w:hAnsiTheme="majorBidi" w:cstheme="majorBidi"/>
        </w:rPr>
        <w:t>2030</w:t>
      </w:r>
      <w:r w:rsidRPr="00D56F5B">
        <w:rPr>
          <w:rFonts w:asciiTheme="majorBidi" w:eastAsia="黑体" w:hAnsiTheme="majorBidi" w:cstheme="majorBidi"/>
        </w:rPr>
        <w:t>年可持续发展议程》的整个进程中，根据《公约》条款实现法律上</w:t>
      </w:r>
      <w:r w:rsidRPr="00D56F5B">
        <w:rPr>
          <w:rFonts w:asciiTheme="majorBidi" w:eastAsia="黑体" w:hAnsiTheme="majorBidi" w:cstheme="majorBidi"/>
        </w:rPr>
        <w:t>(</w:t>
      </w:r>
      <w:r w:rsidRPr="00D56F5B">
        <w:rPr>
          <w:rFonts w:asciiTheme="majorBidi" w:eastAsia="黑体" w:hAnsiTheme="majorBidi" w:cstheme="majorBidi"/>
        </w:rPr>
        <w:t>依法</w:t>
      </w:r>
      <w:r w:rsidRPr="00D56F5B">
        <w:rPr>
          <w:rFonts w:asciiTheme="majorBidi" w:eastAsia="黑体" w:hAnsiTheme="majorBidi" w:cstheme="majorBidi"/>
        </w:rPr>
        <w:t>)</w:t>
      </w:r>
      <w:r w:rsidRPr="00D56F5B">
        <w:rPr>
          <w:rFonts w:asciiTheme="majorBidi" w:eastAsia="黑体" w:hAnsiTheme="majorBidi" w:cstheme="majorBidi"/>
        </w:rPr>
        <w:t>和事实上</w:t>
      </w:r>
      <w:r w:rsidRPr="00D56F5B">
        <w:rPr>
          <w:rFonts w:asciiTheme="majorBidi" w:eastAsia="黑体" w:hAnsiTheme="majorBidi" w:cstheme="majorBidi"/>
        </w:rPr>
        <w:t>(</w:t>
      </w:r>
      <w:r w:rsidRPr="00D56F5B">
        <w:rPr>
          <w:rFonts w:asciiTheme="majorBidi" w:eastAsia="黑体" w:hAnsiTheme="majorBidi" w:cstheme="majorBidi"/>
        </w:rPr>
        <w:t>实质性</w:t>
      </w:r>
      <w:r w:rsidRPr="00D56F5B">
        <w:rPr>
          <w:rFonts w:asciiTheme="majorBidi" w:eastAsia="黑体" w:hAnsiTheme="majorBidi" w:cstheme="majorBidi"/>
        </w:rPr>
        <w:t>)</w:t>
      </w:r>
      <w:r w:rsidRPr="00D56F5B">
        <w:rPr>
          <w:rFonts w:asciiTheme="majorBidi" w:eastAsia="黑体" w:hAnsiTheme="majorBidi" w:cstheme="majorBidi"/>
        </w:rPr>
        <w:t>的性别平等。委员会回顾目标</w:t>
      </w:r>
      <w:r w:rsidRPr="00D56F5B">
        <w:rPr>
          <w:rFonts w:asciiTheme="majorBidi" w:eastAsia="黑体" w:hAnsiTheme="majorBidi" w:cstheme="majorBidi"/>
        </w:rPr>
        <w:t>5</w:t>
      </w:r>
      <w:r w:rsidRPr="00D56F5B">
        <w:rPr>
          <w:rFonts w:asciiTheme="majorBidi" w:eastAsia="黑体" w:hAnsiTheme="majorBidi" w:cstheme="majorBidi"/>
        </w:rPr>
        <w:t>的重要性，以及将平等和不歧视原则纳入所有</w:t>
      </w:r>
      <w:r w:rsidRPr="00D56F5B">
        <w:rPr>
          <w:rFonts w:asciiTheme="majorBidi" w:eastAsia="黑体" w:hAnsiTheme="majorBidi" w:cstheme="majorBidi"/>
        </w:rPr>
        <w:t>17</w:t>
      </w:r>
      <w:r w:rsidRPr="00D56F5B">
        <w:rPr>
          <w:rFonts w:asciiTheme="majorBidi" w:eastAsia="黑体" w:hAnsiTheme="majorBidi" w:cstheme="majorBidi"/>
        </w:rPr>
        <w:t>项目标主流的重要性。委员会敦促缔约国承认妇女是缔约国可持续发展的推动力量，并为此采取相关政策和战略。</w:t>
      </w:r>
    </w:p>
    <w:p w14:paraId="171DB8C8" w14:textId="77777777" w:rsidR="00D56F5B" w:rsidRPr="00D56F5B" w:rsidRDefault="00D56F5B" w:rsidP="00D56F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t>D.</w:t>
      </w:r>
      <w:r w:rsidRPr="00D56F5B">
        <w:tab/>
      </w:r>
      <w:r w:rsidRPr="00D56F5B">
        <w:t>议会</w:t>
      </w:r>
    </w:p>
    <w:p w14:paraId="6A468CD2" w14:textId="540449E1" w:rsidR="00D56F5B" w:rsidRPr="00D56F5B" w:rsidRDefault="00D56F5B" w:rsidP="00D56F5B">
      <w:pPr>
        <w:pStyle w:val="SingleTxt"/>
      </w:pPr>
      <w:r w:rsidRPr="00D56F5B">
        <w:t>7.</w:t>
      </w:r>
      <w:r w:rsidRPr="00D56F5B">
        <w:tab/>
      </w:r>
      <w:r w:rsidRPr="00D56F5B">
        <w:rPr>
          <w:rFonts w:asciiTheme="majorBidi" w:eastAsia="黑体" w:hAnsiTheme="majorBidi" w:cstheme="majorBidi"/>
          <w:spacing w:val="-6"/>
        </w:rPr>
        <w:t>委员会强调立法权在确保《公约》得到充分执行方面的关键作用</w:t>
      </w:r>
      <w:r w:rsidRPr="00D56F5B">
        <w:rPr>
          <w:rFonts w:asciiTheme="majorBidi" w:eastAsia="黑体" w:hAnsiTheme="majorBidi" w:cstheme="majorBidi"/>
          <w:spacing w:val="-6"/>
        </w:rPr>
        <w:t>(</w:t>
      </w:r>
      <w:r w:rsidRPr="00D56F5B">
        <w:rPr>
          <w:rFonts w:asciiTheme="majorBidi" w:eastAsia="黑体" w:hAnsiTheme="majorBidi" w:cstheme="majorBidi"/>
          <w:spacing w:val="-6"/>
        </w:rPr>
        <w:t>见</w:t>
      </w:r>
      <w:hyperlink r:id="rId26" w:history="1">
        <w:r w:rsidRPr="00D56F5B">
          <w:rPr>
            <w:rStyle w:val="af7"/>
            <w:rFonts w:asciiTheme="majorBidi" w:eastAsia="黑体" w:hAnsiTheme="majorBidi" w:cstheme="majorBidi"/>
            <w:spacing w:val="-6"/>
          </w:rPr>
          <w:t>A/65/38</w:t>
        </w:r>
      </w:hyperlink>
      <w:r w:rsidRPr="00D56F5B">
        <w:rPr>
          <w:rFonts w:asciiTheme="majorBidi" w:eastAsia="黑体" w:hAnsiTheme="majorBidi" w:cstheme="majorBidi"/>
          <w:spacing w:val="-6"/>
        </w:rPr>
        <w:t>，</w:t>
      </w:r>
      <w:r w:rsidRPr="00D56F5B">
        <w:rPr>
          <w:rFonts w:asciiTheme="majorBidi" w:eastAsia="黑体" w:hAnsiTheme="majorBidi" w:cstheme="majorBidi"/>
        </w:rPr>
        <w:t>第二部分，附件六</w:t>
      </w:r>
      <w:r w:rsidRPr="00D56F5B">
        <w:rPr>
          <w:rFonts w:asciiTheme="majorBidi" w:eastAsia="黑体" w:hAnsiTheme="majorBidi" w:cstheme="majorBidi"/>
        </w:rPr>
        <w:t>)</w:t>
      </w:r>
      <w:r w:rsidRPr="00D56F5B">
        <w:rPr>
          <w:rFonts w:asciiTheme="majorBidi" w:eastAsia="黑体" w:hAnsiTheme="majorBidi" w:cstheme="majorBidi"/>
        </w:rPr>
        <w:t>。委员会请议会根据任务授权，从现在起到根据《公约》提交下一次定期报告期间，采取必要步骤落实本结论性意见。</w:t>
      </w:r>
    </w:p>
    <w:p w14:paraId="2F954F06" w14:textId="77777777" w:rsidR="00D56F5B" w:rsidRPr="00D56F5B" w:rsidRDefault="00D56F5B" w:rsidP="00D56F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t>E.</w:t>
      </w:r>
      <w:r w:rsidRPr="00D56F5B">
        <w:tab/>
      </w:r>
      <w:r w:rsidRPr="00D56F5B">
        <w:t>主要关心领域和建议</w:t>
      </w:r>
    </w:p>
    <w:p w14:paraId="0E0560E4"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rPr>
          <w:b/>
        </w:rPr>
        <w:tab/>
      </w:r>
      <w:r w:rsidRPr="00D56F5B">
        <w:rPr>
          <w:b/>
        </w:rPr>
        <w:tab/>
      </w:r>
      <w:r w:rsidRPr="00D56F5B">
        <w:t>《公约》及其《任择议定书》和委员会一般性建议的可见度</w:t>
      </w:r>
    </w:p>
    <w:p w14:paraId="7F62B7C8" w14:textId="77777777" w:rsidR="00D56F5B" w:rsidRPr="00D56F5B" w:rsidRDefault="00D56F5B" w:rsidP="00D56F5B">
      <w:pPr>
        <w:pStyle w:val="SingleTxt"/>
      </w:pPr>
      <w:r w:rsidRPr="00D56F5B">
        <w:t>8.</w:t>
      </w:r>
      <w:r w:rsidRPr="00D56F5B">
        <w:tab/>
      </w:r>
      <w:r w:rsidRPr="00D56F5B">
        <w:t>委员会欢迎缔约国通过了</w:t>
      </w:r>
      <w:r w:rsidRPr="00D56F5B">
        <w:t>2021-2023</w:t>
      </w:r>
      <w:r w:rsidRPr="00D56F5B">
        <w:t>年行动计划，以落实关于其第六次定期报告的结论性意见，并注意到为实施该计划所采取的措施。然而，委员会感到关切的是，该行动计划缺乏具体、可衡量的指标，无法有效监测进展并评估影响。委员会还关切地注意到：</w:t>
      </w:r>
    </w:p>
    <w:p w14:paraId="09317343" w14:textId="4E8589FC" w:rsidR="00D56F5B" w:rsidRPr="00D56F5B" w:rsidRDefault="00830A2C" w:rsidP="00D56F5B">
      <w:pPr>
        <w:pStyle w:val="SingleTxt"/>
        <w:rPr>
          <w:spacing w:val="8"/>
        </w:rPr>
      </w:pPr>
      <w:r w:rsidRPr="00830A2C">
        <w:rPr>
          <w:spacing w:val="8"/>
        </w:rPr>
        <w:tab/>
      </w:r>
      <w:r w:rsidR="00D56F5B" w:rsidRPr="00D56F5B">
        <w:rPr>
          <w:spacing w:val="8"/>
        </w:rPr>
        <w:t>(a)</w:t>
      </w:r>
      <w:r w:rsidR="00D56F5B" w:rsidRPr="00D56F5B">
        <w:rPr>
          <w:spacing w:val="8"/>
        </w:rPr>
        <w:tab/>
      </w:r>
      <w:r w:rsidR="00D56F5B" w:rsidRPr="00D56F5B">
        <w:rPr>
          <w:spacing w:val="8"/>
        </w:rPr>
        <w:t>关于</w:t>
      </w:r>
      <w:r w:rsidR="00D56F5B" w:rsidRPr="00D56F5B">
        <w:rPr>
          <w:rFonts w:hint="eastAsia"/>
          <w:spacing w:val="8"/>
        </w:rPr>
        <w:t>国家</w:t>
      </w:r>
      <w:r w:rsidR="00D56F5B" w:rsidRPr="00D56F5B">
        <w:rPr>
          <w:spacing w:val="8"/>
        </w:rPr>
        <w:t>法院提及和</w:t>
      </w:r>
      <w:r w:rsidRPr="00830A2C">
        <w:rPr>
          <w:spacing w:val="8"/>
        </w:rPr>
        <w:t>(</w:t>
      </w:r>
      <w:r w:rsidR="00D56F5B" w:rsidRPr="00D56F5B">
        <w:rPr>
          <w:spacing w:val="8"/>
        </w:rPr>
        <w:t>或</w:t>
      </w:r>
      <w:r w:rsidRPr="00830A2C">
        <w:rPr>
          <w:spacing w:val="8"/>
        </w:rPr>
        <w:t>)</w:t>
      </w:r>
      <w:r w:rsidR="00D56F5B" w:rsidRPr="00D56F5B">
        <w:rPr>
          <w:spacing w:val="8"/>
        </w:rPr>
        <w:t>直接援引《公约》的案件，相关数据的收集有限；</w:t>
      </w:r>
    </w:p>
    <w:p w14:paraId="491F91B4" w14:textId="6CB87CDD" w:rsidR="00D56F5B" w:rsidRPr="00D56F5B" w:rsidRDefault="00830A2C" w:rsidP="00D56F5B">
      <w:pPr>
        <w:pStyle w:val="SingleTxt"/>
      </w:pPr>
      <w:r>
        <w:tab/>
      </w:r>
      <w:r w:rsidR="00D56F5B" w:rsidRPr="00D56F5B">
        <w:t>(b)</w:t>
      </w:r>
      <w:r w:rsidR="00D56F5B" w:rsidRPr="00D56F5B">
        <w:tab/>
      </w:r>
      <w:r w:rsidR="00D56F5B" w:rsidRPr="00D56F5B">
        <w:t>缺乏面向妇女和女童的提高认识活动，以帮助她们了解根据《公约》享有的权利和可用于主张这些权利的补救方法；</w:t>
      </w:r>
    </w:p>
    <w:p w14:paraId="5B25815A" w14:textId="7C9B18E0" w:rsidR="00D56F5B" w:rsidRPr="00D56F5B" w:rsidRDefault="00830A2C" w:rsidP="00D56F5B">
      <w:pPr>
        <w:pStyle w:val="SingleTxt"/>
      </w:pPr>
      <w:r>
        <w:tab/>
      </w:r>
      <w:r w:rsidR="00D56F5B" w:rsidRPr="00D56F5B">
        <w:t>(c)</w:t>
      </w:r>
      <w:r w:rsidR="00D56F5B" w:rsidRPr="00D56F5B">
        <w:tab/>
      </w:r>
      <w:r w:rsidR="00D56F5B" w:rsidRPr="00D56F5B">
        <w:t>《公约》及其《任择议定书》和委员会一般性建议未能充分纳入针对法官、检察官和执法人员的培训方案。</w:t>
      </w:r>
    </w:p>
    <w:p w14:paraId="48E0472A" w14:textId="77777777" w:rsidR="00D56F5B" w:rsidRPr="00D56F5B" w:rsidRDefault="00D56F5B" w:rsidP="00D56F5B">
      <w:pPr>
        <w:pStyle w:val="SingleTxt"/>
      </w:pPr>
      <w:r w:rsidRPr="00D56F5B">
        <w:t>9.</w:t>
      </w:r>
      <w:r w:rsidRPr="00D56F5B">
        <w:tab/>
      </w:r>
      <w:r w:rsidRPr="00D56F5B">
        <w:rPr>
          <w:rFonts w:asciiTheme="majorBidi" w:eastAsia="黑体" w:hAnsiTheme="majorBidi" w:cstheme="majorBidi"/>
        </w:rPr>
        <w:t>委员会建议缔约国：</w:t>
      </w:r>
    </w:p>
    <w:p w14:paraId="5F16FE8E" w14:textId="65164D79" w:rsidR="00D56F5B" w:rsidRPr="00D56F5B" w:rsidRDefault="00830A2C" w:rsidP="00D56F5B">
      <w:pPr>
        <w:pStyle w:val="SingleTxt"/>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通过一项新的行动计划，以落实本结论性意见，该计划应包含明确、有时限且可衡量的指标，以及完善的协调和监测框架；</w:t>
      </w:r>
    </w:p>
    <w:p w14:paraId="103087CC" w14:textId="23A6FDCA" w:rsidR="00D56F5B" w:rsidRPr="00D56F5B" w:rsidRDefault="00830A2C" w:rsidP="00D56F5B">
      <w:pPr>
        <w:pStyle w:val="SingleTxt"/>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b)</w:t>
      </w:r>
      <w:r w:rsidR="00D56F5B" w:rsidRPr="00D56F5B">
        <w:tab/>
      </w:r>
      <w:r w:rsidR="00D56F5B" w:rsidRPr="00D56F5B">
        <w:rPr>
          <w:rFonts w:asciiTheme="majorBidi" w:eastAsia="黑体" w:hAnsiTheme="majorBidi" w:cstheme="majorBidi"/>
        </w:rPr>
        <w:t>在立陶宛法院信息系统</w:t>
      </w:r>
      <w:r>
        <w:rPr>
          <w:rFonts w:asciiTheme="majorBidi" w:eastAsia="黑体" w:hAnsiTheme="majorBidi" w:cstheme="majorBidi"/>
        </w:rPr>
        <w:t>(</w:t>
      </w:r>
      <w:r w:rsidR="00D56F5B" w:rsidRPr="00D56F5B">
        <w:rPr>
          <w:rFonts w:asciiTheme="majorBidi" w:eastAsia="黑体" w:hAnsiTheme="majorBidi" w:cstheme="majorBidi"/>
        </w:rPr>
        <w:t>LITEKO</w:t>
      </w:r>
      <w:r>
        <w:rPr>
          <w:rFonts w:asciiTheme="majorBidi" w:eastAsia="黑体" w:hAnsiTheme="majorBidi" w:cstheme="majorBidi"/>
        </w:rPr>
        <w:t>)</w:t>
      </w:r>
      <w:r w:rsidR="00D56F5B" w:rsidRPr="00D56F5B">
        <w:rPr>
          <w:rFonts w:asciiTheme="majorBidi" w:eastAsia="黑体" w:hAnsiTheme="majorBidi" w:cstheme="majorBidi"/>
        </w:rPr>
        <w:t>中引入特定编码，以便系统收集并公布提及或直接援引《公约》的法院判例相关数据；</w:t>
      </w:r>
    </w:p>
    <w:p w14:paraId="30D65A67" w14:textId="5862F843" w:rsidR="00D56F5B" w:rsidRPr="00D56F5B" w:rsidRDefault="00830A2C" w:rsidP="00D56F5B">
      <w:pPr>
        <w:pStyle w:val="SingleTxt"/>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c)</w:t>
      </w:r>
      <w:r w:rsidR="00D56F5B" w:rsidRPr="00D56F5B">
        <w:tab/>
      </w:r>
      <w:r w:rsidR="00D56F5B" w:rsidRPr="00D56F5B">
        <w:rPr>
          <w:rFonts w:asciiTheme="majorBidi" w:eastAsia="黑体" w:hAnsiTheme="majorBidi" w:cstheme="majorBidi"/>
        </w:rPr>
        <w:t>提高妇女和女童的认识，帮助她们了解根据《公约》所享有的权利以及在国内和根据《任择议定书》主张这些权利时可用的法律补救方法；</w:t>
      </w:r>
    </w:p>
    <w:p w14:paraId="03E50750" w14:textId="67DAFFEC" w:rsidR="00D56F5B" w:rsidRPr="00D56F5B" w:rsidRDefault="00830A2C" w:rsidP="00D56F5B">
      <w:pPr>
        <w:pStyle w:val="SingleTxt"/>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d)</w:t>
      </w:r>
      <w:r w:rsidR="00D56F5B" w:rsidRPr="00D56F5B">
        <w:tab/>
      </w:r>
      <w:r w:rsidR="00D56F5B" w:rsidRPr="00A621C6">
        <w:rPr>
          <w:rFonts w:asciiTheme="majorBidi" w:eastAsia="黑体" w:hAnsiTheme="majorBidi" w:cstheme="majorBidi"/>
          <w:spacing w:val="-6"/>
        </w:rPr>
        <w:t>确保将《公约》、委员会依据《任择议定书》所作判例及其一般性建议，</w:t>
      </w:r>
      <w:r w:rsidR="00D56F5B" w:rsidRPr="00D56F5B">
        <w:rPr>
          <w:rFonts w:asciiTheme="majorBidi" w:eastAsia="黑体" w:hAnsiTheme="majorBidi" w:cstheme="majorBidi"/>
        </w:rPr>
        <w:t>全面系统地纳入法官、检察官和执法人员的能力建设方案，使其能够在司法和行政诉讼中直接适用或援引《公约》条款，或依据《公约》解释国家法律。</w:t>
      </w:r>
    </w:p>
    <w:p w14:paraId="045635C6"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rPr>
          <w:b/>
        </w:rPr>
        <w:tab/>
      </w:r>
      <w:r w:rsidRPr="00D56F5B">
        <w:rPr>
          <w:b/>
        </w:rPr>
        <w:tab/>
      </w:r>
      <w:r w:rsidRPr="00D56F5B">
        <w:t>宪法和立法框架以及歧视妇女的定义</w:t>
      </w:r>
    </w:p>
    <w:p w14:paraId="7A5998C2" w14:textId="77777777" w:rsidR="00D56F5B" w:rsidRPr="00D56F5B" w:rsidRDefault="00D56F5B" w:rsidP="00D56F5B">
      <w:pPr>
        <w:pStyle w:val="SingleTxt"/>
      </w:pPr>
      <w:r w:rsidRPr="00D56F5B">
        <w:t>10.</w:t>
      </w:r>
      <w:r w:rsidRPr="00D56F5B">
        <w:tab/>
      </w:r>
      <w:r w:rsidRPr="00D56F5B">
        <w:t>委员会注意到《平等机会法》修正案草案引入了对交叉歧视、关联歧视和多方面歧视的定义，以符合</w:t>
      </w:r>
      <w:r w:rsidRPr="00D56F5B">
        <w:rPr>
          <w:rFonts w:hint="eastAsia"/>
        </w:rPr>
        <w:t>欧洲联盟</w:t>
      </w:r>
      <w:r w:rsidRPr="00D56F5B">
        <w:t>标准。然而，委员会仍重申对持续存在</w:t>
      </w:r>
      <w:r w:rsidRPr="00D56F5B">
        <w:rPr>
          <w:rFonts w:hint="eastAsia"/>
        </w:rPr>
        <w:t>的</w:t>
      </w:r>
      <w:r w:rsidRPr="00D56F5B">
        <w:t>立法空白的关切，特别是：</w:t>
      </w:r>
    </w:p>
    <w:p w14:paraId="5A4654A5" w14:textId="37B406F2" w:rsidR="00D56F5B" w:rsidRPr="00D56F5B" w:rsidRDefault="00830A2C" w:rsidP="00D56F5B">
      <w:pPr>
        <w:pStyle w:val="SingleTxt"/>
      </w:pPr>
      <w:r>
        <w:tab/>
      </w:r>
      <w:r w:rsidR="00D56F5B" w:rsidRPr="00D56F5B">
        <w:t>(a)</w:t>
      </w:r>
      <w:r w:rsidR="00D56F5B" w:rsidRPr="00D56F5B">
        <w:tab/>
      </w:r>
      <w:r w:rsidR="00D56F5B" w:rsidRPr="00D56F5B">
        <w:t>缺乏专门禁止针对妇女的交叉形式歧视的</w:t>
      </w:r>
      <w:r w:rsidR="00D56F5B" w:rsidRPr="00D56F5B">
        <w:rPr>
          <w:rFonts w:hint="eastAsia"/>
        </w:rPr>
        <w:t>法律</w:t>
      </w:r>
      <w:r w:rsidR="00D56F5B" w:rsidRPr="00D56F5B">
        <w:t>；</w:t>
      </w:r>
    </w:p>
    <w:p w14:paraId="572A15AE" w14:textId="107B3534" w:rsidR="00D56F5B" w:rsidRPr="00D56F5B" w:rsidRDefault="00830A2C" w:rsidP="00D56F5B">
      <w:pPr>
        <w:pStyle w:val="SingleTxt"/>
      </w:pPr>
      <w:r>
        <w:tab/>
      </w:r>
      <w:r w:rsidR="00D56F5B" w:rsidRPr="00D56F5B">
        <w:t>(b)</w:t>
      </w:r>
      <w:r w:rsidR="00D56F5B" w:rsidRPr="00D56F5B">
        <w:tab/>
      </w:r>
      <w:r w:rsidR="00D56F5B" w:rsidRPr="00D56F5B">
        <w:t>缺乏禁止基于性别重置的歧视的</w:t>
      </w:r>
      <w:r w:rsidR="00D56F5B" w:rsidRPr="00D56F5B">
        <w:rPr>
          <w:rFonts w:hint="eastAsia"/>
        </w:rPr>
        <w:t>法律</w:t>
      </w:r>
      <w:r w:rsidR="00D56F5B" w:rsidRPr="00D56F5B">
        <w:t>。</w:t>
      </w:r>
    </w:p>
    <w:p w14:paraId="048EA8F4" w14:textId="009BD1FD" w:rsidR="00D56F5B" w:rsidRPr="00D56F5B" w:rsidRDefault="00D56F5B" w:rsidP="00D56F5B">
      <w:pPr>
        <w:pStyle w:val="SingleTxt"/>
      </w:pPr>
      <w:r w:rsidRPr="00D56F5B">
        <w:t>11.</w:t>
      </w:r>
      <w:r w:rsidRPr="00D56F5B">
        <w:tab/>
      </w:r>
      <w:r w:rsidRPr="00D56F5B">
        <w:rPr>
          <w:rFonts w:asciiTheme="majorBidi" w:eastAsia="黑体" w:hAnsiTheme="majorBidi" w:cstheme="majorBidi"/>
        </w:rPr>
        <w:t>委员会回顾其先前的结论性意见</w:t>
      </w:r>
      <w:r w:rsidR="00830A2C">
        <w:rPr>
          <w:rFonts w:asciiTheme="majorBidi" w:eastAsia="黑体" w:hAnsiTheme="majorBidi" w:cstheme="majorBidi"/>
        </w:rPr>
        <w:t>(</w:t>
      </w:r>
      <w:hyperlink r:id="rId27" w:history="1">
        <w:r w:rsidRPr="00D56F5B">
          <w:rPr>
            <w:rStyle w:val="af7"/>
            <w:rFonts w:asciiTheme="majorBidi" w:eastAsia="黑体" w:hAnsiTheme="majorBidi" w:cstheme="majorBidi"/>
          </w:rPr>
          <w:t>CEDAW/C/LTU/CO/6</w:t>
        </w:r>
      </w:hyperlink>
      <w:r w:rsidRPr="00D56F5B">
        <w:rPr>
          <w:rFonts w:asciiTheme="majorBidi" w:eastAsia="黑体" w:hAnsiTheme="majorBidi" w:cstheme="majorBidi"/>
        </w:rPr>
        <w:t>，第</w:t>
      </w:r>
      <w:r w:rsidRPr="00D56F5B">
        <w:rPr>
          <w:rFonts w:asciiTheme="majorBidi" w:eastAsia="黑体" w:hAnsiTheme="majorBidi" w:cstheme="majorBidi"/>
        </w:rPr>
        <w:t>11</w:t>
      </w:r>
      <w:r w:rsidRPr="00D56F5B">
        <w:rPr>
          <w:rFonts w:asciiTheme="majorBidi" w:eastAsia="黑体" w:hAnsiTheme="majorBidi" w:cstheme="majorBidi"/>
        </w:rPr>
        <w:t>段</w:t>
      </w:r>
      <w:r w:rsidR="00830A2C">
        <w:rPr>
          <w:rFonts w:asciiTheme="majorBidi" w:eastAsia="黑体" w:hAnsiTheme="majorBidi" w:cstheme="majorBidi"/>
        </w:rPr>
        <w:t>)</w:t>
      </w:r>
      <w:r w:rsidRPr="00D56F5B">
        <w:rPr>
          <w:rFonts w:asciiTheme="majorBidi" w:eastAsia="黑体" w:hAnsiTheme="majorBidi" w:cstheme="majorBidi"/>
        </w:rPr>
        <w:t>，建议缔约国修订其宪法或立法框架，明确禁止交叉形式歧视。委员会还建议缔约国明确承认，以性别重置为由歧视妇女属于性别歧视。</w:t>
      </w:r>
    </w:p>
    <w:p w14:paraId="6FF44BF7"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诉诸司法</w:t>
      </w:r>
    </w:p>
    <w:p w14:paraId="0A132CD5" w14:textId="77777777" w:rsidR="00D56F5B" w:rsidRPr="00D56F5B" w:rsidRDefault="00D56F5B" w:rsidP="00D56F5B">
      <w:pPr>
        <w:pStyle w:val="SingleTxt"/>
      </w:pPr>
      <w:r w:rsidRPr="00D56F5B">
        <w:t>12.</w:t>
      </w:r>
      <w:r w:rsidRPr="00D56F5B">
        <w:tab/>
      </w:r>
      <w:r w:rsidRPr="00D56F5B">
        <w:t>委员会注意到，为法官、警察和公务员提供了关于妇女权利的培训，以改善妇女诉诸司法的机会。然而，委员会仍然关切的是，妇女在各</w:t>
      </w:r>
      <w:r w:rsidRPr="00D56F5B">
        <w:rPr>
          <w:rFonts w:hint="eastAsia"/>
        </w:rPr>
        <w:t>领域</w:t>
      </w:r>
      <w:r w:rsidRPr="00D56F5B">
        <w:t>诉诸司法时仍面临持续障碍，尤其是</w:t>
      </w:r>
      <w:r w:rsidRPr="00D56F5B">
        <w:rPr>
          <w:rFonts w:hint="eastAsia"/>
        </w:rPr>
        <w:t>对于</w:t>
      </w:r>
      <w:r w:rsidRPr="00D56F5B">
        <w:t>边缘化妇女群体</w:t>
      </w:r>
      <w:r w:rsidRPr="00D56F5B">
        <w:rPr>
          <w:rFonts w:hint="eastAsia"/>
        </w:rPr>
        <w:t>而言，特别是</w:t>
      </w:r>
      <w:r w:rsidRPr="00D56F5B">
        <w:t>残疾妇女和女童以及处于监护之下的妇女和女童。</w:t>
      </w:r>
    </w:p>
    <w:p w14:paraId="1CABA2A6" w14:textId="77777777" w:rsidR="00D56F5B" w:rsidRPr="00D56F5B" w:rsidRDefault="00D56F5B" w:rsidP="00D56F5B">
      <w:pPr>
        <w:pStyle w:val="SingleTxt"/>
        <w:rPr>
          <w:rFonts w:asciiTheme="majorBidi" w:eastAsia="黑体" w:hAnsiTheme="majorBidi" w:cstheme="majorBidi"/>
        </w:rPr>
      </w:pPr>
      <w:r w:rsidRPr="00D56F5B">
        <w:t>13.</w:t>
      </w:r>
      <w:r w:rsidRPr="00D56F5B">
        <w:tab/>
      </w:r>
      <w:r w:rsidRPr="00D56F5B">
        <w:rPr>
          <w:rFonts w:asciiTheme="majorBidi" w:eastAsia="黑体" w:hAnsiTheme="majorBidi" w:cstheme="majorBidi"/>
        </w:rPr>
        <w:t>委员会回顾其关于妇女获得司法救助的第</w:t>
      </w:r>
      <w:r w:rsidRPr="00D56F5B">
        <w:rPr>
          <w:rFonts w:asciiTheme="majorBidi" w:eastAsia="黑体" w:hAnsiTheme="majorBidi" w:cstheme="majorBidi"/>
        </w:rPr>
        <w:t>33</w:t>
      </w:r>
      <w:r w:rsidRPr="00D56F5B">
        <w:rPr>
          <w:rFonts w:asciiTheme="majorBidi" w:eastAsia="黑体" w:hAnsiTheme="majorBidi" w:cstheme="majorBidi"/>
        </w:rPr>
        <w:t>号一般性建议</w:t>
      </w:r>
      <w:r w:rsidRPr="00D56F5B">
        <w:rPr>
          <w:rFonts w:asciiTheme="majorBidi" w:eastAsia="黑体" w:hAnsiTheme="majorBidi" w:cstheme="majorBidi"/>
        </w:rPr>
        <w:t>(2015</w:t>
      </w:r>
      <w:r w:rsidRPr="00D56F5B">
        <w:rPr>
          <w:rFonts w:asciiTheme="majorBidi" w:eastAsia="黑体" w:hAnsiTheme="majorBidi" w:cstheme="majorBidi"/>
        </w:rPr>
        <w:t>年</w:t>
      </w:r>
      <w:r w:rsidRPr="00D56F5B">
        <w:rPr>
          <w:rFonts w:asciiTheme="majorBidi" w:eastAsia="黑体" w:hAnsiTheme="majorBidi" w:cstheme="majorBidi"/>
        </w:rPr>
        <w:t>)</w:t>
      </w:r>
      <w:r w:rsidRPr="00D56F5B">
        <w:rPr>
          <w:rFonts w:asciiTheme="majorBidi" w:eastAsia="黑体" w:hAnsiTheme="majorBidi" w:cstheme="majorBidi"/>
        </w:rPr>
        <w:t>，建议缔约国：</w:t>
      </w:r>
    </w:p>
    <w:p w14:paraId="7F8B87C7" w14:textId="21B5C059" w:rsidR="00D56F5B" w:rsidRPr="00D56F5B" w:rsidRDefault="00830A2C" w:rsidP="00D56F5B">
      <w:pPr>
        <w:pStyle w:val="SingleTxt"/>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(a)</w:t>
      </w:r>
      <w:r w:rsidR="00D56F5B" w:rsidRPr="00D56F5B">
        <w:rPr>
          <w:rFonts w:asciiTheme="majorBidi" w:eastAsia="黑体" w:hAnsiTheme="majorBidi" w:cstheme="majorBidi"/>
        </w:rPr>
        <w:tab/>
      </w:r>
      <w:r w:rsidR="00D56F5B" w:rsidRPr="00D56F5B">
        <w:rPr>
          <w:rFonts w:asciiTheme="majorBidi" w:eastAsia="黑体" w:hAnsiTheme="majorBidi" w:cstheme="majorBidi"/>
        </w:rPr>
        <w:t>全面审查妇女在获得司法救助方面所面临的障碍，以消除此类障碍；</w:t>
      </w:r>
    </w:p>
    <w:p w14:paraId="2FF4FEAF" w14:textId="77777777" w:rsidR="008068FD" w:rsidRDefault="00830A2C" w:rsidP="008068FD">
      <w:pPr>
        <w:pStyle w:val="SingleTxt"/>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(b)</w:t>
      </w:r>
      <w:r w:rsidR="00D56F5B" w:rsidRPr="00D56F5B">
        <w:rPr>
          <w:rFonts w:asciiTheme="majorBidi" w:eastAsia="黑体" w:hAnsiTheme="majorBidi" w:cstheme="majorBidi"/>
        </w:rPr>
        <w:tab/>
      </w:r>
      <w:r w:rsidR="00D56F5B" w:rsidRPr="00D56F5B">
        <w:rPr>
          <w:rFonts w:asciiTheme="majorBidi" w:eastAsia="黑体" w:hAnsiTheme="majorBidi" w:cstheme="majorBidi"/>
        </w:rPr>
        <w:t>修订《民法》，承认残疾人的完全法律能力，并加强协助决定机制。</w:t>
      </w:r>
    </w:p>
    <w:p w14:paraId="639A626E" w14:textId="552CBA54" w:rsidR="00830A2C" w:rsidRPr="008068FD" w:rsidRDefault="00830A2C" w:rsidP="008068FD">
      <w:pPr>
        <w:pStyle w:val="SingleTxt"/>
        <w:rPr>
          <w:rFonts w:asciiTheme="majorBidi" w:eastAsia="黑体" w:hAnsiTheme="majorBidi" w:cstheme="majorBidi"/>
        </w:rPr>
      </w:pPr>
      <w:r>
        <w:br w:type="page"/>
      </w:r>
    </w:p>
    <w:p w14:paraId="3403EF0B" w14:textId="3BD4890C" w:rsidR="00D56F5B" w:rsidRPr="00D56F5B" w:rsidRDefault="00D56F5B" w:rsidP="00122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80"/>
        <w:ind w:right="1259"/>
      </w:pPr>
      <w:r w:rsidRPr="00D56F5B">
        <w:tab/>
      </w:r>
      <w:r w:rsidRPr="00D56F5B">
        <w:tab/>
      </w:r>
      <w:r w:rsidRPr="00D56F5B">
        <w:t>数据收集与分析</w:t>
      </w:r>
    </w:p>
    <w:p w14:paraId="15F636BD" w14:textId="77777777" w:rsidR="00D56F5B" w:rsidRPr="00D56F5B" w:rsidRDefault="00D56F5B" w:rsidP="00122BAA">
      <w:pPr>
        <w:pStyle w:val="SingleTxt"/>
        <w:spacing w:after="80"/>
      </w:pPr>
      <w:r w:rsidRPr="00D56F5B">
        <w:t>14.</w:t>
      </w:r>
      <w:r w:rsidRPr="00D56F5B">
        <w:tab/>
      </w:r>
      <w:r w:rsidRPr="00D56F5B">
        <w:t>委员会认可缔约国为加强数据收集与分析系统所作的努力，包括在</w:t>
      </w:r>
      <w:r w:rsidRPr="00D56F5B">
        <w:t>2024</w:t>
      </w:r>
      <w:r w:rsidRPr="00D56F5B">
        <w:t>年扩大了官方统计门户网站</w:t>
      </w:r>
      <w:r w:rsidRPr="00D56F5B">
        <w:rPr>
          <w:rFonts w:hint="eastAsia"/>
        </w:rPr>
        <w:t>内</w:t>
      </w:r>
      <w:r w:rsidRPr="00D56F5B">
        <w:t>的指标数据库。委员会还注意到，新推出的</w:t>
      </w:r>
      <w:r w:rsidRPr="00112891">
        <w:rPr>
          <w:rFonts w:ascii="宋体" w:hAnsi="宋体" w:hint="eastAsia"/>
        </w:rPr>
        <w:t>“</w:t>
      </w:r>
      <w:r w:rsidRPr="00D56F5B">
        <w:t>机会平等</w:t>
      </w:r>
      <w:r w:rsidRPr="00D56F5B">
        <w:rPr>
          <w:rFonts w:hint="eastAsia"/>
        </w:rPr>
        <w:t>和</w:t>
      </w:r>
      <w:r w:rsidRPr="00D56F5B">
        <w:t>男女机会平等</w:t>
      </w:r>
      <w:r w:rsidRPr="00112891">
        <w:rPr>
          <w:rFonts w:ascii="宋体" w:hAnsi="宋体" w:hint="eastAsia"/>
        </w:rPr>
        <w:t>”</w:t>
      </w:r>
      <w:r w:rsidRPr="00D56F5B">
        <w:t>统计调查和即将出台的国家平等数据战略预计将提供更详细的分类和交叉指标及数据。然而，委员会仍感关切的是，目前可用的性别平等指标范围有限，未能充分涵盖《公约》涉及的所有关键领域，且数据收集和分析方面仍缺乏系统性的交叉方法。</w:t>
      </w:r>
    </w:p>
    <w:p w14:paraId="219EBDEA" w14:textId="77777777" w:rsidR="00D56F5B" w:rsidRPr="00D56F5B" w:rsidRDefault="00D56F5B" w:rsidP="00122BAA">
      <w:pPr>
        <w:pStyle w:val="SingleTxt"/>
        <w:spacing w:after="80"/>
        <w:rPr>
          <w:rFonts w:asciiTheme="majorBidi" w:eastAsia="黑体" w:hAnsiTheme="majorBidi" w:cstheme="majorBidi"/>
        </w:rPr>
      </w:pPr>
      <w:r w:rsidRPr="00D56F5B">
        <w:t>15.</w:t>
      </w:r>
      <w:r w:rsidRPr="00D56F5B">
        <w:tab/>
      </w:r>
      <w:r w:rsidRPr="00D56F5B">
        <w:rPr>
          <w:rFonts w:asciiTheme="majorBidi" w:eastAsia="黑体" w:hAnsiTheme="majorBidi" w:cstheme="majorBidi"/>
        </w:rPr>
        <w:t>委员会建议缔约国：</w:t>
      </w:r>
    </w:p>
    <w:p w14:paraId="61E877E6" w14:textId="218CD0E2" w:rsidR="00D56F5B" w:rsidRPr="00D56F5B" w:rsidRDefault="00830A2C" w:rsidP="00122BAA">
      <w:pPr>
        <w:pStyle w:val="SingleTxt"/>
        <w:spacing w:after="8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扩大官方统计门户网站所列性别平等指标的覆盖范围，确保全面涵盖《公约》所有领域，包括无酬照护和家务工作、妇女诉诸司法的机会及妇女的经济参与；</w:t>
      </w:r>
    </w:p>
    <w:p w14:paraId="2E4C8DBE" w14:textId="32362327" w:rsidR="00D56F5B" w:rsidRPr="00D56F5B" w:rsidRDefault="00830A2C" w:rsidP="00122BAA">
      <w:pPr>
        <w:pStyle w:val="SingleTxt"/>
        <w:spacing w:after="80"/>
        <w:rPr>
          <w:rFonts w:asciiTheme="majorBidi" w:eastAsia="黑体" w:hAnsiTheme="majorBidi" w:cstheme="majorBidi"/>
        </w:rPr>
      </w:pPr>
      <w:r>
        <w:tab/>
      </w:r>
      <w:r w:rsidR="00D56F5B" w:rsidRPr="00D56F5B">
        <w:t>(b)</w:t>
      </w:r>
      <w:r w:rsidR="00D56F5B" w:rsidRPr="00D56F5B">
        <w:tab/>
      </w:r>
      <w:r w:rsidR="00D56F5B" w:rsidRPr="00464216">
        <w:rPr>
          <w:rFonts w:asciiTheme="majorBidi" w:eastAsia="黑体" w:hAnsiTheme="majorBidi" w:cstheme="majorBidi"/>
          <w:spacing w:val="-4"/>
        </w:rPr>
        <w:t>采用系统性交叉方法收集和分析数据，确保按性别、年龄、残疾状况、</w:t>
      </w:r>
      <w:r w:rsidR="00D56F5B" w:rsidRPr="00D56F5B">
        <w:rPr>
          <w:rFonts w:asciiTheme="majorBidi" w:eastAsia="黑体" w:hAnsiTheme="majorBidi" w:cstheme="majorBidi"/>
        </w:rPr>
        <w:t>族裔、移民身份及其他相关因素进行数据分类。</w:t>
      </w:r>
    </w:p>
    <w:p w14:paraId="49E68E09" w14:textId="77777777" w:rsidR="00D56F5B" w:rsidRPr="00D56F5B" w:rsidRDefault="00D56F5B" w:rsidP="00122B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80"/>
        <w:ind w:right="1259"/>
      </w:pPr>
      <w:r w:rsidRPr="00D56F5B">
        <w:tab/>
      </w:r>
      <w:r w:rsidRPr="00D56F5B">
        <w:tab/>
      </w:r>
      <w:r w:rsidRPr="00D56F5B">
        <w:t>提高妇女地位国家机构</w:t>
      </w:r>
    </w:p>
    <w:p w14:paraId="2CE3CB35" w14:textId="77777777" w:rsidR="00D56F5B" w:rsidRPr="00D56F5B" w:rsidRDefault="00D56F5B" w:rsidP="00122BAA">
      <w:pPr>
        <w:pStyle w:val="SingleTxt"/>
        <w:spacing w:after="80"/>
      </w:pPr>
      <w:r w:rsidRPr="00D56F5B">
        <w:t>16.</w:t>
      </w:r>
      <w:r w:rsidRPr="00D56F5B">
        <w:tab/>
      </w:r>
      <w:r w:rsidRPr="00D56F5B">
        <w:t>委员会欢迎缔约国致力于促进性别平等，包括计划通过</w:t>
      </w:r>
      <w:r w:rsidRPr="00D56F5B">
        <w:t>2026-2028</w:t>
      </w:r>
      <w:r w:rsidRPr="00D56F5B">
        <w:t>年男女机会平等行动计划，并注意到为加强平等机会监察员在平等机会领域的机构能力所采取的措施。然而，委员会关切地注意到：</w:t>
      </w:r>
    </w:p>
    <w:p w14:paraId="39F78539" w14:textId="61EF59B8" w:rsidR="00D56F5B" w:rsidRPr="00D56F5B" w:rsidRDefault="00830A2C" w:rsidP="00122BAA">
      <w:pPr>
        <w:pStyle w:val="SingleTxt"/>
        <w:spacing w:after="80"/>
      </w:pPr>
      <w:r>
        <w:tab/>
      </w:r>
      <w:r w:rsidR="00D56F5B" w:rsidRPr="00D56F5B">
        <w:t>(a)</w:t>
      </w:r>
      <w:r w:rsidR="00D56F5B" w:rsidRPr="00D56F5B">
        <w:tab/>
      </w:r>
      <w:r w:rsidR="00D56F5B" w:rsidRPr="00D56F5B">
        <w:t>对国家行动计划在促进性别平等方面影响的评估不足，因为监测工作仅限于年度报告，缺乏可衡量的指标和目标；</w:t>
      </w:r>
    </w:p>
    <w:p w14:paraId="67BEB4CB" w14:textId="3651DDC8" w:rsidR="00D56F5B" w:rsidRPr="00D56F5B" w:rsidRDefault="00830A2C" w:rsidP="00122BAA">
      <w:pPr>
        <w:pStyle w:val="SingleTxt"/>
        <w:spacing w:after="80"/>
      </w:pPr>
      <w:r>
        <w:tab/>
      </w:r>
      <w:r w:rsidR="00D56F5B" w:rsidRPr="00D56F5B">
        <w:t>(b)</w:t>
      </w:r>
      <w:r w:rsidR="00D56F5B" w:rsidRPr="00D56F5B">
        <w:tab/>
      </w:r>
      <w:r w:rsidR="00D56F5B" w:rsidRPr="00D56F5B">
        <w:t>平等机会监察员的任务过于宽泛，这可能削弱其对性别平等和妇女权利的关注，并造成资源投入的分散；</w:t>
      </w:r>
    </w:p>
    <w:p w14:paraId="1A2ACED4" w14:textId="7DB617BF" w:rsidR="00D56F5B" w:rsidRPr="00D56F5B" w:rsidRDefault="00830A2C" w:rsidP="00122BAA">
      <w:pPr>
        <w:pStyle w:val="SingleTxt"/>
        <w:spacing w:after="80"/>
      </w:pPr>
      <w:r w:rsidRPr="00830A2C">
        <w:rPr>
          <w:spacing w:val="-10"/>
        </w:rPr>
        <w:tab/>
      </w:r>
      <w:r w:rsidR="00D56F5B" w:rsidRPr="00D56F5B">
        <w:rPr>
          <w:spacing w:val="-10"/>
        </w:rPr>
        <w:t>(c)</w:t>
      </w:r>
      <w:r w:rsidR="00D56F5B" w:rsidRPr="00D56F5B">
        <w:rPr>
          <w:spacing w:val="-10"/>
        </w:rPr>
        <w:tab/>
      </w:r>
      <w:r w:rsidR="00D56F5B" w:rsidRPr="00D56F5B">
        <w:rPr>
          <w:spacing w:val="-10"/>
        </w:rPr>
        <w:t>在各部委以及国家、地区和地方各级，性别平等主流化的落实程度有</w:t>
      </w:r>
      <w:r w:rsidR="00D56F5B" w:rsidRPr="00D56F5B">
        <w:t>限；</w:t>
      </w:r>
    </w:p>
    <w:p w14:paraId="774D50E3" w14:textId="4DB9EF46" w:rsidR="00D56F5B" w:rsidRPr="00D56F5B" w:rsidRDefault="00830A2C" w:rsidP="00122BAA">
      <w:pPr>
        <w:pStyle w:val="SingleTxt"/>
        <w:spacing w:after="80"/>
      </w:pPr>
      <w:r>
        <w:tab/>
      </w:r>
      <w:r w:rsidR="00D56F5B" w:rsidRPr="00D56F5B">
        <w:t>(d)</w:t>
      </w:r>
      <w:r w:rsidR="00D56F5B" w:rsidRPr="00D56F5B">
        <w:tab/>
      </w:r>
      <w:r w:rsidR="00D56F5B" w:rsidRPr="00D56F5B">
        <w:t>缺乏基于性别平等的综合预算编制方法；</w:t>
      </w:r>
    </w:p>
    <w:p w14:paraId="6C25054E" w14:textId="711D380E" w:rsidR="00D56F5B" w:rsidRPr="00D56F5B" w:rsidRDefault="00830A2C" w:rsidP="00122BAA">
      <w:pPr>
        <w:pStyle w:val="SingleTxt"/>
        <w:spacing w:after="80"/>
      </w:pPr>
      <w:r>
        <w:tab/>
      </w:r>
      <w:r w:rsidR="00D56F5B" w:rsidRPr="00D56F5B">
        <w:t>(e)</w:t>
      </w:r>
      <w:r w:rsidR="00D56F5B" w:rsidRPr="00D56F5B">
        <w:tab/>
      </w:r>
      <w:r w:rsidR="00D56F5B" w:rsidRPr="00D56F5B">
        <w:t>促进妇女权利和性别平等的民间社会组织缺乏可持续的资金支持，财政支助仍主要基于项目。</w:t>
      </w:r>
    </w:p>
    <w:p w14:paraId="63497074" w14:textId="77777777" w:rsidR="00D56F5B" w:rsidRPr="00D56F5B" w:rsidRDefault="00D56F5B" w:rsidP="00122BAA">
      <w:pPr>
        <w:pStyle w:val="SingleTxt"/>
        <w:spacing w:after="80"/>
        <w:rPr>
          <w:rFonts w:asciiTheme="majorBidi" w:eastAsia="黑体" w:hAnsiTheme="majorBidi" w:cstheme="majorBidi"/>
        </w:rPr>
      </w:pPr>
      <w:r w:rsidRPr="00D56F5B">
        <w:t>17.</w:t>
      </w:r>
      <w:r w:rsidRPr="00D56F5B">
        <w:tab/>
      </w:r>
      <w:r w:rsidRPr="00D56F5B">
        <w:rPr>
          <w:rFonts w:asciiTheme="majorBidi" w:eastAsia="黑体" w:hAnsiTheme="majorBidi" w:cstheme="majorBidi"/>
        </w:rPr>
        <w:t>委员会建议缔约国：</w:t>
      </w:r>
    </w:p>
    <w:p w14:paraId="136BFA5E" w14:textId="1922C9BB" w:rsidR="00D56F5B" w:rsidRPr="00D56F5B" w:rsidRDefault="00830A2C" w:rsidP="00122BAA">
      <w:pPr>
        <w:pStyle w:val="SingleTxt"/>
        <w:spacing w:after="8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通过引入明确、可衡量且有时限的指标、基准和目标，加强国家性别平等行动计划的监测和评价框架，并建立有效的审查机制；</w:t>
      </w:r>
    </w:p>
    <w:p w14:paraId="3070B507" w14:textId="66A1BD6F" w:rsidR="00D56F5B" w:rsidRPr="00D56F5B" w:rsidRDefault="00830A2C" w:rsidP="00122BAA">
      <w:pPr>
        <w:pStyle w:val="SingleTxt"/>
        <w:spacing w:after="8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强化平等机会监察员在妇女权利和性别平等方面的任务授权，确保提供充足的人力、技术和财政资源；</w:t>
      </w:r>
    </w:p>
    <w:p w14:paraId="6EDD8EF4" w14:textId="65ED357F" w:rsidR="00D56F5B" w:rsidRPr="00D56F5B" w:rsidRDefault="00830A2C" w:rsidP="00122BAA">
      <w:pPr>
        <w:pStyle w:val="SingleTxt"/>
        <w:spacing w:after="80"/>
      </w:pPr>
      <w:r>
        <w:tab/>
      </w:r>
      <w:r w:rsidR="00D56F5B" w:rsidRPr="00D56F5B">
        <w:t>(c)</w:t>
      </w:r>
      <w:r w:rsidR="00D56F5B" w:rsidRPr="00D56F5B">
        <w:tab/>
      </w:r>
      <w:r w:rsidR="00D56F5B" w:rsidRPr="00D56F5B">
        <w:rPr>
          <w:rFonts w:asciiTheme="majorBidi" w:eastAsia="黑体" w:hAnsiTheme="majorBidi" w:cstheme="majorBidi"/>
        </w:rPr>
        <w:t>通过问责机制和公职人员能力建设等方法，在所有部委及国家、地区和地方各级加强性别平等主流化工作；</w:t>
      </w:r>
    </w:p>
    <w:p w14:paraId="44C2166F" w14:textId="582A31BC" w:rsidR="00D56F5B" w:rsidRPr="00D56F5B" w:rsidRDefault="00830A2C" w:rsidP="00122BAA">
      <w:pPr>
        <w:pStyle w:val="SingleTxt"/>
        <w:spacing w:after="80"/>
      </w:pPr>
      <w:r>
        <w:tab/>
      </w:r>
      <w:r w:rsidR="00D56F5B" w:rsidRPr="00D56F5B">
        <w:t>(d)</w:t>
      </w:r>
      <w:r w:rsidR="00D56F5B" w:rsidRPr="00D56F5B">
        <w:tab/>
      </w:r>
      <w:r w:rsidR="00D56F5B" w:rsidRPr="00D56F5B">
        <w:rPr>
          <w:rFonts w:asciiTheme="majorBidi" w:eastAsia="黑体" w:hAnsiTheme="majorBidi" w:cstheme="majorBidi"/>
        </w:rPr>
        <w:t>采取基于性别平等的综合预算编制策略，为各部门实施促进性别平等和提高妇女地位的政策、战略及方案提供预算拨款；</w:t>
      </w:r>
    </w:p>
    <w:p w14:paraId="64E37A76" w14:textId="65C2E903" w:rsidR="00D56F5B" w:rsidRPr="00D56F5B" w:rsidRDefault="00830A2C" w:rsidP="00830A2C">
      <w:pPr>
        <w:pStyle w:val="SingleTxt"/>
        <w:spacing w:after="120"/>
      </w:pPr>
      <w:r>
        <w:tab/>
      </w:r>
      <w:r w:rsidR="00D56F5B" w:rsidRPr="00D56F5B">
        <w:t>(e)</w:t>
      </w:r>
      <w:r w:rsidR="00D56F5B" w:rsidRPr="00D56F5B">
        <w:tab/>
      </w:r>
      <w:r w:rsidR="00D56F5B" w:rsidRPr="00D56F5B">
        <w:rPr>
          <w:rFonts w:asciiTheme="majorBidi" w:eastAsia="黑体" w:hAnsiTheme="majorBidi" w:cstheme="majorBidi"/>
        </w:rPr>
        <w:t>为促进妇女权利和性别平等的民间社会组织建立可持续且可预测的供资机制。</w:t>
      </w:r>
    </w:p>
    <w:p w14:paraId="05DDEE6B"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国家人权机构</w:t>
      </w:r>
    </w:p>
    <w:p w14:paraId="2E10216A" w14:textId="77777777" w:rsidR="00D56F5B" w:rsidRPr="00D56F5B" w:rsidRDefault="00D56F5B" w:rsidP="00830A2C">
      <w:pPr>
        <w:pStyle w:val="SingleTxt"/>
        <w:spacing w:after="120"/>
      </w:pPr>
      <w:r w:rsidRPr="00D56F5B">
        <w:t>18.</w:t>
      </w:r>
      <w:r w:rsidRPr="00D56F5B">
        <w:tab/>
      </w:r>
      <w:r w:rsidRPr="00D56F5B">
        <w:t>委员会注意到国家人权机构全球联盟认证小组委员会就立陶宛议会监察员办公室提出的建议，特别是关于充足经费、遴选、任命和解职程序，以及该办公室在鼓励批准国际和区域人权条约方面所发挥作用的建议。然而，委员会关切地注意到在落实这些建议方面进展有限。委员会还感到关切的是，议会监察员的</w:t>
      </w:r>
      <w:r w:rsidRPr="00D56F5B">
        <w:rPr>
          <w:rFonts w:hint="eastAsia"/>
        </w:rPr>
        <w:t>任务</w:t>
      </w:r>
      <w:r w:rsidRPr="00D56F5B">
        <w:t>范围尚未按照委员会在以往结论性意见中建议的那样，扩大至受理和审议妇女提出的申诉。</w:t>
      </w:r>
    </w:p>
    <w:p w14:paraId="3BDEAF3B" w14:textId="7DC2F101" w:rsidR="00D56F5B" w:rsidRPr="00D56F5B" w:rsidRDefault="00D56F5B" w:rsidP="00830A2C">
      <w:pPr>
        <w:pStyle w:val="SingleTxt"/>
        <w:spacing w:after="120"/>
        <w:rPr>
          <w:rFonts w:asciiTheme="majorBidi" w:eastAsia="黑体" w:hAnsiTheme="majorBidi" w:cstheme="majorBidi"/>
        </w:rPr>
      </w:pPr>
      <w:r w:rsidRPr="00D56F5B">
        <w:t>19.</w:t>
      </w:r>
      <w:r w:rsidRPr="00D56F5B">
        <w:tab/>
      </w:r>
      <w:r w:rsidRPr="00D56F5B">
        <w:rPr>
          <w:rFonts w:asciiTheme="majorBidi" w:eastAsia="黑体" w:hAnsiTheme="majorBidi" w:cstheme="majorBidi"/>
        </w:rPr>
        <w:t>委员会回顾其先前的结论性意见</w:t>
      </w:r>
      <w:r w:rsidRPr="00D56F5B">
        <w:rPr>
          <w:rFonts w:asciiTheme="majorBidi" w:eastAsia="黑体" w:hAnsiTheme="majorBidi" w:cstheme="majorBidi"/>
        </w:rPr>
        <w:t>(</w:t>
      </w:r>
      <w:r w:rsidRPr="00D56F5B">
        <w:rPr>
          <w:rFonts w:asciiTheme="majorBidi" w:eastAsia="黑体" w:hAnsiTheme="majorBidi" w:cstheme="majorBidi"/>
        </w:rPr>
        <w:t>同上，第</w:t>
      </w:r>
      <w:r w:rsidRPr="00D56F5B">
        <w:rPr>
          <w:rFonts w:asciiTheme="majorBidi" w:eastAsia="黑体" w:hAnsiTheme="majorBidi" w:cstheme="majorBidi"/>
        </w:rPr>
        <w:t>17</w:t>
      </w:r>
      <w:r w:rsidRPr="00D56F5B">
        <w:rPr>
          <w:rFonts w:asciiTheme="majorBidi" w:eastAsia="黑体" w:hAnsiTheme="majorBidi" w:cstheme="majorBidi"/>
        </w:rPr>
        <w:t>段</w:t>
      </w:r>
      <w:r w:rsidRPr="00D56F5B">
        <w:rPr>
          <w:rFonts w:asciiTheme="majorBidi" w:eastAsia="黑体" w:hAnsiTheme="majorBidi" w:cstheme="majorBidi"/>
        </w:rPr>
        <w:t>)</w:t>
      </w:r>
      <w:r w:rsidRPr="00D56F5B">
        <w:rPr>
          <w:rFonts w:asciiTheme="majorBidi" w:eastAsia="黑体" w:hAnsiTheme="majorBidi" w:cstheme="majorBidi"/>
        </w:rPr>
        <w:t>，建议缔约国：</w:t>
      </w:r>
      <w:r w:rsidR="00507899" w:rsidRPr="00D56F5B">
        <w:rPr>
          <w:rFonts w:asciiTheme="majorBidi" w:eastAsia="黑体" w:hAnsiTheme="majorBidi" w:cstheme="majorBidi"/>
        </w:rPr>
        <w:t xml:space="preserve"> </w:t>
      </w:r>
    </w:p>
    <w:p w14:paraId="68F54E76" w14:textId="017211A1"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落实国家人权机构全球联盟认证小组委员会的建议，确保议会监察员有效、独立地执行任务，并充分遵守《关于促进和保护人权的国家机构的地位的原则》</w:t>
      </w:r>
      <w:r w:rsidR="00D56F5B" w:rsidRPr="00D56F5B">
        <w:rPr>
          <w:rFonts w:asciiTheme="majorBidi" w:eastAsia="黑体" w:hAnsiTheme="majorBidi" w:cstheme="majorBidi"/>
        </w:rPr>
        <w:t>(</w:t>
      </w:r>
      <w:r w:rsidR="00D56F5B" w:rsidRPr="00D56F5B">
        <w:rPr>
          <w:rFonts w:asciiTheme="majorBidi" w:eastAsia="黑体" w:hAnsiTheme="majorBidi" w:cstheme="majorBidi"/>
        </w:rPr>
        <w:t>《巴黎原则》</w:t>
      </w:r>
      <w:r w:rsidR="00D56F5B" w:rsidRPr="00D56F5B">
        <w:rPr>
          <w:rFonts w:asciiTheme="majorBidi" w:eastAsia="黑体" w:hAnsiTheme="majorBidi" w:cstheme="majorBidi"/>
        </w:rPr>
        <w:t>)</w:t>
      </w:r>
      <w:r w:rsidR="00D56F5B" w:rsidRPr="00D56F5B">
        <w:rPr>
          <w:rFonts w:asciiTheme="majorBidi" w:eastAsia="黑体" w:hAnsiTheme="majorBidi" w:cstheme="majorBidi"/>
        </w:rPr>
        <w:t>；</w:t>
      </w:r>
    </w:p>
    <w:p w14:paraId="25CFF184" w14:textId="101AF26E"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扩大议会监察员的授权任务，使其能够受理妇女提出的申诉，包括涉及私人领域侵权行为的申诉，并作出权威性结论和建议。</w:t>
      </w:r>
    </w:p>
    <w:p w14:paraId="357116F7"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暂行特别措施</w:t>
      </w:r>
    </w:p>
    <w:p w14:paraId="4E8ADC8B" w14:textId="77777777" w:rsidR="00D56F5B" w:rsidRPr="00D56F5B" w:rsidRDefault="00D56F5B" w:rsidP="00830A2C">
      <w:pPr>
        <w:pStyle w:val="SingleTxt"/>
        <w:spacing w:after="120"/>
      </w:pPr>
      <w:r w:rsidRPr="00D56F5B">
        <w:t>20.</w:t>
      </w:r>
      <w:r w:rsidRPr="00D56F5B">
        <w:tab/>
      </w:r>
      <w:r w:rsidRPr="00D56F5B">
        <w:t>委员会赞扬缔约国为在经济生活中实施暂行特别措施所作的努力，包括</w:t>
      </w:r>
      <w:r w:rsidRPr="00D56F5B">
        <w:t>2024</w:t>
      </w:r>
      <w:r w:rsidRPr="00D56F5B">
        <w:t>年将</w:t>
      </w:r>
      <w:r w:rsidRPr="00D56F5B">
        <w:rPr>
          <w:rFonts w:hint="eastAsia"/>
        </w:rPr>
        <w:t>欧洲议会和欧盟理事会关于改善上市公司董事性别平衡及相关措施的指令纳入</w:t>
      </w:r>
      <w:r w:rsidRPr="00D56F5B">
        <w:t>国家法律，</w:t>
      </w:r>
      <w:r w:rsidRPr="00D56F5B">
        <w:rPr>
          <w:rFonts w:hint="eastAsia"/>
        </w:rPr>
        <w:t>从而</w:t>
      </w:r>
      <w:r w:rsidRPr="00D56F5B">
        <w:t>使相关规定的适用对象从上市公司扩大至其他大型企业。委员会注意到缔约国解释称，暂行特别措施已纳入《平等机会法》修正案草案，以促进对此类措施的</w:t>
      </w:r>
      <w:r w:rsidRPr="00D56F5B">
        <w:rPr>
          <w:rFonts w:hint="eastAsia"/>
        </w:rPr>
        <w:t>采用</w:t>
      </w:r>
      <w:r w:rsidRPr="00D56F5B">
        <w:t>。然而，委员会感到关切的是，在政治生活中，尽管妇女代表性不足的情况持续存在，缔约国仍不愿引入包括性别均等配额在内的暂行特别措施，以加快实现政治生活中的男女实质性平等。</w:t>
      </w:r>
    </w:p>
    <w:p w14:paraId="403BA008" w14:textId="77777777" w:rsidR="00D56F5B" w:rsidRPr="00D56F5B" w:rsidRDefault="00D56F5B" w:rsidP="00830A2C">
      <w:pPr>
        <w:pStyle w:val="SingleTxt"/>
        <w:spacing w:after="120"/>
        <w:rPr>
          <w:rFonts w:asciiTheme="majorBidi" w:eastAsia="黑体" w:hAnsiTheme="majorBidi" w:cstheme="majorBidi"/>
        </w:rPr>
      </w:pPr>
      <w:r w:rsidRPr="00D56F5B">
        <w:t>21.</w:t>
      </w:r>
      <w:r w:rsidRPr="00D56F5B">
        <w:tab/>
      </w:r>
      <w:r w:rsidRPr="00D56F5B">
        <w:rPr>
          <w:rFonts w:asciiTheme="majorBidi" w:eastAsia="黑体" w:hAnsiTheme="majorBidi" w:cstheme="majorBidi"/>
        </w:rPr>
        <w:t>委员会根据《公约》第四条第</w:t>
      </w:r>
      <w:r w:rsidRPr="00D56F5B">
        <w:rPr>
          <w:rFonts w:asciiTheme="majorBidi" w:eastAsia="黑体" w:hAnsiTheme="majorBidi" w:cstheme="majorBidi"/>
        </w:rPr>
        <w:t>1</w:t>
      </w:r>
      <w:r w:rsidRPr="00D56F5B">
        <w:rPr>
          <w:rFonts w:asciiTheme="majorBidi" w:eastAsia="黑体" w:hAnsiTheme="majorBidi" w:cstheme="majorBidi"/>
        </w:rPr>
        <w:t>款和委员会关于暂行特别措施的第</w:t>
      </w:r>
      <w:r w:rsidRPr="00D56F5B">
        <w:rPr>
          <w:rFonts w:asciiTheme="majorBidi" w:eastAsia="黑体" w:hAnsiTheme="majorBidi" w:cstheme="majorBidi"/>
        </w:rPr>
        <w:t>25</w:t>
      </w:r>
      <w:r w:rsidRPr="00D56F5B">
        <w:rPr>
          <w:rFonts w:asciiTheme="majorBidi" w:eastAsia="黑体" w:hAnsiTheme="majorBidi" w:cstheme="majorBidi"/>
        </w:rPr>
        <w:t>号一般性建议</w:t>
      </w:r>
      <w:r w:rsidRPr="00D56F5B">
        <w:rPr>
          <w:rFonts w:asciiTheme="majorBidi" w:eastAsia="黑体" w:hAnsiTheme="majorBidi" w:cstheme="majorBidi"/>
        </w:rPr>
        <w:t>(2004</w:t>
      </w:r>
      <w:r w:rsidRPr="00D56F5B">
        <w:rPr>
          <w:rFonts w:asciiTheme="majorBidi" w:eastAsia="黑体" w:hAnsiTheme="majorBidi" w:cstheme="majorBidi"/>
        </w:rPr>
        <w:t>年</w:t>
      </w:r>
      <w:r w:rsidRPr="00D56F5B">
        <w:rPr>
          <w:rFonts w:asciiTheme="majorBidi" w:eastAsia="黑体" w:hAnsiTheme="majorBidi" w:cstheme="majorBidi"/>
        </w:rPr>
        <w:t>)</w:t>
      </w:r>
      <w:r w:rsidRPr="00D56F5B">
        <w:rPr>
          <w:rFonts w:asciiTheme="majorBidi" w:eastAsia="黑体" w:hAnsiTheme="majorBidi" w:cstheme="majorBidi"/>
        </w:rPr>
        <w:t>，建议缔约国：</w:t>
      </w:r>
    </w:p>
    <w:p w14:paraId="4A771D16" w14:textId="74D32E7D"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C072DA">
        <w:rPr>
          <w:rFonts w:asciiTheme="majorBidi" w:eastAsia="黑体" w:hAnsiTheme="majorBidi" w:cstheme="majorBidi"/>
          <w:spacing w:val="-4"/>
        </w:rPr>
        <w:t>加快《平等机会法》修正案草案进程，确保作出明确规定，在《公约》</w:t>
      </w:r>
      <w:r w:rsidR="00D56F5B" w:rsidRPr="00D56F5B">
        <w:rPr>
          <w:rFonts w:asciiTheme="majorBidi" w:eastAsia="黑体" w:hAnsiTheme="majorBidi" w:cstheme="majorBidi"/>
        </w:rPr>
        <w:t>涵盖的妇女代表性不足或处于不利地位的所有领域实施暂行特别措施；</w:t>
      </w:r>
    </w:p>
    <w:p w14:paraId="56A3A816" w14:textId="71D5909E"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促进国家官员、政党和公众理解暂行特别措施作为促进男女实质性平等的工具的非歧视性质和变革价值，并根据委员会关于妇女在决策系统中平等和包容性代表权的第</w:t>
      </w:r>
      <w:r w:rsidR="00D56F5B" w:rsidRPr="00D56F5B">
        <w:rPr>
          <w:rFonts w:asciiTheme="majorBidi" w:eastAsia="黑体" w:hAnsiTheme="majorBidi" w:cstheme="majorBidi"/>
        </w:rPr>
        <w:t>40</w:t>
      </w:r>
      <w:r w:rsidR="00D56F5B" w:rsidRPr="00D56F5B">
        <w:rPr>
          <w:rFonts w:asciiTheme="majorBidi" w:eastAsia="黑体" w:hAnsiTheme="majorBidi" w:cstheme="majorBidi"/>
        </w:rPr>
        <w:t>号一般性建议</w:t>
      </w:r>
      <w:r w:rsidR="00D56F5B" w:rsidRPr="00D56F5B">
        <w:rPr>
          <w:rFonts w:asciiTheme="majorBidi" w:eastAsia="黑体" w:hAnsiTheme="majorBidi" w:cstheme="majorBidi"/>
        </w:rPr>
        <w:t>(2024</w:t>
      </w:r>
      <w:r w:rsidR="00D56F5B" w:rsidRPr="00D56F5B">
        <w:rPr>
          <w:rFonts w:asciiTheme="majorBidi" w:eastAsia="黑体" w:hAnsiTheme="majorBidi" w:cstheme="majorBidi"/>
        </w:rPr>
        <w:t>年</w:t>
      </w:r>
      <w:r w:rsidR="00D56F5B" w:rsidRPr="00D56F5B">
        <w:rPr>
          <w:rFonts w:asciiTheme="majorBidi" w:eastAsia="黑体" w:hAnsiTheme="majorBidi" w:cstheme="majorBidi"/>
        </w:rPr>
        <w:t>)</w:t>
      </w:r>
      <w:r w:rsidR="00D56F5B" w:rsidRPr="00D56F5B">
        <w:rPr>
          <w:rFonts w:asciiTheme="majorBidi" w:eastAsia="黑体" w:hAnsiTheme="majorBidi" w:cstheme="majorBidi"/>
        </w:rPr>
        <w:t>，采用</w:t>
      </w:r>
      <w:hyperlink r:id="rId28" w:history="1">
        <w:r w:rsidR="00D56F5B" w:rsidRPr="00D56F5B">
          <w:rPr>
            <w:rStyle w:val="af7"/>
            <w:rFonts w:asciiTheme="majorBidi" w:eastAsia="黑体" w:hAnsiTheme="majorBidi" w:cstheme="majorBidi"/>
          </w:rPr>
          <w:t>50</w:t>
        </w:r>
        <w:r w:rsidR="00D56F5B" w:rsidRPr="00D56F5B">
          <w:rPr>
            <w:rStyle w:val="af7"/>
            <w:rFonts w:asciiTheme="majorBidi" w:eastAsia="黑体" w:hAnsiTheme="majorBidi" w:cstheme="majorBidi" w:hint="eastAsia"/>
          </w:rPr>
          <w:t>/</w:t>
        </w:r>
        <w:r w:rsidR="00D56F5B" w:rsidRPr="00D56F5B">
          <w:rPr>
            <w:rStyle w:val="af7"/>
            <w:rFonts w:asciiTheme="majorBidi" w:eastAsia="黑体" w:hAnsiTheme="majorBidi" w:cstheme="majorBidi"/>
          </w:rPr>
          <w:t>50</w:t>
        </w:r>
      </w:hyperlink>
      <w:r w:rsidR="00D56F5B" w:rsidRPr="00D56F5B">
        <w:rPr>
          <w:rFonts w:asciiTheme="majorBidi" w:eastAsia="黑体" w:hAnsiTheme="majorBidi" w:cstheme="majorBidi"/>
        </w:rPr>
        <w:t>的性别均等配额，以确保妇女在政治生活中的平等和包容性代表权。</w:t>
      </w:r>
    </w:p>
    <w:p w14:paraId="5F743EB0"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陈规定型观念</w:t>
      </w:r>
    </w:p>
    <w:p w14:paraId="0995D8F5" w14:textId="77777777" w:rsidR="00D56F5B" w:rsidRPr="00D56F5B" w:rsidRDefault="00D56F5B" w:rsidP="00830A2C">
      <w:pPr>
        <w:pStyle w:val="SingleTxt"/>
        <w:spacing w:after="120"/>
      </w:pPr>
      <w:r w:rsidRPr="00D56F5B">
        <w:t>22.</w:t>
      </w:r>
      <w:r w:rsidRPr="00D56F5B">
        <w:tab/>
      </w:r>
      <w:r w:rsidRPr="00D56F5B">
        <w:t>委员会欢迎缔约国为消除性别成见所投入的资源和采取的举措，包括一个加强妇女政治参与和减少成见的传播项目。然而，委员会仍感关切的是：</w:t>
      </w:r>
    </w:p>
    <w:p w14:paraId="54B0DB83" w14:textId="20EEAD5A" w:rsidR="00D56F5B" w:rsidRPr="00D56F5B" w:rsidRDefault="00830A2C" w:rsidP="00830A2C">
      <w:pPr>
        <w:pStyle w:val="SingleTxt"/>
        <w:spacing w:after="120"/>
      </w:pPr>
      <w:r>
        <w:tab/>
      </w:r>
      <w:r w:rsidR="00D56F5B" w:rsidRPr="00D56F5B">
        <w:t>(a)</w:t>
      </w:r>
      <w:r w:rsidR="00D56F5B" w:rsidRPr="00D56F5B">
        <w:tab/>
      </w:r>
      <w:r w:rsidR="00D56F5B" w:rsidRPr="00D56F5B">
        <w:t>性别成见在缔约国国内持续存在，根深蒂固的父权规范仍在继续影响人们对妇女在家庭和社会中的角色与责任的预期；</w:t>
      </w:r>
    </w:p>
    <w:p w14:paraId="1FE20663" w14:textId="7F7D11C9" w:rsidR="00D56F5B" w:rsidRPr="00D56F5B" w:rsidRDefault="00830A2C" w:rsidP="00830A2C">
      <w:pPr>
        <w:pStyle w:val="SingleTxt"/>
        <w:spacing w:after="120"/>
      </w:pPr>
      <w:r>
        <w:tab/>
      </w:r>
      <w:r w:rsidR="00D56F5B" w:rsidRPr="00D56F5B">
        <w:t>(b)</w:t>
      </w:r>
      <w:r w:rsidR="00D56F5B" w:rsidRPr="00D56F5B">
        <w:tab/>
      </w:r>
      <w:r w:rsidR="00D56F5B" w:rsidRPr="00D56F5B">
        <w:t>残疾妇女、移民妇女以及女同性恋、女双性恋、女跨性别者和女间性者正面临基于性别成见的交叉形式歧视；</w:t>
      </w:r>
    </w:p>
    <w:p w14:paraId="3D1BB69E" w14:textId="7C203FC8" w:rsidR="00D56F5B" w:rsidRPr="00D56F5B" w:rsidRDefault="00830A2C" w:rsidP="00830A2C">
      <w:pPr>
        <w:pStyle w:val="SingleTxt"/>
        <w:spacing w:after="120"/>
      </w:pPr>
      <w:r>
        <w:tab/>
      </w:r>
      <w:r w:rsidR="00D56F5B" w:rsidRPr="00D56F5B">
        <w:t>(c)</w:t>
      </w:r>
      <w:r w:rsidR="00D56F5B" w:rsidRPr="00D56F5B">
        <w:tab/>
      </w:r>
      <w:r w:rsidR="00D56F5B" w:rsidRPr="00D56F5B">
        <w:t>针对媒体长期固化性别成见而计划采取的措施，包括面向记者及其他媒体从业人员的培训，尚未以系统、持续的方式得到实施；</w:t>
      </w:r>
    </w:p>
    <w:p w14:paraId="6B399D25" w14:textId="7C3BCDEB" w:rsidR="00D56F5B" w:rsidRPr="00A66C2D" w:rsidRDefault="00830A2C" w:rsidP="00830A2C">
      <w:pPr>
        <w:pStyle w:val="SingleTxt"/>
        <w:spacing w:after="120"/>
        <w:rPr>
          <w:spacing w:val="-4"/>
        </w:rPr>
      </w:pPr>
      <w:r>
        <w:tab/>
      </w:r>
      <w:r w:rsidR="00D56F5B" w:rsidRPr="00D56F5B">
        <w:t>(d)</w:t>
      </w:r>
      <w:r w:rsidR="00D56F5B" w:rsidRPr="00D56F5B">
        <w:tab/>
      </w:r>
      <w:r w:rsidR="00D56F5B" w:rsidRPr="00A66C2D">
        <w:rPr>
          <w:spacing w:val="-4"/>
        </w:rPr>
        <w:t>男</w:t>
      </w:r>
      <w:r w:rsidR="00D56F5B" w:rsidRPr="00A66C2D">
        <w:rPr>
          <w:rFonts w:hint="eastAsia"/>
          <w:spacing w:val="-4"/>
        </w:rPr>
        <w:t>子</w:t>
      </w:r>
      <w:r w:rsidR="00D56F5B" w:rsidRPr="00A66C2D">
        <w:rPr>
          <w:spacing w:val="-4"/>
        </w:rPr>
        <w:t>和男童尚未成为积极参与者，对消除性别成见</w:t>
      </w:r>
      <w:r w:rsidR="00D56F5B" w:rsidRPr="00A66C2D">
        <w:rPr>
          <w:rFonts w:hint="eastAsia"/>
          <w:spacing w:val="-4"/>
        </w:rPr>
        <w:t>的</w:t>
      </w:r>
      <w:r w:rsidR="00D56F5B" w:rsidRPr="00A66C2D">
        <w:rPr>
          <w:spacing w:val="-4"/>
        </w:rPr>
        <w:t>努力的参与不足。</w:t>
      </w:r>
    </w:p>
    <w:p w14:paraId="1C4E74CD" w14:textId="77777777" w:rsidR="00D56F5B" w:rsidRPr="00D56F5B" w:rsidRDefault="00D56F5B" w:rsidP="00830A2C">
      <w:pPr>
        <w:pStyle w:val="SingleTxt"/>
        <w:spacing w:after="120"/>
        <w:rPr>
          <w:rFonts w:asciiTheme="majorBidi" w:eastAsia="黑体" w:hAnsiTheme="majorBidi" w:cstheme="majorBidi"/>
        </w:rPr>
      </w:pPr>
      <w:r w:rsidRPr="00D56F5B">
        <w:t>23.</w:t>
      </w:r>
      <w:r w:rsidRPr="00D56F5B">
        <w:tab/>
      </w:r>
      <w:r w:rsidRPr="00D56F5B">
        <w:rPr>
          <w:rFonts w:asciiTheme="majorBidi" w:eastAsia="黑体" w:hAnsiTheme="majorBidi" w:cstheme="majorBidi"/>
        </w:rPr>
        <w:t>委员会建议缔约国：</w:t>
      </w:r>
    </w:p>
    <w:p w14:paraId="08E3A6BB" w14:textId="1D57B0BA"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采取一项全面战略，针对社会各阶层的妇女和女童以及男子和男童采取积极、持续的措施，消除对妇女和男子在家庭和社会中角色和责任的重男轻女态度和性别成见，为该战略分配充足的资源，并定期监测和评价其实施情况；</w:t>
      </w:r>
    </w:p>
    <w:p w14:paraId="208007A3" w14:textId="482388E4"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确保所有旨在消除性别成见的政策和方案均采用交叉方法，并针对残疾妇女、移民妇女以及女同性恋、女双性恋、女跨性别者和女间性者的处境采取具体措施；</w:t>
      </w:r>
    </w:p>
    <w:p w14:paraId="6AB1B86D" w14:textId="16476AF2" w:rsidR="00D56F5B" w:rsidRPr="00D56F5B" w:rsidRDefault="00830A2C" w:rsidP="00830A2C">
      <w:pPr>
        <w:pStyle w:val="SingleTxt"/>
        <w:spacing w:after="120"/>
        <w:rPr>
          <w:rFonts w:asciiTheme="majorBidi" w:eastAsia="黑体" w:hAnsiTheme="majorBidi" w:cstheme="majorBidi"/>
        </w:rPr>
      </w:pPr>
      <w:r>
        <w:tab/>
      </w:r>
      <w:r w:rsidR="00D56F5B" w:rsidRPr="00D56F5B">
        <w:t>(c)</w:t>
      </w:r>
      <w:r w:rsidR="00D56F5B" w:rsidRPr="00D56F5B">
        <w:tab/>
      </w:r>
      <w:r w:rsidR="00D56F5B" w:rsidRPr="00D56F5B">
        <w:rPr>
          <w:rFonts w:asciiTheme="majorBidi" w:eastAsia="黑体" w:hAnsiTheme="majorBidi" w:cstheme="majorBidi"/>
        </w:rPr>
        <w:t>确保系统和持续地实施消除媒体中的性别成见的措施，包括为记者、编辑及其他媒体从业人员提供敏感对待性别问题的培训，加强与媒体监管和监督机构的合作，并制定明确准则，防止对妇女和女童进行带有性别歧视和成见的描绘。</w:t>
      </w:r>
    </w:p>
    <w:p w14:paraId="3EFD20FD"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针对妇女和女童的性别暴力</w:t>
      </w:r>
    </w:p>
    <w:p w14:paraId="0FE75943" w14:textId="77777777" w:rsidR="00D56F5B" w:rsidRPr="00D56F5B" w:rsidRDefault="00D56F5B" w:rsidP="00830A2C">
      <w:pPr>
        <w:pStyle w:val="SingleTxt"/>
        <w:spacing w:after="120"/>
      </w:pPr>
      <w:r w:rsidRPr="00D56F5B">
        <w:t>24.</w:t>
      </w:r>
      <w:r w:rsidRPr="00D56F5B">
        <w:tab/>
      </w:r>
      <w:r w:rsidRPr="00D56F5B">
        <w:t>委员会注意到缔约国为应对针对妇女和女童的性别暴力所采取的措施，包括提供</w:t>
      </w:r>
      <w:r w:rsidRPr="00D56F5B">
        <w:rPr>
          <w:rFonts w:hint="eastAsia"/>
        </w:rPr>
        <w:t>由</w:t>
      </w:r>
      <w:r w:rsidRPr="00D56F5B">
        <w:t>国家保障的法律援助，以及对法官、检察官和警察进行培训。然而，委员会仍感关切的是：</w:t>
      </w:r>
    </w:p>
    <w:p w14:paraId="39582087" w14:textId="4CDE90C4" w:rsidR="00D56F5B" w:rsidRPr="00D56F5B" w:rsidRDefault="00830A2C" w:rsidP="00830A2C">
      <w:pPr>
        <w:pStyle w:val="SingleTxt"/>
        <w:spacing w:after="120"/>
      </w:pPr>
      <w:r>
        <w:tab/>
      </w:r>
      <w:r w:rsidR="00D56F5B" w:rsidRPr="00D56F5B">
        <w:t>(a)</w:t>
      </w:r>
      <w:r w:rsidR="00D56F5B" w:rsidRPr="00D56F5B">
        <w:tab/>
      </w:r>
      <w:r w:rsidR="00D56F5B" w:rsidRPr="00D56F5B">
        <w:t>缔约国</w:t>
      </w:r>
      <w:r w:rsidR="00D56F5B" w:rsidRPr="00D56F5B">
        <w:t>2012</w:t>
      </w:r>
      <w:r w:rsidR="00D56F5B" w:rsidRPr="00D56F5B">
        <w:t>年签署的《欧洲委员会预防和打击暴力侵害妇女行为及家庭暴力公约》</w:t>
      </w:r>
      <w:r>
        <w:t>(</w:t>
      </w:r>
      <w:r w:rsidR="00D56F5B" w:rsidRPr="00D56F5B">
        <w:t>《伊斯坦布尔公约》</w:t>
      </w:r>
      <w:r>
        <w:t>)</w:t>
      </w:r>
      <w:r w:rsidR="00D56F5B" w:rsidRPr="00D56F5B">
        <w:t>尚未在议会获得批准；</w:t>
      </w:r>
    </w:p>
    <w:p w14:paraId="04E4B5EF" w14:textId="11649AA7" w:rsidR="00D56F5B" w:rsidRPr="00D56F5B" w:rsidRDefault="00830A2C" w:rsidP="00830A2C">
      <w:pPr>
        <w:pStyle w:val="SingleTxt"/>
        <w:spacing w:after="120"/>
      </w:pPr>
      <w:r>
        <w:tab/>
      </w:r>
      <w:r w:rsidR="00D56F5B" w:rsidRPr="00D56F5B">
        <w:t>(b)</w:t>
      </w:r>
      <w:r w:rsidR="00D56F5B" w:rsidRPr="00D56F5B">
        <w:tab/>
      </w:r>
      <w:r w:rsidR="00D56F5B" w:rsidRPr="00D56F5B">
        <w:rPr>
          <w:spacing w:val="-4"/>
        </w:rPr>
        <w:t>针对妇女和女童的性别暴力行为仍然严重报告不足，未得到充分应对，</w:t>
      </w:r>
      <w:r w:rsidR="00D56F5B" w:rsidRPr="00D56F5B">
        <w:t>且在结构层面被掩盖，这</w:t>
      </w:r>
      <w:r w:rsidR="00D56F5B" w:rsidRPr="00D56F5B">
        <w:rPr>
          <w:rFonts w:hint="eastAsia"/>
        </w:rPr>
        <w:t>削弱了</w:t>
      </w:r>
      <w:r w:rsidR="00D56F5B" w:rsidRPr="00D56F5B">
        <w:t>预防、保护和问责工作；</w:t>
      </w:r>
    </w:p>
    <w:p w14:paraId="552451F6" w14:textId="5B8DBE46" w:rsidR="00D56F5B" w:rsidRPr="00D56F5B" w:rsidRDefault="00830A2C" w:rsidP="00830A2C">
      <w:pPr>
        <w:pStyle w:val="SingleTxt"/>
        <w:spacing w:after="120"/>
      </w:pPr>
      <w:r>
        <w:tab/>
      </w:r>
      <w:r w:rsidR="00D56F5B" w:rsidRPr="00D56F5B">
        <w:t>(c)</w:t>
      </w:r>
      <w:r w:rsidR="00D56F5B" w:rsidRPr="00D56F5B">
        <w:tab/>
      </w:r>
      <w:r w:rsidR="00D56F5B" w:rsidRPr="00D56F5B">
        <w:t>技术助长的性别暴力</w:t>
      </w:r>
      <w:r>
        <w:t>(</w:t>
      </w:r>
      <w:r w:rsidR="00D56F5B" w:rsidRPr="00D56F5B">
        <w:t>包括针对妇女和女童的线上骚扰及网络暴力</w:t>
      </w:r>
      <w:r>
        <w:t>)</w:t>
      </w:r>
      <w:r w:rsidR="00D56F5B" w:rsidRPr="00D56F5B">
        <w:t>日益增多，而应对措施仍不成体系；</w:t>
      </w:r>
    </w:p>
    <w:p w14:paraId="6D6936C9" w14:textId="67C979D0" w:rsidR="00D56F5B" w:rsidRPr="00D56F5B" w:rsidRDefault="00830A2C" w:rsidP="00830A2C">
      <w:pPr>
        <w:pStyle w:val="SingleTxt"/>
        <w:spacing w:after="120"/>
      </w:pPr>
      <w:r>
        <w:tab/>
      </w:r>
      <w:r w:rsidR="00D56F5B" w:rsidRPr="00D56F5B">
        <w:t>(d)</w:t>
      </w:r>
      <w:r w:rsidR="00D56F5B" w:rsidRPr="00D56F5B">
        <w:tab/>
      </w:r>
      <w:r w:rsidR="00D56F5B" w:rsidRPr="00D56F5B">
        <w:t>性暴力</w:t>
      </w:r>
      <w:r>
        <w:t>(</w:t>
      </w:r>
      <w:r w:rsidR="00D56F5B" w:rsidRPr="00D56F5B">
        <w:t>包括强奸</w:t>
      </w:r>
      <w:r>
        <w:t>)</w:t>
      </w:r>
      <w:r w:rsidR="00D56F5B" w:rsidRPr="00D56F5B">
        <w:t>的定义仍基于使用暴力和发生抵抗，而</w:t>
      </w:r>
      <w:r w:rsidR="00D56F5B" w:rsidRPr="00D56F5B">
        <w:rPr>
          <w:rFonts w:hint="eastAsia"/>
        </w:rPr>
        <w:t>非</w:t>
      </w:r>
      <w:r w:rsidR="00D56F5B" w:rsidRPr="00D56F5B">
        <w:t>以未经自愿同意为依据；</w:t>
      </w:r>
    </w:p>
    <w:p w14:paraId="7867B6DA" w14:textId="37532077" w:rsidR="00D56F5B" w:rsidRPr="00D56F5B" w:rsidRDefault="00830A2C" w:rsidP="00830A2C">
      <w:pPr>
        <w:pStyle w:val="SingleTxt"/>
        <w:spacing w:after="120"/>
      </w:pPr>
      <w:r>
        <w:tab/>
      </w:r>
      <w:r w:rsidR="00D56F5B" w:rsidRPr="00D56F5B">
        <w:t>(e)</w:t>
      </w:r>
      <w:r w:rsidR="00D56F5B" w:rsidRPr="00D56F5B">
        <w:tab/>
      </w:r>
      <w:r w:rsidR="00D56F5B" w:rsidRPr="00D56F5B">
        <w:t>尽管开展了各种培训举措，性别成见、受害者有罪论思维以及对创伤和同意的理解不足，继续影响着刑事司法部门和警方的应对；</w:t>
      </w:r>
    </w:p>
    <w:p w14:paraId="3DDEB086" w14:textId="0B115165" w:rsidR="00D56F5B" w:rsidRPr="00D56F5B" w:rsidRDefault="00830A2C" w:rsidP="00830A2C">
      <w:pPr>
        <w:pStyle w:val="SingleTxt"/>
        <w:spacing w:after="120"/>
      </w:pPr>
      <w:r>
        <w:tab/>
      </w:r>
      <w:r w:rsidR="00D56F5B" w:rsidRPr="00D56F5B">
        <w:t>(f)</w:t>
      </w:r>
      <w:r w:rsidR="00D56F5B" w:rsidRPr="00D56F5B">
        <w:tab/>
      </w:r>
      <w:r w:rsidR="00D56F5B" w:rsidRPr="00D56F5B">
        <w:t>违反紧急禁止令的情况日益增多，这引起了对紧急禁止令作为预防措施的有效性以及对执行机制效力的担忧；</w:t>
      </w:r>
    </w:p>
    <w:p w14:paraId="2326CABD" w14:textId="3CBCA793" w:rsidR="00D56F5B" w:rsidRPr="00D56F5B" w:rsidRDefault="00830A2C" w:rsidP="00830A2C">
      <w:pPr>
        <w:pStyle w:val="SingleTxt"/>
        <w:spacing w:after="120"/>
      </w:pPr>
      <w:r>
        <w:tab/>
      </w:r>
      <w:r w:rsidR="00D56F5B" w:rsidRPr="00D56F5B">
        <w:t>(g)</w:t>
      </w:r>
      <w:r w:rsidR="00D56F5B" w:rsidRPr="00D56F5B">
        <w:tab/>
      </w:r>
      <w:r w:rsidR="00D56F5B" w:rsidRPr="00D56F5B">
        <w:t>据报告，专门综合援助中心的认证制度无法发挥效力，这令性别暴力受害者获得专门支持变得更加困难。</w:t>
      </w:r>
    </w:p>
    <w:p w14:paraId="223C8822" w14:textId="77777777" w:rsidR="00D56F5B" w:rsidRPr="00D56F5B" w:rsidRDefault="00D56F5B" w:rsidP="00830A2C">
      <w:pPr>
        <w:pStyle w:val="SingleTxt"/>
        <w:spacing w:after="120"/>
        <w:rPr>
          <w:rFonts w:asciiTheme="majorBidi" w:eastAsia="黑体" w:hAnsiTheme="majorBidi" w:cstheme="majorBidi"/>
        </w:rPr>
      </w:pPr>
      <w:r w:rsidRPr="00D56F5B">
        <w:t>25.</w:t>
      </w:r>
      <w:r w:rsidRPr="00D56F5B">
        <w:tab/>
      </w:r>
      <w:r w:rsidRPr="00D56F5B">
        <w:rPr>
          <w:rFonts w:asciiTheme="majorBidi" w:eastAsia="黑体" w:hAnsiTheme="majorBidi" w:cstheme="majorBidi"/>
        </w:rPr>
        <w:t>委员会回顾其</w:t>
      </w:r>
      <w:r w:rsidRPr="00112891">
        <w:rPr>
          <w:rFonts w:ascii="宋体" w:eastAsia="黑体" w:hAnsi="宋体" w:cstheme="majorBidi"/>
        </w:rPr>
        <w:t>“</w:t>
      </w:r>
      <w:r w:rsidRPr="00D56F5B">
        <w:rPr>
          <w:rFonts w:asciiTheme="majorBidi" w:eastAsia="黑体" w:hAnsiTheme="majorBidi" w:cstheme="majorBidi"/>
        </w:rPr>
        <w:t>关于基于性别的暴力侵害妇女行为的第</w:t>
      </w:r>
      <w:r w:rsidRPr="00D56F5B">
        <w:rPr>
          <w:rFonts w:asciiTheme="majorBidi" w:eastAsia="黑体" w:hAnsiTheme="majorBidi" w:cstheme="majorBidi"/>
        </w:rPr>
        <w:t>35</w:t>
      </w:r>
      <w:r w:rsidRPr="00D56F5B">
        <w:rPr>
          <w:rFonts w:asciiTheme="majorBidi" w:eastAsia="黑体" w:hAnsiTheme="majorBidi" w:cstheme="majorBidi"/>
        </w:rPr>
        <w:t>号一般性建议</w:t>
      </w:r>
      <w:r w:rsidRPr="00D56F5B">
        <w:rPr>
          <w:rFonts w:asciiTheme="majorBidi" w:eastAsia="黑体" w:hAnsiTheme="majorBidi" w:cstheme="majorBidi"/>
        </w:rPr>
        <w:t>(2017</w:t>
      </w:r>
      <w:r w:rsidRPr="00D56F5B">
        <w:rPr>
          <w:rFonts w:asciiTheme="majorBidi" w:eastAsia="黑体" w:hAnsiTheme="majorBidi" w:cstheme="majorBidi"/>
        </w:rPr>
        <w:t>年</w:t>
      </w:r>
      <w:r w:rsidRPr="00D56F5B">
        <w:rPr>
          <w:rFonts w:asciiTheme="majorBidi" w:eastAsia="黑体" w:hAnsiTheme="majorBidi" w:cstheme="majorBidi"/>
        </w:rPr>
        <w:t>)</w:t>
      </w:r>
      <w:r w:rsidRPr="00D56F5B">
        <w:rPr>
          <w:rFonts w:asciiTheme="majorBidi" w:eastAsia="黑体" w:hAnsiTheme="majorBidi" w:cstheme="majorBidi"/>
        </w:rPr>
        <w:t>，更新第</w:t>
      </w:r>
      <w:r w:rsidRPr="00D56F5B">
        <w:rPr>
          <w:rFonts w:asciiTheme="majorBidi" w:eastAsia="黑体" w:hAnsiTheme="majorBidi" w:cstheme="majorBidi"/>
        </w:rPr>
        <w:t>19</w:t>
      </w:r>
      <w:r w:rsidRPr="00D56F5B">
        <w:rPr>
          <w:rFonts w:asciiTheme="majorBidi" w:eastAsia="黑体" w:hAnsiTheme="majorBidi" w:cstheme="majorBidi"/>
        </w:rPr>
        <w:t>号一般性建议</w:t>
      </w:r>
      <w:r w:rsidRPr="00112891">
        <w:rPr>
          <w:rFonts w:ascii="宋体" w:eastAsia="黑体" w:hAnsi="宋体" w:cstheme="majorBidi"/>
        </w:rPr>
        <w:t>”</w:t>
      </w:r>
      <w:r w:rsidRPr="00D56F5B">
        <w:rPr>
          <w:rFonts w:asciiTheme="majorBidi" w:eastAsia="黑体" w:hAnsiTheme="majorBidi" w:cstheme="majorBidi"/>
        </w:rPr>
        <w:t>以及可持续发展目标的具体目标</w:t>
      </w:r>
      <w:r w:rsidRPr="00D56F5B">
        <w:rPr>
          <w:rFonts w:asciiTheme="majorBidi" w:eastAsia="黑体" w:hAnsiTheme="majorBidi" w:cstheme="majorBidi"/>
        </w:rPr>
        <w:t>5.2(</w:t>
      </w:r>
      <w:r w:rsidRPr="00D56F5B">
        <w:rPr>
          <w:rFonts w:asciiTheme="majorBidi" w:eastAsia="黑体" w:hAnsiTheme="majorBidi" w:cstheme="majorBidi"/>
        </w:rPr>
        <w:t>消除公共和私营部门针对妇女和女童一切形式的暴力行为</w:t>
      </w:r>
      <w:r w:rsidRPr="00D56F5B">
        <w:rPr>
          <w:rFonts w:asciiTheme="majorBidi" w:eastAsia="黑体" w:hAnsiTheme="majorBidi" w:cstheme="majorBidi"/>
        </w:rPr>
        <w:t>)</w:t>
      </w:r>
      <w:r w:rsidRPr="00D56F5B">
        <w:rPr>
          <w:rFonts w:asciiTheme="majorBidi" w:eastAsia="黑体" w:hAnsiTheme="majorBidi" w:cstheme="majorBidi"/>
        </w:rPr>
        <w:t>，建议缔约国：</w:t>
      </w:r>
    </w:p>
    <w:p w14:paraId="073F412B" w14:textId="2C7589B2"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从速批准《伊斯坦布尔公约》，确保将其纳入国家法律，并在法律和实践中全面有效地予以落实；</w:t>
      </w:r>
    </w:p>
    <w:p w14:paraId="20B3C6AB" w14:textId="34303C98"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加强预防、报告和数据收集机制，以解决性别暴力行为的报告不足和结构性隐形问题，包括为此设立可及性强且以幸存者为中心的举报程序；</w:t>
      </w:r>
    </w:p>
    <w:p w14:paraId="2BD962DE" w14:textId="4D1C24C5" w:rsidR="00D56F5B" w:rsidRPr="00D56F5B" w:rsidRDefault="00830A2C" w:rsidP="00830A2C">
      <w:pPr>
        <w:pStyle w:val="SingleTxt"/>
        <w:spacing w:after="120"/>
        <w:rPr>
          <w:rFonts w:asciiTheme="majorBidi" w:eastAsia="黑体" w:hAnsiTheme="majorBidi" w:cstheme="majorBidi"/>
        </w:rPr>
      </w:pPr>
      <w:r>
        <w:tab/>
      </w:r>
      <w:r w:rsidR="00D56F5B" w:rsidRPr="00D56F5B">
        <w:t>(c)</w:t>
      </w:r>
      <w:r w:rsidR="00D56F5B" w:rsidRPr="00D56F5B">
        <w:tab/>
      </w:r>
      <w:r w:rsidR="00D56F5B" w:rsidRPr="00D56F5B">
        <w:rPr>
          <w:rFonts w:asciiTheme="majorBidi" w:eastAsia="黑体" w:hAnsiTheme="majorBidi" w:cstheme="majorBidi"/>
          <w:spacing w:val="-4"/>
        </w:rPr>
        <w:t>采取全面的立法和政策措施，预防、调查和惩处技术助长的性别暴力，</w:t>
      </w:r>
      <w:r w:rsidR="00D56F5B" w:rsidRPr="00D56F5B">
        <w:rPr>
          <w:rFonts w:asciiTheme="majorBidi" w:eastAsia="黑体" w:hAnsiTheme="majorBidi" w:cstheme="majorBidi"/>
        </w:rPr>
        <w:t>并确保为受害者提供有效补救和保护；</w:t>
      </w:r>
    </w:p>
    <w:p w14:paraId="4DB2A2D5" w14:textId="4BBB6F95" w:rsidR="00D56F5B" w:rsidRPr="00D56F5B" w:rsidRDefault="00830A2C" w:rsidP="00830A2C">
      <w:pPr>
        <w:pStyle w:val="SingleTxt"/>
        <w:spacing w:after="120"/>
        <w:rPr>
          <w:rFonts w:asciiTheme="majorBidi" w:eastAsia="黑体" w:hAnsiTheme="majorBidi" w:cstheme="majorBidi"/>
        </w:rPr>
      </w:pPr>
      <w:r>
        <w:tab/>
      </w:r>
      <w:r w:rsidR="00D56F5B" w:rsidRPr="00D56F5B">
        <w:t>(d)</w:t>
      </w:r>
      <w:r w:rsidR="00D56F5B" w:rsidRPr="00D56F5B">
        <w:tab/>
      </w:r>
      <w:r w:rsidR="00D56F5B" w:rsidRPr="00D56F5B">
        <w:rPr>
          <w:rFonts w:asciiTheme="majorBidi" w:eastAsia="黑体" w:hAnsiTheme="majorBidi" w:cstheme="majorBidi"/>
        </w:rPr>
        <w:t>修订《刑法》，依据国际和欧洲人权标准，以未经自愿同意为依据界定性暴力，包括强奸；</w:t>
      </w:r>
    </w:p>
    <w:p w14:paraId="591DAA75" w14:textId="70B4950C" w:rsidR="00D56F5B" w:rsidRPr="00D56F5B" w:rsidRDefault="00830A2C" w:rsidP="00830A2C">
      <w:pPr>
        <w:pStyle w:val="SingleTxt"/>
        <w:spacing w:after="120"/>
        <w:rPr>
          <w:rFonts w:asciiTheme="majorBidi" w:eastAsia="黑体" w:hAnsiTheme="majorBidi" w:cstheme="majorBidi"/>
        </w:rPr>
      </w:pPr>
      <w:r>
        <w:tab/>
      </w:r>
      <w:r w:rsidR="00D56F5B" w:rsidRPr="00D56F5B">
        <w:t>(e)</w:t>
      </w:r>
      <w:r w:rsidR="00D56F5B" w:rsidRPr="00D56F5B">
        <w:tab/>
      </w:r>
      <w:r w:rsidR="00D56F5B" w:rsidRPr="00D56F5B">
        <w:rPr>
          <w:rFonts w:asciiTheme="majorBidi" w:eastAsia="黑体" w:hAnsiTheme="majorBidi" w:cstheme="majorBidi"/>
        </w:rPr>
        <w:t>为法官、检察官和警察提供强制和持续性的、对性别问题有敏感认识的性别暴力问题培训，包括消除指责受害者的做法，并定期评估培训成效；</w:t>
      </w:r>
    </w:p>
    <w:p w14:paraId="6221259D" w14:textId="5AC6D91B" w:rsidR="00D56F5B" w:rsidRPr="00D56F5B" w:rsidRDefault="00830A2C" w:rsidP="00830A2C">
      <w:pPr>
        <w:pStyle w:val="SingleTxt"/>
        <w:spacing w:after="120"/>
        <w:rPr>
          <w:rFonts w:asciiTheme="majorBidi" w:eastAsia="黑体" w:hAnsiTheme="majorBidi" w:cstheme="majorBidi"/>
        </w:rPr>
      </w:pPr>
      <w:r>
        <w:tab/>
      </w:r>
      <w:r w:rsidR="00D56F5B" w:rsidRPr="00D56F5B">
        <w:t>(f)</w:t>
      </w:r>
      <w:r w:rsidR="00D56F5B" w:rsidRPr="00D56F5B">
        <w:tab/>
      </w:r>
      <w:r w:rsidR="00D56F5B" w:rsidRPr="00D56F5B">
        <w:rPr>
          <w:rFonts w:asciiTheme="majorBidi" w:eastAsia="黑体" w:hAnsiTheme="majorBidi" w:cstheme="majorBidi"/>
        </w:rPr>
        <w:t>加强紧急禁止令的执行力度，包括开展有效监测、风险评估并对违反行为予以及时处罚，并考虑采取配套的长期措施，以预防和保护妇女和女童免受性别暴力侵害；</w:t>
      </w:r>
    </w:p>
    <w:p w14:paraId="2CACF372" w14:textId="1983C271" w:rsidR="00D56F5B" w:rsidRPr="00D56F5B" w:rsidRDefault="00830A2C" w:rsidP="00830A2C">
      <w:pPr>
        <w:pStyle w:val="SingleTxt"/>
        <w:spacing w:after="120"/>
      </w:pPr>
      <w:r>
        <w:tab/>
      </w:r>
      <w:r w:rsidR="00D56F5B" w:rsidRPr="00D56F5B">
        <w:t>(g)</w:t>
      </w:r>
      <w:r w:rsidR="00D56F5B" w:rsidRPr="00D56F5B">
        <w:tab/>
      </w:r>
      <w:r w:rsidR="00D56F5B" w:rsidRPr="00D56F5B">
        <w:rPr>
          <w:rFonts w:asciiTheme="majorBidi" w:eastAsia="黑体" w:hAnsiTheme="majorBidi" w:cstheme="majorBidi"/>
        </w:rPr>
        <w:t>审查并改革针对专业综合援助中心的认证制度，以确保透明度、有效性和以幸存者为中心的方针，为具备公认专长的组织消除认证过程中的不必要行政障碍，并确保定期监测和缔约国境内的充分覆盖。</w:t>
      </w:r>
    </w:p>
    <w:p w14:paraId="0204161D"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贩运妇女和女童以及利用卖淫营利</w:t>
      </w:r>
    </w:p>
    <w:p w14:paraId="71D104C3" w14:textId="77777777" w:rsidR="00D56F5B" w:rsidRPr="00D56F5B" w:rsidRDefault="00D56F5B" w:rsidP="00830A2C">
      <w:pPr>
        <w:pStyle w:val="SingleTxt"/>
        <w:spacing w:after="120"/>
      </w:pPr>
      <w:r w:rsidRPr="00D56F5B">
        <w:t>26.</w:t>
      </w:r>
      <w:r w:rsidRPr="00D56F5B">
        <w:tab/>
      </w:r>
      <w:r w:rsidRPr="00D56F5B">
        <w:t>委员会注意到缔约国为打击人口贩运所作的努力，包括通过了</w:t>
      </w:r>
      <w:r w:rsidRPr="00D56F5B">
        <w:t>2024-2026</w:t>
      </w:r>
      <w:r w:rsidRPr="00D56F5B">
        <w:t>年打击人口贩运行动计划和第</w:t>
      </w:r>
      <w:r w:rsidRPr="00D56F5B">
        <w:t>I-327/1V-1015/A1-758</w:t>
      </w:r>
      <w:r w:rsidRPr="00D56F5B">
        <w:t>号联合法令，以加强对贩运受害者的保护。然而，委员会关切地注意到：</w:t>
      </w:r>
    </w:p>
    <w:p w14:paraId="7AB0AFD0" w14:textId="43905B0F" w:rsidR="00D56F5B" w:rsidRPr="00D56F5B" w:rsidRDefault="00830A2C" w:rsidP="00830A2C">
      <w:pPr>
        <w:pStyle w:val="SingleTxt"/>
        <w:spacing w:after="120"/>
      </w:pPr>
      <w:r>
        <w:tab/>
      </w:r>
      <w:r w:rsidR="00D56F5B" w:rsidRPr="00D56F5B">
        <w:t>(a)</w:t>
      </w:r>
      <w:r w:rsidR="00D56F5B" w:rsidRPr="00D56F5B">
        <w:tab/>
      </w:r>
      <w:r w:rsidR="00D56F5B" w:rsidRPr="00D56F5B">
        <w:t>妇女和女童</w:t>
      </w:r>
      <w:r>
        <w:t>(</w:t>
      </w:r>
      <w:r w:rsidR="00D56F5B" w:rsidRPr="00D56F5B">
        <w:t>包括来自其他国家的移民妇女和女童</w:t>
      </w:r>
      <w:r>
        <w:t>)</w:t>
      </w:r>
      <w:r w:rsidR="00D56F5B" w:rsidRPr="00D56F5B">
        <w:t>继续面临更高的被贩运风险，而且为劳工剥削目的而向缔约国贩运人口的现象呈上升趋势；</w:t>
      </w:r>
    </w:p>
    <w:p w14:paraId="6755C2F5" w14:textId="1402333B" w:rsidR="00D56F5B" w:rsidRPr="00D56F5B" w:rsidRDefault="00830A2C" w:rsidP="00830A2C">
      <w:pPr>
        <w:pStyle w:val="SingleTxt"/>
        <w:spacing w:after="120"/>
      </w:pPr>
      <w:r>
        <w:tab/>
      </w:r>
      <w:r w:rsidR="00D56F5B" w:rsidRPr="00D56F5B">
        <w:t>(b)</w:t>
      </w:r>
      <w:r w:rsidR="00D56F5B" w:rsidRPr="00D56F5B">
        <w:tab/>
      </w:r>
      <w:r w:rsidR="00D56F5B" w:rsidRPr="00D56F5B">
        <w:t>缔约国国内在法律和实践层面针对网络贩运的监管有限；</w:t>
      </w:r>
    </w:p>
    <w:p w14:paraId="60252FB5" w14:textId="3565E9BA" w:rsidR="00D56F5B" w:rsidRPr="00D56F5B" w:rsidRDefault="00830A2C" w:rsidP="00830A2C">
      <w:pPr>
        <w:pStyle w:val="SingleTxt"/>
        <w:spacing w:after="120"/>
      </w:pPr>
      <w:r>
        <w:tab/>
      </w:r>
      <w:r w:rsidR="00D56F5B" w:rsidRPr="00D56F5B">
        <w:t>(c)</w:t>
      </w:r>
      <w:r w:rsidR="00D56F5B" w:rsidRPr="00D56F5B">
        <w:tab/>
      </w:r>
      <w:r w:rsidR="00D56F5B" w:rsidRPr="00D56F5B">
        <w:t>贩运受害者早期识别与筛查机制</w:t>
      </w:r>
      <w:r>
        <w:rPr>
          <w:rFonts w:hint="eastAsia"/>
        </w:rPr>
        <w:t>——</w:t>
      </w:r>
      <w:r w:rsidR="00D56F5B" w:rsidRPr="00D56F5B">
        <w:t>特别是面向寻求庇护的妇女、移民妇女及其他边缘化妇女群体的此类机制</w:t>
      </w:r>
      <w:r>
        <w:rPr>
          <w:rFonts w:hint="eastAsia"/>
        </w:rPr>
        <w:t>——</w:t>
      </w:r>
      <w:r w:rsidR="00D56F5B" w:rsidRPr="00D56F5B">
        <w:t>仍然不足；</w:t>
      </w:r>
    </w:p>
    <w:p w14:paraId="0DA41284" w14:textId="08A33504" w:rsidR="00D56F5B" w:rsidRPr="00D56F5B" w:rsidRDefault="00830A2C" w:rsidP="00830A2C">
      <w:pPr>
        <w:pStyle w:val="SingleTxt"/>
        <w:spacing w:after="120"/>
      </w:pPr>
      <w:r>
        <w:tab/>
      </w:r>
      <w:r w:rsidR="00D56F5B" w:rsidRPr="00D56F5B">
        <w:t>(d)</w:t>
      </w:r>
      <w:r w:rsidR="00D56F5B" w:rsidRPr="00D56F5B">
        <w:tab/>
      </w:r>
      <w:r w:rsidR="00D56F5B" w:rsidRPr="00D56F5B">
        <w:t>尽管《行政犯罪法》第</w:t>
      </w:r>
      <w:r w:rsidR="00D56F5B" w:rsidRPr="00D56F5B">
        <w:t>487</w:t>
      </w:r>
      <w:r w:rsidR="00D56F5B" w:rsidRPr="00D56F5B">
        <w:t>条规定，卖淫和购买性服务均应承担法律责任，但针对卖淫嫖娼行为的行政处罚措施在执行中不成比例地针对从事卖淫的妇女和女童，而非以男性为主的性服务购买者；</w:t>
      </w:r>
    </w:p>
    <w:p w14:paraId="6A670AAC" w14:textId="21C44576" w:rsidR="00D56F5B" w:rsidRPr="00D56F5B" w:rsidRDefault="00830A2C" w:rsidP="00830A2C">
      <w:pPr>
        <w:pStyle w:val="SingleTxt"/>
        <w:spacing w:after="120"/>
      </w:pPr>
      <w:r>
        <w:tab/>
      </w:r>
      <w:r w:rsidR="00D56F5B" w:rsidRPr="00D56F5B">
        <w:t>(e)</w:t>
      </w:r>
      <w:r w:rsidR="00D56F5B" w:rsidRPr="00D56F5B">
        <w:tab/>
      </w:r>
      <w:r w:rsidR="00D56F5B" w:rsidRPr="00D56F5B">
        <w:t>在为希望摆脱卖淫的妇女提供退出方案和重返社会支助方面，缺乏相关信息。</w:t>
      </w:r>
    </w:p>
    <w:p w14:paraId="0E115595" w14:textId="77777777" w:rsidR="00D56F5B" w:rsidRPr="00D56F5B" w:rsidRDefault="00D56F5B" w:rsidP="00830A2C">
      <w:pPr>
        <w:pStyle w:val="SingleTxt"/>
        <w:spacing w:after="120"/>
      </w:pPr>
      <w:r w:rsidRPr="00D56F5B">
        <w:t>27.</w:t>
      </w:r>
      <w:r w:rsidRPr="00D56F5B">
        <w:tab/>
      </w:r>
      <w:r w:rsidRPr="00D56F5B">
        <w:rPr>
          <w:rFonts w:asciiTheme="majorBidi" w:eastAsia="黑体" w:hAnsiTheme="majorBidi" w:cstheme="majorBidi"/>
        </w:rPr>
        <w:t>委员会回顾其关于全球移民背景下贩运妇女和女童问题的第</w:t>
      </w:r>
      <w:r w:rsidRPr="00D56F5B">
        <w:rPr>
          <w:rFonts w:asciiTheme="majorBidi" w:eastAsia="黑体" w:hAnsiTheme="majorBidi" w:cstheme="majorBidi"/>
        </w:rPr>
        <w:t>38</w:t>
      </w:r>
      <w:r w:rsidRPr="00D56F5B">
        <w:rPr>
          <w:rFonts w:asciiTheme="majorBidi" w:eastAsia="黑体" w:hAnsiTheme="majorBidi" w:cstheme="majorBidi"/>
        </w:rPr>
        <w:t>号一般性建议</w:t>
      </w:r>
      <w:r w:rsidRPr="00D56F5B">
        <w:rPr>
          <w:rFonts w:asciiTheme="majorBidi" w:eastAsia="黑体" w:hAnsiTheme="majorBidi" w:cstheme="majorBidi"/>
        </w:rPr>
        <w:t>(2020</w:t>
      </w:r>
      <w:r w:rsidRPr="00D56F5B">
        <w:rPr>
          <w:rFonts w:asciiTheme="majorBidi" w:eastAsia="黑体" w:hAnsiTheme="majorBidi" w:cstheme="majorBidi"/>
        </w:rPr>
        <w:t>年</w:t>
      </w:r>
      <w:r w:rsidRPr="00D56F5B">
        <w:rPr>
          <w:rFonts w:asciiTheme="majorBidi" w:eastAsia="黑体" w:hAnsiTheme="majorBidi" w:cstheme="majorBidi"/>
        </w:rPr>
        <w:t>)</w:t>
      </w:r>
      <w:r w:rsidRPr="00D56F5B">
        <w:rPr>
          <w:rFonts w:asciiTheme="majorBidi" w:eastAsia="黑体" w:hAnsiTheme="majorBidi" w:cstheme="majorBidi"/>
        </w:rPr>
        <w:t>，建议缔约国：</w:t>
      </w:r>
    </w:p>
    <w:p w14:paraId="4A0CFA96" w14:textId="01A97EE3"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为</w:t>
      </w:r>
      <w:r w:rsidR="00D56F5B" w:rsidRPr="00966C44">
        <w:rPr>
          <w:rFonts w:asciiTheme="majorBidi" w:eastAsia="黑体" w:hAnsiTheme="majorBidi" w:cstheme="majorBidi"/>
          <w:spacing w:val="-4"/>
        </w:rPr>
        <w:t>实施打击人口贩运国家行动计划分配充足的人力、技术和财政资源，</w:t>
      </w:r>
      <w:r w:rsidR="00D56F5B" w:rsidRPr="00D56F5B">
        <w:rPr>
          <w:rFonts w:asciiTheme="majorBidi" w:eastAsia="黑体" w:hAnsiTheme="majorBidi" w:cstheme="majorBidi"/>
        </w:rPr>
        <w:t>加强预防和打击贩运妇女和女童行为的各项措施，特别关注劳工剥削问题以及寻求庇护的妇女、移民妇女及其他边缘化妇女群体；</w:t>
      </w:r>
    </w:p>
    <w:p w14:paraId="6EF634F1" w14:textId="5E7574B9" w:rsidR="00D56F5B" w:rsidRPr="00D56F5B" w:rsidRDefault="00830A2C" w:rsidP="00830A2C">
      <w:pPr>
        <w:pStyle w:val="SingleTxt"/>
        <w:spacing w:after="120"/>
      </w:pPr>
      <w:r>
        <w:tab/>
      </w:r>
      <w:r w:rsidR="00D56F5B" w:rsidRPr="00D56F5B">
        <w:t>(b)</w:t>
      </w:r>
      <w:r w:rsidR="00D56F5B" w:rsidRPr="00D56F5B">
        <w:tab/>
      </w:r>
      <w:r w:rsidR="00D56F5B" w:rsidRPr="00D56F5B">
        <w:rPr>
          <w:rFonts w:asciiTheme="majorBidi" w:eastAsia="黑体" w:hAnsiTheme="majorBidi" w:cstheme="majorBidi"/>
        </w:rPr>
        <w:t>通过并实施全面的法律和政策框架以应对网络贩运，确保对这类犯罪行为进行有效调查和起诉；</w:t>
      </w:r>
    </w:p>
    <w:p w14:paraId="7659E354" w14:textId="5B0BC821" w:rsidR="00D56F5B" w:rsidRPr="00D56F5B" w:rsidRDefault="00830A2C" w:rsidP="00830A2C">
      <w:pPr>
        <w:pStyle w:val="SingleTxt"/>
        <w:spacing w:after="120"/>
        <w:rPr>
          <w:rFonts w:asciiTheme="majorBidi" w:eastAsia="黑体" w:hAnsiTheme="majorBidi" w:cstheme="majorBidi"/>
        </w:rPr>
      </w:pPr>
      <w:r>
        <w:tab/>
      </w:r>
      <w:r w:rsidR="00D56F5B" w:rsidRPr="00D56F5B">
        <w:t>(c)</w:t>
      </w:r>
      <w:r w:rsidR="00D56F5B" w:rsidRPr="00D56F5B">
        <w:tab/>
      </w:r>
      <w:r w:rsidR="00D56F5B" w:rsidRPr="00D56F5B">
        <w:rPr>
          <w:rFonts w:asciiTheme="majorBidi" w:eastAsia="黑体" w:hAnsiTheme="majorBidi" w:cstheme="majorBidi"/>
        </w:rPr>
        <w:t>在移民、庇护程序、雇佣和执法等所有相关阶段，建立并实施系统性的、对性别问题有敏感认识的潜在贩运受害者识别和筛查程序；</w:t>
      </w:r>
    </w:p>
    <w:p w14:paraId="71730F5D" w14:textId="6E098702" w:rsidR="00D56F5B" w:rsidRPr="00D56F5B" w:rsidRDefault="00830A2C" w:rsidP="00830A2C">
      <w:pPr>
        <w:pStyle w:val="SingleTxt"/>
        <w:spacing w:after="120"/>
        <w:rPr>
          <w:rFonts w:asciiTheme="majorBidi" w:eastAsia="黑体" w:hAnsiTheme="majorBidi" w:cstheme="majorBidi"/>
        </w:rPr>
      </w:pPr>
      <w:r>
        <w:tab/>
      </w:r>
      <w:r w:rsidR="00D56F5B" w:rsidRPr="00D56F5B">
        <w:t>(d)</w:t>
      </w:r>
      <w:r w:rsidR="00D56F5B" w:rsidRPr="00D56F5B">
        <w:tab/>
      </w:r>
      <w:r w:rsidR="00D56F5B" w:rsidRPr="00D56F5B">
        <w:rPr>
          <w:rFonts w:asciiTheme="majorBidi" w:eastAsia="黑体" w:hAnsiTheme="majorBidi" w:cstheme="majorBidi"/>
        </w:rPr>
        <w:t>加强关于劳工剥削和性剥削贩运风险的宣传运动，重点面向公众、雇主和面临风险的妇女，包括移民妇女和卖淫妇女；</w:t>
      </w:r>
    </w:p>
    <w:p w14:paraId="66215ABE" w14:textId="7E8D3C94" w:rsidR="00D56F5B" w:rsidRPr="00D56F5B" w:rsidRDefault="00830A2C" w:rsidP="00830A2C">
      <w:pPr>
        <w:pStyle w:val="SingleTxt"/>
        <w:spacing w:after="120"/>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e)</w:t>
      </w:r>
      <w:r w:rsidR="00D56F5B" w:rsidRPr="00D56F5B">
        <w:tab/>
      </w:r>
      <w:r w:rsidR="00D56F5B" w:rsidRPr="00D56F5B">
        <w:rPr>
          <w:rFonts w:asciiTheme="majorBidi" w:eastAsia="黑体" w:hAnsiTheme="majorBidi" w:cstheme="majorBidi"/>
        </w:rPr>
        <w:t>确保卖淫妇女和女童不受行政处罚，并确保禁止卖淫嫖娼法规在执行中重点针对性服务购买者和利用妇女卖淫营利者；</w:t>
      </w:r>
    </w:p>
    <w:p w14:paraId="28A323E2" w14:textId="0B59E67D" w:rsidR="00D56F5B" w:rsidRPr="00D56F5B" w:rsidRDefault="00830A2C" w:rsidP="00830A2C">
      <w:pPr>
        <w:pStyle w:val="SingleTxt"/>
        <w:spacing w:after="120"/>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f)</w:t>
      </w:r>
      <w:r w:rsidR="00D56F5B" w:rsidRPr="00D56F5B">
        <w:tab/>
      </w:r>
      <w:r w:rsidR="00D56F5B" w:rsidRPr="00D56F5B">
        <w:rPr>
          <w:rFonts w:asciiTheme="majorBidi" w:eastAsia="黑体" w:hAnsiTheme="majorBidi" w:cstheme="majorBidi"/>
        </w:rPr>
        <w:t>为希望摆脱卖淫的妇女制定退出方案和长期重返社会支助服务，涵盖住房、教育、职业培训、替代性创收机会以及社会心理支持。</w:t>
      </w:r>
    </w:p>
    <w:p w14:paraId="15A46E6B"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参与政治和公共生活</w:t>
      </w:r>
    </w:p>
    <w:p w14:paraId="602CC620" w14:textId="710BEDD1" w:rsidR="00D56F5B" w:rsidRPr="00D56F5B" w:rsidRDefault="00D56F5B" w:rsidP="00507899">
      <w:pPr>
        <w:pStyle w:val="SingleTxt"/>
      </w:pPr>
      <w:r w:rsidRPr="00D56F5B">
        <w:t>28.</w:t>
      </w:r>
      <w:r w:rsidRPr="00D56F5B">
        <w:tab/>
      </w:r>
      <w:r w:rsidRPr="00D56F5B">
        <w:t>委员会肯定，缔约国历史上曾有多名女性担任最高政治级别领导人，包括前总统以及历任和现任女总理。委员会赞扬</w:t>
      </w:r>
      <w:r w:rsidRPr="00D56F5B">
        <w:t>2023-2025</w:t>
      </w:r>
      <w:r w:rsidRPr="00D56F5B">
        <w:t>年男女机会平等行动计划，该计划旨在促进增强边缘化妇女和女童群体</w:t>
      </w:r>
      <w:r w:rsidR="00830A2C">
        <w:t>(</w:t>
      </w:r>
      <w:r w:rsidRPr="00D56F5B">
        <w:t>包括残疾妇女和移民背景妇女</w:t>
      </w:r>
      <w:r w:rsidR="00830A2C">
        <w:t>)</w:t>
      </w:r>
      <w:r w:rsidRPr="00D56F5B">
        <w:t>的权能，并促进与民间社会组织合作，以鼓励年轻男女参与政治生活。然而，委员会关切地注意到：</w:t>
      </w:r>
    </w:p>
    <w:p w14:paraId="30B9AFDD" w14:textId="12EC1278" w:rsidR="00D56F5B" w:rsidRPr="00D56F5B" w:rsidRDefault="00830A2C" w:rsidP="00507899">
      <w:pPr>
        <w:pStyle w:val="SingleTxt"/>
      </w:pPr>
      <w:r>
        <w:tab/>
      </w:r>
      <w:r w:rsidR="00D56F5B" w:rsidRPr="00D56F5B">
        <w:t>(a)</w:t>
      </w:r>
      <w:r w:rsidR="00D56F5B" w:rsidRPr="00D56F5B">
        <w:tab/>
      </w:r>
      <w:r w:rsidR="00D56F5B" w:rsidRPr="00D56F5B">
        <w:t>妇女在民选和高级决策职位中的代表性不足，包括在议会、政府、市议会和外交部门中；</w:t>
      </w:r>
    </w:p>
    <w:p w14:paraId="5E9C7CE3" w14:textId="058D3CE5" w:rsidR="00D56F5B" w:rsidRPr="00D56F5B" w:rsidRDefault="00830A2C" w:rsidP="00507899">
      <w:pPr>
        <w:pStyle w:val="SingleTxt"/>
      </w:pPr>
      <w:r>
        <w:tab/>
      </w:r>
      <w:r w:rsidR="00D56F5B" w:rsidRPr="00D56F5B">
        <w:t>(b)</w:t>
      </w:r>
      <w:r w:rsidR="00D56F5B" w:rsidRPr="00D56F5B">
        <w:tab/>
      </w:r>
      <w:r w:rsidR="00D56F5B" w:rsidRPr="00D56F5B">
        <w:t>缺乏具有约束力的暂行特别措施，例如强制性选举性别配额，或与政党公共资金资助挂钩的激励和处罚措施；</w:t>
      </w:r>
    </w:p>
    <w:p w14:paraId="346FF4DF" w14:textId="1665D29E" w:rsidR="00D56F5B" w:rsidRPr="00D56F5B" w:rsidRDefault="00830A2C" w:rsidP="00507899">
      <w:pPr>
        <w:pStyle w:val="SingleTxt"/>
      </w:pPr>
      <w:r>
        <w:tab/>
      </w:r>
      <w:r w:rsidR="00D56F5B" w:rsidRPr="00D56F5B">
        <w:t>(c)</w:t>
      </w:r>
      <w:r w:rsidR="00D56F5B" w:rsidRPr="00D56F5B">
        <w:tab/>
      </w:r>
      <w:r w:rsidR="00D56F5B" w:rsidRPr="00D56F5B">
        <w:t>少数族裔妇女</w:t>
      </w:r>
      <w:r>
        <w:t>(</w:t>
      </w:r>
      <w:r w:rsidR="00D56F5B" w:rsidRPr="00D56F5B">
        <w:t>包括罗姆妇女</w:t>
      </w:r>
      <w:r>
        <w:t>)</w:t>
      </w:r>
      <w:r w:rsidR="00D56F5B" w:rsidRPr="00D56F5B">
        <w:t>、农村妇女、残疾妇女及移民妇女在政治和公共生活中的代表性严重不足。</w:t>
      </w:r>
    </w:p>
    <w:p w14:paraId="4611D1C6" w14:textId="77777777" w:rsidR="00D56F5B" w:rsidRPr="00D56F5B" w:rsidRDefault="00D56F5B" w:rsidP="00830A2C">
      <w:pPr>
        <w:pStyle w:val="SingleTxt"/>
        <w:spacing w:after="120"/>
      </w:pPr>
      <w:r w:rsidRPr="00D56F5B">
        <w:t>29.</w:t>
      </w:r>
      <w:r w:rsidRPr="00D56F5B">
        <w:tab/>
      </w:r>
      <w:r w:rsidRPr="00D56F5B">
        <w:rPr>
          <w:rFonts w:asciiTheme="majorBidi" w:eastAsia="黑体" w:hAnsiTheme="majorBidi" w:cstheme="majorBidi"/>
        </w:rPr>
        <w:t>委员会根据其关于妇女参与政治和公共生活的第</w:t>
      </w:r>
      <w:r w:rsidRPr="00D56F5B">
        <w:rPr>
          <w:rFonts w:asciiTheme="majorBidi" w:eastAsia="黑体" w:hAnsiTheme="majorBidi" w:cstheme="majorBidi"/>
        </w:rPr>
        <w:t>40</w:t>
      </w:r>
      <w:r w:rsidRPr="00D56F5B">
        <w:rPr>
          <w:rFonts w:asciiTheme="majorBidi" w:eastAsia="黑体" w:hAnsiTheme="majorBidi" w:cstheme="majorBidi"/>
        </w:rPr>
        <w:t>号和第</w:t>
      </w:r>
      <w:r w:rsidRPr="00D56F5B">
        <w:rPr>
          <w:rFonts w:asciiTheme="majorBidi" w:eastAsia="黑体" w:hAnsiTheme="majorBidi" w:cstheme="majorBidi"/>
        </w:rPr>
        <w:t>23</w:t>
      </w:r>
      <w:r w:rsidRPr="00D56F5B">
        <w:rPr>
          <w:rFonts w:asciiTheme="majorBidi" w:eastAsia="黑体" w:hAnsiTheme="majorBidi" w:cstheme="majorBidi"/>
        </w:rPr>
        <w:t>号一般性建议</w:t>
      </w:r>
      <w:r w:rsidRPr="00D56F5B">
        <w:rPr>
          <w:rFonts w:asciiTheme="majorBidi" w:eastAsia="黑体" w:hAnsiTheme="majorBidi" w:cstheme="majorBidi"/>
        </w:rPr>
        <w:t>(1997</w:t>
      </w:r>
      <w:r w:rsidRPr="00D56F5B">
        <w:rPr>
          <w:rFonts w:asciiTheme="majorBidi" w:eastAsia="黑体" w:hAnsiTheme="majorBidi" w:cstheme="majorBidi"/>
        </w:rPr>
        <w:t>年</w:t>
      </w:r>
      <w:r w:rsidRPr="00D56F5B">
        <w:rPr>
          <w:rFonts w:asciiTheme="majorBidi" w:eastAsia="黑体" w:hAnsiTheme="majorBidi" w:cstheme="majorBidi"/>
        </w:rPr>
        <w:t>)</w:t>
      </w:r>
      <w:r w:rsidRPr="00D56F5B">
        <w:rPr>
          <w:rFonts w:asciiTheme="majorBidi" w:eastAsia="黑体" w:hAnsiTheme="majorBidi" w:cstheme="majorBidi"/>
        </w:rPr>
        <w:t>以及可持续发展目标的具体目标</w:t>
      </w:r>
      <w:r w:rsidRPr="00D56F5B">
        <w:rPr>
          <w:rFonts w:asciiTheme="majorBidi" w:eastAsia="黑体" w:hAnsiTheme="majorBidi" w:cstheme="majorBidi"/>
        </w:rPr>
        <w:t>5.5(</w:t>
      </w:r>
      <w:r w:rsidRPr="00D56F5B">
        <w:rPr>
          <w:rFonts w:asciiTheme="majorBidi" w:eastAsia="黑体" w:hAnsiTheme="majorBidi" w:cstheme="majorBidi"/>
        </w:rPr>
        <w:t>确保妇女全面有效参与各级政治、经济和公共生活的决策，并享有进入以上各级决策领导层的平等机会</w:t>
      </w:r>
      <w:r w:rsidRPr="00D56F5B">
        <w:rPr>
          <w:rFonts w:asciiTheme="majorBidi" w:eastAsia="黑体" w:hAnsiTheme="majorBidi" w:cstheme="majorBidi"/>
        </w:rPr>
        <w:t>)</w:t>
      </w:r>
      <w:r w:rsidRPr="00D56F5B">
        <w:rPr>
          <w:rFonts w:asciiTheme="majorBidi" w:eastAsia="黑体" w:hAnsiTheme="majorBidi" w:cstheme="majorBidi"/>
        </w:rPr>
        <w:t>，建议缔约国：</w:t>
      </w:r>
    </w:p>
    <w:p w14:paraId="34A96CB3" w14:textId="5B4DBE6E"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采取具体和有针对性的措施，例如在国家和市政层面实行性别均等配额，以及优先任命妇女担任公职，以期在各级政治和公共生活中实现性别均等；</w:t>
      </w:r>
    </w:p>
    <w:p w14:paraId="62BBEBB6" w14:textId="508F634B"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修订《选举法》，要求各政党在国家和地方选举的候选人名单中采用所谓</w:t>
      </w:r>
      <w:r w:rsidR="00D56F5B" w:rsidRPr="00112891">
        <w:rPr>
          <w:rFonts w:ascii="宋体" w:eastAsia="黑体" w:hAnsi="宋体" w:cstheme="majorBidi"/>
        </w:rPr>
        <w:t>“</w:t>
      </w:r>
      <w:r w:rsidR="00D56F5B" w:rsidRPr="00D56F5B">
        <w:rPr>
          <w:rFonts w:asciiTheme="majorBidi" w:eastAsia="黑体" w:hAnsiTheme="majorBidi" w:cstheme="majorBidi"/>
        </w:rPr>
        <w:t>拉链制度</w:t>
      </w:r>
      <w:r w:rsidR="00D56F5B" w:rsidRPr="00112891">
        <w:rPr>
          <w:rFonts w:ascii="宋体" w:eastAsia="黑体" w:hAnsi="宋体" w:cstheme="majorBidi"/>
        </w:rPr>
        <w:t>”</w:t>
      </w:r>
      <w:r w:rsidR="00D56F5B" w:rsidRPr="00D56F5B">
        <w:rPr>
          <w:rFonts w:asciiTheme="majorBidi" w:eastAsia="黑体" w:hAnsiTheme="majorBidi" w:cstheme="majorBidi"/>
        </w:rPr>
        <w:t>，确保同等级别的男女候选人数目相同，并对违规者处以罚款；</w:t>
      </w:r>
    </w:p>
    <w:p w14:paraId="5E4E9968" w14:textId="27E10C37" w:rsidR="00D56F5B" w:rsidRPr="00D56F5B" w:rsidRDefault="00830A2C" w:rsidP="00830A2C">
      <w:pPr>
        <w:pStyle w:val="SingleTxt"/>
        <w:spacing w:after="120"/>
      </w:pPr>
      <w:r>
        <w:tab/>
      </w:r>
      <w:r w:rsidR="00D56F5B" w:rsidRPr="00D56F5B">
        <w:t>(c)</w:t>
      </w:r>
      <w:r w:rsidR="00D56F5B" w:rsidRPr="00D56F5B">
        <w:tab/>
      </w:r>
      <w:r w:rsidR="00D56F5B" w:rsidRPr="00D56F5B">
        <w:rPr>
          <w:rFonts w:asciiTheme="majorBidi" w:eastAsia="黑体" w:hAnsiTheme="majorBidi" w:cstheme="majorBidi"/>
        </w:rPr>
        <w:t>对于面临交叉形式歧视的妇女，包括罗姆妇女、农村妇女、残疾妇女和移民妇女，促进她们获得多元化代表并参与政治；</w:t>
      </w:r>
    </w:p>
    <w:p w14:paraId="7EA5D8B6" w14:textId="77777777" w:rsidR="00966C44" w:rsidRDefault="00830A2C" w:rsidP="00966C44">
      <w:pPr>
        <w:pStyle w:val="SingleTxt"/>
        <w:spacing w:after="120"/>
        <w:rPr>
          <w:rFonts w:asciiTheme="majorBidi" w:eastAsia="黑体" w:hAnsiTheme="majorBidi" w:cstheme="majorBidi"/>
        </w:rPr>
      </w:pPr>
      <w:r>
        <w:tab/>
      </w:r>
      <w:r w:rsidR="00D56F5B" w:rsidRPr="00D56F5B">
        <w:t>(d)</w:t>
      </w:r>
      <w:r w:rsidR="00D56F5B" w:rsidRPr="00D56F5B">
        <w:tab/>
      </w:r>
      <w:r w:rsidR="00D56F5B" w:rsidRPr="00D56F5B">
        <w:rPr>
          <w:rFonts w:asciiTheme="majorBidi" w:eastAsia="黑体" w:hAnsiTheme="majorBidi" w:cstheme="majorBidi"/>
        </w:rPr>
        <w:t>对上市公司和国有企业的董事会及高管层采取暂行特别措施。</w:t>
      </w:r>
    </w:p>
    <w:p w14:paraId="25756A97" w14:textId="3F035A23" w:rsidR="00966C44" w:rsidRDefault="00966C44" w:rsidP="00966C44">
      <w:pPr>
        <w:pStyle w:val="SingleTxt"/>
        <w:spacing w:after="120"/>
        <w:rPr>
          <w:rFonts w:asciiTheme="majorBidi" w:eastAsia="黑体" w:hAnsiTheme="majorBidi" w:cstheme="majorBidi"/>
        </w:rPr>
      </w:pPr>
      <w:r>
        <w:rPr>
          <w:rFonts w:asciiTheme="majorBidi" w:eastAsia="黑体" w:hAnsiTheme="majorBidi" w:cstheme="majorBidi"/>
        </w:rPr>
        <w:br w:type="page"/>
      </w:r>
    </w:p>
    <w:p w14:paraId="66141FA4"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国籍</w:t>
      </w:r>
    </w:p>
    <w:p w14:paraId="2D0EB5F7" w14:textId="77777777" w:rsidR="00D56F5B" w:rsidRPr="00D56F5B" w:rsidRDefault="00D56F5B" w:rsidP="00830A2C">
      <w:pPr>
        <w:pStyle w:val="SingleTxt"/>
        <w:spacing w:after="120"/>
      </w:pPr>
      <w:r w:rsidRPr="00D56F5B">
        <w:t>30.</w:t>
      </w:r>
      <w:r w:rsidRPr="00D56F5B">
        <w:tab/>
      </w:r>
      <w:r w:rsidRPr="00D56F5B">
        <w:t>委员会欢迎缔约国对《公民法》第</w:t>
      </w:r>
      <w:r w:rsidRPr="00D56F5B">
        <w:t>15</w:t>
      </w:r>
      <w:r w:rsidRPr="00D56F5B">
        <w:t>条作出修正，该修正为居住在缔约国的无国籍父母的子女提供了保护。然而，委员会仍然关切的是，缔约国尚未就无国籍状态的认定设立单独的行政程序，而是将无国籍状态认定纳入庇护程序，这可能导致识别和保护方面存在漏洞。</w:t>
      </w:r>
    </w:p>
    <w:p w14:paraId="286780F9" w14:textId="77777777" w:rsidR="00D56F5B" w:rsidRPr="00D56F5B" w:rsidRDefault="00D56F5B" w:rsidP="00830A2C">
      <w:pPr>
        <w:pStyle w:val="SingleTxt"/>
        <w:spacing w:after="120"/>
        <w:rPr>
          <w:rFonts w:asciiTheme="majorBidi" w:eastAsia="黑体" w:hAnsiTheme="majorBidi" w:cstheme="majorBidi"/>
        </w:rPr>
      </w:pPr>
      <w:r w:rsidRPr="00D56F5B">
        <w:t>31.</w:t>
      </w:r>
      <w:r w:rsidRPr="00D56F5B">
        <w:tab/>
      </w:r>
      <w:r w:rsidRPr="00D56F5B">
        <w:rPr>
          <w:rFonts w:asciiTheme="majorBidi" w:eastAsia="黑体" w:hAnsiTheme="majorBidi" w:cstheme="majorBidi"/>
        </w:rPr>
        <w:t>委员会建议缔约国设立专门的、可及性强且敏感对待性别问题的无国籍状态认定程序，该程序应独立于庇护程序，以确保及时识别和保护无国籍妇女和女童。委员会还建议缔约国加大力度收集、分析和公开传播按性别、年龄、移民身份及其他相关因素分类的无国籍相关数据，以便监测无国籍妇女和女童的情况，并为循证决策提供依据。</w:t>
      </w:r>
    </w:p>
    <w:p w14:paraId="25CBABCC"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教育</w:t>
      </w:r>
    </w:p>
    <w:p w14:paraId="118A74B3" w14:textId="3EF8BDBF" w:rsidR="00D56F5B" w:rsidRPr="00D56F5B" w:rsidRDefault="00D56F5B" w:rsidP="00830A2C">
      <w:pPr>
        <w:pStyle w:val="SingleTxt"/>
        <w:spacing w:after="120"/>
      </w:pPr>
      <w:r w:rsidRPr="00D56F5B">
        <w:t>32.</w:t>
      </w:r>
      <w:r w:rsidRPr="00D56F5B">
        <w:tab/>
      </w:r>
      <w:r w:rsidRPr="00D56F5B">
        <w:t>委员会注意到立陶宛非正式教育机构实施的提高认识和宣传措施，以消除影响非传统学科或职业道路选择的性别成见，还注意到在</w:t>
      </w:r>
      <w:r w:rsidRPr="00D56F5B">
        <w:t>2023-2025</w:t>
      </w:r>
      <w:r w:rsidRPr="00D56F5B">
        <w:t>年男女机会平等行动计划中纳入了面向女童的科学、技术、工程和数学倡议。委员会还赞扬缔约国在欧盟委员会</w:t>
      </w:r>
      <w:r w:rsidRPr="00112891">
        <w:rPr>
          <w:rFonts w:ascii="宋体" w:hAnsi="宋体"/>
        </w:rPr>
        <w:t>“</w:t>
      </w:r>
      <w:r w:rsidRPr="00D56F5B">
        <w:t>她数据</w:t>
      </w:r>
      <w:r w:rsidRPr="00112891">
        <w:rPr>
          <w:rFonts w:ascii="宋体" w:hAnsi="宋体"/>
        </w:rPr>
        <w:t>”</w:t>
      </w:r>
      <w:r w:rsidR="00830A2C">
        <w:t>(</w:t>
      </w:r>
      <w:r w:rsidRPr="00112891">
        <w:rPr>
          <w:rFonts w:ascii="宋体" w:hAnsi="宋体"/>
        </w:rPr>
        <w:t>“</w:t>
      </w:r>
      <w:r w:rsidRPr="00D56F5B">
        <w:t>She Figures</w:t>
      </w:r>
      <w:r w:rsidRPr="00112891">
        <w:rPr>
          <w:rFonts w:ascii="宋体" w:hAnsi="宋体"/>
        </w:rPr>
        <w:t>”</w:t>
      </w:r>
      <w:r w:rsidR="00830A2C">
        <w:t>)</w:t>
      </w:r>
      <w:r w:rsidRPr="00D56F5B">
        <w:t>指数中位列第二。委员会注意到，缔约国国内于</w:t>
      </w:r>
      <w:r w:rsidRPr="00D56F5B">
        <w:t>2023</w:t>
      </w:r>
      <w:r w:rsidRPr="00D56F5B">
        <w:t>年推出了一门包含性与生殖健康基础教育的生活技能课程。然而，委员会关切地注意到：</w:t>
      </w:r>
    </w:p>
    <w:p w14:paraId="07ABA45D" w14:textId="787882E1" w:rsidR="00D56F5B" w:rsidRPr="00D56F5B" w:rsidRDefault="00830A2C" w:rsidP="00830A2C">
      <w:pPr>
        <w:pStyle w:val="SingleTxt"/>
        <w:spacing w:after="120"/>
      </w:pPr>
      <w:r>
        <w:tab/>
      </w:r>
      <w:r w:rsidR="00D56F5B" w:rsidRPr="00D56F5B">
        <w:t>(a)</w:t>
      </w:r>
      <w:r w:rsidR="00D56F5B" w:rsidRPr="00D56F5B">
        <w:tab/>
      </w:r>
      <w:r w:rsidR="00D56F5B" w:rsidRPr="00D56F5B">
        <w:t>教育系统未能全面系统地纳入适龄的性和生殖健康教育，且不清楚这</w:t>
      </w:r>
      <w:r w:rsidR="00D56F5B" w:rsidRPr="00D56F5B">
        <w:rPr>
          <w:spacing w:val="-4"/>
        </w:rPr>
        <w:t>方面的教育是否包含针对青少年需求，包括在预防早孕和性传播感染方面的内容；</w:t>
      </w:r>
    </w:p>
    <w:p w14:paraId="5ECD3323" w14:textId="4241DCF6" w:rsidR="00D56F5B" w:rsidRPr="00D56F5B" w:rsidRDefault="00830A2C" w:rsidP="00830A2C">
      <w:pPr>
        <w:pStyle w:val="SingleTxt"/>
        <w:spacing w:after="120"/>
      </w:pPr>
      <w:r>
        <w:tab/>
      </w:r>
      <w:r w:rsidR="00D56F5B" w:rsidRPr="00D56F5B">
        <w:t>(b)</w:t>
      </w:r>
      <w:r w:rsidR="00D56F5B" w:rsidRPr="00D56F5B">
        <w:tab/>
      </w:r>
      <w:r w:rsidR="00D56F5B" w:rsidRPr="00D56F5B">
        <w:t>缺乏关于预防性暴力和性别暴力</w:t>
      </w:r>
      <w:r>
        <w:t>(</w:t>
      </w:r>
      <w:r w:rsidR="00D56F5B" w:rsidRPr="00D56F5B">
        <w:t>包括亲密伴侣间暴力</w:t>
      </w:r>
      <w:r>
        <w:t>)</w:t>
      </w:r>
      <w:r w:rsidR="00D56F5B" w:rsidRPr="00D56F5B">
        <w:t>的教育，以及关于彼此尊重的健康关系和同意的教育；</w:t>
      </w:r>
    </w:p>
    <w:p w14:paraId="012FBE21" w14:textId="73C6A082" w:rsidR="00D56F5B" w:rsidRPr="00D56F5B" w:rsidRDefault="00830A2C" w:rsidP="00830A2C">
      <w:pPr>
        <w:pStyle w:val="SingleTxt"/>
        <w:spacing w:after="120"/>
      </w:pPr>
      <w:r>
        <w:tab/>
      </w:r>
      <w:r w:rsidR="00D56F5B" w:rsidRPr="00D56F5B">
        <w:t>(c)</w:t>
      </w:r>
      <w:r w:rsidR="00D56F5B" w:rsidRPr="00D56F5B">
        <w:tab/>
      </w:r>
      <w:r w:rsidR="00D56F5B" w:rsidRPr="00D56F5B">
        <w:t>缺乏关于将性别平等原则系统性纳入各级教育课程的信息。</w:t>
      </w:r>
    </w:p>
    <w:p w14:paraId="1F9DA77F" w14:textId="77777777" w:rsidR="00D56F5B" w:rsidRPr="00D56F5B" w:rsidRDefault="00D56F5B" w:rsidP="00830A2C">
      <w:pPr>
        <w:pStyle w:val="SingleTxt"/>
        <w:spacing w:after="120"/>
      </w:pPr>
      <w:r w:rsidRPr="00D56F5B">
        <w:t>33.</w:t>
      </w:r>
      <w:r w:rsidRPr="00D56F5B">
        <w:tab/>
      </w:r>
      <w:r w:rsidRPr="00D56F5B">
        <w:rPr>
          <w:rFonts w:asciiTheme="majorBidi" w:eastAsia="黑体" w:hAnsiTheme="majorBidi" w:cstheme="majorBidi"/>
        </w:rPr>
        <w:t>委员会回顾其关于女童和妇女受教育权的第</w:t>
      </w:r>
      <w:r w:rsidRPr="00D56F5B">
        <w:rPr>
          <w:rFonts w:asciiTheme="majorBidi" w:eastAsia="黑体" w:hAnsiTheme="majorBidi" w:cstheme="majorBidi"/>
        </w:rPr>
        <w:t>36</w:t>
      </w:r>
      <w:r w:rsidRPr="00D56F5B">
        <w:rPr>
          <w:rFonts w:asciiTheme="majorBidi" w:eastAsia="黑体" w:hAnsiTheme="majorBidi" w:cstheme="majorBidi"/>
        </w:rPr>
        <w:t>号一般性建议</w:t>
      </w:r>
      <w:r w:rsidRPr="00D56F5B">
        <w:rPr>
          <w:rFonts w:asciiTheme="majorBidi" w:eastAsia="黑体" w:hAnsiTheme="majorBidi" w:cstheme="majorBidi"/>
        </w:rPr>
        <w:t>(2017</w:t>
      </w:r>
      <w:r w:rsidRPr="00D56F5B">
        <w:rPr>
          <w:rFonts w:asciiTheme="majorBidi" w:eastAsia="黑体" w:hAnsiTheme="majorBidi" w:cstheme="majorBidi"/>
        </w:rPr>
        <w:t>年</w:t>
      </w:r>
      <w:r w:rsidRPr="00D56F5B">
        <w:rPr>
          <w:rFonts w:asciiTheme="majorBidi" w:eastAsia="黑体" w:hAnsiTheme="majorBidi" w:cstheme="majorBidi"/>
        </w:rPr>
        <w:t xml:space="preserve">) </w:t>
      </w:r>
      <w:r w:rsidRPr="00D56F5B">
        <w:rPr>
          <w:rFonts w:asciiTheme="majorBidi" w:eastAsia="黑体" w:hAnsiTheme="majorBidi" w:cstheme="majorBidi"/>
        </w:rPr>
        <w:t>，建议缔约国：</w:t>
      </w:r>
    </w:p>
    <w:p w14:paraId="7E2F6CC1" w14:textId="26087E95" w:rsidR="00D56F5B" w:rsidRPr="00D56F5B" w:rsidRDefault="00830A2C" w:rsidP="00830A2C">
      <w:pPr>
        <w:pStyle w:val="SingleTxt"/>
        <w:spacing w:after="120"/>
      </w:pPr>
      <w:r>
        <w:tab/>
      </w:r>
      <w:r w:rsidR="00D56F5B" w:rsidRPr="00D56F5B">
        <w:t>(a)</w:t>
      </w:r>
      <w:r w:rsidR="00D56F5B" w:rsidRPr="00D56F5B">
        <w:tab/>
      </w:r>
      <w:r w:rsidR="00D56F5B" w:rsidRPr="00D56F5B">
        <w:rPr>
          <w:rFonts w:asciiTheme="majorBidi" w:eastAsia="黑体" w:hAnsiTheme="majorBidi" w:cstheme="majorBidi"/>
        </w:rPr>
        <w:t>继续消除可能阻碍女童在各级教育中选择非传统学科或职业道路的歧视性性别成见和结构性障碍；</w:t>
      </w:r>
    </w:p>
    <w:p w14:paraId="7C6C279A" w14:textId="2EECEE93"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确</w:t>
      </w:r>
      <w:r w:rsidR="00D56F5B" w:rsidRPr="00A44CC5">
        <w:rPr>
          <w:rFonts w:asciiTheme="majorBidi" w:eastAsia="黑体" w:hAnsiTheme="majorBidi" w:cstheme="majorBidi"/>
          <w:spacing w:val="-4"/>
        </w:rPr>
        <w:t>保以全面、系统和适龄的方式在各级教育中纳入性和生殖健康教育，</w:t>
      </w:r>
      <w:r w:rsidR="00D56F5B" w:rsidRPr="00D56F5B">
        <w:rPr>
          <w:rFonts w:asciiTheme="majorBidi" w:eastAsia="黑体" w:hAnsiTheme="majorBidi" w:cstheme="majorBidi"/>
        </w:rPr>
        <w:t>包括关于预防早孕和性传播感染的专门内容；</w:t>
      </w:r>
    </w:p>
    <w:p w14:paraId="5C382E5D" w14:textId="52894C14" w:rsidR="00D56F5B" w:rsidRPr="00D56F5B" w:rsidRDefault="00830A2C" w:rsidP="00830A2C">
      <w:pPr>
        <w:pStyle w:val="SingleTxt"/>
        <w:spacing w:after="120"/>
        <w:rPr>
          <w:rFonts w:asciiTheme="majorBidi" w:eastAsia="黑体" w:hAnsiTheme="majorBidi" w:cstheme="majorBidi"/>
        </w:rPr>
      </w:pPr>
      <w:r>
        <w:tab/>
      </w:r>
      <w:r w:rsidR="00D56F5B" w:rsidRPr="00D56F5B">
        <w:t>(c)</w:t>
      </w:r>
      <w:r w:rsidR="00D56F5B" w:rsidRPr="00D56F5B">
        <w:tab/>
      </w:r>
      <w:r w:rsidR="00D56F5B" w:rsidRPr="00D56F5B">
        <w:rPr>
          <w:rFonts w:asciiTheme="majorBidi" w:eastAsia="黑体" w:hAnsiTheme="majorBidi" w:cstheme="majorBidi"/>
        </w:rPr>
        <w:t>将关于性别平等、彼此尊重的健康关系、同意以及预防性暴力和性别暴力</w:t>
      </w:r>
      <w:r>
        <w:rPr>
          <w:rFonts w:asciiTheme="majorBidi" w:eastAsia="黑体" w:hAnsiTheme="majorBidi" w:cstheme="majorBidi"/>
        </w:rPr>
        <w:t>(</w:t>
      </w:r>
      <w:r w:rsidR="00D56F5B" w:rsidRPr="00D56F5B">
        <w:rPr>
          <w:rFonts w:asciiTheme="majorBidi" w:eastAsia="黑体" w:hAnsiTheme="majorBidi" w:cstheme="majorBidi"/>
        </w:rPr>
        <w:t>包括亲密伴侣间暴力</w:t>
      </w:r>
      <w:r>
        <w:rPr>
          <w:rFonts w:asciiTheme="majorBidi" w:eastAsia="黑体" w:hAnsiTheme="majorBidi" w:cstheme="majorBidi"/>
        </w:rPr>
        <w:t>)</w:t>
      </w:r>
      <w:r w:rsidR="00D56F5B" w:rsidRPr="00D56F5B">
        <w:rPr>
          <w:rFonts w:asciiTheme="majorBidi" w:eastAsia="黑体" w:hAnsiTheme="majorBidi" w:cstheme="majorBidi"/>
        </w:rPr>
        <w:t>的教育纳入各级学校课程；</w:t>
      </w:r>
    </w:p>
    <w:p w14:paraId="72578385" w14:textId="78386A76" w:rsidR="00D56F5B" w:rsidRPr="00D56F5B" w:rsidRDefault="00830A2C" w:rsidP="00830A2C">
      <w:pPr>
        <w:pStyle w:val="SingleTxt"/>
        <w:spacing w:after="120"/>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d)</w:t>
      </w:r>
      <w:r w:rsidR="00D56F5B" w:rsidRPr="00D56F5B">
        <w:tab/>
      </w:r>
      <w:r w:rsidR="00D56F5B" w:rsidRPr="00D56F5B">
        <w:rPr>
          <w:rFonts w:asciiTheme="majorBidi" w:eastAsia="黑体" w:hAnsiTheme="majorBidi" w:cstheme="majorBidi"/>
        </w:rPr>
        <w:t>审查并改革学校课程，确保系统地将性别平等纳入主流。</w:t>
      </w:r>
    </w:p>
    <w:p w14:paraId="225D6813"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就业</w:t>
      </w:r>
    </w:p>
    <w:p w14:paraId="746E63F6" w14:textId="77777777" w:rsidR="00D56F5B" w:rsidRPr="00D56F5B" w:rsidRDefault="00D56F5B" w:rsidP="00830A2C">
      <w:pPr>
        <w:pStyle w:val="SingleTxt"/>
        <w:spacing w:after="120"/>
      </w:pPr>
      <w:r w:rsidRPr="00D56F5B">
        <w:t>34.</w:t>
      </w:r>
      <w:r w:rsidRPr="00D56F5B">
        <w:tab/>
      </w:r>
      <w:r w:rsidRPr="00D56F5B">
        <w:t>委员会注意到缔约国为促进男女更均衡地分担照护责任所作的努力，包括为此实施了题为</w:t>
      </w:r>
      <w:r w:rsidRPr="00112891">
        <w:rPr>
          <w:rFonts w:ascii="宋体" w:hAnsi="宋体"/>
        </w:rPr>
        <w:t>“</w:t>
      </w:r>
      <w:r w:rsidRPr="00D56F5B">
        <w:t>免费照护工作：谁的责任？</w:t>
      </w:r>
      <w:r w:rsidRPr="00112891">
        <w:rPr>
          <w:rFonts w:ascii="宋体" w:hAnsi="宋体"/>
        </w:rPr>
        <w:t>”</w:t>
      </w:r>
      <w:r w:rsidRPr="00D56F5B">
        <w:t>的项目，扩大</w:t>
      </w:r>
      <w:r w:rsidRPr="00D56F5B">
        <w:rPr>
          <w:rFonts w:hint="eastAsia"/>
        </w:rPr>
        <w:t>了</w:t>
      </w:r>
      <w:r w:rsidRPr="00D56F5B">
        <w:t>幼儿教育</w:t>
      </w:r>
      <w:r w:rsidRPr="00D56F5B">
        <w:rPr>
          <w:rFonts w:hint="eastAsia"/>
        </w:rPr>
        <w:t>和</w:t>
      </w:r>
      <w:r w:rsidRPr="00D56F5B">
        <w:t>保育服务</w:t>
      </w:r>
      <w:r w:rsidRPr="00D56F5B">
        <w:rPr>
          <w:rFonts w:hint="eastAsia"/>
        </w:rPr>
        <w:t>的可及性</w:t>
      </w:r>
      <w:r w:rsidRPr="00D56F5B">
        <w:t>，以及</w:t>
      </w:r>
      <w:r w:rsidRPr="00D56F5B">
        <w:rPr>
          <w:rFonts w:hint="eastAsia"/>
        </w:rPr>
        <w:t>推出</w:t>
      </w:r>
      <w:r w:rsidRPr="00D56F5B">
        <w:t>了不可转让的父母育儿假。委员会还注意到在缩小</w:t>
      </w:r>
      <w:r w:rsidRPr="00966C44">
        <w:rPr>
          <w:spacing w:val="-4"/>
        </w:rPr>
        <w:t>养老金性别差距和提高妇女就业率方面取得的进展。然而，委员会关切地注意到：</w:t>
      </w:r>
    </w:p>
    <w:p w14:paraId="49FDC403" w14:textId="275930D9" w:rsidR="00D56F5B" w:rsidRPr="00D56F5B" w:rsidRDefault="00830A2C" w:rsidP="00830A2C">
      <w:pPr>
        <w:pStyle w:val="SingleTxt"/>
        <w:spacing w:after="120"/>
      </w:pPr>
      <w:r>
        <w:tab/>
      </w:r>
      <w:r w:rsidR="00D56F5B" w:rsidRPr="00D56F5B">
        <w:t>(a)</w:t>
      </w:r>
      <w:r w:rsidR="00D56F5B" w:rsidRPr="00D56F5B">
        <w:tab/>
      </w:r>
      <w:r w:rsidR="00D56F5B" w:rsidRPr="00D56F5B">
        <w:t>妇女继续承担过多的无酬照护和家务工作；</w:t>
      </w:r>
    </w:p>
    <w:p w14:paraId="27557372" w14:textId="23B3B19A" w:rsidR="00D56F5B" w:rsidRPr="00D56F5B" w:rsidRDefault="00830A2C" w:rsidP="00830A2C">
      <w:pPr>
        <w:pStyle w:val="SingleTxt"/>
        <w:spacing w:after="120"/>
      </w:pPr>
      <w:r>
        <w:tab/>
      </w:r>
      <w:r w:rsidR="00D56F5B" w:rsidRPr="00D56F5B">
        <w:t>(b)</w:t>
      </w:r>
      <w:r w:rsidR="00D56F5B" w:rsidRPr="00D56F5B">
        <w:tab/>
      </w:r>
      <w:r w:rsidR="00D56F5B" w:rsidRPr="00D56F5B">
        <w:t>性别工资差距的</w:t>
      </w:r>
      <w:r w:rsidR="00D56F5B" w:rsidRPr="00D56F5B">
        <w:rPr>
          <w:rFonts w:hint="eastAsia"/>
        </w:rPr>
        <w:t>持续</w:t>
      </w:r>
      <w:r w:rsidR="00D56F5B" w:rsidRPr="00D56F5B">
        <w:t>累积，加剧了妇女终身收入的不平等，同时养老金方面的性别差异依然存在，这反映了妇女因</w:t>
      </w:r>
      <w:r w:rsidR="00D56F5B" w:rsidRPr="00D56F5B">
        <w:rPr>
          <w:rFonts w:hint="eastAsia"/>
        </w:rPr>
        <w:t>承担</w:t>
      </w:r>
      <w:r w:rsidR="00D56F5B" w:rsidRPr="00D56F5B">
        <w:t>照护责任而中断就业或从事兼职的情况；</w:t>
      </w:r>
    </w:p>
    <w:p w14:paraId="143A936A" w14:textId="6083328A" w:rsidR="00D56F5B" w:rsidRPr="00D56F5B" w:rsidRDefault="00830A2C" w:rsidP="00830A2C">
      <w:pPr>
        <w:pStyle w:val="SingleTxt"/>
        <w:spacing w:after="120"/>
      </w:pPr>
      <w:r>
        <w:tab/>
      </w:r>
      <w:r w:rsidR="00D56F5B" w:rsidRPr="00D56F5B">
        <w:t>(c)</w:t>
      </w:r>
      <w:r w:rsidR="00D56F5B" w:rsidRPr="00D56F5B">
        <w:tab/>
      </w:r>
      <w:r w:rsidR="00D56F5B" w:rsidRPr="00D56F5B">
        <w:t>存在横向和纵向的职业隔离现象，妇女在管理和领导岗位中的代表性不足，边缘化妇女群体</w:t>
      </w:r>
      <w:r>
        <w:rPr>
          <w:rFonts w:hint="eastAsia"/>
        </w:rPr>
        <w:t>——</w:t>
      </w:r>
      <w:r w:rsidR="00D56F5B" w:rsidRPr="00D56F5B">
        <w:t>如老年女性、残疾女性、罗姆女性及移民妇女</w:t>
      </w:r>
      <w:r>
        <w:rPr>
          <w:rFonts w:hint="eastAsia"/>
        </w:rPr>
        <w:t>——</w:t>
      </w:r>
      <w:r w:rsidR="00D56F5B" w:rsidRPr="00D56F5B">
        <w:t>的代表性尤其不足。</w:t>
      </w:r>
    </w:p>
    <w:p w14:paraId="2636096C" w14:textId="77777777" w:rsidR="00D56F5B" w:rsidRPr="00D56F5B" w:rsidRDefault="00D56F5B" w:rsidP="00830A2C">
      <w:pPr>
        <w:pStyle w:val="SingleTxt"/>
        <w:spacing w:after="120"/>
        <w:rPr>
          <w:rFonts w:asciiTheme="majorBidi" w:eastAsia="黑体" w:hAnsiTheme="majorBidi" w:cstheme="majorBidi"/>
        </w:rPr>
      </w:pPr>
      <w:r w:rsidRPr="00D56F5B">
        <w:t>35.</w:t>
      </w:r>
      <w:r w:rsidRPr="00D56F5B">
        <w:tab/>
      </w:r>
      <w:r w:rsidRPr="00D56F5B">
        <w:rPr>
          <w:rFonts w:asciiTheme="majorBidi" w:eastAsia="黑体" w:hAnsiTheme="majorBidi" w:cstheme="majorBidi"/>
        </w:rPr>
        <w:t>委员会按照可持续发展目标中的具体目标</w:t>
      </w:r>
      <w:r w:rsidRPr="00D56F5B">
        <w:rPr>
          <w:rFonts w:asciiTheme="majorBidi" w:eastAsia="黑体" w:hAnsiTheme="majorBidi" w:cstheme="majorBidi"/>
        </w:rPr>
        <w:t>8.5(</w:t>
      </w:r>
      <w:r w:rsidRPr="00D56F5B">
        <w:rPr>
          <w:rFonts w:asciiTheme="majorBidi" w:eastAsia="黑体" w:hAnsiTheme="majorBidi" w:cstheme="majorBidi"/>
        </w:rPr>
        <w:t>所有男女实现充分和生产性就业，有体面工作</w:t>
      </w:r>
      <w:r w:rsidRPr="00D56F5B">
        <w:rPr>
          <w:rFonts w:asciiTheme="majorBidi" w:eastAsia="黑体" w:hAnsiTheme="majorBidi" w:cstheme="majorBidi"/>
        </w:rPr>
        <w:t>)</w:t>
      </w:r>
      <w:r w:rsidRPr="00D56F5B">
        <w:rPr>
          <w:rFonts w:asciiTheme="majorBidi" w:eastAsia="黑体" w:hAnsiTheme="majorBidi" w:cstheme="majorBidi"/>
        </w:rPr>
        <w:t>，建议缔约国：</w:t>
      </w:r>
    </w:p>
    <w:p w14:paraId="02144BC1" w14:textId="2436BB1D" w:rsidR="00D56F5B" w:rsidRPr="00D56F5B" w:rsidRDefault="00830A2C" w:rsidP="00830A2C">
      <w:pPr>
        <w:pStyle w:val="SingleTxt"/>
        <w:spacing w:after="120"/>
        <w:rPr>
          <w:b/>
        </w:rPr>
      </w:pPr>
      <w:r>
        <w:tab/>
      </w:r>
      <w:r w:rsidR="00D56F5B" w:rsidRPr="00D56F5B">
        <w:t>(a)</w:t>
      </w:r>
      <w:r w:rsidR="00D56F5B" w:rsidRPr="00D56F5B">
        <w:tab/>
      </w:r>
      <w:r w:rsidR="00D56F5B" w:rsidRPr="00D56F5B">
        <w:rPr>
          <w:rFonts w:asciiTheme="majorBidi" w:eastAsia="黑体" w:hAnsiTheme="majorBidi" w:cstheme="majorBidi"/>
        </w:rPr>
        <w:t>加强促进平等分担无酬照护和家务工作的措施，包括对男子休育儿假给予激励、扩大可负担且可及性强的托儿设施和老年人照料服务，以及开展宣传活动，挑战关于女性传统角色的性别成见；</w:t>
      </w:r>
    </w:p>
    <w:p w14:paraId="5FAAE495" w14:textId="62B51F59" w:rsidR="00D56F5B" w:rsidRPr="00D56F5B" w:rsidRDefault="00830A2C" w:rsidP="00830A2C">
      <w:pPr>
        <w:pStyle w:val="SingleTxt"/>
        <w:spacing w:after="120"/>
      </w:pPr>
      <w:r>
        <w:tab/>
      </w:r>
      <w:r w:rsidR="00D56F5B" w:rsidRPr="00D56F5B">
        <w:t>(b)</w:t>
      </w:r>
      <w:r w:rsidR="00D56F5B" w:rsidRPr="00D56F5B">
        <w:tab/>
      </w:r>
      <w:r w:rsidR="00D56F5B" w:rsidRPr="00D56F5B">
        <w:rPr>
          <w:rFonts w:asciiTheme="majorBidi" w:eastAsia="黑体" w:hAnsiTheme="majorBidi" w:cstheme="majorBidi"/>
        </w:rPr>
        <w:t>解决薪酬和养老金性别差距的结构性根源，包括对女性从业者集中的部门的工资进行定期审查，严格执行同工同酬原则，并采取措施补偿因照料责任导致的职业中断；</w:t>
      </w:r>
    </w:p>
    <w:p w14:paraId="3A100E2F" w14:textId="5980950A" w:rsidR="00D56F5B" w:rsidRPr="00D56F5B" w:rsidRDefault="00830A2C" w:rsidP="00830A2C">
      <w:pPr>
        <w:pStyle w:val="SingleTxt"/>
        <w:spacing w:after="120"/>
      </w:pPr>
      <w:r>
        <w:tab/>
      </w:r>
      <w:r w:rsidR="00D56F5B" w:rsidRPr="00D56F5B">
        <w:t>(c)</w:t>
      </w:r>
      <w:r w:rsidR="00D56F5B" w:rsidRPr="00D56F5B">
        <w:tab/>
      </w:r>
      <w:r w:rsidR="00D56F5B" w:rsidRPr="00D56F5B">
        <w:rPr>
          <w:rFonts w:asciiTheme="majorBidi" w:eastAsia="黑体" w:hAnsiTheme="majorBidi" w:cstheme="majorBidi"/>
        </w:rPr>
        <w:t>通过立法及其他有针对性的措施消除横向和纵向职业隔离，确保劳动力市场政策切实解决边缘化妇女群体所面临的特定障碍。</w:t>
      </w:r>
    </w:p>
    <w:p w14:paraId="14FCFAB1"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卫生保健</w:t>
      </w:r>
    </w:p>
    <w:p w14:paraId="482A1511" w14:textId="3B77C2D1" w:rsidR="00D56F5B" w:rsidRPr="00D56F5B" w:rsidRDefault="00D56F5B" w:rsidP="00830A2C">
      <w:pPr>
        <w:pStyle w:val="SingleTxt"/>
        <w:spacing w:after="120"/>
      </w:pPr>
      <w:r w:rsidRPr="00D56F5B">
        <w:t>36.</w:t>
      </w:r>
      <w:r w:rsidRPr="00D56F5B">
        <w:tab/>
      </w:r>
      <w:r w:rsidRPr="00966C44">
        <w:rPr>
          <w:spacing w:val="-4"/>
        </w:rPr>
        <w:t>委员会注意到缔约国自上次审议以来在加强公共卫生体系方面取得的进展。</w:t>
      </w:r>
      <w:r w:rsidRPr="00D56F5B">
        <w:t>委员会特别注意到，卫生部长</w:t>
      </w:r>
      <w:r w:rsidRPr="00D56F5B">
        <w:t>2023</w:t>
      </w:r>
      <w:r w:rsidRPr="00D56F5B">
        <w:t>年</w:t>
      </w:r>
      <w:r w:rsidRPr="00D56F5B">
        <w:t>3</w:t>
      </w:r>
      <w:r w:rsidRPr="00D56F5B">
        <w:t>月</w:t>
      </w:r>
      <w:r w:rsidRPr="00D56F5B">
        <w:t>24</w:t>
      </w:r>
      <w:r w:rsidRPr="00D56F5B">
        <w:t>日第</w:t>
      </w:r>
      <w:r w:rsidRPr="00D56F5B">
        <w:t>V-363</w:t>
      </w:r>
      <w:r w:rsidRPr="00D56F5B">
        <w:t>号令批准了提供公共卫</w:t>
      </w:r>
      <w:r w:rsidRPr="00966C44">
        <w:rPr>
          <w:spacing w:val="8"/>
        </w:rPr>
        <w:t>生保健服务的基本模式；对市政公共卫生机构的投入增加，</w:t>
      </w:r>
      <w:r w:rsidRPr="00966C44">
        <w:rPr>
          <w:spacing w:val="8"/>
        </w:rPr>
        <w:t>2025</w:t>
      </w:r>
      <w:r w:rsidRPr="00966C44">
        <w:rPr>
          <w:spacing w:val="8"/>
        </w:rPr>
        <w:t>年拨款达到</w:t>
      </w:r>
      <w:r w:rsidRPr="00D56F5B">
        <w:t>3</w:t>
      </w:r>
      <w:r w:rsidR="00966C44">
        <w:rPr>
          <w:rFonts w:hint="eastAsia"/>
        </w:rPr>
        <w:t xml:space="preserve"> </w:t>
      </w:r>
      <w:r w:rsidRPr="00D56F5B">
        <w:t>000</w:t>
      </w:r>
      <w:r w:rsidRPr="00D56F5B">
        <w:t>万欧元；</w:t>
      </w:r>
      <w:r w:rsidRPr="00D56F5B">
        <w:t>2021</w:t>
      </w:r>
      <w:r w:rsidRPr="00D56F5B">
        <w:t>年</w:t>
      </w:r>
      <w:r w:rsidRPr="00D56F5B">
        <w:t>7</w:t>
      </w:r>
      <w:r w:rsidRPr="00D56F5B">
        <w:t>月</w:t>
      </w:r>
      <w:r w:rsidRPr="00D56F5B">
        <w:t>30</w:t>
      </w:r>
      <w:r w:rsidRPr="00D56F5B">
        <w:t>日第</w:t>
      </w:r>
      <w:r w:rsidRPr="00D56F5B">
        <w:t>V-1765</w:t>
      </w:r>
      <w:r w:rsidRPr="00D56F5B">
        <w:t>号令获得通过，其中制定了向女性性暴力幸存者提供个人卫生保健服务</w:t>
      </w:r>
      <w:r w:rsidRPr="00D56F5B">
        <w:rPr>
          <w:rFonts w:hint="eastAsia"/>
        </w:rPr>
        <w:t>的</w:t>
      </w:r>
      <w:r w:rsidRPr="00D56F5B">
        <w:t>标准。然而，委员会关切地注意到：</w:t>
      </w:r>
    </w:p>
    <w:p w14:paraId="117712EE" w14:textId="34E27634" w:rsidR="00D56F5B" w:rsidRPr="00D56F5B" w:rsidRDefault="00830A2C" w:rsidP="00830A2C">
      <w:pPr>
        <w:pStyle w:val="SingleTxt"/>
        <w:spacing w:after="120"/>
      </w:pPr>
      <w:r>
        <w:tab/>
      </w:r>
      <w:r w:rsidR="00D56F5B" w:rsidRPr="00D56F5B">
        <w:t>(a)</w:t>
      </w:r>
      <w:r w:rsidR="00D56F5B" w:rsidRPr="00D56F5B">
        <w:tab/>
      </w:r>
      <w:r w:rsidR="00D56F5B" w:rsidRPr="00D56F5B">
        <w:t>缺乏卫生服务获取方面的分类数据，因此难以对妇女和女童获取卫生服务</w:t>
      </w:r>
      <w:r>
        <w:t>(</w:t>
      </w:r>
      <w:r w:rsidR="00D56F5B" w:rsidRPr="00D56F5B">
        <w:t>包括性和生殖健康服务</w:t>
      </w:r>
      <w:r>
        <w:t>)</w:t>
      </w:r>
      <w:r w:rsidR="00D56F5B" w:rsidRPr="00D56F5B">
        <w:t>的情况进行有效评估，也难以查明影响农村妇女、残疾妇女、罗姆妇女及其他边缘化妇女群体的差距；</w:t>
      </w:r>
    </w:p>
    <w:p w14:paraId="201E0190" w14:textId="6EDD6CFF" w:rsidR="00D56F5B" w:rsidRPr="00D56F5B" w:rsidRDefault="00830A2C" w:rsidP="00830A2C">
      <w:pPr>
        <w:pStyle w:val="SingleTxt"/>
        <w:spacing w:after="120"/>
      </w:pPr>
      <w:r>
        <w:tab/>
      </w:r>
      <w:r w:rsidR="00D56F5B" w:rsidRPr="00D56F5B">
        <w:t>(b)</w:t>
      </w:r>
      <w:r w:rsidR="00D56F5B" w:rsidRPr="00D56F5B">
        <w:tab/>
      </w:r>
      <w:r w:rsidR="00D56F5B" w:rsidRPr="00D56F5B">
        <w:t>尽管近期监管改革后，药物流产成为可能，但堕胎服务在法律和经济上仍受限制，因为药物流产仅限于妊娠前八周，手术流产限于妊娠前</w:t>
      </w:r>
      <w:r w:rsidR="00D56F5B" w:rsidRPr="00D56F5B">
        <w:rPr>
          <w:rFonts w:hint="eastAsia"/>
        </w:rPr>
        <w:t>12</w:t>
      </w:r>
      <w:r w:rsidR="00D56F5B" w:rsidRPr="00D56F5B">
        <w:t>周</w:t>
      </w:r>
      <w:r w:rsidR="00D56F5B" w:rsidRPr="00D56F5B">
        <w:rPr>
          <w:rFonts w:hint="eastAsia"/>
        </w:rPr>
        <w:t>，</w:t>
      </w:r>
      <w:r w:rsidR="00D56F5B" w:rsidRPr="00D56F5B">
        <w:t>仅在医学指征下允许怀孕</w:t>
      </w:r>
      <w:r w:rsidR="00D56F5B" w:rsidRPr="00D56F5B">
        <w:t>22</w:t>
      </w:r>
      <w:r w:rsidR="00D56F5B" w:rsidRPr="00D56F5B">
        <w:t>周内进行人工流产，且强制性医疗保险计划仅报销医学指征下的堕胎服务；</w:t>
      </w:r>
    </w:p>
    <w:p w14:paraId="3A2EC7A1" w14:textId="3FAB771C" w:rsidR="00D56F5B" w:rsidRPr="00D56F5B" w:rsidRDefault="00830A2C" w:rsidP="00830A2C">
      <w:pPr>
        <w:pStyle w:val="SingleTxt"/>
        <w:spacing w:after="120"/>
      </w:pPr>
      <w:r>
        <w:tab/>
      </w:r>
      <w:r w:rsidR="00D56F5B" w:rsidRPr="00D56F5B">
        <w:t>(c)</w:t>
      </w:r>
      <w:r w:rsidR="00D56F5B" w:rsidRPr="00D56F5B">
        <w:tab/>
      </w:r>
      <w:r w:rsidR="00D56F5B" w:rsidRPr="00D56F5B">
        <w:t>有关对残疾妇女实施强制或非自愿绝育的报告；</w:t>
      </w:r>
    </w:p>
    <w:p w14:paraId="2FAD4EEB" w14:textId="30054C68" w:rsidR="00D56F5B" w:rsidRPr="00D56F5B" w:rsidRDefault="00830A2C" w:rsidP="00830A2C">
      <w:pPr>
        <w:pStyle w:val="SingleTxt"/>
        <w:spacing w:after="120"/>
      </w:pPr>
      <w:r>
        <w:tab/>
      </w:r>
      <w:r w:rsidR="00D56F5B" w:rsidRPr="00D56F5B">
        <w:t>(d)</w:t>
      </w:r>
      <w:r w:rsidR="00D56F5B" w:rsidRPr="00D56F5B">
        <w:tab/>
      </w:r>
      <w:r w:rsidR="00D56F5B" w:rsidRPr="00D56F5B">
        <w:t>精神卫生政策</w:t>
      </w:r>
      <w:r>
        <w:t>(</w:t>
      </w:r>
      <w:r w:rsidR="00D56F5B" w:rsidRPr="00D56F5B">
        <w:t>包括涉及社会心理残疾者的政策</w:t>
      </w:r>
      <w:r>
        <w:t>)</w:t>
      </w:r>
      <w:r w:rsidR="00D56F5B" w:rsidRPr="00D56F5B">
        <w:t>缺乏性别视角。</w:t>
      </w:r>
    </w:p>
    <w:p w14:paraId="26B968A3" w14:textId="77777777" w:rsidR="00D56F5B" w:rsidRPr="00D56F5B" w:rsidRDefault="00D56F5B" w:rsidP="00830A2C">
      <w:pPr>
        <w:pStyle w:val="SingleTxt"/>
        <w:spacing w:after="120"/>
      </w:pPr>
      <w:r w:rsidRPr="00D56F5B">
        <w:t>37.</w:t>
      </w:r>
      <w:r w:rsidRPr="00D56F5B">
        <w:tab/>
      </w:r>
      <w:r w:rsidRPr="00D56F5B">
        <w:rPr>
          <w:rFonts w:asciiTheme="majorBidi" w:eastAsia="黑体" w:hAnsiTheme="majorBidi" w:cstheme="majorBidi"/>
        </w:rPr>
        <w:t>委员会按照其关于妇女和保健的第</w:t>
      </w:r>
      <w:r w:rsidRPr="00D56F5B">
        <w:rPr>
          <w:rFonts w:asciiTheme="majorBidi" w:eastAsia="黑体" w:hAnsiTheme="majorBidi" w:cstheme="majorBidi"/>
        </w:rPr>
        <w:t>24</w:t>
      </w:r>
      <w:r w:rsidRPr="00D56F5B">
        <w:rPr>
          <w:rFonts w:asciiTheme="majorBidi" w:eastAsia="黑体" w:hAnsiTheme="majorBidi" w:cstheme="majorBidi"/>
        </w:rPr>
        <w:t>号一般性建议</w:t>
      </w:r>
      <w:r w:rsidRPr="00D56F5B">
        <w:rPr>
          <w:rFonts w:asciiTheme="majorBidi" w:eastAsia="黑体" w:hAnsiTheme="majorBidi" w:cstheme="majorBidi"/>
        </w:rPr>
        <w:t>(1999</w:t>
      </w:r>
      <w:r w:rsidRPr="00D56F5B">
        <w:rPr>
          <w:rFonts w:asciiTheme="majorBidi" w:eastAsia="黑体" w:hAnsiTheme="majorBidi" w:cstheme="majorBidi"/>
        </w:rPr>
        <w:t>年</w:t>
      </w:r>
      <w:r w:rsidRPr="00D56F5B">
        <w:rPr>
          <w:rFonts w:asciiTheme="majorBidi" w:eastAsia="黑体" w:hAnsiTheme="majorBidi" w:cstheme="majorBidi"/>
        </w:rPr>
        <w:t>)</w:t>
      </w:r>
      <w:r w:rsidRPr="00D56F5B">
        <w:rPr>
          <w:rFonts w:asciiTheme="majorBidi" w:eastAsia="黑体" w:hAnsiTheme="majorBidi" w:cstheme="majorBidi"/>
        </w:rPr>
        <w:t>以及可持续发展目标中的具体目标</w:t>
      </w:r>
      <w:r w:rsidRPr="00D56F5B">
        <w:rPr>
          <w:rFonts w:asciiTheme="majorBidi" w:eastAsia="黑体" w:hAnsiTheme="majorBidi" w:cstheme="majorBidi"/>
        </w:rPr>
        <w:t>3.7(</w:t>
      </w:r>
      <w:r w:rsidRPr="00D56F5B">
        <w:rPr>
          <w:rFonts w:asciiTheme="majorBidi" w:eastAsia="黑体" w:hAnsiTheme="majorBidi" w:cstheme="majorBidi"/>
        </w:rPr>
        <w:t>普及性健康和生殖健康保健服务</w:t>
      </w:r>
      <w:r w:rsidRPr="00D56F5B">
        <w:rPr>
          <w:rFonts w:asciiTheme="majorBidi" w:eastAsia="黑体" w:hAnsiTheme="majorBidi" w:cstheme="majorBidi"/>
        </w:rPr>
        <w:t>)</w:t>
      </w:r>
      <w:r w:rsidRPr="00D56F5B">
        <w:rPr>
          <w:rFonts w:asciiTheme="majorBidi" w:eastAsia="黑体" w:hAnsiTheme="majorBidi" w:cstheme="majorBidi"/>
        </w:rPr>
        <w:t>，建议缔约国：</w:t>
      </w:r>
    </w:p>
    <w:p w14:paraId="31EFF1D5" w14:textId="56510673"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spacing w:val="-6"/>
        </w:rPr>
        <w:t>加强卫生服务获取情况相关数据的收集、分析和公开传播，并按年龄</w:t>
      </w:r>
      <w:r w:rsidR="00D56F5B" w:rsidRPr="00D56F5B">
        <w:rPr>
          <w:rFonts w:asciiTheme="majorBidi" w:eastAsia="黑体" w:hAnsiTheme="majorBidi" w:cstheme="majorBidi"/>
        </w:rPr>
        <w:t>、残疾状况、移民身份和居住地进行数据分类；</w:t>
      </w:r>
    </w:p>
    <w:p w14:paraId="5D1D5032" w14:textId="7D714D5B"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审查堕胎立法，至少在强奸、乱伦、孕妇生命或健康受到威胁以及胎儿严重受损的情况下使堕胎合法化，并在所有其他情况下使堕胎去罪化，并确保提供负担得起、安全且不歧视的堕胎服务获取机会；</w:t>
      </w:r>
    </w:p>
    <w:p w14:paraId="489A6382" w14:textId="7EB18541" w:rsidR="00D56F5B" w:rsidRPr="00D56F5B" w:rsidRDefault="00830A2C" w:rsidP="00830A2C">
      <w:pPr>
        <w:pStyle w:val="SingleTxt"/>
        <w:spacing w:after="120"/>
        <w:rPr>
          <w:rFonts w:asciiTheme="majorBidi" w:eastAsia="黑体" w:hAnsiTheme="majorBidi" w:cstheme="majorBidi"/>
        </w:rPr>
      </w:pPr>
      <w:r>
        <w:tab/>
      </w:r>
      <w:r w:rsidR="00D56F5B" w:rsidRPr="00D56F5B">
        <w:t>(c)</w:t>
      </w:r>
      <w:r w:rsidR="00D56F5B" w:rsidRPr="00D56F5B">
        <w:tab/>
      </w:r>
      <w:r w:rsidR="00D56F5B" w:rsidRPr="00D56F5B">
        <w:rPr>
          <w:rFonts w:asciiTheme="majorBidi" w:eastAsia="黑体" w:hAnsiTheme="majorBidi" w:cstheme="majorBidi"/>
        </w:rPr>
        <w:t>通过明确立法条款禁止强迫绝育，要求所有绝育均须获得自由知情同意，并确保受害者能获得补救和赔偿，并在这方面进行有效监测；</w:t>
      </w:r>
    </w:p>
    <w:p w14:paraId="65E847CB" w14:textId="7B520FB6" w:rsidR="00D56F5B" w:rsidRPr="00D56F5B" w:rsidRDefault="00830A2C" w:rsidP="00830A2C">
      <w:pPr>
        <w:pStyle w:val="SingleTxt"/>
        <w:spacing w:after="120"/>
        <w:rPr>
          <w:rFonts w:asciiTheme="majorBidi" w:eastAsia="黑体" w:hAnsiTheme="majorBidi" w:cstheme="majorBidi"/>
          <w:spacing w:val="-10"/>
        </w:rPr>
      </w:pPr>
      <w:r w:rsidRPr="00830A2C">
        <w:rPr>
          <w:spacing w:val="-10"/>
        </w:rPr>
        <w:tab/>
      </w:r>
      <w:r w:rsidR="00D56F5B" w:rsidRPr="00D56F5B">
        <w:rPr>
          <w:spacing w:val="-10"/>
        </w:rPr>
        <w:t>(d)</w:t>
      </w:r>
      <w:r w:rsidR="00D56F5B" w:rsidRPr="00D56F5B">
        <w:rPr>
          <w:spacing w:val="-10"/>
        </w:rPr>
        <w:tab/>
      </w:r>
      <w:r w:rsidR="00D56F5B" w:rsidRPr="00D56F5B">
        <w:rPr>
          <w:rFonts w:asciiTheme="majorBidi" w:eastAsia="黑体" w:hAnsiTheme="majorBidi" w:cstheme="majorBidi"/>
          <w:spacing w:val="-10"/>
        </w:rPr>
        <w:t>将性别视角纳入与精神卫生和社会心理残疾者有关的政策、战略和服务；</w:t>
      </w:r>
    </w:p>
    <w:p w14:paraId="1B172139" w14:textId="1631B820" w:rsidR="00D56F5B" w:rsidRPr="00D56F5B" w:rsidRDefault="00830A2C" w:rsidP="00830A2C">
      <w:pPr>
        <w:pStyle w:val="SingleTxt"/>
        <w:spacing w:after="120"/>
        <w:rPr>
          <w:rFonts w:asciiTheme="majorBidi" w:eastAsia="黑体" w:hAnsiTheme="majorBidi" w:cstheme="majorBidi"/>
        </w:rPr>
      </w:pPr>
      <w:r>
        <w:tab/>
      </w:r>
      <w:r w:rsidR="00D56F5B" w:rsidRPr="00D56F5B">
        <w:t>(e)</w:t>
      </w:r>
      <w:r w:rsidR="00D56F5B" w:rsidRPr="00D56F5B">
        <w:tab/>
      </w:r>
      <w:r w:rsidR="00D56F5B" w:rsidRPr="00D56F5B">
        <w:rPr>
          <w:rFonts w:asciiTheme="majorBidi" w:eastAsia="黑体" w:hAnsiTheme="majorBidi" w:cstheme="majorBidi"/>
        </w:rPr>
        <w:t>通过消除相关障碍，如取消法定监护人同意要求，确保</w:t>
      </w:r>
      <w:r w:rsidR="00D56F5B" w:rsidRPr="00D56F5B">
        <w:rPr>
          <w:rFonts w:asciiTheme="majorBidi" w:eastAsia="黑体" w:hAnsiTheme="majorBidi" w:cstheme="majorBidi"/>
        </w:rPr>
        <w:t>18</w:t>
      </w:r>
      <w:r w:rsidR="00D56F5B" w:rsidRPr="00D56F5B">
        <w:rPr>
          <w:rFonts w:asciiTheme="majorBidi" w:eastAsia="黑体" w:hAnsiTheme="majorBidi" w:cstheme="majorBidi"/>
        </w:rPr>
        <w:t>岁以下少女能便捷、独立地获取避孕药具。</w:t>
      </w:r>
    </w:p>
    <w:p w14:paraId="61623F74"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增强经济权能和社会福利</w:t>
      </w:r>
    </w:p>
    <w:p w14:paraId="11292461" w14:textId="77777777" w:rsidR="00D56F5B" w:rsidRPr="00D56F5B" w:rsidRDefault="00D56F5B" w:rsidP="00830A2C">
      <w:pPr>
        <w:pStyle w:val="SingleTxt"/>
        <w:spacing w:after="120"/>
      </w:pPr>
      <w:r w:rsidRPr="00D56F5B">
        <w:t>38.</w:t>
      </w:r>
      <w:r w:rsidRPr="00D56F5B">
        <w:tab/>
      </w:r>
      <w:r w:rsidRPr="00D56F5B">
        <w:t>委员会注意到缔约国为促进妇女经济赋权和社会福利所作的渐进努力。然而，委员会关切地注意到：</w:t>
      </w:r>
    </w:p>
    <w:p w14:paraId="72654B8B" w14:textId="6ECA82E1" w:rsidR="00D56F5B" w:rsidRPr="00D56F5B" w:rsidRDefault="00830A2C" w:rsidP="00830A2C">
      <w:pPr>
        <w:pStyle w:val="SingleTxt"/>
        <w:spacing w:after="120"/>
      </w:pPr>
      <w:r>
        <w:tab/>
      </w:r>
      <w:r w:rsidR="00D56F5B" w:rsidRPr="00D56F5B">
        <w:t>(a)</w:t>
      </w:r>
      <w:r w:rsidR="00D56F5B" w:rsidRPr="00D56F5B">
        <w:tab/>
      </w:r>
      <w:r w:rsidR="00D56F5B" w:rsidRPr="00D56F5B">
        <w:t>经济生活中持续存在结构性的性别不平等，包括妇女在领导岗位以及金融、信息和通信技术、数字技术制造业、能源和基础设施等高薪行业中的代表性不足；</w:t>
      </w:r>
    </w:p>
    <w:p w14:paraId="330FF714" w14:textId="6A0BE68D" w:rsidR="00D56F5B" w:rsidRPr="00D56F5B" w:rsidRDefault="00830A2C" w:rsidP="00830A2C">
      <w:pPr>
        <w:pStyle w:val="SingleTxt"/>
        <w:spacing w:after="120"/>
      </w:pPr>
      <w:r>
        <w:tab/>
      </w:r>
      <w:r w:rsidR="00D56F5B" w:rsidRPr="00D56F5B">
        <w:t>(b)</w:t>
      </w:r>
      <w:r w:rsidR="00D56F5B" w:rsidRPr="00D56F5B">
        <w:tab/>
      </w:r>
      <w:r w:rsidR="00D56F5B" w:rsidRPr="00D56F5B">
        <w:t>妇女的无酬照护工作在经济、财政和养老金框架中未得到充分认可或重视；</w:t>
      </w:r>
    </w:p>
    <w:p w14:paraId="06867D2E" w14:textId="65988FF4" w:rsidR="00D56F5B" w:rsidRPr="00D56F5B" w:rsidRDefault="00830A2C" w:rsidP="00830A2C">
      <w:pPr>
        <w:pStyle w:val="SingleTxt"/>
        <w:spacing w:after="120"/>
      </w:pPr>
      <w:r>
        <w:tab/>
      </w:r>
      <w:r w:rsidR="00D56F5B" w:rsidRPr="00D56F5B">
        <w:t>(c)</w:t>
      </w:r>
      <w:r w:rsidR="00D56F5B" w:rsidRPr="00D56F5B">
        <w:tab/>
      </w:r>
      <w:r w:rsidR="00D56F5B" w:rsidRPr="00D56F5B">
        <w:t>缺乏关于妇女创业、妇女参与经济生活</w:t>
      </w:r>
      <w:r w:rsidR="00D56F5B" w:rsidRPr="00D56F5B">
        <w:rPr>
          <w:rFonts w:hint="eastAsia"/>
        </w:rPr>
        <w:t>和在其中</w:t>
      </w:r>
      <w:r w:rsidR="00D56F5B" w:rsidRPr="00D56F5B">
        <w:t>担任领导职务以及妇女参与体育的分类数据。</w:t>
      </w:r>
    </w:p>
    <w:p w14:paraId="707D090D" w14:textId="77777777" w:rsidR="00D56F5B" w:rsidRPr="00D56F5B" w:rsidRDefault="00D56F5B" w:rsidP="00830A2C">
      <w:pPr>
        <w:pStyle w:val="SingleTxt"/>
        <w:spacing w:after="120"/>
        <w:rPr>
          <w:rFonts w:asciiTheme="majorBidi" w:eastAsia="黑体" w:hAnsiTheme="majorBidi" w:cstheme="majorBidi"/>
        </w:rPr>
      </w:pPr>
      <w:r w:rsidRPr="00D56F5B">
        <w:t>39.</w:t>
      </w:r>
      <w:r w:rsidRPr="00D56F5B">
        <w:tab/>
      </w:r>
      <w:r w:rsidRPr="00D56F5B">
        <w:rPr>
          <w:rFonts w:asciiTheme="majorBidi" w:eastAsia="黑体" w:hAnsiTheme="majorBidi" w:cstheme="majorBidi"/>
        </w:rPr>
        <w:t>委员会建议缔约国：</w:t>
      </w:r>
    </w:p>
    <w:p w14:paraId="07D13289" w14:textId="28D77097"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采取有针对性的、有时限的措施，包括暂行特别措施，以提高妇女在领导岗位和高收入经济部门</w:t>
      </w:r>
      <w:r>
        <w:rPr>
          <w:rFonts w:asciiTheme="majorBidi" w:eastAsia="黑体" w:hAnsiTheme="majorBidi" w:cstheme="majorBidi"/>
        </w:rPr>
        <w:t>(</w:t>
      </w:r>
      <w:r w:rsidR="00D56F5B" w:rsidRPr="00D56F5B">
        <w:rPr>
          <w:rFonts w:asciiTheme="majorBidi" w:eastAsia="黑体" w:hAnsiTheme="majorBidi" w:cstheme="majorBidi"/>
        </w:rPr>
        <w:t>特别是金融、数字技术制造业、能源和基础设施部门</w:t>
      </w:r>
      <w:r>
        <w:rPr>
          <w:rFonts w:asciiTheme="majorBidi" w:eastAsia="黑体" w:hAnsiTheme="majorBidi" w:cstheme="majorBidi"/>
        </w:rPr>
        <w:t>)</w:t>
      </w:r>
      <w:r w:rsidR="00D56F5B" w:rsidRPr="00D56F5B">
        <w:rPr>
          <w:rFonts w:asciiTheme="majorBidi" w:eastAsia="黑体" w:hAnsiTheme="majorBidi" w:cstheme="majorBidi"/>
        </w:rPr>
        <w:t>的代表性；</w:t>
      </w:r>
    </w:p>
    <w:p w14:paraId="7F8C5A27" w14:textId="6C070860" w:rsidR="00D56F5B" w:rsidRPr="00D56F5B" w:rsidRDefault="00830A2C" w:rsidP="00830A2C">
      <w:pPr>
        <w:pStyle w:val="SingleTxt"/>
        <w:spacing w:after="120"/>
        <w:rPr>
          <w:rFonts w:asciiTheme="majorBidi" w:eastAsia="黑体" w:hAnsiTheme="majorBidi" w:cstheme="majorBidi"/>
        </w:rPr>
      </w:pPr>
      <w:r>
        <w:tab/>
      </w:r>
      <w:r w:rsidR="00D56F5B" w:rsidRPr="00D56F5B">
        <w:t>(b)</w:t>
      </w:r>
      <w:r w:rsidR="00D56F5B" w:rsidRPr="00D56F5B">
        <w:tab/>
      </w:r>
      <w:r w:rsidR="00D56F5B" w:rsidRPr="00D56F5B">
        <w:rPr>
          <w:rFonts w:asciiTheme="majorBidi" w:eastAsia="黑体" w:hAnsiTheme="majorBidi" w:cstheme="majorBidi"/>
        </w:rPr>
        <w:t>考虑在养老金改革和经济社会政策规划中计入无酬照护工作的价值，包括弥合薪酬和养老金方面的性别差距，并通过一项性别税法条款，以调整对妇女造成过大影响的税收楔子；</w:t>
      </w:r>
    </w:p>
    <w:p w14:paraId="466B86B3" w14:textId="64D93B91" w:rsidR="00D56F5B" w:rsidRPr="00D56F5B" w:rsidRDefault="00830A2C" w:rsidP="00830A2C">
      <w:pPr>
        <w:pStyle w:val="SingleTxt"/>
        <w:spacing w:after="120"/>
        <w:rPr>
          <w:rFonts w:asciiTheme="majorBidi" w:eastAsia="黑体" w:hAnsiTheme="majorBidi" w:cstheme="majorBidi"/>
        </w:rPr>
      </w:pPr>
      <w:r>
        <w:tab/>
      </w:r>
      <w:r w:rsidR="00D56F5B" w:rsidRPr="00D56F5B">
        <w:t>(c)</w:t>
      </w:r>
      <w:r w:rsidR="00D56F5B" w:rsidRPr="00D56F5B">
        <w:tab/>
      </w:r>
      <w:r w:rsidR="00D56F5B" w:rsidRPr="00D56F5B">
        <w:rPr>
          <w:rFonts w:asciiTheme="majorBidi" w:eastAsia="黑体" w:hAnsiTheme="majorBidi" w:cstheme="majorBidi"/>
        </w:rPr>
        <w:t>收集并公布关于妇女创业、妇女参与经济生活和在其中担任领导职务以及妇女参与体育的分类数据。</w:t>
      </w:r>
    </w:p>
    <w:p w14:paraId="261B56AC"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面临交叉形式歧视的妇女</w:t>
      </w:r>
    </w:p>
    <w:p w14:paraId="01D8CF91" w14:textId="3501093D" w:rsidR="00D56F5B" w:rsidRPr="00D56F5B" w:rsidRDefault="00D56F5B" w:rsidP="00830A2C">
      <w:pPr>
        <w:pStyle w:val="SingleTxt"/>
        <w:spacing w:after="120"/>
      </w:pPr>
      <w:r w:rsidRPr="00D56F5B">
        <w:t>40.</w:t>
      </w:r>
      <w:r w:rsidRPr="00D56F5B">
        <w:tab/>
      </w:r>
      <w:r w:rsidRPr="00D56F5B">
        <w:t>委员会注意到，寻求庇护妇女、难民和移民妇女的住宿条件有所改善，这方面信息也有所完善。然而，委员会仍然关切的是，缺乏关于对寻求庇护、难民及移民妇女和女童进行行政拘留的法律依据和具体期限的信息、关于行政拘留中心</w:t>
      </w:r>
      <w:r w:rsidRPr="00D56F5B">
        <w:rPr>
          <w:rFonts w:hint="eastAsia"/>
        </w:rPr>
        <w:t>所在</w:t>
      </w:r>
      <w:r w:rsidRPr="00D56F5B">
        <w:t>地点的信息，以及</w:t>
      </w:r>
      <w:r w:rsidRPr="00D56F5B">
        <w:rPr>
          <w:rFonts w:hint="eastAsia"/>
        </w:rPr>
        <w:t>关于</w:t>
      </w:r>
      <w:r w:rsidRPr="00D56F5B">
        <w:t>在紧急条款下无法获得国际保护和</w:t>
      </w:r>
      <w:r w:rsidR="00830A2C">
        <w:t>(</w:t>
      </w:r>
      <w:r w:rsidRPr="00D56F5B">
        <w:t>或</w:t>
      </w:r>
      <w:r w:rsidR="00830A2C">
        <w:t>)</w:t>
      </w:r>
      <w:r w:rsidRPr="00D56F5B">
        <w:t>临时保护的妇女和女童人数</w:t>
      </w:r>
      <w:r w:rsidRPr="00D56F5B">
        <w:rPr>
          <w:rFonts w:hint="eastAsia"/>
        </w:rPr>
        <w:t>的</w:t>
      </w:r>
      <w:r w:rsidRPr="00D56F5B">
        <w:t>信息。</w:t>
      </w:r>
    </w:p>
    <w:p w14:paraId="759FA14C" w14:textId="4D13B59B" w:rsidR="00D56F5B" w:rsidRPr="00D56F5B" w:rsidRDefault="00D56F5B" w:rsidP="00830A2C">
      <w:pPr>
        <w:pStyle w:val="SingleTxt"/>
        <w:spacing w:after="120"/>
      </w:pPr>
      <w:r w:rsidRPr="00D56F5B">
        <w:t>41.</w:t>
      </w:r>
      <w:r w:rsidRPr="00D56F5B">
        <w:tab/>
      </w:r>
      <w:r w:rsidRPr="00D56F5B">
        <w:rPr>
          <w:rFonts w:asciiTheme="majorBidi" w:eastAsia="黑体" w:hAnsiTheme="majorBidi" w:cstheme="majorBidi"/>
        </w:rPr>
        <w:t>委</w:t>
      </w:r>
      <w:r w:rsidRPr="00C923D9">
        <w:rPr>
          <w:rFonts w:asciiTheme="majorBidi" w:eastAsia="黑体" w:hAnsiTheme="majorBidi" w:cstheme="majorBidi"/>
          <w:spacing w:val="-4"/>
        </w:rPr>
        <w:t>员会建议缔约国确保庇护和移民程序的透明度和问责制，为此系统收集、</w:t>
      </w:r>
      <w:r w:rsidRPr="00D56F5B">
        <w:rPr>
          <w:rFonts w:asciiTheme="majorBidi" w:eastAsia="黑体" w:hAnsiTheme="majorBidi" w:cstheme="majorBidi"/>
        </w:rPr>
        <w:t>分析和公布各项分类数据，包括关于对寻求庇护、难民及移民妇女和女童进行行政拘留的数据，以及关于拒绝给予这些妇女和女童国际和</w:t>
      </w:r>
      <w:r w:rsidR="00830A2C">
        <w:rPr>
          <w:rFonts w:asciiTheme="majorBidi" w:eastAsia="黑体" w:hAnsiTheme="majorBidi" w:cstheme="majorBidi"/>
        </w:rPr>
        <w:t>(</w:t>
      </w:r>
      <w:r w:rsidRPr="00D56F5B">
        <w:rPr>
          <w:rFonts w:asciiTheme="majorBidi" w:eastAsia="黑体" w:hAnsiTheme="majorBidi" w:cstheme="majorBidi"/>
        </w:rPr>
        <w:t>或</w:t>
      </w:r>
      <w:r w:rsidR="00830A2C">
        <w:rPr>
          <w:rFonts w:asciiTheme="majorBidi" w:eastAsia="黑体" w:hAnsiTheme="majorBidi" w:cstheme="majorBidi"/>
        </w:rPr>
        <w:t>)</w:t>
      </w:r>
      <w:r w:rsidRPr="00D56F5B">
        <w:rPr>
          <w:rFonts w:asciiTheme="majorBidi" w:eastAsia="黑体" w:hAnsiTheme="majorBidi" w:cstheme="majorBidi"/>
        </w:rPr>
        <w:t>临时保护的决定的数据。</w:t>
      </w:r>
    </w:p>
    <w:p w14:paraId="07FBE696"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婚姻与家庭关系</w:t>
      </w:r>
    </w:p>
    <w:p w14:paraId="65C9CA5A" w14:textId="7E2BEFA4" w:rsidR="00D56F5B" w:rsidRPr="00D56F5B" w:rsidRDefault="00D56F5B" w:rsidP="00830A2C">
      <w:pPr>
        <w:pStyle w:val="SingleTxt"/>
        <w:spacing w:after="120"/>
      </w:pPr>
      <w:r w:rsidRPr="00D56F5B">
        <w:t>42.</w:t>
      </w:r>
      <w:r w:rsidRPr="00D56F5B">
        <w:tab/>
      </w:r>
      <w:r w:rsidRPr="00D56F5B">
        <w:t>委员会注意到缔约国对《未成年人保护法》作出</w:t>
      </w:r>
      <w:r w:rsidRPr="00D56F5B">
        <w:rPr>
          <w:rFonts w:hint="eastAsia"/>
        </w:rPr>
        <w:t>了</w:t>
      </w:r>
      <w:r w:rsidRPr="00D56F5B">
        <w:t>修正，</w:t>
      </w:r>
      <w:r w:rsidRPr="00D56F5B">
        <w:rPr>
          <w:rFonts w:hint="eastAsia"/>
        </w:rPr>
        <w:t>不再限制</w:t>
      </w:r>
      <w:r w:rsidRPr="00D56F5B">
        <w:t>将同性关系描绘为与异性关系本质上等同的公共信息</w:t>
      </w:r>
      <w:r w:rsidRPr="00D56F5B">
        <w:rPr>
          <w:rFonts w:hint="eastAsia"/>
        </w:rPr>
        <w:t>的</w:t>
      </w:r>
      <w:r w:rsidRPr="00D56F5B">
        <w:t>传播。委员会还注意到，最近的法院裁决确认，无论生理或社会性别如何，人人都有平等的家庭和家庭生活权，其中宪法法院</w:t>
      </w:r>
      <w:r w:rsidRPr="00D56F5B">
        <w:t>2025</w:t>
      </w:r>
      <w:r w:rsidRPr="00D56F5B">
        <w:t>年</w:t>
      </w:r>
      <w:r w:rsidRPr="00D56F5B">
        <w:t>4</w:t>
      </w:r>
      <w:r w:rsidRPr="00D56F5B">
        <w:t>月</w:t>
      </w:r>
      <w:r w:rsidRPr="00D56F5B">
        <w:t>17</w:t>
      </w:r>
      <w:r w:rsidRPr="00D56F5B">
        <w:t>日的裁决宣布《民法》第</w:t>
      </w:r>
      <w:r w:rsidRPr="00D56F5B">
        <w:t>3.229</w:t>
      </w:r>
      <w:r w:rsidRPr="00D56F5B">
        <w:t>条违宪</w:t>
      </w:r>
      <w:r w:rsidR="00C923D9">
        <w:rPr>
          <w:rFonts w:hint="eastAsia"/>
        </w:rPr>
        <w:t>——</w:t>
      </w:r>
      <w:r w:rsidRPr="00D56F5B">
        <w:t>该条规定，被承认的伴侣关系仅限于异性伴侣。委员会还注意到，在涉及家庭暴力紧急保护令的案件中，免于强制调解的适用范围已</w:t>
      </w:r>
      <w:r w:rsidRPr="00D56F5B">
        <w:rPr>
          <w:rFonts w:hint="eastAsia"/>
        </w:rPr>
        <w:t>经</w:t>
      </w:r>
      <w:r w:rsidRPr="00D56F5B">
        <w:t>扩大。然而，委员会关切地注意到：</w:t>
      </w:r>
    </w:p>
    <w:p w14:paraId="0964D1F0" w14:textId="7CCF0AB4" w:rsidR="00D56F5B" w:rsidRPr="00D56F5B" w:rsidRDefault="00830A2C" w:rsidP="00830A2C">
      <w:pPr>
        <w:pStyle w:val="SingleTxt"/>
        <w:spacing w:after="120"/>
      </w:pPr>
      <w:r>
        <w:tab/>
      </w:r>
      <w:r w:rsidR="00D56F5B" w:rsidRPr="00D56F5B">
        <w:t>(a)</w:t>
      </w:r>
      <w:r w:rsidR="00D56F5B" w:rsidRPr="00D56F5B">
        <w:tab/>
      </w:r>
      <w:r w:rsidR="00D56F5B" w:rsidRPr="00D56F5B">
        <w:t>缺乏一个全面的立法框架，以保障</w:t>
      </w:r>
      <w:r w:rsidR="00D56F5B" w:rsidRPr="00D56F5B">
        <w:rPr>
          <w:rFonts w:hint="eastAsia"/>
        </w:rPr>
        <w:t>对</w:t>
      </w:r>
      <w:r w:rsidR="00D56F5B" w:rsidRPr="00D56F5B">
        <w:t>家庭和家庭生活权</w:t>
      </w:r>
      <w:r w:rsidR="00D56F5B" w:rsidRPr="00D56F5B">
        <w:rPr>
          <w:rFonts w:hint="eastAsia"/>
        </w:rPr>
        <w:t>的</w:t>
      </w:r>
      <w:r w:rsidR="00D56F5B" w:rsidRPr="00D56F5B">
        <w:t>平等承认，</w:t>
      </w:r>
      <w:r w:rsidR="00D56F5B" w:rsidRPr="00D56F5B">
        <w:rPr>
          <w:rFonts w:hint="eastAsia"/>
        </w:rPr>
        <w:t>而</w:t>
      </w:r>
      <w:r w:rsidR="00D56F5B" w:rsidRPr="00D56F5B">
        <w:t>无论性取向和性别认同如何，包括承认在国外合法缔结的同性民事伴侣关系和婚姻，为同性伴侣和单身妇女提供获得生育治疗和收养的机会，以及废除将离婚作为性别转变条件的规定；</w:t>
      </w:r>
    </w:p>
    <w:p w14:paraId="7BD6A599" w14:textId="2DDAA436" w:rsidR="00D56F5B" w:rsidRPr="00D56F5B" w:rsidRDefault="00830A2C" w:rsidP="00830A2C">
      <w:pPr>
        <w:pStyle w:val="SingleTxt"/>
        <w:spacing w:after="120"/>
      </w:pPr>
      <w:r>
        <w:tab/>
      </w:r>
      <w:r w:rsidR="00D56F5B" w:rsidRPr="00D56F5B">
        <w:t>(b)</w:t>
      </w:r>
      <w:r w:rsidR="00D56F5B" w:rsidRPr="00D56F5B">
        <w:tab/>
      </w:r>
      <w:r w:rsidR="00D56F5B" w:rsidRPr="00D56F5B">
        <w:t>尽管在涉及家庭暴力紧急保护令的案件中，免于强制调解的适用范围已</w:t>
      </w:r>
      <w:r w:rsidR="00D56F5B" w:rsidRPr="00D56F5B">
        <w:rPr>
          <w:rFonts w:hint="eastAsia"/>
        </w:rPr>
        <w:t>经</w:t>
      </w:r>
      <w:r w:rsidR="00D56F5B" w:rsidRPr="00D56F5B">
        <w:t>扩大，但当家庭暴力幸存者自愿参与调解时，相关数据未得到系统性收集；此外，</w:t>
      </w:r>
      <w:r w:rsidR="00D56F5B" w:rsidRPr="00D56F5B">
        <w:rPr>
          <w:rFonts w:hint="eastAsia"/>
        </w:rPr>
        <w:t>缺乏一项关于</w:t>
      </w:r>
      <w:r w:rsidR="00D56F5B" w:rsidRPr="00D56F5B">
        <w:t>家庭暴力对子女监护权</w:t>
      </w:r>
      <w:r w:rsidR="00D56F5B" w:rsidRPr="00D56F5B">
        <w:rPr>
          <w:rFonts w:hint="eastAsia"/>
        </w:rPr>
        <w:t>和</w:t>
      </w:r>
      <w:r w:rsidR="00D56F5B" w:rsidRPr="00D56F5B">
        <w:t>调解结果的影响</w:t>
      </w:r>
      <w:r w:rsidR="00D56F5B" w:rsidRPr="00D56F5B">
        <w:rPr>
          <w:rFonts w:hint="eastAsia"/>
        </w:rPr>
        <w:t>的评估</w:t>
      </w:r>
      <w:r w:rsidR="00D56F5B" w:rsidRPr="00D56F5B">
        <w:t>；</w:t>
      </w:r>
    </w:p>
    <w:p w14:paraId="749BCE5F" w14:textId="37DA792B" w:rsidR="00D56F5B" w:rsidRPr="00D56F5B" w:rsidRDefault="00830A2C" w:rsidP="00830A2C">
      <w:pPr>
        <w:pStyle w:val="SingleTxt"/>
        <w:spacing w:after="120"/>
      </w:pPr>
      <w:r>
        <w:tab/>
      </w:r>
      <w:r w:rsidR="00D56F5B" w:rsidRPr="00D56F5B">
        <w:t>(c)</w:t>
      </w:r>
      <w:r w:rsidR="00D56F5B" w:rsidRPr="00D56F5B">
        <w:tab/>
      </w:r>
      <w:r w:rsidR="00D56F5B" w:rsidRPr="00D56F5B">
        <w:t>离婚后妇女享有的经济</w:t>
      </w:r>
      <w:r w:rsidR="00D56F5B" w:rsidRPr="00D56F5B">
        <w:rPr>
          <w:rFonts w:hint="eastAsia"/>
        </w:rPr>
        <w:t>保护</w:t>
      </w:r>
      <w:r w:rsidR="00D56F5B" w:rsidRPr="00D56F5B">
        <w:t>有限，这方面的一个重要原因是她们过多承担了主要照料者的角色；此外，缺乏关于离婚妇女相较于离婚男子的贫困风险数据，以及关于赡养费和子女抚养费执行机制有效性的数据；</w:t>
      </w:r>
    </w:p>
    <w:p w14:paraId="18491304" w14:textId="53674062" w:rsidR="00D56F5B" w:rsidRPr="00D56F5B" w:rsidRDefault="00830A2C" w:rsidP="00830A2C">
      <w:pPr>
        <w:pStyle w:val="SingleTxt"/>
        <w:spacing w:after="120"/>
      </w:pPr>
      <w:r>
        <w:tab/>
      </w:r>
      <w:r w:rsidR="00D56F5B" w:rsidRPr="00D56F5B">
        <w:t>(d)</w:t>
      </w:r>
      <w:r w:rsidR="00D56F5B" w:rsidRPr="00D56F5B">
        <w:tab/>
      </w:r>
      <w:r w:rsidR="00D56F5B" w:rsidRPr="00D56F5B">
        <w:t>未满</w:t>
      </w:r>
      <w:r w:rsidR="00D56F5B" w:rsidRPr="00D56F5B">
        <w:t>18</w:t>
      </w:r>
      <w:r w:rsidR="00D56F5B" w:rsidRPr="00D56F5B">
        <w:t>岁结婚只要经法院批准即在法律上被允许，且缺乏关于此类批准数量及未登记或非正式童婚的公开数据。</w:t>
      </w:r>
    </w:p>
    <w:p w14:paraId="466B47B6" w14:textId="77777777" w:rsidR="00D56F5B" w:rsidRPr="00D56F5B" w:rsidRDefault="00D56F5B" w:rsidP="00830A2C">
      <w:pPr>
        <w:pStyle w:val="SingleTxt"/>
        <w:spacing w:after="120"/>
        <w:rPr>
          <w:rFonts w:asciiTheme="majorBidi" w:eastAsia="黑体" w:hAnsiTheme="majorBidi" w:cstheme="majorBidi"/>
        </w:rPr>
      </w:pPr>
      <w:r w:rsidRPr="00D56F5B">
        <w:t>43.</w:t>
      </w:r>
      <w:r w:rsidRPr="00D56F5B">
        <w:tab/>
      </w:r>
      <w:r w:rsidRPr="00D56F5B">
        <w:rPr>
          <w:rFonts w:asciiTheme="majorBidi" w:eastAsia="黑体" w:hAnsiTheme="majorBidi" w:cstheme="majorBidi"/>
        </w:rPr>
        <w:t>委员会建议缔约国：</w:t>
      </w:r>
    </w:p>
    <w:p w14:paraId="1CAAE0FE" w14:textId="3B1DE0AB" w:rsidR="00D56F5B" w:rsidRPr="00D56F5B" w:rsidRDefault="00830A2C" w:rsidP="00830A2C">
      <w:pPr>
        <w:pStyle w:val="SingleTxt"/>
        <w:spacing w:after="120"/>
        <w:rPr>
          <w:rFonts w:asciiTheme="majorBidi" w:eastAsia="黑体" w:hAnsiTheme="majorBidi" w:cstheme="majorBidi"/>
        </w:rPr>
      </w:pPr>
      <w:r>
        <w:tab/>
      </w:r>
      <w:r w:rsidR="00D56F5B" w:rsidRPr="00D56F5B">
        <w:t>(a)</w:t>
      </w:r>
      <w:r w:rsidR="00D56F5B" w:rsidRPr="00D56F5B">
        <w:tab/>
      </w:r>
      <w:r w:rsidR="00D56F5B" w:rsidRPr="00D56F5B">
        <w:rPr>
          <w:rFonts w:asciiTheme="majorBidi" w:eastAsia="黑体" w:hAnsiTheme="majorBidi" w:cstheme="majorBidi"/>
        </w:rPr>
        <w:t>通过一个全面的立法框架，保障所有妇女完全平等地享有家庭和家庭生活权；</w:t>
      </w:r>
    </w:p>
    <w:p w14:paraId="62863BE0" w14:textId="0440DDA3" w:rsidR="00D56F5B" w:rsidRPr="00D56F5B" w:rsidRDefault="00830A2C" w:rsidP="00830A2C">
      <w:pPr>
        <w:pStyle w:val="SingleTxt"/>
        <w:spacing w:after="120"/>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b)</w:t>
      </w:r>
      <w:r w:rsidR="00D56F5B" w:rsidRPr="00D56F5B">
        <w:tab/>
      </w:r>
      <w:r w:rsidR="00D56F5B" w:rsidRPr="00D56F5B">
        <w:rPr>
          <w:rFonts w:asciiTheme="majorBidi" w:eastAsia="黑体" w:hAnsiTheme="majorBidi" w:cstheme="majorBidi"/>
        </w:rPr>
        <w:t>系统收集和分析涉及家庭暴力幸存者的家庭纠纷调解数据，并确保在监护权和探视权决定中考虑家庭暴力事件，并优先保障妇女和儿童的安全；</w:t>
      </w:r>
    </w:p>
    <w:p w14:paraId="52B3E4C7" w14:textId="47835DB4" w:rsidR="00D56F5B" w:rsidRPr="00D56F5B" w:rsidRDefault="00830A2C" w:rsidP="00830A2C">
      <w:pPr>
        <w:pStyle w:val="SingleTxt"/>
        <w:spacing w:after="120"/>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c)</w:t>
      </w:r>
      <w:r w:rsidR="00D56F5B" w:rsidRPr="00D56F5B">
        <w:tab/>
      </w:r>
      <w:r w:rsidR="00D56F5B" w:rsidRPr="00D56F5B">
        <w:rPr>
          <w:rFonts w:asciiTheme="majorBidi" w:eastAsia="黑体" w:hAnsiTheme="majorBidi" w:cstheme="majorBidi"/>
        </w:rPr>
        <w:t>加强措施，确保对离婚后的妇女予以经济保护，包括确保赡养费和子女抚养义务得到有效履行，提供法律援助渠道，并收集和公布关于离婚男女贫困风险的分类数据；</w:t>
      </w:r>
    </w:p>
    <w:p w14:paraId="5A5C8F6B" w14:textId="15AE91AB" w:rsidR="00D56F5B" w:rsidRPr="00D56F5B" w:rsidRDefault="00830A2C" w:rsidP="00830A2C">
      <w:pPr>
        <w:pStyle w:val="SingleTxt"/>
        <w:spacing w:after="120"/>
        <w:rPr>
          <w:rFonts w:asciiTheme="majorBidi" w:eastAsia="黑体" w:hAnsiTheme="majorBidi" w:cstheme="majorBidi"/>
        </w:rPr>
      </w:pPr>
      <w:r>
        <w:rPr>
          <w:rFonts w:asciiTheme="majorBidi" w:eastAsia="黑体" w:hAnsiTheme="majorBidi" w:cstheme="majorBidi"/>
        </w:rPr>
        <w:tab/>
      </w:r>
      <w:r w:rsidR="00D56F5B" w:rsidRPr="00D56F5B">
        <w:rPr>
          <w:rFonts w:asciiTheme="majorBidi" w:eastAsia="黑体" w:hAnsiTheme="majorBidi" w:cstheme="majorBidi"/>
        </w:rPr>
        <w:t>(</w:t>
      </w:r>
      <w:r w:rsidR="00D56F5B" w:rsidRPr="00D56F5B">
        <w:t>d)</w:t>
      </w:r>
      <w:r w:rsidR="00D56F5B" w:rsidRPr="00D56F5B">
        <w:tab/>
      </w:r>
      <w:r w:rsidR="00D56F5B" w:rsidRPr="00D56F5B">
        <w:rPr>
          <w:rFonts w:asciiTheme="majorBidi" w:eastAsia="黑体" w:hAnsiTheme="majorBidi" w:cstheme="majorBidi"/>
        </w:rPr>
        <w:t>废除对男女法定最低结婚年龄</w:t>
      </w:r>
      <w:r w:rsidR="00D56F5B" w:rsidRPr="00D56F5B">
        <w:rPr>
          <w:rFonts w:asciiTheme="majorBidi" w:eastAsia="黑体" w:hAnsiTheme="majorBidi" w:cstheme="majorBidi"/>
        </w:rPr>
        <w:t>18</w:t>
      </w:r>
      <w:r w:rsidR="00D56F5B" w:rsidRPr="00D56F5B">
        <w:rPr>
          <w:rFonts w:asciiTheme="majorBidi" w:eastAsia="黑体" w:hAnsiTheme="majorBidi" w:cstheme="majorBidi"/>
        </w:rPr>
        <w:t>岁的任何例外规定，确保系统收集并公开发布经法院批准的涉及未成年人的婚姻数据，并对任何未登记或非正式的童婚进行调查、起诉并宣布其无效。</w:t>
      </w:r>
    </w:p>
    <w:p w14:paraId="2BF6CFA4"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《北京宣言》和《行动纲要》</w:t>
      </w:r>
    </w:p>
    <w:p w14:paraId="3688A344" w14:textId="77777777" w:rsidR="00D56F5B" w:rsidRPr="00D56F5B" w:rsidRDefault="00D56F5B" w:rsidP="00830A2C">
      <w:pPr>
        <w:pStyle w:val="SingleTxt"/>
        <w:spacing w:after="120"/>
        <w:rPr>
          <w:rFonts w:asciiTheme="majorBidi" w:eastAsia="黑体" w:hAnsiTheme="majorBidi" w:cstheme="majorBidi"/>
        </w:rPr>
      </w:pPr>
      <w:r w:rsidRPr="00D56F5B">
        <w:rPr>
          <w:rFonts w:asciiTheme="majorBidi" w:eastAsia="黑体" w:hAnsiTheme="majorBidi" w:cstheme="majorBidi"/>
        </w:rPr>
        <w:t>44.</w:t>
      </w:r>
      <w:r w:rsidRPr="00D56F5B">
        <w:rPr>
          <w:rFonts w:asciiTheme="majorBidi" w:eastAsia="黑体" w:hAnsiTheme="majorBidi" w:cstheme="majorBidi"/>
        </w:rPr>
        <w:tab/>
      </w:r>
      <w:r w:rsidRPr="00D56F5B">
        <w:rPr>
          <w:rFonts w:asciiTheme="majorBidi" w:eastAsia="黑体" w:hAnsiTheme="majorBidi" w:cstheme="majorBidi"/>
        </w:rPr>
        <w:t>继《北京宣言》和《行动纲要》通过三十周年之后，委员会促请缔约国重申落实《北京宣言》和《行动纲要》，并重新评估《公约》所载权利的实现情况，以实现男女实质上的平等。</w:t>
      </w:r>
    </w:p>
    <w:p w14:paraId="32EC35A1"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传播</w:t>
      </w:r>
    </w:p>
    <w:p w14:paraId="2AD237BB" w14:textId="77777777" w:rsidR="00D56F5B" w:rsidRPr="00E452BE" w:rsidRDefault="00D56F5B" w:rsidP="00E452BE">
      <w:pPr>
        <w:pStyle w:val="SingleTxt"/>
        <w:rPr>
          <w:rFonts w:asciiTheme="majorBidi" w:eastAsia="黑体" w:hAnsiTheme="majorBidi" w:cstheme="majorBidi"/>
        </w:rPr>
      </w:pPr>
      <w:r w:rsidRPr="00E452BE">
        <w:rPr>
          <w:rFonts w:asciiTheme="majorBidi" w:eastAsia="黑体" w:hAnsiTheme="majorBidi" w:cstheme="majorBidi"/>
        </w:rPr>
        <w:t>45.</w:t>
      </w:r>
      <w:r w:rsidRPr="00E452BE">
        <w:rPr>
          <w:rFonts w:asciiTheme="majorBidi" w:eastAsia="黑体" w:hAnsiTheme="majorBidi" w:cstheme="majorBidi"/>
        </w:rPr>
        <w:tab/>
      </w:r>
      <w:r w:rsidRPr="00E452BE">
        <w:rPr>
          <w:rFonts w:asciiTheme="majorBidi" w:eastAsia="黑体" w:hAnsiTheme="majorBidi" w:cstheme="majorBidi"/>
        </w:rPr>
        <w:t>委员会请缔约国确保以官方语言向</w:t>
      </w:r>
      <w:r w:rsidRPr="00E452BE">
        <w:rPr>
          <w:rFonts w:asciiTheme="majorBidi" w:eastAsia="黑体" w:hAnsiTheme="majorBidi" w:cstheme="majorBidi"/>
        </w:rPr>
        <w:t>(</w:t>
      </w:r>
      <w:r w:rsidRPr="00E452BE">
        <w:rPr>
          <w:rFonts w:asciiTheme="majorBidi" w:eastAsia="黑体" w:hAnsiTheme="majorBidi" w:cstheme="majorBidi"/>
        </w:rPr>
        <w:t>国家、地区和地方</w:t>
      </w:r>
      <w:r w:rsidRPr="00E452BE">
        <w:rPr>
          <w:rFonts w:asciiTheme="majorBidi" w:eastAsia="黑体" w:hAnsiTheme="majorBidi" w:cstheme="majorBidi"/>
        </w:rPr>
        <w:t>)</w:t>
      </w:r>
      <w:r w:rsidRPr="00E452BE">
        <w:rPr>
          <w:rFonts w:asciiTheme="majorBidi" w:eastAsia="黑体" w:hAnsiTheme="majorBidi" w:cstheme="majorBidi"/>
        </w:rPr>
        <w:t>各级相关国家机构，尤其是向政府、各部委、议会和司法部门及时传播本结论性意见，使之得到充分落实；并向民间社会</w:t>
      </w:r>
      <w:r w:rsidRPr="00E452BE">
        <w:rPr>
          <w:rFonts w:asciiTheme="majorBidi" w:eastAsia="黑体" w:hAnsiTheme="majorBidi" w:cstheme="majorBidi"/>
        </w:rPr>
        <w:t>(</w:t>
      </w:r>
      <w:r w:rsidRPr="00E452BE">
        <w:rPr>
          <w:rFonts w:asciiTheme="majorBidi" w:eastAsia="黑体" w:hAnsiTheme="majorBidi" w:cstheme="majorBidi"/>
        </w:rPr>
        <w:t>包括非政府组织，特别是妇女组织</w:t>
      </w:r>
      <w:r w:rsidRPr="00E452BE">
        <w:rPr>
          <w:rFonts w:asciiTheme="majorBidi" w:eastAsia="黑体" w:hAnsiTheme="majorBidi" w:cstheme="majorBidi"/>
        </w:rPr>
        <w:t>)</w:t>
      </w:r>
      <w:r w:rsidRPr="00E452BE">
        <w:rPr>
          <w:rFonts w:asciiTheme="majorBidi" w:eastAsia="黑体" w:hAnsiTheme="majorBidi" w:cstheme="majorBidi"/>
        </w:rPr>
        <w:t>传播，以提高缔约国国内的充分认识。</w:t>
      </w:r>
    </w:p>
    <w:p w14:paraId="5DB0DD65"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批准其他条约</w:t>
      </w:r>
    </w:p>
    <w:p w14:paraId="652A4B13" w14:textId="65170757" w:rsidR="00D56F5B" w:rsidRPr="00D56F5B" w:rsidRDefault="00D56F5B" w:rsidP="00830A2C">
      <w:pPr>
        <w:pStyle w:val="SingleTxt"/>
        <w:spacing w:after="120"/>
        <w:rPr>
          <w:rFonts w:asciiTheme="majorBidi" w:eastAsia="黑体" w:hAnsiTheme="majorBidi" w:cstheme="majorBidi"/>
        </w:rPr>
      </w:pPr>
      <w:r w:rsidRPr="00D56F5B">
        <w:t>46.</w:t>
      </w:r>
      <w:r w:rsidRPr="00D56F5B">
        <w:tab/>
      </w:r>
      <w:r w:rsidRPr="00D56F5B">
        <w:rPr>
          <w:rFonts w:asciiTheme="majorBidi" w:eastAsia="黑体" w:hAnsiTheme="majorBidi" w:cstheme="majorBidi"/>
        </w:rPr>
        <w:t>委员会指出，缔约国如能加入九项主要国际人权文书</w:t>
      </w:r>
      <w:r w:rsidRPr="00D56F5B">
        <w:rPr>
          <w:bCs/>
          <w:vertAlign w:val="superscript"/>
        </w:rPr>
        <w:footnoteReference w:id="2"/>
      </w:r>
      <w:r w:rsidR="00830A2C">
        <w:rPr>
          <w:rFonts w:asciiTheme="majorBidi" w:eastAsia="黑体" w:hAnsiTheme="majorBidi" w:cstheme="majorBidi" w:hint="eastAsia"/>
        </w:rPr>
        <w:t xml:space="preserve"> </w:t>
      </w:r>
      <w:r w:rsidRPr="00D56F5B">
        <w:rPr>
          <w:rFonts w:asciiTheme="majorBidi" w:eastAsia="黑体" w:hAnsiTheme="majorBidi" w:cstheme="majorBidi"/>
        </w:rPr>
        <w:t>和相关区域文书，将会促进妇女在生活各个方面享受人权和基本自由。因此，委员会鼓励缔约国批准《保护所有移徙工人及其家庭成员权利国际公约》和《保护所有人免遭强迫失踪国际公约》。</w:t>
      </w:r>
    </w:p>
    <w:p w14:paraId="228EFA83"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结论性意见的后续落实</w:t>
      </w:r>
    </w:p>
    <w:p w14:paraId="622D2890" w14:textId="77777777" w:rsidR="00D56F5B" w:rsidRPr="00D56F5B" w:rsidRDefault="00D56F5B" w:rsidP="00830A2C">
      <w:pPr>
        <w:pStyle w:val="SingleTxt"/>
        <w:spacing w:after="120"/>
      </w:pPr>
      <w:r w:rsidRPr="00D56F5B">
        <w:t>47.</w:t>
      </w:r>
      <w:r w:rsidRPr="00D56F5B">
        <w:tab/>
      </w:r>
      <w:r w:rsidRPr="00D56F5B">
        <w:rPr>
          <w:rFonts w:asciiTheme="majorBidi" w:eastAsia="黑体" w:hAnsiTheme="majorBidi" w:cstheme="majorBidi"/>
        </w:rPr>
        <w:t>委</w:t>
      </w:r>
      <w:r w:rsidRPr="00D56F5B">
        <w:rPr>
          <w:rFonts w:asciiTheme="majorBidi" w:eastAsia="黑体" w:hAnsiTheme="majorBidi" w:cstheme="majorBidi"/>
          <w:spacing w:val="-4"/>
        </w:rPr>
        <w:t>员会请缔约国在两年内提供书面资料，说明为执行上文第</w:t>
      </w:r>
      <w:r w:rsidRPr="00D56F5B">
        <w:rPr>
          <w:rFonts w:asciiTheme="majorBidi" w:eastAsia="黑体" w:hAnsiTheme="majorBidi" w:cstheme="majorBidi"/>
          <w:spacing w:val="-4"/>
        </w:rPr>
        <w:t>15 (b)</w:t>
      </w:r>
      <w:r w:rsidRPr="00D56F5B">
        <w:rPr>
          <w:rFonts w:asciiTheme="majorBidi" w:eastAsia="黑体" w:hAnsiTheme="majorBidi" w:cstheme="majorBidi"/>
          <w:spacing w:val="-4"/>
        </w:rPr>
        <w:t>、</w:t>
      </w:r>
      <w:r w:rsidRPr="00D56F5B">
        <w:rPr>
          <w:rFonts w:asciiTheme="majorBidi" w:eastAsia="黑体" w:hAnsiTheme="majorBidi" w:cstheme="majorBidi"/>
          <w:spacing w:val="-4"/>
        </w:rPr>
        <w:t>21 (b)</w:t>
      </w:r>
      <w:r w:rsidRPr="00D56F5B">
        <w:rPr>
          <w:rFonts w:asciiTheme="majorBidi" w:eastAsia="黑体" w:hAnsiTheme="majorBidi" w:cstheme="majorBidi"/>
          <w:spacing w:val="-4"/>
        </w:rPr>
        <w:t>、</w:t>
      </w:r>
      <w:r w:rsidRPr="00D56F5B">
        <w:rPr>
          <w:rFonts w:asciiTheme="majorBidi" w:eastAsia="黑体" w:hAnsiTheme="majorBidi" w:cstheme="majorBidi"/>
        </w:rPr>
        <w:t>25 (a)</w:t>
      </w:r>
      <w:r w:rsidRPr="00D56F5B">
        <w:rPr>
          <w:rFonts w:asciiTheme="majorBidi" w:eastAsia="黑体" w:hAnsiTheme="majorBidi" w:cstheme="majorBidi"/>
        </w:rPr>
        <w:t>和</w:t>
      </w:r>
      <w:r w:rsidRPr="00D56F5B">
        <w:rPr>
          <w:rFonts w:asciiTheme="majorBidi" w:eastAsia="黑体" w:hAnsiTheme="majorBidi" w:cstheme="majorBidi"/>
        </w:rPr>
        <w:t>43 (d)</w:t>
      </w:r>
      <w:r w:rsidRPr="00D56F5B">
        <w:rPr>
          <w:rFonts w:asciiTheme="majorBidi" w:eastAsia="黑体" w:hAnsiTheme="majorBidi" w:cstheme="majorBidi"/>
        </w:rPr>
        <w:t>段所载建议而采取的步骤。</w:t>
      </w:r>
    </w:p>
    <w:p w14:paraId="797A0642" w14:textId="77777777" w:rsidR="00D56F5B" w:rsidRPr="00D56F5B" w:rsidRDefault="00D56F5B" w:rsidP="00830A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56F5B">
        <w:tab/>
      </w:r>
      <w:r w:rsidRPr="00D56F5B">
        <w:tab/>
      </w:r>
      <w:r w:rsidRPr="00D56F5B">
        <w:t>编写下次报告</w:t>
      </w:r>
    </w:p>
    <w:p w14:paraId="594F0C09" w14:textId="4087B44F" w:rsidR="00D56F5B" w:rsidRPr="00830A2C" w:rsidRDefault="00D56F5B" w:rsidP="00830A2C">
      <w:pPr>
        <w:pStyle w:val="SingleTxt"/>
        <w:rPr>
          <w:rFonts w:asciiTheme="majorBidi" w:eastAsia="黑体" w:hAnsiTheme="majorBidi" w:cstheme="majorBidi"/>
        </w:rPr>
      </w:pPr>
      <w:r w:rsidRPr="00830A2C">
        <w:rPr>
          <w:rFonts w:asciiTheme="majorBidi" w:eastAsia="黑体" w:hAnsiTheme="majorBidi" w:cstheme="majorBidi"/>
        </w:rPr>
        <w:t>48.</w:t>
      </w:r>
      <w:r w:rsidRPr="00830A2C">
        <w:rPr>
          <w:rFonts w:asciiTheme="majorBidi" w:eastAsia="黑体" w:hAnsiTheme="majorBidi" w:cstheme="majorBidi"/>
        </w:rPr>
        <w:tab/>
      </w:r>
      <w:r w:rsidRPr="00830A2C">
        <w:rPr>
          <w:rFonts w:asciiTheme="majorBidi" w:eastAsia="黑体" w:hAnsiTheme="majorBidi" w:cstheme="majorBidi"/>
        </w:rPr>
        <w:t>委员会将根据缔约国今后提交报告的明确和正规的时间表</w:t>
      </w:r>
      <w:r w:rsidRPr="00830A2C">
        <w:rPr>
          <w:rFonts w:asciiTheme="majorBidi" w:eastAsia="黑体" w:hAnsiTheme="majorBidi" w:cstheme="majorBidi"/>
        </w:rPr>
        <w:t>(</w:t>
      </w:r>
      <w:r w:rsidRPr="00830A2C">
        <w:rPr>
          <w:rFonts w:asciiTheme="majorBidi" w:eastAsia="黑体" w:hAnsiTheme="majorBidi" w:cstheme="majorBidi"/>
        </w:rPr>
        <w:t>大会第</w:t>
      </w:r>
      <w:hyperlink r:id="rId29" w:history="1">
        <w:r w:rsidRPr="00B544BB">
          <w:rPr>
            <w:rStyle w:val="af7"/>
            <w:rFonts w:asciiTheme="majorBidi" w:eastAsia="黑体" w:hAnsiTheme="majorBidi" w:cstheme="majorBidi"/>
          </w:rPr>
          <w:t>79/165</w:t>
        </w:r>
      </w:hyperlink>
      <w:r w:rsidRPr="00830A2C">
        <w:rPr>
          <w:rFonts w:asciiTheme="majorBidi" w:eastAsia="黑体" w:hAnsiTheme="majorBidi" w:cstheme="majorBidi"/>
        </w:rPr>
        <w:t>号决议，第</w:t>
      </w:r>
      <w:r w:rsidRPr="00830A2C">
        <w:rPr>
          <w:rFonts w:asciiTheme="majorBidi" w:eastAsia="黑体" w:hAnsiTheme="majorBidi" w:cstheme="majorBidi"/>
        </w:rPr>
        <w:t>6</w:t>
      </w:r>
      <w:r w:rsidRPr="00830A2C">
        <w:rPr>
          <w:rFonts w:asciiTheme="majorBidi" w:eastAsia="黑体" w:hAnsiTheme="majorBidi" w:cstheme="majorBidi"/>
        </w:rPr>
        <w:t>段</w:t>
      </w:r>
      <w:r w:rsidRPr="00830A2C">
        <w:rPr>
          <w:rFonts w:asciiTheme="majorBidi" w:eastAsia="黑体" w:hAnsiTheme="majorBidi" w:cstheme="majorBidi"/>
        </w:rPr>
        <w:t>)</w:t>
      </w:r>
      <w:r w:rsidRPr="00830A2C">
        <w:rPr>
          <w:rFonts w:asciiTheme="majorBidi" w:eastAsia="黑体" w:hAnsiTheme="majorBidi" w:cstheme="majorBidi"/>
        </w:rPr>
        <w:t>，并在通过缔约国报告前议题和问题清单后</w:t>
      </w:r>
      <w:r w:rsidRPr="00830A2C">
        <w:rPr>
          <w:rFonts w:asciiTheme="majorBidi" w:eastAsia="黑体" w:hAnsiTheme="majorBidi" w:cstheme="majorBidi"/>
        </w:rPr>
        <w:t>(</w:t>
      </w:r>
      <w:r w:rsidRPr="00830A2C">
        <w:rPr>
          <w:rFonts w:asciiTheme="majorBidi" w:eastAsia="黑体" w:hAnsiTheme="majorBidi" w:cstheme="majorBidi"/>
        </w:rPr>
        <w:t>如适用</w:t>
      </w:r>
      <w:r w:rsidRPr="00830A2C">
        <w:rPr>
          <w:rFonts w:asciiTheme="majorBidi" w:eastAsia="黑体" w:hAnsiTheme="majorBidi" w:cstheme="majorBidi"/>
        </w:rPr>
        <w:t>)</w:t>
      </w:r>
      <w:r w:rsidRPr="00830A2C">
        <w:rPr>
          <w:rFonts w:asciiTheme="majorBidi" w:eastAsia="黑体" w:hAnsiTheme="majorBidi" w:cstheme="majorBidi"/>
        </w:rPr>
        <w:t>，确定并通报缔约国第八次定期报告的提交日期。该报告应涵盖直至提交之时的整个时期。</w:t>
      </w:r>
    </w:p>
    <w:p w14:paraId="2D6F6B65" w14:textId="426AB229" w:rsidR="008E2882" w:rsidRDefault="00D56F5B" w:rsidP="00830A2C">
      <w:pPr>
        <w:pStyle w:val="SingleTxt"/>
        <w:rPr>
          <w:rFonts w:asciiTheme="majorBidi" w:eastAsia="黑体" w:hAnsiTheme="majorBidi" w:cstheme="majorBidi"/>
        </w:rPr>
      </w:pPr>
      <w:r w:rsidRPr="00830A2C">
        <w:rPr>
          <w:rFonts w:asciiTheme="majorBidi" w:eastAsia="黑体" w:hAnsiTheme="majorBidi" w:cstheme="majorBidi"/>
        </w:rPr>
        <w:t>49.</w:t>
      </w:r>
      <w:r w:rsidRPr="00830A2C">
        <w:rPr>
          <w:rFonts w:asciiTheme="majorBidi" w:eastAsia="黑体" w:hAnsiTheme="majorBidi" w:cstheme="majorBidi"/>
        </w:rPr>
        <w:tab/>
      </w:r>
      <w:r w:rsidRPr="00830A2C">
        <w:rPr>
          <w:rFonts w:asciiTheme="majorBidi" w:eastAsia="黑体" w:hAnsiTheme="majorBidi" w:cstheme="majorBidi"/>
        </w:rPr>
        <w:t>委员会请缔约国遵守《包括共同核心文件和条约专要文件准则在内的根据国际人权条约提交报告的协调准则》</w:t>
      </w:r>
      <w:r w:rsidRPr="00830A2C">
        <w:rPr>
          <w:rFonts w:asciiTheme="majorBidi" w:eastAsia="黑体" w:hAnsiTheme="majorBidi" w:cstheme="majorBidi"/>
        </w:rPr>
        <w:t>(</w:t>
      </w:r>
      <w:hyperlink r:id="rId30" w:history="1">
        <w:r w:rsidRPr="00B544BB">
          <w:rPr>
            <w:rStyle w:val="af7"/>
            <w:rFonts w:asciiTheme="majorBidi" w:eastAsia="黑体" w:hAnsiTheme="majorBidi" w:cstheme="majorBidi"/>
          </w:rPr>
          <w:t>HRI/GEN/2/Rev.6</w:t>
        </w:r>
      </w:hyperlink>
      <w:r w:rsidRPr="00830A2C">
        <w:rPr>
          <w:rFonts w:asciiTheme="majorBidi" w:eastAsia="黑体" w:hAnsiTheme="majorBidi" w:cstheme="majorBidi"/>
        </w:rPr>
        <w:t>，第一章</w:t>
      </w:r>
      <w:r w:rsidRPr="00830A2C">
        <w:rPr>
          <w:rFonts w:asciiTheme="majorBidi" w:eastAsia="黑体" w:hAnsiTheme="majorBidi" w:cstheme="majorBidi"/>
        </w:rPr>
        <w:t>)</w:t>
      </w:r>
      <w:r w:rsidRPr="00830A2C">
        <w:rPr>
          <w:rFonts w:asciiTheme="majorBidi" w:eastAsia="黑体" w:hAnsiTheme="majorBidi" w:cstheme="majorBidi"/>
        </w:rPr>
        <w:t>。</w:t>
      </w:r>
    </w:p>
    <w:p w14:paraId="392A7CA5" w14:textId="627CC3D2" w:rsidR="00830A2C" w:rsidRPr="00830A2C" w:rsidRDefault="008E2882" w:rsidP="008E2882">
      <w:pPr>
        <w:pStyle w:val="SingleTxt"/>
        <w:spacing w:after="0" w:line="240" w:lineRule="auto"/>
        <w:rPr>
          <w:rFonts w:asciiTheme="majorBidi" w:eastAsia="黑体" w:hAnsiTheme="majorBidi" w:cstheme="majorBidi"/>
        </w:rPr>
      </w:pPr>
      <w:r>
        <w:rPr>
          <w:rFonts w:asciiTheme="majorBidi" w:eastAsia="黑体" w:hAnsiTheme="majorBidi" w:cstheme="majorBidi"/>
          <w:noProof/>
        </w:rPr>
        <mc:AlternateContent>
          <mc:Choice Requires="wps">
            <w:drawing>
              <wp:anchor distT="0" distB="0" distL="114300" distR="114300" simplePos="0" relativeHeight="251659264" behindDoc="0" locked="0" layoutInCell="1" allowOverlap="1" wp14:anchorId="56A3B7F8" wp14:editId="22AE1CBC">
                <wp:simplePos x="0" y="0"/>
                <wp:positionH relativeFrom="column">
                  <wp:align>center</wp:align>
                </wp:positionH>
                <wp:positionV relativeFrom="paragraph">
                  <wp:posOffset>381000</wp:posOffset>
                </wp:positionV>
                <wp:extent cx="914400" cy="0"/>
                <wp:effectExtent l="0" t="0" r="0" b="0"/>
                <wp:wrapNone/>
                <wp:docPr id="1072143899"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F29D3B" id="直接连接符 5"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830A2C" w:rsidRPr="00830A2C" w:rsidSect="0013534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7T09:54:00Z" w:initials="Start">
    <w:p w14:paraId="501FC4ED" w14:textId="77777777" w:rsidR="0042533D" w:rsidRDefault="0042533D">
      <w:pPr>
        <w:pStyle w:val="ae"/>
      </w:pPr>
      <w:r>
        <w:rPr>
          <w:rStyle w:val="af2"/>
        </w:rPr>
        <w:annotationRef/>
      </w:r>
      <w:r>
        <w:t>&lt;&lt;ODS JOB NO&gt;&gt;N2603611C&lt;&lt;ODS JOB NO&gt;&gt;</w:t>
      </w:r>
    </w:p>
    <w:p w14:paraId="4574307C" w14:textId="77777777" w:rsidR="0042533D" w:rsidRDefault="0042533D">
      <w:pPr>
        <w:pStyle w:val="ae"/>
      </w:pPr>
      <w:r>
        <w:t>&lt;&lt;ODS DOC SYMBOL1&gt;&gt;CEDAW/C/LTU/CO/7&lt;&lt;ODS DOC SYMBOL1&gt;&gt;</w:t>
      </w:r>
    </w:p>
    <w:p w14:paraId="2F21C950" w14:textId="1574DCCA" w:rsidR="0042533D" w:rsidRDefault="0042533D">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21C9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871211" w16cex:dateUtc="2026-03-17T13: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21C950" w16cid:durableId="3487121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80B7D" w14:textId="77777777" w:rsidR="00381F56" w:rsidRDefault="00381F56" w:rsidP="00E3371C">
      <w:pPr>
        <w:spacing w:line="240" w:lineRule="auto"/>
      </w:pPr>
      <w:r>
        <w:separator/>
      </w:r>
    </w:p>
  </w:endnote>
  <w:endnote w:type="continuationSeparator" w:id="0">
    <w:p w14:paraId="0DD1566C" w14:textId="77777777" w:rsidR="00381F56" w:rsidRDefault="00381F56"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533D" w14:paraId="3A5C522E" w14:textId="77777777" w:rsidTr="0042533D">
      <w:tc>
        <w:tcPr>
          <w:tcW w:w="4920" w:type="dxa"/>
        </w:tcPr>
        <w:p w14:paraId="7FD2469E" w14:textId="471B4434" w:rsidR="0042533D" w:rsidRPr="0042533D" w:rsidRDefault="0042533D" w:rsidP="0042533D">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0938">
            <w:rPr>
              <w:b w:val="0"/>
              <w:w w:val="103"/>
              <w:sz w:val="14"/>
            </w:rPr>
            <w:t>26-02561</w:t>
          </w:r>
          <w:r>
            <w:rPr>
              <w:b w:val="0"/>
              <w:w w:val="103"/>
              <w:sz w:val="14"/>
            </w:rPr>
            <w:fldChar w:fldCharType="end"/>
          </w:r>
        </w:p>
      </w:tc>
      <w:tc>
        <w:tcPr>
          <w:tcW w:w="4920" w:type="dxa"/>
        </w:tcPr>
        <w:p w14:paraId="40EC0A84" w14:textId="27D25BB6" w:rsidR="0042533D" w:rsidRPr="0042533D" w:rsidRDefault="0042533D" w:rsidP="0042533D">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DB94681" w14:textId="77777777" w:rsidR="0042533D" w:rsidRPr="0042533D" w:rsidRDefault="0042533D" w:rsidP="004253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533D" w14:paraId="59738F47" w14:textId="77777777" w:rsidTr="0042533D">
      <w:tc>
        <w:tcPr>
          <w:tcW w:w="4920" w:type="dxa"/>
        </w:tcPr>
        <w:p w14:paraId="761B99BC" w14:textId="43712D67" w:rsidR="0042533D" w:rsidRPr="0042533D" w:rsidRDefault="0042533D" w:rsidP="0042533D">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tcPr>
        <w:p w14:paraId="1BE5C998" w14:textId="35743A66" w:rsidR="0042533D" w:rsidRPr="0042533D" w:rsidRDefault="0042533D" w:rsidP="0042533D">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0938">
            <w:rPr>
              <w:b w:val="0"/>
              <w:w w:val="103"/>
              <w:sz w:val="14"/>
            </w:rPr>
            <w:t>26-02561</w:t>
          </w:r>
          <w:r>
            <w:rPr>
              <w:b w:val="0"/>
              <w:w w:val="103"/>
              <w:sz w:val="14"/>
            </w:rPr>
            <w:fldChar w:fldCharType="end"/>
          </w:r>
        </w:p>
      </w:tc>
    </w:tr>
  </w:tbl>
  <w:p w14:paraId="04FB47E5" w14:textId="77777777" w:rsidR="0042533D" w:rsidRPr="0042533D" w:rsidRDefault="0042533D" w:rsidP="004253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42533D" w14:paraId="4A21FCD7" w14:textId="77777777" w:rsidTr="0042533D">
      <w:tc>
        <w:tcPr>
          <w:tcW w:w="3744" w:type="dxa"/>
        </w:tcPr>
        <w:p w14:paraId="35B8B508" w14:textId="2AEF3040" w:rsidR="0042533D" w:rsidRDefault="0042533D" w:rsidP="0042533D">
          <w:pPr>
            <w:pStyle w:val="Release"/>
          </w:pPr>
          <w:r>
            <w:rPr>
              <w:noProof/>
            </w:rPr>
            <w:drawing>
              <wp:anchor distT="0" distB="0" distL="114300" distR="114300" simplePos="0" relativeHeight="251658240" behindDoc="0" locked="0" layoutInCell="1" allowOverlap="1" wp14:anchorId="0B86F3FF" wp14:editId="08F80D45">
                <wp:simplePos x="0" y="0"/>
                <wp:positionH relativeFrom="column">
                  <wp:posOffset>5522595</wp:posOffset>
                </wp:positionH>
                <wp:positionV relativeFrom="paragraph">
                  <wp:posOffset>-356235</wp:posOffset>
                </wp:positionV>
                <wp:extent cx="694690" cy="694690"/>
                <wp:effectExtent l="0" t="0" r="0" b="0"/>
                <wp:wrapNone/>
                <wp:docPr id="4199772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2C0938">
              <w:t>26-02561 (C)</w:t>
            </w:r>
          </w:fldSimple>
          <w:r>
            <w:t xml:space="preserve">    </w:t>
          </w:r>
          <w:r w:rsidR="0013534D">
            <w:rPr>
              <w:rFonts w:hint="eastAsia"/>
            </w:rPr>
            <w:t>2502</w:t>
          </w:r>
          <w:r>
            <w:t xml:space="preserve">26    </w:t>
          </w:r>
          <w:r w:rsidR="0013534D">
            <w:rPr>
              <w:rFonts w:hint="eastAsia"/>
            </w:rPr>
            <w:t>23</w:t>
          </w:r>
          <w:r>
            <w:t>0326</w:t>
          </w:r>
        </w:p>
        <w:p w14:paraId="56CA3DB1" w14:textId="0A05BF36" w:rsidR="0042533D" w:rsidRPr="0042533D" w:rsidRDefault="0042533D" w:rsidP="0042533D">
          <w:pPr>
            <w:spacing w:before="80" w:line="210" w:lineRule="exact"/>
            <w:rPr>
              <w:rFonts w:ascii="Barcode 3 of 9 by request" w:hAnsi="Barcode 3 of 9 by request"/>
              <w:sz w:val="24"/>
            </w:rPr>
          </w:pPr>
          <w:r>
            <w:rPr>
              <w:rFonts w:ascii="Barcode 3 of 9 by request" w:hAnsi="Barcode 3 of 9 by request"/>
              <w:b/>
              <w:sz w:val="24"/>
            </w:rPr>
            <w:t>*2602561*</w:t>
          </w:r>
        </w:p>
      </w:tc>
      <w:tc>
        <w:tcPr>
          <w:tcW w:w="4920" w:type="dxa"/>
          <w:vAlign w:val="center"/>
        </w:tcPr>
        <w:p w14:paraId="27AD9B0D" w14:textId="286DDC0D" w:rsidR="0042533D" w:rsidRDefault="0042533D" w:rsidP="0042533D">
          <w:pPr>
            <w:jc w:val="right"/>
          </w:pPr>
          <w:r>
            <w:rPr>
              <w:noProof/>
            </w:rPr>
            <w:drawing>
              <wp:inline distT="0" distB="0" distL="0" distR="0" wp14:anchorId="199FB0FF" wp14:editId="6126FEFA">
                <wp:extent cx="618745" cy="231648"/>
                <wp:effectExtent l="0" t="0" r="0" b="0"/>
                <wp:docPr id="1050044860" name="图片 2"/>
                <wp:cNvGraphicFramePr/>
                <a:graphic xmlns:a="http://schemas.openxmlformats.org/drawingml/2006/main">
                  <a:graphicData uri="http://schemas.openxmlformats.org/drawingml/2006/picture">
                    <pic:pic xmlns:pic="http://schemas.openxmlformats.org/drawingml/2006/picture">
                      <pic:nvPicPr>
                        <pic:cNvPr id="1050044860"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B5C220D" w14:textId="77777777" w:rsidR="0042533D" w:rsidRPr="0042533D" w:rsidRDefault="0042533D" w:rsidP="0042533D">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43B4E" w14:textId="2405A017" w:rsidR="00381F56" w:rsidRPr="00E52DFF" w:rsidRDefault="00E52DFF" w:rsidP="00E52DFF">
      <w:pPr>
        <w:pStyle w:val="a5"/>
        <w:spacing w:after="80"/>
        <w:ind w:left="792"/>
        <w:rPr>
          <w:sz w:val="16"/>
        </w:rPr>
      </w:pPr>
      <w:r w:rsidRPr="00E52DFF">
        <w:rPr>
          <w:sz w:val="16"/>
        </w:rPr>
        <w:t>__________________</w:t>
      </w:r>
    </w:p>
  </w:footnote>
  <w:footnote w:type="continuationSeparator" w:id="0">
    <w:p w14:paraId="28B26129" w14:textId="2557CAF3" w:rsidR="00381F56" w:rsidRPr="00E52DFF" w:rsidRDefault="00E52DFF" w:rsidP="00E52DFF">
      <w:pPr>
        <w:pStyle w:val="a5"/>
        <w:spacing w:after="80"/>
        <w:ind w:left="792"/>
        <w:rPr>
          <w:sz w:val="16"/>
        </w:rPr>
      </w:pPr>
      <w:r w:rsidRPr="00E52DFF">
        <w:rPr>
          <w:sz w:val="16"/>
        </w:rPr>
        <w:t>__________________</w:t>
      </w:r>
    </w:p>
  </w:footnote>
  <w:footnote w:id="1">
    <w:p w14:paraId="4E9A96F5" w14:textId="3C1D63AC" w:rsidR="00D56F5B" w:rsidRPr="008965BD" w:rsidRDefault="00D56F5B" w:rsidP="00E52DFF">
      <w:pPr>
        <w:pStyle w:val="aa"/>
        <w:tabs>
          <w:tab w:val="clear" w:pos="418"/>
          <w:tab w:val="right" w:pos="1195"/>
          <w:tab w:val="left" w:pos="1264"/>
          <w:tab w:val="left" w:pos="1695"/>
          <w:tab w:val="left" w:pos="2126"/>
          <w:tab w:val="left" w:pos="2557"/>
        </w:tabs>
        <w:ind w:left="1264" w:right="1264" w:hanging="432"/>
      </w:pPr>
      <w:r>
        <w:rPr>
          <w:lang w:val="zh-CN"/>
        </w:rPr>
        <w:tab/>
        <w:t>*</w:t>
      </w:r>
      <w:r w:rsidR="00830A2C">
        <w:rPr>
          <w:lang w:val="zh-CN"/>
        </w:rPr>
        <w:tab/>
      </w:r>
      <w:r>
        <w:rPr>
          <w:lang w:val="zh-CN"/>
        </w:rPr>
        <w:t>在委员会第九十二届会议</w:t>
      </w:r>
      <w:r w:rsidR="00830A2C">
        <w:rPr>
          <w:rFonts w:hint="eastAsia"/>
          <w:lang w:val="zh-CN"/>
        </w:rPr>
        <w:t>(</w:t>
      </w:r>
      <w:r>
        <w:rPr>
          <w:lang w:val="zh-CN"/>
        </w:rPr>
        <w:t>2026</w:t>
      </w:r>
      <w:r>
        <w:rPr>
          <w:lang w:val="zh-CN"/>
        </w:rPr>
        <w:t>年</w:t>
      </w:r>
      <w:r>
        <w:rPr>
          <w:lang w:val="zh-CN"/>
        </w:rPr>
        <w:t>2</w:t>
      </w:r>
      <w:r>
        <w:rPr>
          <w:lang w:val="zh-CN"/>
        </w:rPr>
        <w:t>月</w:t>
      </w:r>
      <w:r>
        <w:rPr>
          <w:lang w:val="zh-CN"/>
        </w:rPr>
        <w:t>2</w:t>
      </w:r>
      <w:r>
        <w:rPr>
          <w:lang w:val="zh-CN"/>
        </w:rPr>
        <w:t>日至</w:t>
      </w:r>
      <w:r>
        <w:rPr>
          <w:lang w:val="zh-CN"/>
        </w:rPr>
        <w:t>20</w:t>
      </w:r>
      <w:r>
        <w:rPr>
          <w:lang w:val="zh-CN"/>
        </w:rPr>
        <w:t>日</w:t>
      </w:r>
      <w:r w:rsidR="00830A2C">
        <w:rPr>
          <w:rFonts w:hint="eastAsia"/>
          <w:lang w:val="zh-CN"/>
        </w:rPr>
        <w:t>)</w:t>
      </w:r>
      <w:r>
        <w:rPr>
          <w:lang w:val="zh-CN"/>
        </w:rPr>
        <w:t>上通过。</w:t>
      </w:r>
    </w:p>
  </w:footnote>
  <w:footnote w:id="2">
    <w:p w14:paraId="791CBDD3" w14:textId="77777777" w:rsidR="00D56F5B" w:rsidRDefault="00D56F5B" w:rsidP="00E52DFF">
      <w:pPr>
        <w:pStyle w:val="aa"/>
        <w:tabs>
          <w:tab w:val="clear" w:pos="418"/>
          <w:tab w:val="right" w:pos="1195"/>
          <w:tab w:val="left" w:pos="1264"/>
          <w:tab w:val="left" w:pos="1695"/>
          <w:tab w:val="left" w:pos="2126"/>
          <w:tab w:val="left" w:pos="2557"/>
        </w:tabs>
        <w:ind w:left="1264" w:right="1264" w:hanging="432"/>
      </w:pPr>
      <w:r>
        <w:rPr>
          <w:lang w:val="zh-CN"/>
        </w:rPr>
        <w:tab/>
      </w:r>
      <w:r w:rsidRPr="00C225CC">
        <w:rPr>
          <w:rStyle w:val="a8"/>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2533D" w14:paraId="3A2558D0" w14:textId="77777777" w:rsidTr="0042533D">
      <w:trPr>
        <w:trHeight w:hRule="exact" w:val="864"/>
      </w:trPr>
      <w:tc>
        <w:tcPr>
          <w:tcW w:w="4925" w:type="dxa"/>
          <w:vAlign w:val="bottom"/>
        </w:tcPr>
        <w:p w14:paraId="28D7DD89" w14:textId="53758E37" w:rsidR="0042533D" w:rsidRPr="0042533D" w:rsidRDefault="0042533D" w:rsidP="0042533D">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C0938">
            <w:rPr>
              <w:b/>
              <w:sz w:val="17"/>
            </w:rPr>
            <w:t>CEDAW/C/LTU/CO/7</w:t>
          </w:r>
          <w:r>
            <w:rPr>
              <w:b/>
              <w:sz w:val="17"/>
            </w:rPr>
            <w:fldChar w:fldCharType="end"/>
          </w:r>
        </w:p>
      </w:tc>
      <w:tc>
        <w:tcPr>
          <w:tcW w:w="4920" w:type="dxa"/>
          <w:vAlign w:val="bottom"/>
        </w:tcPr>
        <w:p w14:paraId="7C5A957A" w14:textId="77777777" w:rsidR="0042533D" w:rsidRDefault="0042533D" w:rsidP="0042533D">
          <w:pPr>
            <w:pStyle w:val="a3"/>
          </w:pPr>
        </w:p>
      </w:tc>
    </w:tr>
  </w:tbl>
  <w:p w14:paraId="3D3F586B" w14:textId="77777777" w:rsidR="0042533D" w:rsidRPr="0042533D" w:rsidRDefault="0042533D" w:rsidP="004253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2533D" w14:paraId="2A98DC2D" w14:textId="77777777" w:rsidTr="0042533D">
      <w:trPr>
        <w:trHeight w:hRule="exact" w:val="864"/>
      </w:trPr>
      <w:tc>
        <w:tcPr>
          <w:tcW w:w="4925" w:type="dxa"/>
          <w:vAlign w:val="bottom"/>
        </w:tcPr>
        <w:p w14:paraId="3C0BBA7B" w14:textId="77777777" w:rsidR="0042533D" w:rsidRDefault="0042533D" w:rsidP="0042533D">
          <w:pPr>
            <w:pStyle w:val="a3"/>
          </w:pPr>
        </w:p>
      </w:tc>
      <w:tc>
        <w:tcPr>
          <w:tcW w:w="4920" w:type="dxa"/>
          <w:vAlign w:val="bottom"/>
        </w:tcPr>
        <w:p w14:paraId="28FDC5C5" w14:textId="593C421C" w:rsidR="0042533D" w:rsidRPr="0042533D" w:rsidRDefault="0042533D" w:rsidP="0042533D">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C0938">
            <w:rPr>
              <w:b/>
              <w:sz w:val="17"/>
            </w:rPr>
            <w:t>CEDAW/C/LTU/CO/7</w:t>
          </w:r>
          <w:r>
            <w:rPr>
              <w:b/>
              <w:sz w:val="17"/>
            </w:rPr>
            <w:fldChar w:fldCharType="end"/>
          </w:r>
        </w:p>
      </w:tc>
    </w:tr>
  </w:tbl>
  <w:p w14:paraId="6A50CBE6" w14:textId="77777777" w:rsidR="0042533D" w:rsidRPr="0042533D" w:rsidRDefault="0042533D" w:rsidP="0042533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2533D" w14:paraId="3B7AFE78" w14:textId="77777777" w:rsidTr="0042533D">
      <w:trPr>
        <w:trHeight w:hRule="exact" w:val="864"/>
      </w:trPr>
      <w:tc>
        <w:tcPr>
          <w:tcW w:w="1267" w:type="dxa"/>
          <w:tcBorders>
            <w:bottom w:val="single" w:sz="4" w:space="0" w:color="auto"/>
          </w:tcBorders>
          <w:vAlign w:val="bottom"/>
        </w:tcPr>
        <w:p w14:paraId="62A2FC71" w14:textId="77777777" w:rsidR="0042533D" w:rsidRDefault="0042533D" w:rsidP="0042533D">
          <w:pPr>
            <w:pStyle w:val="a3"/>
            <w:spacing w:after="120"/>
          </w:pPr>
        </w:p>
      </w:tc>
      <w:tc>
        <w:tcPr>
          <w:tcW w:w="1872" w:type="dxa"/>
          <w:tcBorders>
            <w:bottom w:val="single" w:sz="4" w:space="0" w:color="auto"/>
          </w:tcBorders>
          <w:vAlign w:val="bottom"/>
        </w:tcPr>
        <w:p w14:paraId="21BB7064" w14:textId="5AA36215" w:rsidR="0042533D" w:rsidRPr="0042533D" w:rsidRDefault="0042533D" w:rsidP="0042533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2ED3710A" w14:textId="77777777" w:rsidR="0042533D" w:rsidRDefault="0042533D" w:rsidP="0042533D">
          <w:pPr>
            <w:pStyle w:val="a3"/>
            <w:spacing w:after="120"/>
          </w:pPr>
        </w:p>
      </w:tc>
      <w:tc>
        <w:tcPr>
          <w:tcW w:w="6437" w:type="dxa"/>
          <w:gridSpan w:val="3"/>
          <w:tcBorders>
            <w:bottom w:val="single" w:sz="4" w:space="0" w:color="auto"/>
          </w:tcBorders>
          <w:vAlign w:val="bottom"/>
        </w:tcPr>
        <w:p w14:paraId="00A455C4" w14:textId="38841598" w:rsidR="0042533D" w:rsidRPr="0042533D" w:rsidRDefault="0042533D" w:rsidP="0042533D">
          <w:pPr>
            <w:spacing w:after="80" w:line="240" w:lineRule="auto"/>
            <w:jc w:val="right"/>
            <w:rPr>
              <w:position w:val="-4"/>
            </w:rPr>
          </w:pPr>
          <w:r>
            <w:rPr>
              <w:position w:val="-4"/>
              <w:sz w:val="40"/>
            </w:rPr>
            <w:t>CEDAW</w:t>
          </w:r>
          <w:r>
            <w:rPr>
              <w:position w:val="-4"/>
            </w:rPr>
            <w:t>/C/LTU/CO/7</w:t>
          </w:r>
        </w:p>
      </w:tc>
    </w:tr>
    <w:tr w:rsidR="0042533D" w:rsidRPr="0042533D" w14:paraId="1615BA93" w14:textId="77777777" w:rsidTr="0042533D">
      <w:trPr>
        <w:trHeight w:hRule="exact" w:val="2880"/>
      </w:trPr>
      <w:tc>
        <w:tcPr>
          <w:tcW w:w="1267" w:type="dxa"/>
          <w:tcBorders>
            <w:top w:val="single" w:sz="4" w:space="0" w:color="auto"/>
            <w:bottom w:val="single" w:sz="12" w:space="0" w:color="auto"/>
          </w:tcBorders>
        </w:tcPr>
        <w:p w14:paraId="78811942" w14:textId="1DF953D5" w:rsidR="0042533D" w:rsidRPr="0042533D" w:rsidRDefault="0042533D" w:rsidP="0042533D">
          <w:pPr>
            <w:pStyle w:val="a3"/>
            <w:spacing w:before="109"/>
          </w:pPr>
          <w:r>
            <w:t xml:space="preserve"> </w:t>
          </w:r>
          <w:r>
            <w:drawing>
              <wp:inline distT="0" distB="0" distL="0" distR="0" wp14:anchorId="0111C5EF" wp14:editId="1B6224E6">
                <wp:extent cx="711200" cy="597103"/>
                <wp:effectExtent l="0" t="0" r="0" b="0"/>
                <wp:docPr id="1711523275" name="图片 1"/>
                <wp:cNvGraphicFramePr/>
                <a:graphic xmlns:a="http://schemas.openxmlformats.org/drawingml/2006/main">
                  <a:graphicData uri="http://schemas.openxmlformats.org/drawingml/2006/picture">
                    <pic:pic xmlns:pic="http://schemas.openxmlformats.org/drawingml/2006/picture">
                      <pic:nvPicPr>
                        <pic:cNvPr id="171152327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BB2F237" w14:textId="1F2E470D" w:rsidR="0042533D" w:rsidRPr="0042533D" w:rsidRDefault="0042533D" w:rsidP="0042533D">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tcPr>
        <w:p w14:paraId="6B02D78F" w14:textId="77777777" w:rsidR="0042533D" w:rsidRPr="0042533D" w:rsidRDefault="0042533D" w:rsidP="0042533D">
          <w:pPr>
            <w:pStyle w:val="a3"/>
            <w:spacing w:before="109"/>
          </w:pPr>
        </w:p>
      </w:tc>
      <w:tc>
        <w:tcPr>
          <w:tcW w:w="3080" w:type="dxa"/>
          <w:tcBorders>
            <w:top w:val="single" w:sz="4" w:space="0" w:color="auto"/>
            <w:bottom w:val="single" w:sz="12" w:space="0" w:color="auto"/>
          </w:tcBorders>
        </w:tcPr>
        <w:p w14:paraId="1AAC00B7" w14:textId="77777777" w:rsidR="0042533D" w:rsidRDefault="0042533D" w:rsidP="0042533D">
          <w:pPr>
            <w:pStyle w:val="Distr"/>
          </w:pPr>
          <w:r>
            <w:t>Distr.: General</w:t>
          </w:r>
        </w:p>
        <w:p w14:paraId="59BC17D5" w14:textId="77777777" w:rsidR="0042533D" w:rsidRDefault="0042533D" w:rsidP="0042533D">
          <w:pPr>
            <w:pStyle w:val="Publication"/>
          </w:pPr>
          <w:r>
            <w:t>25 February 2026</w:t>
          </w:r>
        </w:p>
        <w:p w14:paraId="13A5F0C7" w14:textId="77777777" w:rsidR="0042533D" w:rsidRDefault="0042533D" w:rsidP="0042533D">
          <w:pPr>
            <w:spacing w:line="240" w:lineRule="exact"/>
          </w:pPr>
          <w:r>
            <w:t>Chinese</w:t>
          </w:r>
        </w:p>
        <w:p w14:paraId="68591830" w14:textId="77777777" w:rsidR="0042533D" w:rsidRDefault="0042533D" w:rsidP="0042533D">
          <w:pPr>
            <w:pStyle w:val="Original"/>
          </w:pPr>
          <w:r>
            <w:t>Original: English</w:t>
          </w:r>
        </w:p>
        <w:p w14:paraId="67146FE6" w14:textId="4B077EE4" w:rsidR="0042533D" w:rsidRPr="0042533D" w:rsidRDefault="0042533D" w:rsidP="0042533D"/>
      </w:tc>
    </w:tr>
  </w:tbl>
  <w:p w14:paraId="6363E26D" w14:textId="77777777" w:rsidR="0042533D" w:rsidRPr="0042533D" w:rsidRDefault="0042533D" w:rsidP="0042533D">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1*"/>
    <w:docVar w:name="CreationDt" w:val="17/03/2026 09:54:02"/>
    <w:docVar w:name="DocCategory" w:val="Doc"/>
    <w:docVar w:name="DocType" w:val="Final"/>
    <w:docVar w:name="DutyStation" w:val="New York"/>
    <w:docVar w:name="FooterJN" w:val="26-02561"/>
    <w:docVar w:name="jobn" w:val="26-02561 (C)"/>
    <w:docVar w:name="jobnDT" w:val="26-02561 (C)   170326"/>
    <w:docVar w:name="jobnDTDT" w:val="26-02561 (C)   170326   170326"/>
    <w:docVar w:name="JobNo" w:val="2602561C"/>
    <w:docVar w:name="LocalDrive" w:val="-1"/>
    <w:docVar w:name="OandT" w:val="ltx"/>
    <w:docVar w:name="sss1" w:val="CEDAW/C/LTU/CO/7"/>
    <w:docVar w:name="sss2" w:val="-"/>
    <w:docVar w:name="Symbol1" w:val="CEDAW/C/LTU/CO/7"/>
    <w:docVar w:name="Symbol2" w:val="-"/>
    <w:docVar w:name="Title1" w:val="_x0009__x0009_关于立陶宛第七次定期报告的结论性意见*_x000d_"/>
  </w:docVars>
  <w:rsids>
    <w:rsidRoot w:val="00381F56"/>
    <w:rsid w:val="00003E22"/>
    <w:rsid w:val="0000600D"/>
    <w:rsid w:val="00011A74"/>
    <w:rsid w:val="00026CE4"/>
    <w:rsid w:val="00064A94"/>
    <w:rsid w:val="0006752C"/>
    <w:rsid w:val="000707B8"/>
    <w:rsid w:val="00091DA3"/>
    <w:rsid w:val="000B224B"/>
    <w:rsid w:val="00110659"/>
    <w:rsid w:val="00112891"/>
    <w:rsid w:val="00122BAA"/>
    <w:rsid w:val="0013534D"/>
    <w:rsid w:val="001916E8"/>
    <w:rsid w:val="00195578"/>
    <w:rsid w:val="001A7D60"/>
    <w:rsid w:val="001D4893"/>
    <w:rsid w:val="0024131D"/>
    <w:rsid w:val="002548FA"/>
    <w:rsid w:val="0025736B"/>
    <w:rsid w:val="00265945"/>
    <w:rsid w:val="002676CA"/>
    <w:rsid w:val="002C0938"/>
    <w:rsid w:val="00306444"/>
    <w:rsid w:val="00316315"/>
    <w:rsid w:val="003201A0"/>
    <w:rsid w:val="00333781"/>
    <w:rsid w:val="003632BA"/>
    <w:rsid w:val="00381F56"/>
    <w:rsid w:val="003A6998"/>
    <w:rsid w:val="003D3455"/>
    <w:rsid w:val="003F7A24"/>
    <w:rsid w:val="00401F56"/>
    <w:rsid w:val="0042533D"/>
    <w:rsid w:val="004258FB"/>
    <w:rsid w:val="00463DF4"/>
    <w:rsid w:val="00464216"/>
    <w:rsid w:val="004F5440"/>
    <w:rsid w:val="00507899"/>
    <w:rsid w:val="00507C44"/>
    <w:rsid w:val="00511C45"/>
    <w:rsid w:val="0057503F"/>
    <w:rsid w:val="0057728C"/>
    <w:rsid w:val="005C1AE4"/>
    <w:rsid w:val="005D797B"/>
    <w:rsid w:val="00614C1A"/>
    <w:rsid w:val="006370FC"/>
    <w:rsid w:val="00637456"/>
    <w:rsid w:val="00641ECD"/>
    <w:rsid w:val="00647858"/>
    <w:rsid w:val="006800DF"/>
    <w:rsid w:val="006D2306"/>
    <w:rsid w:val="006E7BE8"/>
    <w:rsid w:val="007061A1"/>
    <w:rsid w:val="00714521"/>
    <w:rsid w:val="00716146"/>
    <w:rsid w:val="007316FE"/>
    <w:rsid w:val="00746418"/>
    <w:rsid w:val="00760F72"/>
    <w:rsid w:val="00787BD5"/>
    <w:rsid w:val="007A6EF8"/>
    <w:rsid w:val="007B45A6"/>
    <w:rsid w:val="007F1595"/>
    <w:rsid w:val="008068FD"/>
    <w:rsid w:val="00830A2C"/>
    <w:rsid w:val="008964D8"/>
    <w:rsid w:val="008A15A1"/>
    <w:rsid w:val="008C7AA2"/>
    <w:rsid w:val="008D3AFD"/>
    <w:rsid w:val="008E2882"/>
    <w:rsid w:val="008F2968"/>
    <w:rsid w:val="009141A3"/>
    <w:rsid w:val="009146FD"/>
    <w:rsid w:val="009163A9"/>
    <w:rsid w:val="009430D3"/>
    <w:rsid w:val="00966C44"/>
    <w:rsid w:val="009B20A4"/>
    <w:rsid w:val="009D0569"/>
    <w:rsid w:val="00A20CBC"/>
    <w:rsid w:val="00A21540"/>
    <w:rsid w:val="00A22C01"/>
    <w:rsid w:val="00A44CC5"/>
    <w:rsid w:val="00A54C89"/>
    <w:rsid w:val="00A621C6"/>
    <w:rsid w:val="00A66C2D"/>
    <w:rsid w:val="00AE136E"/>
    <w:rsid w:val="00B071AA"/>
    <w:rsid w:val="00B360B0"/>
    <w:rsid w:val="00B544BB"/>
    <w:rsid w:val="00BA543D"/>
    <w:rsid w:val="00C072DA"/>
    <w:rsid w:val="00C07E63"/>
    <w:rsid w:val="00C55A70"/>
    <w:rsid w:val="00C64E6E"/>
    <w:rsid w:val="00C66002"/>
    <w:rsid w:val="00C75F79"/>
    <w:rsid w:val="00C923D9"/>
    <w:rsid w:val="00C94C55"/>
    <w:rsid w:val="00D56F5B"/>
    <w:rsid w:val="00DC5892"/>
    <w:rsid w:val="00DD703D"/>
    <w:rsid w:val="00E3371C"/>
    <w:rsid w:val="00E452BE"/>
    <w:rsid w:val="00E52DFF"/>
    <w:rsid w:val="00E82CF7"/>
    <w:rsid w:val="00E84A0D"/>
    <w:rsid w:val="00E9395B"/>
    <w:rsid w:val="00EA3E2B"/>
    <w:rsid w:val="00EB38C9"/>
    <w:rsid w:val="00EB4C4E"/>
    <w:rsid w:val="00EC7339"/>
    <w:rsid w:val="00F527B3"/>
    <w:rsid w:val="00F72DFA"/>
    <w:rsid w:val="00FE7D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EADFB"/>
  <w15:chartTrackingRefBased/>
  <w15:docId w15:val="{51AB38F3-E1D4-437C-8D59-198F1C781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381F56"/>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381F56"/>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381F56"/>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381F56"/>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381F56"/>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381F56"/>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customStyle="1" w:styleId="RepBullet">
    <w:name w:val="Rep_Bullet"/>
    <w:qFormat/>
    <w:rsid w:val="003F7A24"/>
    <w:pPr>
      <w:tabs>
        <w:tab w:val="left" w:pos="431"/>
      </w:tabs>
      <w:spacing w:after="110" w:line="230" w:lineRule="exact"/>
      <w:ind w:left="1293" w:right="431" w:hanging="431"/>
      <w:jc w:val="both"/>
    </w:pPr>
    <w:rPr>
      <w:rFonts w:ascii="Times New Roman" w:eastAsia="宋体" w:hAnsi="Times New Roman" w:cs="Times New Roman"/>
      <w:kern w:val="14"/>
      <w:sz w:val="21"/>
      <w:szCs w:val="20"/>
      <w:lang w:val="en-GB" w:eastAsia="en-US"/>
    </w:rPr>
  </w:style>
  <w:style w:type="paragraph" w:customStyle="1" w:styleId="RepCtrHdg">
    <w:name w:val="Rep_Ctr_Hdg"/>
    <w:basedOn w:val="a"/>
    <w:qFormat/>
    <w:rsid w:val="00091DA3"/>
    <w:pPr>
      <w:tabs>
        <w:tab w:val="left" w:pos="431"/>
      </w:tabs>
      <w:suppressAutoHyphens/>
      <w:spacing w:line="240" w:lineRule="auto"/>
      <w:ind w:left="431" w:right="431"/>
      <w:jc w:val="left"/>
      <w:outlineLvl w:val="0"/>
    </w:pPr>
    <w:rPr>
      <w:rFonts w:eastAsia="黑体"/>
      <w:sz w:val="40"/>
      <w:szCs w:val="40"/>
      <w:lang w:val="en-GB" w:eastAsia="en-US"/>
    </w:rPr>
  </w:style>
  <w:style w:type="paragraph" w:customStyle="1" w:styleId="RepCtrNumberedHdg">
    <w:name w:val="Rep_Ctr_Numbered_Hdg"/>
    <w:basedOn w:val="a"/>
    <w:qFormat/>
    <w:rsid w:val="00091DA3"/>
    <w:pPr>
      <w:tabs>
        <w:tab w:val="left" w:pos="431"/>
        <w:tab w:val="left" w:pos="1021"/>
      </w:tabs>
      <w:suppressAutoHyphens/>
      <w:spacing w:line="240" w:lineRule="auto"/>
      <w:ind w:left="1452" w:right="431" w:hanging="1021"/>
      <w:jc w:val="left"/>
      <w:outlineLvl w:val="0"/>
    </w:pPr>
    <w:rPr>
      <w:rFonts w:eastAsia="黑体"/>
      <w:sz w:val="28"/>
      <w:szCs w:val="28"/>
      <w:lang w:val="en-GB" w:eastAsia="en-US"/>
    </w:rPr>
  </w:style>
  <w:style w:type="paragraph" w:customStyle="1" w:styleId="RepFootnote">
    <w:name w:val="Rep_Footnote"/>
    <w:basedOn w:val="aa"/>
    <w:qFormat/>
    <w:rsid w:val="002676CA"/>
    <w:pPr>
      <w:widowControl w:val="0"/>
      <w:tabs>
        <w:tab w:val="clear" w:pos="418"/>
        <w:tab w:val="right" w:pos="954"/>
        <w:tab w:val="left" w:pos="1170"/>
        <w:tab w:val="left" w:pos="1440"/>
      </w:tabs>
      <w:suppressAutoHyphens/>
      <w:spacing w:after="0" w:line="210" w:lineRule="exact"/>
      <w:ind w:left="1022" w:right="432" w:hanging="590"/>
      <w:jc w:val="left"/>
    </w:pPr>
    <w:rPr>
      <w:rFonts w:eastAsia="Calibri"/>
      <w:noProof w:val="0"/>
      <w:spacing w:val="5"/>
      <w:w w:val="103"/>
      <w:sz w:val="17"/>
      <w:szCs w:val="17"/>
      <w:lang w:val="en-GB" w:eastAsia="en-US"/>
    </w:rPr>
  </w:style>
  <w:style w:type="paragraph" w:customStyle="1" w:styleId="RepH1">
    <w:name w:val="Rep_H1"/>
    <w:basedOn w:val="H1"/>
    <w:qFormat/>
    <w:rsid w:val="00091DA3"/>
    <w:pPr>
      <w:tabs>
        <w:tab w:val="left" w:pos="431"/>
      </w:tabs>
      <w:ind w:left="431" w:right="431" w:firstLine="0"/>
      <w:jc w:val="left"/>
    </w:pPr>
    <w:rPr>
      <w:szCs w:val="24"/>
      <w:lang w:val="en-GB" w:eastAsia="en-US"/>
    </w:rPr>
  </w:style>
  <w:style w:type="paragraph" w:customStyle="1" w:styleId="RepH1Margin">
    <w:name w:val="Rep_H1_Margin"/>
    <w:basedOn w:val="H1"/>
    <w:qFormat/>
    <w:rsid w:val="002676CA"/>
    <w:pPr>
      <w:spacing w:line="270" w:lineRule="exact"/>
      <w:ind w:left="432" w:right="432" w:firstLine="0"/>
      <w:jc w:val="left"/>
    </w:pPr>
    <w:rPr>
      <w:rFonts w:eastAsia="Calibri"/>
      <w:b/>
      <w:spacing w:val="4"/>
      <w:w w:val="103"/>
      <w:lang w:val="en-GB" w:eastAsia="en-US"/>
    </w:rPr>
  </w:style>
  <w:style w:type="paragraph" w:customStyle="1" w:styleId="RepH2">
    <w:name w:val="Rep_H2"/>
    <w:basedOn w:val="H23"/>
    <w:rsid w:val="00091DA3"/>
    <w:pPr>
      <w:tabs>
        <w:tab w:val="left" w:pos="431"/>
      </w:tabs>
      <w:suppressAutoHyphens/>
      <w:ind w:left="431" w:right="431" w:firstLine="0"/>
      <w:jc w:val="left"/>
    </w:pPr>
    <w:rPr>
      <w:lang w:eastAsia="en-US"/>
    </w:rPr>
  </w:style>
  <w:style w:type="paragraph" w:customStyle="1" w:styleId="RepH4">
    <w:name w:val="Rep_H4"/>
    <w:basedOn w:val="H4"/>
    <w:rsid w:val="001916E8"/>
    <w:pPr>
      <w:ind w:left="431" w:right="431" w:firstLine="0"/>
      <w:jc w:val="left"/>
    </w:pPr>
    <w:rPr>
      <w:noProof w:val="0"/>
      <w:lang w:val="en-GB" w:eastAsia="en-US"/>
    </w:rPr>
  </w:style>
  <w:style w:type="paragraph" w:customStyle="1" w:styleId="RepMainIntro">
    <w:name w:val="Rep_Main_Intro"/>
    <w:basedOn w:val="SingleTxt"/>
    <w:next w:val="H1"/>
    <w:qFormat/>
    <w:rsid w:val="00110659"/>
    <w:p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s>
      <w:suppressAutoHyphens/>
      <w:spacing w:after="0" w:line="400" w:lineRule="exact"/>
      <w:ind w:left="431" w:right="431"/>
      <w:jc w:val="left"/>
      <w:outlineLvl w:val="0"/>
    </w:pPr>
    <w:rPr>
      <w:rFonts w:eastAsia="黑体"/>
      <w:bCs/>
      <w:sz w:val="28"/>
      <w:lang w:val="en-GB" w:eastAsia="en-US"/>
    </w:rPr>
  </w:style>
  <w:style w:type="paragraph" w:customStyle="1" w:styleId="RepNumberedH1">
    <w:name w:val="Rep_Numbered_H1"/>
    <w:basedOn w:val="H1"/>
    <w:qFormat/>
    <w:rsid w:val="00091DA3"/>
    <w:pPr>
      <w:tabs>
        <w:tab w:val="left" w:pos="431"/>
        <w:tab w:val="left" w:pos="533"/>
      </w:tabs>
      <w:spacing w:line="240" w:lineRule="auto"/>
      <w:ind w:left="431" w:right="431" w:firstLine="0"/>
      <w:jc w:val="left"/>
    </w:pPr>
    <w:rPr>
      <w:rFonts w:eastAsia="Calibri"/>
      <w:szCs w:val="24"/>
      <w:lang w:val="en-GB" w:eastAsia="en-US"/>
    </w:rPr>
  </w:style>
  <w:style w:type="paragraph" w:customStyle="1" w:styleId="RepNumberedH2">
    <w:name w:val="Rep_Numbered_H2"/>
    <w:basedOn w:val="RepNumberedH1"/>
    <w:qFormat/>
    <w:rsid w:val="00091DA3"/>
    <w:pPr>
      <w:spacing w:line="320" w:lineRule="exact"/>
    </w:pPr>
    <w:rPr>
      <w:rFonts w:eastAsia="黑体"/>
      <w:sz w:val="21"/>
      <w:szCs w:val="21"/>
    </w:rPr>
  </w:style>
  <w:style w:type="paragraph" w:customStyle="1" w:styleId="RepPartNumber">
    <w:name w:val="Rep_PartNumber"/>
    <w:basedOn w:val="a"/>
    <w:qFormat/>
    <w:rsid w:val="00110659"/>
    <w:pPr>
      <w:tabs>
        <w:tab w:val="left" w:pos="431"/>
      </w:tabs>
      <w:suppressAutoHyphens/>
      <w:spacing w:line="500" w:lineRule="exact"/>
      <w:jc w:val="left"/>
      <w:outlineLvl w:val="0"/>
    </w:pPr>
    <w:rPr>
      <w:rFonts w:eastAsia="黑体"/>
      <w:b/>
      <w:bCs/>
      <w:sz w:val="40"/>
      <w:szCs w:val="40"/>
      <w:lang w:val="en-GB" w:eastAsia="en-US"/>
    </w:rPr>
  </w:style>
  <w:style w:type="paragraph" w:customStyle="1" w:styleId="RepPartTitle">
    <w:name w:val="Rep_PartTitle"/>
    <w:basedOn w:val="a"/>
    <w:qFormat/>
    <w:rsid w:val="00091DA3"/>
    <w:pPr>
      <w:tabs>
        <w:tab w:val="left" w:pos="431"/>
      </w:tabs>
      <w:suppressAutoHyphens/>
      <w:spacing w:line="500" w:lineRule="exact"/>
      <w:ind w:left="1264" w:right="1264"/>
      <w:outlineLvl w:val="0"/>
    </w:pPr>
    <w:rPr>
      <w:rFonts w:eastAsia="黑体"/>
      <w:b/>
      <w:bCs/>
      <w:sz w:val="40"/>
      <w:szCs w:val="40"/>
      <w:lang w:val="en-GB" w:eastAsia="en-US"/>
    </w:rPr>
  </w:style>
  <w:style w:type="paragraph" w:customStyle="1" w:styleId="RepSingleText">
    <w:name w:val="Rep_Single_Text"/>
    <w:basedOn w:val="a"/>
    <w:link w:val="RepSingleTextChar"/>
    <w:qFormat/>
    <w:rsid w:val="002676CA"/>
    <w:pPr>
      <w:tabs>
        <w:tab w:val="left" w:pos="1008"/>
      </w:tabs>
      <w:suppressAutoHyphens/>
      <w:spacing w:after="120" w:line="240" w:lineRule="auto"/>
      <w:ind w:left="432" w:right="432"/>
    </w:pPr>
    <w:rPr>
      <w:rFonts w:eastAsiaTheme="minorHAnsi"/>
      <w:spacing w:val="4"/>
      <w:w w:val="103"/>
      <w:sz w:val="20"/>
      <w:lang w:val="en-GB" w:eastAsia="en-US"/>
    </w:rPr>
  </w:style>
  <w:style w:type="character" w:customStyle="1" w:styleId="RepSingleTextChar">
    <w:name w:val="Rep_Single_Text Char"/>
    <w:basedOn w:val="a0"/>
    <w:link w:val="RepSingleText"/>
    <w:rsid w:val="002676CA"/>
    <w:rPr>
      <w:rFonts w:ascii="Times New Roman" w:eastAsiaTheme="minorHAnsi" w:hAnsi="Times New Roman" w:cs="Times New Roman"/>
      <w:spacing w:val="4"/>
      <w:w w:val="103"/>
      <w:kern w:val="14"/>
      <w:sz w:val="20"/>
      <w:szCs w:val="20"/>
      <w:lang w:val="en-GB" w:eastAsia="en-US"/>
    </w:rPr>
  </w:style>
  <w:style w:type="paragraph" w:customStyle="1" w:styleId="RepTableNumber">
    <w:name w:val="Rep_Table_Number"/>
    <w:basedOn w:val="RepH2"/>
    <w:qFormat/>
    <w:rsid w:val="00A22C01"/>
    <w:pPr>
      <w:spacing w:line="500" w:lineRule="exact"/>
    </w:pPr>
    <w:rPr>
      <w:b/>
      <w:bCs/>
      <w:sz w:val="40"/>
    </w:rPr>
  </w:style>
  <w:style w:type="paragraph" w:customStyle="1" w:styleId="RepTableTitle">
    <w:name w:val="Rep_Table_Title"/>
    <w:basedOn w:val="RepH2"/>
    <w:qFormat/>
    <w:rsid w:val="002676CA"/>
    <w:pPr>
      <w:ind w:left="432"/>
    </w:pPr>
  </w:style>
  <w:style w:type="paragraph" w:customStyle="1" w:styleId="RepTitleL">
    <w:name w:val="Rep_Title_L"/>
    <w:basedOn w:val="STitleL"/>
    <w:qFormat/>
    <w:rsid w:val="00110659"/>
    <w:pPr>
      <w:jc w:val="left"/>
    </w:pPr>
    <w:rPr>
      <w:b/>
      <w:noProof w:val="0"/>
      <w:spacing w:val="0"/>
      <w:w w:val="100"/>
      <w:lang w:val="en-GB"/>
    </w:rPr>
  </w:style>
  <w:style w:type="paragraph" w:customStyle="1" w:styleId="RepTitleM">
    <w:name w:val="Rep_Title_M"/>
    <w:basedOn w:val="STitleM"/>
    <w:qFormat/>
    <w:rsid w:val="00110659"/>
    <w:pPr>
      <w:jc w:val="left"/>
    </w:pPr>
    <w:rPr>
      <w:rFonts w:ascii="Times New Roman" w:hAnsi="Times New Roman"/>
      <w:spacing w:val="0"/>
      <w:w w:val="100"/>
      <w:lang w:val="en-GB"/>
    </w:rPr>
  </w:style>
  <w:style w:type="paragraph" w:customStyle="1" w:styleId="RepTitleS">
    <w:name w:val="Rep_Title_S"/>
    <w:basedOn w:val="SS"/>
    <w:qFormat/>
    <w:rsid w:val="00110659"/>
    <w:pPr>
      <w:ind w:firstLine="0"/>
      <w:jc w:val="left"/>
    </w:pPr>
    <w:rPr>
      <w:lang w:val="en-GB" w:eastAsia="en-US"/>
    </w:rPr>
  </w:style>
  <w:style w:type="paragraph" w:customStyle="1" w:styleId="RepertoireFootnoteText">
    <w:name w:val="Repertoire Footnote Text"/>
    <w:basedOn w:val="a"/>
    <w:link w:val="RepertoireFootnoteTextChar"/>
    <w:qFormat/>
    <w:rsid w:val="002676CA"/>
    <w:pPr>
      <w:tabs>
        <w:tab w:val="right" w:pos="418"/>
      </w:tabs>
      <w:suppressAutoHyphens/>
      <w:spacing w:line="210" w:lineRule="exact"/>
      <w:ind w:left="475" w:hanging="475"/>
      <w:jc w:val="left"/>
    </w:pPr>
    <w:rPr>
      <w:rFonts w:eastAsiaTheme="minorHAnsi"/>
      <w:spacing w:val="2"/>
      <w:w w:val="103"/>
      <w:sz w:val="17"/>
      <w:szCs w:val="17"/>
      <w:lang w:val="en-GB" w:eastAsia="en-US"/>
    </w:rPr>
  </w:style>
  <w:style w:type="character" w:customStyle="1" w:styleId="RepertoireFootnoteTextChar">
    <w:name w:val="Repertoire Footnote Text Char"/>
    <w:basedOn w:val="a0"/>
    <w:link w:val="RepertoireFootnoteText"/>
    <w:rsid w:val="002676CA"/>
    <w:rPr>
      <w:rFonts w:ascii="Times New Roman" w:eastAsiaTheme="minorHAnsi" w:hAnsi="Times New Roman" w:cs="Times New Roman"/>
      <w:spacing w:val="2"/>
      <w:w w:val="103"/>
      <w:kern w:val="14"/>
      <w:sz w:val="17"/>
      <w:szCs w:val="17"/>
      <w:lang w:val="en-GB" w:eastAsia="en-US"/>
    </w:rPr>
  </w:style>
  <w:style w:type="table" w:styleId="af8">
    <w:name w:val="Table Grid"/>
    <w:basedOn w:val="a1"/>
    <w:rsid w:val="00195578"/>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
    <w:semiHidden/>
    <w:rsid w:val="00381F56"/>
    <w:rPr>
      <w:rFonts w:cstheme="majorBidi"/>
      <w:color w:val="2F5496" w:themeColor="accent1" w:themeShade="BF"/>
      <w:kern w:val="14"/>
      <w:sz w:val="28"/>
      <w:szCs w:val="28"/>
    </w:rPr>
  </w:style>
  <w:style w:type="character" w:customStyle="1" w:styleId="50">
    <w:name w:val="标题 5 字符"/>
    <w:basedOn w:val="a0"/>
    <w:link w:val="5"/>
    <w:uiPriority w:val="9"/>
    <w:semiHidden/>
    <w:rsid w:val="00381F56"/>
    <w:rPr>
      <w:rFonts w:cstheme="majorBidi"/>
      <w:color w:val="2F5496" w:themeColor="accent1" w:themeShade="BF"/>
      <w:kern w:val="14"/>
      <w:sz w:val="24"/>
      <w:szCs w:val="24"/>
    </w:rPr>
  </w:style>
  <w:style w:type="character" w:customStyle="1" w:styleId="60">
    <w:name w:val="标题 6 字符"/>
    <w:basedOn w:val="a0"/>
    <w:link w:val="6"/>
    <w:uiPriority w:val="9"/>
    <w:semiHidden/>
    <w:rsid w:val="00381F56"/>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381F56"/>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381F56"/>
    <w:rPr>
      <w:rFonts w:cstheme="majorBidi"/>
      <w:color w:val="595959" w:themeColor="text1" w:themeTint="A6"/>
      <w:kern w:val="14"/>
      <w:sz w:val="21"/>
      <w:szCs w:val="20"/>
    </w:rPr>
  </w:style>
  <w:style w:type="character" w:customStyle="1" w:styleId="90">
    <w:name w:val="标题 9 字符"/>
    <w:basedOn w:val="a0"/>
    <w:link w:val="9"/>
    <w:uiPriority w:val="9"/>
    <w:semiHidden/>
    <w:rsid w:val="00381F56"/>
    <w:rPr>
      <w:rFonts w:eastAsiaTheme="majorEastAsia" w:cstheme="majorBidi"/>
      <w:color w:val="595959" w:themeColor="text1" w:themeTint="A6"/>
      <w:kern w:val="14"/>
      <w:sz w:val="21"/>
      <w:szCs w:val="20"/>
    </w:rPr>
  </w:style>
  <w:style w:type="paragraph" w:styleId="af9">
    <w:name w:val="Title"/>
    <w:basedOn w:val="a"/>
    <w:next w:val="a"/>
    <w:link w:val="afa"/>
    <w:uiPriority w:val="10"/>
    <w:qFormat/>
    <w:rsid w:val="00381F5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a">
    <w:name w:val="标题 字符"/>
    <w:basedOn w:val="a0"/>
    <w:link w:val="af9"/>
    <w:uiPriority w:val="10"/>
    <w:rsid w:val="00381F56"/>
    <w:rPr>
      <w:rFonts w:asciiTheme="majorHAnsi" w:eastAsiaTheme="majorEastAsia" w:hAnsiTheme="majorHAnsi" w:cstheme="majorBidi"/>
      <w:spacing w:val="-10"/>
      <w:kern w:val="28"/>
      <w:sz w:val="56"/>
      <w:szCs w:val="56"/>
    </w:rPr>
  </w:style>
  <w:style w:type="paragraph" w:styleId="afb">
    <w:name w:val="Subtitle"/>
    <w:basedOn w:val="a"/>
    <w:next w:val="a"/>
    <w:link w:val="afc"/>
    <w:uiPriority w:val="11"/>
    <w:qFormat/>
    <w:rsid w:val="00381F5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c">
    <w:name w:val="副标题 字符"/>
    <w:basedOn w:val="a0"/>
    <w:link w:val="afb"/>
    <w:uiPriority w:val="11"/>
    <w:rsid w:val="00381F56"/>
    <w:rPr>
      <w:rFonts w:asciiTheme="majorHAnsi" w:eastAsiaTheme="majorEastAsia" w:hAnsiTheme="majorHAnsi" w:cstheme="majorBidi"/>
      <w:color w:val="595959" w:themeColor="text1" w:themeTint="A6"/>
      <w:spacing w:val="15"/>
      <w:kern w:val="14"/>
      <w:sz w:val="28"/>
      <w:szCs w:val="28"/>
    </w:rPr>
  </w:style>
  <w:style w:type="paragraph" w:styleId="afd">
    <w:name w:val="Quote"/>
    <w:basedOn w:val="a"/>
    <w:next w:val="a"/>
    <w:link w:val="afe"/>
    <w:uiPriority w:val="29"/>
    <w:qFormat/>
    <w:rsid w:val="00381F56"/>
    <w:pPr>
      <w:spacing w:before="160" w:after="160"/>
      <w:jc w:val="center"/>
    </w:pPr>
    <w:rPr>
      <w:i/>
      <w:iCs/>
      <w:color w:val="404040" w:themeColor="text1" w:themeTint="BF"/>
    </w:rPr>
  </w:style>
  <w:style w:type="character" w:customStyle="1" w:styleId="afe">
    <w:name w:val="引用 字符"/>
    <w:basedOn w:val="a0"/>
    <w:link w:val="afd"/>
    <w:uiPriority w:val="29"/>
    <w:rsid w:val="00381F56"/>
    <w:rPr>
      <w:rFonts w:ascii="Times New Roman" w:hAnsi="Times New Roman" w:cs="Times New Roman"/>
      <w:i/>
      <w:iCs/>
      <w:color w:val="404040" w:themeColor="text1" w:themeTint="BF"/>
      <w:kern w:val="14"/>
      <w:sz w:val="21"/>
      <w:szCs w:val="20"/>
    </w:rPr>
  </w:style>
  <w:style w:type="paragraph" w:styleId="aff">
    <w:name w:val="List Paragraph"/>
    <w:basedOn w:val="a"/>
    <w:uiPriority w:val="34"/>
    <w:qFormat/>
    <w:rsid w:val="00381F56"/>
    <w:pPr>
      <w:ind w:left="720"/>
      <w:contextualSpacing/>
    </w:pPr>
  </w:style>
  <w:style w:type="character" w:styleId="aff0">
    <w:name w:val="Intense Emphasis"/>
    <w:basedOn w:val="a0"/>
    <w:uiPriority w:val="21"/>
    <w:qFormat/>
    <w:rsid w:val="00381F56"/>
    <w:rPr>
      <w:i/>
      <w:iCs/>
      <w:color w:val="2F5496" w:themeColor="accent1" w:themeShade="BF"/>
    </w:rPr>
  </w:style>
  <w:style w:type="paragraph" w:styleId="aff1">
    <w:name w:val="Intense Quote"/>
    <w:basedOn w:val="a"/>
    <w:next w:val="a"/>
    <w:link w:val="aff2"/>
    <w:uiPriority w:val="30"/>
    <w:qFormat/>
    <w:rsid w:val="00381F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2">
    <w:name w:val="明显引用 字符"/>
    <w:basedOn w:val="a0"/>
    <w:link w:val="aff1"/>
    <w:uiPriority w:val="30"/>
    <w:rsid w:val="00381F56"/>
    <w:rPr>
      <w:rFonts w:ascii="Times New Roman" w:hAnsi="Times New Roman" w:cs="Times New Roman"/>
      <w:i/>
      <w:iCs/>
      <w:color w:val="2F5496" w:themeColor="accent1" w:themeShade="BF"/>
      <w:kern w:val="14"/>
      <w:sz w:val="21"/>
      <w:szCs w:val="20"/>
    </w:rPr>
  </w:style>
  <w:style w:type="character" w:styleId="aff3">
    <w:name w:val="Intense Reference"/>
    <w:basedOn w:val="a0"/>
    <w:uiPriority w:val="32"/>
    <w:qFormat/>
    <w:rsid w:val="00381F5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zh/A/65/38(supp)" TargetMode="External"/><Relationship Id="rId3" Type="http://schemas.openxmlformats.org/officeDocument/2006/relationships/customXml" Target="../customXml/item3.xml"/><Relationship Id="rId21" Type="http://schemas.openxmlformats.org/officeDocument/2006/relationships/hyperlink" Target="https://docs.un.org/en/CEDAW/C/SR.218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LTU/6"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SR.2184" TargetMode="External"/><Relationship Id="rId29" Type="http://schemas.openxmlformats.org/officeDocument/2006/relationships/hyperlink" Target="https://docs.un.org/zh/A/RES/79/1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LTU/RQ/7"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LTU/Q/7" TargetMode="External"/><Relationship Id="rId28" Type="http://schemas.openxmlformats.org/officeDocument/2006/relationships/hyperlink" Target="https://docs.un.org/zh/A/RES/50/5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LTU/7" TargetMode="External"/><Relationship Id="rId27" Type="http://schemas.openxmlformats.org/officeDocument/2006/relationships/hyperlink" Target="https://docs.un.org/zh/CEDAW/C/LTU/CO/6" TargetMode="External"/><Relationship Id="rId30" Type="http://schemas.openxmlformats.org/officeDocument/2006/relationships/hyperlink" Target="https://docs.un.org/zh/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9442B2-5FC3-4D21-8C20-0685D7452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http://www.w3.org/XML/1998/namespace"/>
    <ds:schemaRef ds:uri="http://schemas.openxmlformats.org/package/2006/metadata/core-properties"/>
    <ds:schemaRef ds:uri="http://purl.org/dc/elements/1.1/"/>
    <ds:schemaRef ds:uri="http://schemas.microsoft.com/office/infopath/2007/PartnerControls"/>
    <ds:schemaRef ds:uri="985ec44e-1bab-4c0b-9df0-6ba128686fc9"/>
    <ds:schemaRef ds:uri="http://schemas.microsoft.com/office/2006/documentManagement/types"/>
    <ds:schemaRef ds:uri="http://purl.org/dc/terms/"/>
    <ds:schemaRef ds:uri="http://purl.org/dc/dcmitype/"/>
    <ds:schemaRef ds:uri="http://schemas.microsoft.com/office/2006/metadata/properties"/>
    <ds:schemaRef ds:uri="32aca14f-6975-493a-b86a-2ec1bd8de72a"/>
    <ds:schemaRef ds:uri="41c8501f-7554-4cfe-b76f-88ff51cf7baf"/>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1889</Words>
  <Characters>10768</Characters>
  <Application>Microsoft Office Word</Application>
  <DocSecurity>0</DocSecurity>
  <Lines>89</Lines>
  <Paragraphs>25</Paragraphs>
  <ScaleCrop>false</ScaleCrop>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Tianxiang Liu</cp:lastModifiedBy>
  <cp:revision>3</cp:revision>
  <cp:lastPrinted>2026-03-17T15:26:00Z</cp:lastPrinted>
  <dcterms:created xsi:type="dcterms:W3CDTF">2026-03-17T15:26:00Z</dcterms:created>
  <dcterms:modified xsi:type="dcterms:W3CDTF">2026-03-17T15:26:00Z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2602561</vt:lpwstr>
  </property>
  <property fmtid="{D5CDD505-2E9C-101B-9397-08002B2CF9AE}" pid="3" name="ODSRefJobNo">
    <vt:lpwstr>2603611C</vt:lpwstr>
  </property>
  <property fmtid="{D5CDD505-2E9C-101B-9397-08002B2CF9AE}" pid="4" name="Symbol1">
    <vt:lpwstr>CEDAW/C/LTU/CO/7</vt:lpwstr>
  </property>
  <property fmtid="{D5CDD505-2E9C-101B-9397-08002B2CF9AE}" pid="5" name="Symbol2">
    <vt:lpwstr/>
  </property>
  <property fmtid="{D5CDD505-2E9C-101B-9397-08002B2CF9AE}" pid="6" name="Translator">
    <vt:lpwstr/>
  </property>
  <property fmtid="{D5CDD505-2E9C-101B-9397-08002B2CF9AE}" pid="7" name="Operator">
    <vt:lpwstr>ltx</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25 February 2026</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关于立陶宛第七次定期报告的结论性意见*_x000d_</vt:lpwstr>
  </property>
</Properties>
</file>