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DCE" w:rsidRDefault="00183DCE">
      <w:pPr>
        <w:spacing w:line="60" w:lineRule="exact"/>
        <w:rPr>
          <w:sz w:val="6"/>
        </w:rPr>
        <w:sectPr w:rsidR="00183DCE">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183DCE" w:rsidRDefault="00183DCE">
      <w:pPr>
        <w:spacing w:line="60" w:lineRule="exact"/>
        <w:rPr>
          <w:sz w:val="6"/>
        </w:rPr>
      </w:pPr>
    </w:p>
    <w:p w:rsidR="00183DCE" w:rsidRDefault="00183DCE">
      <w:pPr>
        <w:pStyle w:val="H1"/>
        <w:rPr>
          <w:rFonts w:hint="eastAsia"/>
        </w:rPr>
      </w:pPr>
      <w:r>
        <w:rPr>
          <w:rFonts w:hint="eastAsia"/>
        </w:rPr>
        <w:t>消除对妇女歧视委员会</w:t>
      </w:r>
    </w:p>
    <w:p w:rsidR="00183DCE" w:rsidRDefault="00183DCE">
      <w:pPr>
        <w:pStyle w:val="H23"/>
        <w:rPr>
          <w:rFonts w:hint="eastAsia"/>
        </w:rPr>
      </w:pPr>
      <w:r>
        <w:rPr>
          <w:rFonts w:hint="eastAsia"/>
        </w:rPr>
        <w:t>第二十届会议</w:t>
      </w:r>
    </w:p>
    <w:p w:rsidR="00183DCE" w:rsidRDefault="00183DCE">
      <w:pPr>
        <w:spacing w:line="120" w:lineRule="exact"/>
        <w:rPr>
          <w:sz w:val="12"/>
        </w:rPr>
      </w:pPr>
    </w:p>
    <w:p w:rsidR="00183DCE" w:rsidRDefault="00183DCE">
      <w:pPr>
        <w:spacing w:line="120" w:lineRule="exact"/>
        <w:rPr>
          <w:sz w:val="10"/>
        </w:rPr>
      </w:pPr>
    </w:p>
    <w:p w:rsidR="00183DCE" w:rsidRDefault="00183DCE">
      <w:pPr>
        <w:pStyle w:val="H23"/>
        <w:rPr>
          <w:rFonts w:hint="eastAsia"/>
        </w:rPr>
      </w:pPr>
      <w:r>
        <w:rPr>
          <w:rFonts w:hint="eastAsia"/>
        </w:rPr>
        <w:t>第414次会议简要记录</w:t>
      </w:r>
    </w:p>
    <w:p w:rsidR="00183DCE" w:rsidRDefault="00183DCE">
      <w:pPr>
        <w:rPr>
          <w:rFonts w:hint="eastAsia"/>
        </w:rPr>
      </w:pPr>
      <w:r>
        <w:rPr>
          <w:rFonts w:hint="eastAsia"/>
        </w:rPr>
        <w:t>1999年1月27日，星期三下午3时在纽约总部举行</w:t>
      </w:r>
    </w:p>
    <w:p w:rsidR="00183DCE" w:rsidRDefault="00183DCE">
      <w:pPr>
        <w:spacing w:line="120" w:lineRule="exact"/>
        <w:rPr>
          <w:rFonts w:hint="eastAsia"/>
          <w:sz w:val="10"/>
        </w:rPr>
      </w:pPr>
    </w:p>
    <w:p w:rsidR="00183DCE" w:rsidRDefault="00183DCE">
      <w:pPr>
        <w:tabs>
          <w:tab w:val="right" w:pos="1066"/>
          <w:tab w:val="left" w:pos="1267"/>
          <w:tab w:val="right" w:leader="dot" w:pos="8568"/>
        </w:tabs>
        <w:ind w:right="1267"/>
        <w:rPr>
          <w:rFonts w:hint="eastAsia"/>
          <w:color w:val="000000"/>
        </w:rPr>
      </w:pPr>
      <w:r>
        <w:rPr>
          <w:rFonts w:eastAsia="KaiTi_GB2312" w:hint="eastAsia"/>
          <w:color w:val="0000FF"/>
        </w:rPr>
        <w:tab/>
      </w:r>
      <w:r>
        <w:rPr>
          <w:rFonts w:eastAsia="KaiTi_GB2312" w:hint="eastAsia"/>
          <w:color w:val="0000FF"/>
        </w:rPr>
        <w:t>临时主席：</w:t>
      </w:r>
      <w:r>
        <w:rPr>
          <w:rFonts w:eastAsia="KaiTi_GB2312" w:hint="eastAsia"/>
          <w:color w:val="0000FF"/>
        </w:rPr>
        <w:tab/>
      </w:r>
      <w:r>
        <w:rPr>
          <w:rFonts w:hint="eastAsia"/>
          <w:color w:val="000000"/>
        </w:rPr>
        <w:t>冈萨雷斯女士</w:t>
      </w:r>
    </w:p>
    <w:p w:rsidR="00183DCE" w:rsidRDefault="00183DCE">
      <w:pPr>
        <w:tabs>
          <w:tab w:val="right" w:pos="1066"/>
          <w:tab w:val="left" w:pos="1267"/>
          <w:tab w:val="right" w:leader="dot" w:pos="8568"/>
        </w:tabs>
        <w:ind w:right="1267"/>
        <w:rPr>
          <w:rFonts w:hint="eastAsia"/>
          <w:color w:val="000000"/>
        </w:rPr>
      </w:pPr>
      <w:r>
        <w:rPr>
          <w:color w:val="000000"/>
        </w:rPr>
        <w:tab/>
      </w:r>
      <w:r>
        <w:rPr>
          <w:rFonts w:eastAsia="KaiTi_GB2312" w:hint="eastAsia"/>
          <w:color w:val="0000FF"/>
        </w:rPr>
        <w:t>嗣后：</w:t>
      </w:r>
      <w:r>
        <w:rPr>
          <w:color w:val="000000"/>
        </w:rPr>
        <w:tab/>
      </w:r>
      <w:r>
        <w:rPr>
          <w:rFonts w:hint="eastAsia"/>
          <w:color w:val="000000"/>
        </w:rPr>
        <w:t>舍普-席林女士（副主席）</w:t>
      </w:r>
    </w:p>
    <w:p w:rsidR="00183DCE" w:rsidRDefault="00183DCE">
      <w:pPr>
        <w:tabs>
          <w:tab w:val="right" w:pos="1066"/>
          <w:tab w:val="left" w:pos="1267"/>
          <w:tab w:val="right" w:leader="dot" w:pos="8568"/>
        </w:tabs>
        <w:ind w:right="1267"/>
        <w:rPr>
          <w:rFonts w:hint="eastAsia"/>
          <w:color w:val="000000"/>
        </w:rPr>
      </w:pPr>
      <w:r>
        <w:rPr>
          <w:color w:val="000000"/>
        </w:rPr>
        <w:tab/>
      </w:r>
      <w:r>
        <w:rPr>
          <w:rFonts w:eastAsia="KaiTi_GB2312" w:hint="eastAsia"/>
          <w:color w:val="0000FF"/>
        </w:rPr>
        <w:t>嗣后：</w:t>
      </w:r>
      <w:r>
        <w:rPr>
          <w:color w:val="000000"/>
        </w:rPr>
        <w:tab/>
      </w:r>
      <w:r>
        <w:rPr>
          <w:rFonts w:hint="eastAsia"/>
          <w:color w:val="000000"/>
        </w:rPr>
        <w:t>冈萨雷斯女士（主席）</w:t>
      </w:r>
    </w:p>
    <w:p w:rsidR="00183DCE" w:rsidRDefault="00183DCE">
      <w:pPr>
        <w:tabs>
          <w:tab w:val="right" w:pos="1066"/>
          <w:tab w:val="left" w:pos="1267"/>
          <w:tab w:val="right" w:leader="dot" w:pos="8568"/>
        </w:tabs>
        <w:spacing w:line="120" w:lineRule="exact"/>
        <w:ind w:right="1267"/>
        <w:rPr>
          <w:color w:val="000000"/>
          <w:sz w:val="10"/>
        </w:rPr>
      </w:pPr>
    </w:p>
    <w:p w:rsidR="00183DCE" w:rsidRDefault="00183DCE">
      <w:pPr>
        <w:tabs>
          <w:tab w:val="right" w:pos="1066"/>
          <w:tab w:val="left" w:pos="1267"/>
          <w:tab w:val="right" w:leader="dot" w:pos="8568"/>
        </w:tabs>
        <w:spacing w:line="120" w:lineRule="exact"/>
        <w:ind w:right="1267"/>
        <w:rPr>
          <w:color w:val="000000"/>
          <w:sz w:val="10"/>
        </w:rPr>
      </w:pPr>
    </w:p>
    <w:p w:rsidR="00183DCE" w:rsidRDefault="00183DCE">
      <w:pPr>
        <w:tabs>
          <w:tab w:val="right" w:pos="1066"/>
          <w:tab w:val="left" w:pos="1267"/>
          <w:tab w:val="right" w:leader="dot" w:pos="8568"/>
        </w:tabs>
        <w:spacing w:line="120" w:lineRule="exact"/>
        <w:ind w:right="1267"/>
        <w:rPr>
          <w:color w:val="000000"/>
          <w:sz w:val="10"/>
        </w:rPr>
      </w:pPr>
    </w:p>
    <w:p w:rsidR="00183DCE" w:rsidRDefault="00183DCE">
      <w:pPr>
        <w:pStyle w:val="HCh"/>
        <w:rPr>
          <w:rFonts w:eastAsia="SimSun" w:hint="eastAsia"/>
        </w:rPr>
      </w:pPr>
      <w:r>
        <w:rPr>
          <w:rFonts w:eastAsia="SimSun" w:hint="eastAsia"/>
        </w:rPr>
        <w:t>目录</w:t>
      </w:r>
    </w:p>
    <w:p w:rsidR="00183DCE" w:rsidRDefault="00183DCE">
      <w:pPr>
        <w:pStyle w:val="HCh"/>
        <w:spacing w:line="240" w:lineRule="auto"/>
        <w:rPr>
          <w:rFonts w:eastAsia="SimSun"/>
          <w:sz w:val="14"/>
        </w:rPr>
      </w:pPr>
    </w:p>
    <w:p w:rsidR="00183DCE" w:rsidRDefault="00183DCE">
      <w:pPr>
        <w:pStyle w:val="SingleTxt"/>
        <w:rPr>
          <w:rFonts w:hint="eastAsia"/>
        </w:rPr>
      </w:pPr>
      <w:r>
        <w:rPr>
          <w:rFonts w:hint="eastAsia"/>
        </w:rPr>
        <w:t>审议缔约国依照《公约》第18条提交的报告（</w:t>
      </w:r>
      <w:r>
        <w:rPr>
          <w:rFonts w:ascii="KaiTi_GB2312" w:eastAsia="KaiTi_GB2312" w:hint="eastAsia"/>
          <w:color w:val="0000FF"/>
        </w:rPr>
        <w:t>续</w:t>
      </w:r>
      <w:r>
        <w:rPr>
          <w:rFonts w:hint="eastAsia"/>
        </w:rPr>
        <w:t>）</w:t>
      </w:r>
    </w:p>
    <w:p w:rsidR="00183DCE" w:rsidRDefault="00183DCE">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列支敦士登的初次报告（续）</w:t>
      </w:r>
    </w:p>
    <w:p w:rsidR="00183DCE" w:rsidRDefault="00183DCE">
      <w:pPr>
        <w:pStyle w:val="SingleTxt"/>
        <w:rPr>
          <w:rFonts w:hint="eastAsia"/>
        </w:rPr>
      </w:pPr>
    </w:p>
    <w:p w:rsidR="00183DCE" w:rsidRDefault="00183DCE">
      <w:pPr>
        <w:pStyle w:val="SingleTxt"/>
        <w:spacing w:after="0" w:line="20" w:lineRule="exact"/>
        <w:sectPr w:rsidR="00183DCE">
          <w:type w:val="continuous"/>
          <w:pgSz w:w="12242" w:h="15842" w:code="1"/>
          <w:pgMar w:top="1742" w:right="1195" w:bottom="1898" w:left="1195" w:header="576" w:footer="1030" w:gutter="0"/>
          <w:pgNumType w:start="1"/>
          <w:cols w:space="425"/>
          <w:noEndnote/>
          <w:docGrid w:type="lines" w:linePitch="312"/>
        </w:sectPr>
      </w:pPr>
      <w:r>
        <w:br w:type="page"/>
      </w:r>
    </w:p>
    <w:p w:rsidR="00183DCE" w:rsidRDefault="00183DCE">
      <w:pPr>
        <w:pStyle w:val="DualTxt"/>
        <w:spacing w:line="328" w:lineRule="exact"/>
        <w:rPr>
          <w:rFonts w:ascii="KaiTi_GB2312" w:eastAsia="KaiTi_GB2312" w:hint="eastAsia"/>
          <w:color w:val="0000FF"/>
        </w:rPr>
      </w:pPr>
      <w:r>
        <w:rPr>
          <w:rFonts w:ascii="KaiTi_GB2312" w:eastAsia="KaiTi_GB2312" w:hint="eastAsia"/>
          <w:color w:val="0000FF"/>
        </w:rPr>
        <w:tab/>
        <w:t>下午3时25分开会</w:t>
      </w:r>
    </w:p>
    <w:p w:rsidR="00183DCE" w:rsidRDefault="00183DCE">
      <w:pPr>
        <w:pStyle w:val="DualTxt"/>
        <w:spacing w:line="328" w:lineRule="exact"/>
        <w:rPr>
          <w:rFonts w:hint="eastAsia"/>
        </w:rPr>
      </w:pPr>
      <w:r>
        <w:rPr>
          <w:rFonts w:ascii="SimHei" w:eastAsia="SimHei" w:hint="eastAsia"/>
          <w:color w:val="FF0000"/>
        </w:rPr>
        <w:t>审议缔约国依照《公约》第18条提交的报告</w:t>
      </w:r>
      <w:r>
        <w:rPr>
          <w:rFonts w:hint="eastAsia"/>
        </w:rPr>
        <w:t>（</w:t>
      </w:r>
      <w:r>
        <w:rPr>
          <w:rFonts w:ascii="KaiTi_GB2312" w:eastAsia="KaiTi_GB2312" w:hint="eastAsia"/>
          <w:color w:val="0000FF"/>
        </w:rPr>
        <w:t>续</w:t>
      </w:r>
      <w:r>
        <w:rPr>
          <w:rFonts w:hint="eastAsia"/>
        </w:rPr>
        <w:t>）</w:t>
      </w:r>
    </w:p>
    <w:p w:rsidR="00183DCE" w:rsidRDefault="00183DCE">
      <w:pPr>
        <w:pStyle w:val="DualTxt"/>
        <w:spacing w:line="328" w:lineRule="exact"/>
        <w:rPr>
          <w:rFonts w:hint="eastAsia"/>
        </w:rPr>
      </w:pPr>
      <w:r>
        <w:rPr>
          <w:rFonts w:hint="eastAsia"/>
        </w:rPr>
        <w:tab/>
      </w:r>
      <w:r>
        <w:rPr>
          <w:rFonts w:ascii="KaiTi_GB2312" w:eastAsia="KaiTi_GB2312" w:hint="eastAsia"/>
          <w:color w:val="0000FF"/>
        </w:rPr>
        <w:t>列支敦士登的初次报告（续）</w:t>
      </w:r>
      <w:r>
        <w:rPr>
          <w:rFonts w:hint="eastAsia"/>
        </w:rPr>
        <w:t>（CEDAW/C/LIE/1）</w:t>
      </w:r>
    </w:p>
    <w:p w:rsidR="00183DCE" w:rsidRDefault="00183DCE">
      <w:pPr>
        <w:pStyle w:val="DualTxt"/>
        <w:spacing w:line="328" w:lineRule="exact"/>
        <w:rPr>
          <w:rFonts w:hint="eastAsia"/>
        </w:rPr>
      </w:pPr>
      <w:r>
        <w:rPr>
          <w:rFonts w:hint="eastAsia"/>
        </w:rPr>
        <w:t>1</w:t>
      </w:r>
      <w:r>
        <w:t>.</w:t>
      </w:r>
      <w:r>
        <w:rPr>
          <w:rFonts w:hint="eastAsia"/>
        </w:rPr>
        <w:tab/>
      </w:r>
      <w:r>
        <w:rPr>
          <w:rFonts w:ascii="KaiTi_GB2312" w:eastAsia="KaiTi_GB2312" w:hint="eastAsia"/>
          <w:color w:val="0000FF"/>
        </w:rPr>
        <w:t>应主席邀请，Fritsche女士和Wenaweser先生（列支敦士登）在委员会议席就座</w:t>
      </w:r>
      <w:r>
        <w:rPr>
          <w:rFonts w:hint="eastAsia"/>
        </w:rPr>
        <w:t>。</w:t>
      </w:r>
    </w:p>
    <w:p w:rsidR="00183DCE" w:rsidRDefault="00183DCE">
      <w:pPr>
        <w:pStyle w:val="DualTxt"/>
        <w:spacing w:line="328" w:lineRule="exact"/>
        <w:rPr>
          <w:rFonts w:hint="eastAsia"/>
        </w:rPr>
      </w:pPr>
      <w:r>
        <w:rPr>
          <w:rFonts w:hint="eastAsia"/>
        </w:rPr>
        <w:t>2</w:t>
      </w:r>
      <w:r>
        <w:t>.</w:t>
      </w:r>
      <w:r>
        <w:rPr>
          <w:rFonts w:hint="eastAsia"/>
        </w:rPr>
        <w:tab/>
      </w:r>
      <w:r>
        <w:rPr>
          <w:rFonts w:ascii="SimHei" w:eastAsia="SimHei" w:hint="eastAsia"/>
          <w:color w:val="FF0000"/>
        </w:rPr>
        <w:t>Fritsche女士</w:t>
      </w:r>
      <w:r>
        <w:rPr>
          <w:rFonts w:hint="eastAsia"/>
        </w:rPr>
        <w:t>（列支敦士登）回答了委员会成员提出的问题。她指出，1992年男女平等权利委员会除主席外的所有成员集体辞职，但委员会并未因此解散。委员会于1994年正式重组，目前由三名男性成员和五名女性成员组成，平等权利局局长以顾问身份参加委员会工作。委员会协助政府各部开展工作，但不隶属于某一个部。新的《平等权利法》第18条和第19条将分别对委员会和平等权利局的任务作出规定。平等权利局于1996年成立，与家庭和男女平等事务部有直接联系。《平等权利法》规定，妇女可就私营公司和公共部门的雇佣问题分别向国家法院和行政法庭提出申诉。该法还规定，在正式提出法律申诉之前，必须先行调解。</w:t>
      </w:r>
    </w:p>
    <w:p w:rsidR="00183DCE" w:rsidRDefault="00183DCE">
      <w:pPr>
        <w:pStyle w:val="DualTxt"/>
        <w:spacing w:line="328" w:lineRule="exact"/>
        <w:rPr>
          <w:rFonts w:hint="eastAsia"/>
        </w:rPr>
      </w:pPr>
      <w:r>
        <w:rPr>
          <w:rFonts w:hint="eastAsia"/>
        </w:rPr>
        <w:t>3.</w:t>
      </w:r>
      <w:r>
        <w:rPr>
          <w:rFonts w:hint="eastAsia"/>
        </w:rPr>
        <w:tab/>
        <w:t>监察员接收有关政府部门的投诉和建议，并转交有关的部进行审议；监察员并就法律事务提出建议。监察员还以顾问身份参加男女平等权利委员会的工作。但是，平等权利局成立之后，许多投诉直接向该局提出。</w:t>
      </w:r>
    </w:p>
    <w:p w:rsidR="00183DCE" w:rsidRDefault="00183DCE">
      <w:pPr>
        <w:pStyle w:val="DualTxt"/>
        <w:spacing w:line="328" w:lineRule="exact"/>
        <w:rPr>
          <w:rFonts w:hint="eastAsia"/>
        </w:rPr>
      </w:pPr>
      <w:r>
        <w:rPr>
          <w:rFonts w:hint="eastAsia"/>
        </w:rPr>
        <w:t>4</w:t>
      </w:r>
      <w:r>
        <w:t>.</w:t>
      </w:r>
      <w:r>
        <w:tab/>
      </w:r>
      <w:r>
        <w:rPr>
          <w:rFonts w:hint="eastAsia"/>
        </w:rPr>
        <w:t>按照提高妇女地位司1997年11月提出的期限，列支敦士登提交了临时报告，其中载有执行《北京行动纲要》行动计划草案。1998年5月，政府通过了国家战略文件，并审议了一整套执行《行动纲要》的措施。各个部都参加了执行工作，家庭和男女平等事务部对执行工作进行了协调和监督。北京会议的结果对列支敦士登的妇女政策产生了重大影响，将每年对《纲要》的执行情况进行审查。</w:t>
      </w:r>
    </w:p>
    <w:p w:rsidR="00183DCE" w:rsidRDefault="00183DCE">
      <w:pPr>
        <w:pStyle w:val="DualTxt"/>
        <w:rPr>
          <w:rFonts w:hint="eastAsia"/>
        </w:rPr>
      </w:pPr>
      <w:r>
        <w:rPr>
          <w:rFonts w:hint="eastAsia"/>
        </w:rPr>
        <w:t>5</w:t>
      </w:r>
      <w:r>
        <w:t>.</w:t>
      </w:r>
      <w:r>
        <w:tab/>
      </w:r>
      <w:r>
        <w:rPr>
          <w:rFonts w:hint="eastAsia"/>
        </w:rPr>
        <w:t>列支敦士登已经公布了《公约》，《公约》的德文本已转送各妇女组织，准备进一步分发。《公约》文本已在最近的工商贸易博览会上分发，政府并就《公约》的主题发出新闻稿。委员会对列支敦士登初次报告的审议结果也将得到传播。</w:t>
      </w:r>
    </w:p>
    <w:p w:rsidR="00183DCE" w:rsidRDefault="00183DCE">
      <w:pPr>
        <w:pStyle w:val="DualTxt"/>
        <w:spacing w:line="322" w:lineRule="exact"/>
        <w:rPr>
          <w:rFonts w:hint="eastAsia"/>
        </w:rPr>
      </w:pPr>
      <w:r>
        <w:rPr>
          <w:rFonts w:hint="eastAsia"/>
        </w:rPr>
        <w:t>6</w:t>
      </w:r>
      <w:r>
        <w:t>.</w:t>
      </w:r>
      <w:r>
        <w:tab/>
      </w:r>
      <w:r>
        <w:rPr>
          <w:rFonts w:hint="eastAsia"/>
        </w:rPr>
        <w:t>必须对非婚生子女和单身母亲子女加以区别，“单身母亲”是指丧偶、分居或离婚的妇女。政府特别重视单身母亲，通过支助系统，向每个子女发放子女补贴，而不论家庭情况；根据法院裁决，赡养费由子女的父亲支付，数额则根据父亲的收入计算（今后也可以采取由子女父母协议支付赡养费的办法）；赡养费不足部分由国家支助；根据当事人的收入情况，国家提供350美元至1 000美元的房租补贴；另外，为单身家长提供50美元的额外子女补贴。目前，议会正在审议一项由调解人协助离婚夫妇解决共同监护细节问题的提案。</w:t>
      </w:r>
    </w:p>
    <w:p w:rsidR="00183DCE" w:rsidRDefault="00183DCE">
      <w:pPr>
        <w:pStyle w:val="DualTxt"/>
        <w:spacing w:line="322" w:lineRule="exact"/>
        <w:rPr>
          <w:rFonts w:hint="eastAsia"/>
        </w:rPr>
      </w:pPr>
      <w:r>
        <w:rPr>
          <w:rFonts w:hint="eastAsia"/>
        </w:rPr>
        <w:t>7</w:t>
      </w:r>
      <w:r>
        <w:t>.</w:t>
      </w:r>
      <w:r>
        <w:tab/>
      </w:r>
      <w:r>
        <w:rPr>
          <w:rFonts w:hint="eastAsia"/>
        </w:rPr>
        <w:t>申请儿童保育设施的等候名单不长。大部分申请人是全职或兼职雇员。</w:t>
      </w:r>
    </w:p>
    <w:p w:rsidR="00183DCE" w:rsidRDefault="00183DCE">
      <w:pPr>
        <w:pStyle w:val="DualTxt"/>
        <w:spacing w:line="322" w:lineRule="exact"/>
        <w:rPr>
          <w:rFonts w:hint="eastAsia"/>
        </w:rPr>
      </w:pPr>
      <w:r>
        <w:rPr>
          <w:rFonts w:hint="eastAsia"/>
        </w:rPr>
        <w:t>8</w:t>
      </w:r>
      <w:r>
        <w:t>.</w:t>
      </w:r>
      <w:r>
        <w:tab/>
      </w:r>
      <w:r>
        <w:rPr>
          <w:rFonts w:hint="eastAsia"/>
        </w:rPr>
        <w:t>1998年，政府划拨60万美元，用以支助积极从事妇女权利工作的非政府组织。</w:t>
      </w:r>
    </w:p>
    <w:p w:rsidR="00183DCE" w:rsidRDefault="00183DCE">
      <w:pPr>
        <w:pStyle w:val="DualTxt"/>
        <w:spacing w:line="322" w:lineRule="exact"/>
        <w:rPr>
          <w:rFonts w:hint="eastAsia"/>
        </w:rPr>
      </w:pPr>
      <w:r>
        <w:rPr>
          <w:rFonts w:hint="eastAsia"/>
        </w:rPr>
        <w:t>9</w:t>
      </w:r>
      <w:r>
        <w:t>.</w:t>
      </w:r>
      <w:r>
        <w:tab/>
      </w:r>
      <w:r>
        <w:rPr>
          <w:rFonts w:hint="eastAsia"/>
        </w:rPr>
        <w:t>根据1992年《宪法法律》，最高法院审议了赡养费、税务、社会保障和入籍方面发生性别歧视的六个案子。法院作出的一些裁决，推动了有关立法的修订。</w:t>
      </w:r>
    </w:p>
    <w:p w:rsidR="00183DCE" w:rsidRDefault="00183DCE">
      <w:pPr>
        <w:pStyle w:val="DualTxt"/>
        <w:spacing w:line="322" w:lineRule="exact"/>
        <w:rPr>
          <w:rFonts w:hint="eastAsia"/>
        </w:rPr>
      </w:pPr>
      <w:r>
        <w:rPr>
          <w:rFonts w:hint="eastAsia"/>
        </w:rPr>
        <w:t>10</w:t>
      </w:r>
      <w:r>
        <w:t>.</w:t>
      </w:r>
      <w:r>
        <w:tab/>
      </w:r>
      <w:r>
        <w:rPr>
          <w:rFonts w:hint="eastAsia"/>
        </w:rPr>
        <w:t>在列支敦士登临时或永久居住的外国人，均根据列支敦士登参加的国际条约并按照列支敦士登国内立法的有关规定享有权利。欧洲经济区（欧经区）协定缔约国国民与列支敦士登国民享受同等待遇，但政治权利除外。非欧经区国家的外国人需在列支敦士登居住期满五年，与列支敦士登签有互惠协定的国家的国民需在列支敦士登居住期满两年，方可享受奖学金、贷款或其他财政资助。所有学生都免费享受义务初中级教育；国家还为母语为德语以外语言的儿童提供特别教育。</w:t>
      </w:r>
    </w:p>
    <w:p w:rsidR="00183DCE" w:rsidRDefault="00183DCE">
      <w:pPr>
        <w:pStyle w:val="DualTxt"/>
        <w:rPr>
          <w:rFonts w:hint="eastAsia"/>
        </w:rPr>
      </w:pPr>
      <w:r>
        <w:rPr>
          <w:rFonts w:hint="eastAsia"/>
        </w:rPr>
        <w:t>11</w:t>
      </w:r>
      <w:r>
        <w:t>.</w:t>
      </w:r>
      <w:r>
        <w:tab/>
      </w:r>
      <w:r>
        <w:rPr>
          <w:rFonts w:hint="eastAsia"/>
        </w:rPr>
        <w:t>1996年12月，列支敦士登的人口总数为31 143人，其中妇女占51.3％。1997年，列支敦士登的生育率为1.3％，与欧洲其他国家相仿。1997年，每户平均人口为3.4人。11个市镇被划分为Oberland和Unterland两个选区，在议会中分别占有15和10个议席。政府成立特设委员会，对选举和选举结果进行监督。</w:t>
      </w:r>
    </w:p>
    <w:p w:rsidR="00183DCE" w:rsidRDefault="00183DCE">
      <w:pPr>
        <w:pStyle w:val="DualTxt"/>
        <w:spacing w:line="326" w:lineRule="exact"/>
        <w:rPr>
          <w:rFonts w:hint="eastAsia"/>
        </w:rPr>
      </w:pPr>
      <w:r>
        <w:rPr>
          <w:rFonts w:hint="eastAsia"/>
        </w:rPr>
        <w:t>12</w:t>
      </w:r>
      <w:r>
        <w:t>.</w:t>
      </w:r>
      <w:r>
        <w:tab/>
      </w:r>
      <w:r>
        <w:rPr>
          <w:rFonts w:hint="eastAsia"/>
        </w:rPr>
        <w:t>在针对妇女的暴力方面，没有按性别分类的数据；并且，这类犯罪行为并未全数得到举告。非政府组织妇女新闻和联络网络成立了妇女之家，其资金主要由政府提供。妇女之家是本区域唯一一家妇女庇护所，其中居民多数来自邻国。许多妇女与子女一起，长期在庇护所居住。</w:t>
      </w:r>
    </w:p>
    <w:p w:rsidR="00183DCE" w:rsidRDefault="00183DCE">
      <w:pPr>
        <w:pStyle w:val="DualTxt"/>
        <w:spacing w:line="326" w:lineRule="exact"/>
        <w:rPr>
          <w:rFonts w:hint="eastAsia"/>
        </w:rPr>
      </w:pPr>
      <w:r>
        <w:rPr>
          <w:rFonts w:hint="eastAsia"/>
        </w:rPr>
        <w:t>13</w:t>
      </w:r>
      <w:r>
        <w:t>.</w:t>
      </w:r>
      <w:r>
        <w:tab/>
      </w:r>
      <w:r>
        <w:rPr>
          <w:rFonts w:hint="eastAsia"/>
        </w:rPr>
        <w:t>目前，列支敦士登立法对性别歧视并无界定；但是，新的《平等权利法》第1条将对工作场所的性别歧视作出界定。列支敦士登对国际条约采用单一体系，《公约》第1条所载的性别歧视定义对列支敦士登法律体系直接适用。</w:t>
      </w:r>
    </w:p>
    <w:p w:rsidR="00183DCE" w:rsidRDefault="00183DCE">
      <w:pPr>
        <w:pStyle w:val="DualTxt"/>
        <w:spacing w:line="326" w:lineRule="exact"/>
        <w:rPr>
          <w:rFonts w:hint="eastAsia"/>
        </w:rPr>
      </w:pPr>
      <w:r>
        <w:rPr>
          <w:rFonts w:hint="eastAsia"/>
        </w:rPr>
        <w:t>14</w:t>
      </w:r>
      <w:r>
        <w:t>.</w:t>
      </w:r>
      <w:r>
        <w:tab/>
      </w:r>
      <w:r>
        <w:rPr>
          <w:rFonts w:hint="eastAsia"/>
        </w:rPr>
        <w:t>妇女新闻和联络网印发的“未婚同居”手册指出，未婚配偶中的女方在某些方面没有得到已婚妇女的同等权利。手册建议配偶之间，特别是从事无报酬工作的妇女签署书面协定。</w:t>
      </w:r>
    </w:p>
    <w:p w:rsidR="00183DCE" w:rsidRDefault="00183DCE">
      <w:pPr>
        <w:pStyle w:val="DualTxt"/>
        <w:spacing w:after="160" w:line="326" w:lineRule="exact"/>
        <w:rPr>
          <w:rFonts w:hint="eastAsia"/>
        </w:rPr>
      </w:pPr>
      <w:r>
        <w:rPr>
          <w:rFonts w:hint="eastAsia"/>
        </w:rPr>
        <w:t>15</w:t>
      </w:r>
      <w:r>
        <w:t>.</w:t>
      </w:r>
      <w:r>
        <w:tab/>
      </w:r>
      <w:r>
        <w:rPr>
          <w:rFonts w:hint="eastAsia"/>
        </w:rPr>
        <w:t>平权行动是否或在何种情况下有利于促进妇女权利，这是列支敦士登政治讨论的主题。妇女竞选政府职位，如男女候选人条件相同，且妇女在该部门的比例不足，则优先录用妇女。《平等权利法》授权政府为公司提供财政资助，帮助公司促进提高妇女地位。</w:t>
      </w:r>
    </w:p>
    <w:p w:rsidR="00183DCE" w:rsidRDefault="00183DCE">
      <w:pPr>
        <w:pStyle w:val="DualTxt"/>
        <w:spacing w:after="160" w:line="326" w:lineRule="exact"/>
      </w:pPr>
      <w:r>
        <w:rPr>
          <w:rFonts w:hint="eastAsia"/>
        </w:rPr>
        <w:t>16</w:t>
      </w:r>
      <w:r>
        <w:t>.</w:t>
      </w:r>
      <w:r>
        <w:tab/>
      </w:r>
      <w:r>
        <w:rPr>
          <w:rFonts w:hint="eastAsia"/>
        </w:rPr>
        <w:t>在教育方面，国家正在审查教学大纲，将有助于消除性别的定型模式。在这方面，女童和妇女教育平等委员会的后续工作意义重大。列支敦士登的继承法律对性别没有区分，并不歧视妇女。</w:t>
      </w:r>
    </w:p>
    <w:p w:rsidR="00183DCE" w:rsidRDefault="00183DCE">
      <w:pPr>
        <w:pStyle w:val="DualTxt"/>
        <w:rPr>
          <w:rFonts w:hint="eastAsia"/>
        </w:rPr>
      </w:pPr>
      <w:r>
        <w:rPr>
          <w:rFonts w:hint="eastAsia"/>
        </w:rPr>
        <w:t>17.</w:t>
      </w:r>
      <w:r>
        <w:rPr>
          <w:rFonts w:hint="eastAsia"/>
        </w:rPr>
        <w:tab/>
        <w:t>应该组织男子和妇女开展政治辩论，解决对妇女的暴力问题。委员会一般性建议第19条、大会《消除对妇女的暴力行为宣言》、人权委员会设立主题机制和对妇女暴力问题特别报告员对列支敦士登的访问，影响了各方对政府在这一问题上的作用的看法。预计，《刑法》修正案和保护不受暴力法草案将规定，配偶强奸和工作场所的性骚扰为非法行为。现有的立法规定，心理和肉体形式的家庭暴力可处以罚金或最高十年监禁。构成公共犯罪的卖淫为犯罪行为，可处以两年监禁。立法草案将把处罚减至最高六个月监禁或仅处以罚金。</w:t>
      </w:r>
    </w:p>
    <w:p w:rsidR="00183DCE" w:rsidRDefault="00183DCE">
      <w:pPr>
        <w:pStyle w:val="DualTxt"/>
        <w:rPr>
          <w:rFonts w:hint="eastAsia"/>
        </w:rPr>
      </w:pPr>
      <w:r>
        <w:rPr>
          <w:rFonts w:hint="eastAsia"/>
        </w:rPr>
        <w:t>18</w:t>
      </w:r>
      <w:r>
        <w:t>.</w:t>
      </w:r>
      <w:r>
        <w:tab/>
      </w:r>
      <w:r>
        <w:rPr>
          <w:rFonts w:hint="eastAsia"/>
        </w:rPr>
        <w:t>在妇女参加选举和公民投票方面，没有按性别分类的数据；投票原则上是强制性的，投票率一般很高。最近的议会选举中，女候选人的结果令人失望。为此，政府进行了调查；男女平等权利委员会和平等权利局又根据调查结果制定了一整套措施，并于1998年9月以手册形式公布。没有关于不同年龄层妇女对政党喜好方面的资料，但是35至49岁年龄层的选民对多数女候选人都乐意接受。列支敦士登各政党没有党员名单，因此无法了解政党中女性成员人数。在三个政党中，有一个政党采用限额制度。非政府组织和政府分别负责对公众和公务员进行公民教育。王位的继承由王族决定。</w:t>
      </w:r>
    </w:p>
    <w:p w:rsidR="00183DCE" w:rsidRDefault="00183DCE">
      <w:pPr>
        <w:pStyle w:val="DualTxt"/>
        <w:rPr>
          <w:rFonts w:hint="eastAsia"/>
        </w:rPr>
      </w:pPr>
      <w:r>
        <w:rPr>
          <w:rFonts w:hint="eastAsia"/>
        </w:rPr>
        <w:t>19</w:t>
      </w:r>
      <w:r>
        <w:t>.</w:t>
      </w:r>
      <w:r>
        <w:tab/>
      </w:r>
      <w:r>
        <w:rPr>
          <w:rFonts w:hint="eastAsia"/>
        </w:rPr>
        <w:t>虽然列支敦士登没有大学，但政府为有意到外国就学的学生提供全额资助。列支敦士登周边国家有多所大学。由于传统文化的缘故，妇女接受高等教育的比例偏低，政府正努力解决这一问题。奖学金和贷款是根据申请人或其家庭的情况而定，不存在性别歧视。</w:t>
      </w:r>
    </w:p>
    <w:p w:rsidR="00183DCE" w:rsidRDefault="00183DCE">
      <w:pPr>
        <w:pStyle w:val="DualTxt"/>
        <w:rPr>
          <w:rFonts w:hint="eastAsia"/>
        </w:rPr>
      </w:pPr>
      <w:r>
        <w:rPr>
          <w:rFonts w:hint="eastAsia"/>
        </w:rPr>
        <w:t>20</w:t>
      </w:r>
      <w:r>
        <w:t>.</w:t>
      </w:r>
      <w:r>
        <w:tab/>
      </w:r>
      <w:r>
        <w:rPr>
          <w:rFonts w:hint="eastAsia"/>
        </w:rPr>
        <w:t>职业培训计划是一种学徒制，由公司提供的见习和职业学校的理论课程两部分组成。学徒制期限为二至四年，可以与大学前的课程相结合。</w:t>
      </w:r>
    </w:p>
    <w:p w:rsidR="00183DCE" w:rsidRDefault="00183DCE">
      <w:pPr>
        <w:pStyle w:val="DualTxt"/>
        <w:rPr>
          <w:rFonts w:hint="eastAsia"/>
        </w:rPr>
      </w:pPr>
      <w:r>
        <w:rPr>
          <w:rFonts w:hint="eastAsia"/>
        </w:rPr>
        <w:t>21</w:t>
      </w:r>
      <w:r>
        <w:t>.</w:t>
      </w:r>
      <w:r>
        <w:tab/>
      </w:r>
      <w:r>
        <w:rPr>
          <w:rFonts w:hint="eastAsia"/>
        </w:rPr>
        <w:t>关于弹性工时制，国家机关从1999年4月起实行男女不同工作时间的法令。法律不禁止男女从事兼职工作，但是某些公司的政策不允许兼职工作。兼职雇员享受失业和医疗保险，有一定年收入的雇员可以获得养恤金。</w:t>
      </w:r>
    </w:p>
    <w:p w:rsidR="00183DCE" w:rsidRDefault="00183DCE">
      <w:pPr>
        <w:pStyle w:val="DualTxt"/>
        <w:rPr>
          <w:rFonts w:hint="eastAsia"/>
        </w:rPr>
      </w:pPr>
      <w:r>
        <w:rPr>
          <w:rFonts w:hint="eastAsia"/>
        </w:rPr>
        <w:t>22</w:t>
      </w:r>
      <w:r>
        <w:t>.</w:t>
      </w:r>
      <w:r>
        <w:tab/>
      </w:r>
      <w:r>
        <w:rPr>
          <w:rFonts w:hint="eastAsia"/>
        </w:rPr>
        <w:t>1997年修订的《劳动法》，取消了女性雇员享受特别保护的各项规定，但保留了有关孕期和哺乳期妇女的规定。禁止有子女妇女从事夜间工作。怀孕前从事夜间工作的妇女，应改在白天做相似的工作，或者领取以前收入的80％。并且，妇女在孕期和生产后16周产假期间不得解雇。产假满20周后被解雇，则不违反现行法律。</w:t>
      </w:r>
    </w:p>
    <w:p w:rsidR="00183DCE" w:rsidRDefault="00183DCE">
      <w:pPr>
        <w:pStyle w:val="DualTxt"/>
        <w:spacing w:line="326" w:lineRule="exact"/>
        <w:rPr>
          <w:rFonts w:hint="eastAsia"/>
        </w:rPr>
      </w:pPr>
      <w:r>
        <w:rPr>
          <w:rFonts w:hint="eastAsia"/>
        </w:rPr>
        <w:t>23</w:t>
      </w:r>
      <w:r>
        <w:t>.</w:t>
      </w:r>
      <w:r>
        <w:tab/>
      </w:r>
      <w:r>
        <w:rPr>
          <w:rFonts w:hint="eastAsia"/>
        </w:rPr>
        <w:t>关于推动妇女担任高级职位的措施，有几名妇女在国家部门担任高级职位，但都是兼职工作。《提高妇女在公务员部门的人数和职业地位准则》的目的，也在于为公司树立榜样，拟订公司自己的政策，从而对妇女地位产生深远和有益的影响。</w:t>
      </w:r>
    </w:p>
    <w:p w:rsidR="00183DCE" w:rsidRDefault="00183DCE">
      <w:pPr>
        <w:pStyle w:val="DualTxt"/>
        <w:spacing w:line="326" w:lineRule="exact"/>
        <w:rPr>
          <w:rFonts w:hint="eastAsia"/>
        </w:rPr>
      </w:pPr>
      <w:r>
        <w:rPr>
          <w:rFonts w:hint="eastAsia"/>
        </w:rPr>
        <w:t>24</w:t>
      </w:r>
      <w:r>
        <w:t>.</w:t>
      </w:r>
      <w:r>
        <w:tab/>
      </w:r>
      <w:r>
        <w:rPr>
          <w:rFonts w:hint="eastAsia"/>
        </w:rPr>
        <w:t>《平等权利法》保护法律规定的妇女权利，并且减轻妇女的举证之责，使女当事人只需提出可信的歧视投诉，然后由雇主证明没有发生所指称的歧视行为。该法还规定，可进行集体诉讼，并对报复性解雇提供保护。</w:t>
      </w:r>
    </w:p>
    <w:p w:rsidR="00183DCE" w:rsidRDefault="00183DCE">
      <w:pPr>
        <w:pStyle w:val="DualTxt"/>
        <w:spacing w:line="326" w:lineRule="exact"/>
        <w:rPr>
          <w:rFonts w:hint="eastAsia"/>
        </w:rPr>
      </w:pPr>
      <w:r>
        <w:rPr>
          <w:rFonts w:hint="eastAsia"/>
        </w:rPr>
        <w:t>25</w:t>
      </w:r>
      <w:r>
        <w:t>.</w:t>
      </w:r>
      <w:r>
        <w:tab/>
      </w:r>
      <w:r>
        <w:rPr>
          <w:rFonts w:hint="eastAsia"/>
        </w:rPr>
        <w:t>《劳动合同法》保证同工同酬。列支敦士登正在开展有关“可比价值工作”的讨论，并密切注意欧洲联盟国家及其他国家的情况发展。</w:t>
      </w:r>
    </w:p>
    <w:p w:rsidR="00183DCE" w:rsidRDefault="00183DCE">
      <w:pPr>
        <w:pStyle w:val="DualTxt"/>
        <w:spacing w:line="326" w:lineRule="exact"/>
        <w:rPr>
          <w:rFonts w:hint="eastAsia"/>
        </w:rPr>
      </w:pPr>
      <w:r>
        <w:rPr>
          <w:rFonts w:hint="eastAsia"/>
        </w:rPr>
        <w:t>26</w:t>
      </w:r>
      <w:r>
        <w:t>.</w:t>
      </w:r>
      <w:r>
        <w:tab/>
      </w:r>
      <w:r>
        <w:rPr>
          <w:rFonts w:hint="eastAsia"/>
        </w:rPr>
        <w:t>目前的税务制度并未使配偶之一为家庭主妇的家庭受益。但是，配偶双方共同报税，的确给分居或离婚等处境困难的妇女带来一定的益处。</w:t>
      </w:r>
    </w:p>
    <w:p w:rsidR="00183DCE" w:rsidRDefault="00183DCE">
      <w:pPr>
        <w:pStyle w:val="DualTxt"/>
        <w:spacing w:line="326" w:lineRule="exact"/>
        <w:rPr>
          <w:rFonts w:hint="eastAsia"/>
        </w:rPr>
      </w:pPr>
      <w:r>
        <w:rPr>
          <w:rFonts w:hint="eastAsia"/>
        </w:rPr>
        <w:t>27</w:t>
      </w:r>
      <w:r>
        <w:t>.</w:t>
      </w:r>
      <w:r>
        <w:tab/>
      </w:r>
      <w:r>
        <w:rPr>
          <w:rFonts w:hint="eastAsia"/>
        </w:rPr>
        <w:t>关于养恤金，最近执行的养恤金制度的总目标是，消除现有各种形式的不平等待遇，包括性别歧视。养恤金制度的改革实现了这一目标，使已婚夫妇的</w:t>
      </w:r>
      <w:r>
        <w:rPr>
          <w:rFonts w:hint="eastAsia"/>
          <w:spacing w:val="2"/>
        </w:rPr>
        <w:t>预计养恤金相互脱离。夫妻婚姻期间的相关平均收入由夫妻双方平均分配，因此为长期从事无报酬工作的一方提供了必要保护。根据已故配偶死亡时应可领取的养恤金数额，计算丧偶一方的养恤金。《分居和离婚法》将于1999年4月生效，该法规定婚姻期间积累的所有财产，包括养恤金，均应由夫妻双方平均分配。</w:t>
      </w:r>
    </w:p>
    <w:p w:rsidR="00183DCE" w:rsidRDefault="00183DCE">
      <w:pPr>
        <w:pStyle w:val="DualTxt"/>
        <w:spacing w:after="160" w:line="326" w:lineRule="exact"/>
        <w:rPr>
          <w:rFonts w:hint="eastAsia"/>
        </w:rPr>
      </w:pPr>
      <w:r>
        <w:rPr>
          <w:rFonts w:hint="eastAsia"/>
        </w:rPr>
        <w:t>28</w:t>
      </w:r>
      <w:r>
        <w:t>.</w:t>
      </w:r>
      <w:r>
        <w:tab/>
      </w:r>
      <w:r>
        <w:rPr>
          <w:rFonts w:hint="eastAsia"/>
        </w:rPr>
        <w:t>公共卫生体系保证所有家庭能够实行计划生育。妇产中心为孕期期间和孕期后的母亲提供资助和咨询。计划生育和辅导费用由医疗保险支付。医疗保险不支付避孕药具费用，但法律并不禁止使用避孕药具。</w:t>
      </w:r>
    </w:p>
    <w:p w:rsidR="00183DCE" w:rsidRDefault="00183DCE">
      <w:pPr>
        <w:pStyle w:val="DualTxt"/>
        <w:rPr>
          <w:rFonts w:hint="eastAsia"/>
        </w:rPr>
      </w:pPr>
      <w:r>
        <w:rPr>
          <w:rFonts w:hint="eastAsia"/>
        </w:rPr>
        <w:t>29</w:t>
      </w:r>
      <w:r>
        <w:t>.</w:t>
      </w:r>
      <w:r>
        <w:tab/>
      </w:r>
      <w:r>
        <w:rPr>
          <w:rFonts w:hint="eastAsia"/>
        </w:rPr>
        <w:t>在列支敦士登，如妇女生命受到严重危险或女子年龄不满14岁，可合法进行人工流产。这种人工流产的费用，由医疗保险支付。最近几年，没有报告非法人工流产或人工流产导致妇女死亡的案例，但可以假定妇女在邻国进行流产。现有的立法规定，可向25岁以上的男女提供节育措施。</w:t>
      </w:r>
    </w:p>
    <w:p w:rsidR="00183DCE" w:rsidRDefault="00183DCE">
      <w:pPr>
        <w:pStyle w:val="DualTxt"/>
        <w:spacing w:line="328" w:lineRule="exact"/>
        <w:rPr>
          <w:rFonts w:hint="eastAsia"/>
        </w:rPr>
      </w:pPr>
      <w:r>
        <w:rPr>
          <w:rFonts w:hint="eastAsia"/>
        </w:rPr>
        <w:t>30</w:t>
      </w:r>
      <w:r>
        <w:t>.</w:t>
      </w:r>
      <w:r>
        <w:tab/>
      </w:r>
      <w:r>
        <w:rPr>
          <w:rFonts w:hint="eastAsia"/>
        </w:rPr>
        <w:t>一个由政府资助的特别中心开展了艾滋病毒/</w:t>
      </w:r>
      <w:r>
        <w:rPr>
          <w:rFonts w:hint="eastAsia"/>
          <w:spacing w:val="2"/>
        </w:rPr>
        <w:t>艾滋病宣传运动。运动鼓励使用安全套，并推动了各种避孕药具的使用。中心还为11至16岁的女童开设特殊课程，以增强青年妇女的能力，提高她们的自信。</w:t>
      </w:r>
    </w:p>
    <w:p w:rsidR="00183DCE" w:rsidRDefault="00183DCE">
      <w:pPr>
        <w:pStyle w:val="DualTxt"/>
        <w:spacing w:line="328" w:lineRule="exact"/>
        <w:rPr>
          <w:rFonts w:hint="eastAsia"/>
        </w:rPr>
      </w:pPr>
      <w:r>
        <w:rPr>
          <w:rFonts w:hint="eastAsia"/>
        </w:rPr>
        <w:t>31</w:t>
      </w:r>
      <w:r>
        <w:t>.</w:t>
      </w:r>
      <w:r>
        <w:tab/>
      </w:r>
      <w:r>
        <w:rPr>
          <w:rFonts w:hint="eastAsia"/>
        </w:rPr>
        <w:t>列支敦士登法律对使用毒品进行处罚，但它不是促进青年重视健康生活方式的有效工具。1998年开展了预防滥用毒品运动，以提高国民认识，并强调预防而非处罚。在列支敦士登，男子和妇女的吸烟人数相等。青年妇女一般在满16周岁后开始吸烟。消费烈酒和非法毒品、特别是大麻的情况，在男子中并不普遍，而妇女则更多地使用镇静剂、减肥药和安眠药等药物。</w:t>
      </w:r>
    </w:p>
    <w:p w:rsidR="00183DCE" w:rsidRDefault="00183DCE">
      <w:pPr>
        <w:pStyle w:val="DualTxt"/>
        <w:spacing w:line="328" w:lineRule="exact"/>
        <w:rPr>
          <w:rFonts w:hint="eastAsia"/>
        </w:rPr>
      </w:pPr>
      <w:r>
        <w:rPr>
          <w:rFonts w:hint="eastAsia"/>
        </w:rPr>
        <w:t>32.</w:t>
      </w:r>
      <w:r>
        <w:rPr>
          <w:rFonts w:hint="eastAsia"/>
        </w:rPr>
        <w:tab/>
        <w:t>康复计划通过门诊和医院戒毒治疗。也可以通过列支敦士登与邻国签署的相关条约在邻国进行康复。老龄妇女计划是卫生保健系统的一个组成部分，老龄妇女的心理健康日益受到重视。</w:t>
      </w:r>
    </w:p>
    <w:p w:rsidR="00183DCE" w:rsidRDefault="00183DCE">
      <w:pPr>
        <w:pStyle w:val="DualTxt"/>
        <w:spacing w:line="328" w:lineRule="exact"/>
        <w:rPr>
          <w:rFonts w:hint="eastAsia"/>
        </w:rPr>
      </w:pPr>
      <w:r>
        <w:rPr>
          <w:rFonts w:hint="eastAsia"/>
        </w:rPr>
        <w:t>33</w:t>
      </w:r>
      <w:r>
        <w:t>.</w:t>
      </w:r>
      <w:r>
        <w:tab/>
      </w:r>
      <w:r>
        <w:rPr>
          <w:rFonts w:hint="eastAsia"/>
        </w:rPr>
        <w:t>单亲可为每个子女得到额外子女补贴，不论赡养费的支付情况如何。子女补贴按月支付，补贴数额根据子女的年龄计算。</w:t>
      </w:r>
    </w:p>
    <w:p w:rsidR="00183DCE" w:rsidRDefault="00183DCE">
      <w:pPr>
        <w:pStyle w:val="DualTxt"/>
        <w:spacing w:line="328" w:lineRule="exact"/>
        <w:rPr>
          <w:rFonts w:hint="eastAsia"/>
        </w:rPr>
      </w:pPr>
      <w:r>
        <w:rPr>
          <w:rFonts w:hint="eastAsia"/>
        </w:rPr>
        <w:t>34</w:t>
      </w:r>
      <w:r>
        <w:t>.</w:t>
      </w:r>
      <w:r>
        <w:tab/>
      </w:r>
      <w:r>
        <w:rPr>
          <w:rFonts w:hint="eastAsia"/>
        </w:rPr>
        <w:t>列支敦士登由于面积小、人口少，没有一般意义所指的城市和农村。公共交通四通八达，全国的学校、保健系统和娱乐设施没有差别。各个地区的“贫富”差距不大，财富和收入并不悬殊。因此，无需在这一领域采取特别措施。</w:t>
      </w:r>
    </w:p>
    <w:p w:rsidR="00183DCE" w:rsidRDefault="00183DCE">
      <w:pPr>
        <w:pStyle w:val="DualTxt"/>
        <w:spacing w:line="328" w:lineRule="exact"/>
        <w:rPr>
          <w:rFonts w:hint="eastAsia"/>
        </w:rPr>
      </w:pPr>
      <w:r>
        <w:rPr>
          <w:rFonts w:hint="eastAsia"/>
        </w:rPr>
        <w:t>35</w:t>
      </w:r>
      <w:r>
        <w:t>.</w:t>
      </w:r>
      <w:r>
        <w:tab/>
      </w:r>
      <w:r>
        <w:rPr>
          <w:rFonts w:hint="eastAsia"/>
        </w:rPr>
        <w:t>列支敦士登将考虑改变关于领养儿童规定年龄差异方面的法案。法律对继承没有歧视性规定，最近颁布的《分居和离婚法》规定，拥有子女监护权的一方应每月支付赡养费。</w:t>
      </w:r>
    </w:p>
    <w:p w:rsidR="00183DCE" w:rsidRDefault="00183DCE">
      <w:pPr>
        <w:pStyle w:val="DualTxt"/>
        <w:spacing w:line="328" w:lineRule="exact"/>
        <w:rPr>
          <w:rFonts w:hint="eastAsia"/>
        </w:rPr>
      </w:pPr>
      <w:r>
        <w:rPr>
          <w:rFonts w:hint="eastAsia"/>
        </w:rPr>
        <w:t>36</w:t>
      </w:r>
      <w:r>
        <w:t>.</w:t>
      </w:r>
      <w:r>
        <w:tab/>
      </w:r>
      <w:r>
        <w:rPr>
          <w:rFonts w:ascii="KaiTi_GB2312" w:eastAsia="KaiTi_GB2312" w:hint="eastAsia"/>
          <w:color w:val="0000FF"/>
        </w:rPr>
        <w:t>副主席舍普-席林女士主持会议。</w:t>
      </w:r>
    </w:p>
    <w:p w:rsidR="00183DCE" w:rsidRDefault="00183DCE">
      <w:pPr>
        <w:pStyle w:val="DualTxt"/>
        <w:rPr>
          <w:rFonts w:hint="eastAsia"/>
        </w:rPr>
      </w:pPr>
      <w:r>
        <w:rPr>
          <w:rFonts w:hint="eastAsia"/>
        </w:rPr>
        <w:t>37.</w:t>
      </w:r>
      <w:r>
        <w:rPr>
          <w:rFonts w:hint="eastAsia"/>
        </w:rPr>
        <w:tab/>
      </w:r>
      <w:r>
        <w:rPr>
          <w:rFonts w:ascii="SimHei" w:eastAsia="SimHei" w:hint="eastAsia"/>
          <w:color w:val="FF0000"/>
        </w:rPr>
        <w:t>Ryel女士</w:t>
      </w:r>
      <w:r>
        <w:rPr>
          <w:rFonts w:hint="eastAsia"/>
        </w:rPr>
        <w:t>希望列支敦士登通过对工作场所和所有生活领域作出规定的平等权利法案。产假规定的通过，有助于改变对两性作用的态度。她促请列支敦士登政府利用平权行动计划，促进男女实际平等。另一个关切是，虽然大学入学的青年妇女多于男子，但她们选择传统学科，在就业市场产生了分别。</w:t>
      </w:r>
    </w:p>
    <w:p w:rsidR="00183DCE" w:rsidRDefault="00183DCE">
      <w:pPr>
        <w:pStyle w:val="DualTxt"/>
        <w:spacing w:line="340" w:lineRule="exact"/>
      </w:pPr>
      <w:r>
        <w:rPr>
          <w:rFonts w:hint="eastAsia"/>
        </w:rPr>
        <w:t>38.</w:t>
      </w:r>
      <w:r>
        <w:rPr>
          <w:rFonts w:hint="eastAsia"/>
        </w:rPr>
        <w:tab/>
      </w:r>
      <w:r>
        <w:rPr>
          <w:rFonts w:ascii="SimHei" w:eastAsia="SimHei" w:hint="eastAsia"/>
          <w:color w:val="FF0000"/>
        </w:rPr>
        <w:t>Hazelle女士</w:t>
      </w:r>
      <w:r>
        <w:rPr>
          <w:rFonts w:hint="eastAsia"/>
        </w:rPr>
        <w:t>对政府就她提出的有关单身母亲问题的答复感到关切。她不理解为何要对非婚生子女和由丧偶、分居或离婚母亲抚养的子女作出区别。妇女选择自己养育子女，却要为子女福祉独自承担全部责任，看来这是非常具有歧视性的。</w:t>
      </w:r>
    </w:p>
    <w:p w:rsidR="00183DCE" w:rsidRDefault="00183DCE">
      <w:pPr>
        <w:pStyle w:val="DualTxt"/>
        <w:spacing w:line="340" w:lineRule="exact"/>
      </w:pPr>
      <w:r>
        <w:rPr>
          <w:rFonts w:hint="eastAsia"/>
        </w:rPr>
        <w:t>39</w:t>
      </w:r>
      <w:r>
        <w:t>.</w:t>
      </w:r>
      <w:r>
        <w:tab/>
      </w:r>
      <w:r>
        <w:rPr>
          <w:rFonts w:ascii="SimHei" w:eastAsia="SimHei" w:hint="eastAsia"/>
          <w:color w:val="FF0000"/>
        </w:rPr>
        <w:t>Regazzoli女士</w:t>
      </w:r>
      <w:r>
        <w:rPr>
          <w:rFonts w:hint="eastAsia"/>
        </w:rPr>
        <w:t>对列支敦士登政府对她问题的答复表示不满。她难以理解，作为发达国家的列支敦士登却有着与最不发达国家相同的妇女问题。</w:t>
      </w:r>
    </w:p>
    <w:p w:rsidR="00183DCE" w:rsidRDefault="00183DCE">
      <w:pPr>
        <w:pStyle w:val="DualTxt"/>
        <w:spacing w:line="340" w:lineRule="exact"/>
      </w:pPr>
      <w:r>
        <w:rPr>
          <w:rFonts w:hint="eastAsia"/>
        </w:rPr>
        <w:t>40.</w:t>
      </w:r>
      <w:r>
        <w:rPr>
          <w:rFonts w:hint="eastAsia"/>
        </w:rPr>
        <w:tab/>
      </w:r>
      <w:r>
        <w:rPr>
          <w:rFonts w:ascii="SimHei" w:eastAsia="SimHei" w:hint="eastAsia"/>
          <w:color w:val="FF0000"/>
        </w:rPr>
        <w:t>Abaka女士</w:t>
      </w:r>
      <w:r>
        <w:rPr>
          <w:rFonts w:hint="eastAsia"/>
        </w:rPr>
        <w:t>提到了《提高妇女在公务员部门的人数和职业地位准则》，并敦促该国政府在私营部门执行相似的政策。</w:t>
      </w:r>
    </w:p>
    <w:p w:rsidR="00183DCE" w:rsidRDefault="00183DCE">
      <w:pPr>
        <w:pStyle w:val="DualTxt"/>
        <w:spacing w:line="340" w:lineRule="exact"/>
        <w:rPr>
          <w:rFonts w:hint="eastAsia"/>
        </w:rPr>
      </w:pPr>
      <w:r>
        <w:rPr>
          <w:rFonts w:hint="eastAsia"/>
        </w:rPr>
        <w:t>41</w:t>
      </w:r>
      <w:r>
        <w:t>.</w:t>
      </w:r>
      <w:r>
        <w:tab/>
      </w:r>
      <w:r>
        <w:rPr>
          <w:rFonts w:ascii="KaiTi_GB2312" w:eastAsia="KaiTi_GB2312" w:hint="eastAsia"/>
          <w:color w:val="0000FF"/>
        </w:rPr>
        <w:t>冈萨雷斯女士（主席）继续主持会议</w:t>
      </w:r>
      <w:r>
        <w:rPr>
          <w:rFonts w:hint="eastAsia"/>
        </w:rPr>
        <w:t>。</w:t>
      </w:r>
    </w:p>
    <w:p w:rsidR="00183DCE" w:rsidRDefault="00183DCE">
      <w:pPr>
        <w:pStyle w:val="DualTxt"/>
        <w:spacing w:line="340" w:lineRule="exact"/>
      </w:pPr>
      <w:r>
        <w:rPr>
          <w:rFonts w:hint="eastAsia"/>
        </w:rPr>
        <w:t>42</w:t>
      </w:r>
      <w:r>
        <w:t>.</w:t>
      </w:r>
      <w:r>
        <w:tab/>
      </w:r>
      <w:r>
        <w:rPr>
          <w:rFonts w:ascii="SimHei" w:eastAsia="SimHei" w:hint="eastAsia"/>
          <w:color w:val="FF0000"/>
        </w:rPr>
        <w:t>Acar女士</w:t>
      </w:r>
      <w:r>
        <w:rPr>
          <w:rFonts w:hint="eastAsia"/>
        </w:rPr>
        <w:t>对列支敦士登代表团接受委员会问题的态度表示赞赏。</w:t>
      </w:r>
    </w:p>
    <w:p w:rsidR="00183DCE" w:rsidRDefault="00183DCE">
      <w:pPr>
        <w:pStyle w:val="DualTxt"/>
        <w:spacing w:line="340" w:lineRule="exact"/>
        <w:rPr>
          <w:rFonts w:hint="eastAsia"/>
        </w:rPr>
      </w:pPr>
      <w:r>
        <w:rPr>
          <w:rFonts w:hint="eastAsia"/>
        </w:rPr>
        <w:t>43.</w:t>
      </w:r>
      <w:r>
        <w:rPr>
          <w:rFonts w:hint="eastAsia"/>
        </w:rPr>
        <w:tab/>
      </w:r>
      <w:r>
        <w:rPr>
          <w:rFonts w:ascii="SimHei" w:eastAsia="SimHei" w:hint="eastAsia"/>
          <w:color w:val="FF0000"/>
        </w:rPr>
        <w:t>舍普-席林女士</w:t>
      </w:r>
      <w:r>
        <w:rPr>
          <w:rFonts w:hint="eastAsia"/>
        </w:rPr>
        <w:t>指出，她希望进一步介绍平等权利局和监察员的人员及预算的详细情况。关于《提高妇女在公务员部门的人数和职业地位准则》，她希望了解该准则是强制性规定，还是指导性建议，是否有执行期限和数字目标。关于继承，看来法律上没有歧视，但是男子继承的份额往往大于妇女。政府应就这一问题开展宣传活动。</w:t>
      </w:r>
    </w:p>
    <w:p w:rsidR="00183DCE" w:rsidRDefault="00183DCE">
      <w:pPr>
        <w:pStyle w:val="DualTxt"/>
        <w:spacing w:line="324" w:lineRule="exact"/>
        <w:rPr>
          <w:rFonts w:hint="eastAsia"/>
        </w:rPr>
      </w:pPr>
      <w:r>
        <w:rPr>
          <w:rFonts w:hint="eastAsia"/>
        </w:rPr>
        <w:t>44.</w:t>
      </w:r>
      <w:r>
        <w:rPr>
          <w:rFonts w:hint="eastAsia"/>
        </w:rPr>
        <w:tab/>
        <w:t>她高兴地了解到每个雇员都有医疗保险，但不清楚低收入的工作是否会影响到社会保障福利。她还希望了解社会保障养恤金中计入的养育子女年限。</w:t>
      </w:r>
    </w:p>
    <w:p w:rsidR="00183DCE" w:rsidRDefault="00183DCE">
      <w:pPr>
        <w:pStyle w:val="DualTxt"/>
        <w:spacing w:line="324" w:lineRule="exact"/>
        <w:rPr>
          <w:rFonts w:hint="eastAsia"/>
        </w:rPr>
      </w:pPr>
      <w:r>
        <w:rPr>
          <w:rFonts w:hint="eastAsia"/>
        </w:rPr>
        <w:t>45.</w:t>
      </w:r>
      <w:r>
        <w:rPr>
          <w:rFonts w:hint="eastAsia"/>
        </w:rPr>
        <w:tab/>
      </w:r>
      <w:r>
        <w:rPr>
          <w:rFonts w:ascii="SimHei" w:eastAsia="SimHei" w:hint="eastAsia"/>
          <w:color w:val="FF0000"/>
        </w:rPr>
        <w:t>Manalo女士</w:t>
      </w:r>
      <w:r>
        <w:rPr>
          <w:rFonts w:hint="eastAsia"/>
        </w:rPr>
        <w:t>问，王族在摆脱君主传统方面是否表现出了必要的灵活性。</w:t>
      </w:r>
    </w:p>
    <w:p w:rsidR="00183DCE" w:rsidRDefault="00183DCE">
      <w:pPr>
        <w:pStyle w:val="DualTxt"/>
        <w:spacing w:line="324" w:lineRule="exact"/>
        <w:rPr>
          <w:rFonts w:hint="eastAsia"/>
        </w:rPr>
      </w:pPr>
      <w:r>
        <w:rPr>
          <w:rFonts w:hint="eastAsia"/>
        </w:rPr>
        <w:t>46.</w:t>
      </w:r>
      <w:r>
        <w:rPr>
          <w:rFonts w:hint="eastAsia"/>
        </w:rPr>
        <w:tab/>
      </w:r>
      <w:r>
        <w:rPr>
          <w:rFonts w:ascii="SimHei" w:eastAsia="SimHei" w:hint="eastAsia"/>
          <w:color w:val="FF0000"/>
        </w:rPr>
        <w:t>Corti女士</w:t>
      </w:r>
      <w:r>
        <w:rPr>
          <w:rFonts w:hint="eastAsia"/>
        </w:rPr>
        <w:t>赞扬缔约国在实现妇女平等权利方面取得的迅速进展。</w:t>
      </w:r>
    </w:p>
    <w:p w:rsidR="00183DCE" w:rsidRDefault="00183DCE">
      <w:pPr>
        <w:pStyle w:val="DualTxt"/>
        <w:spacing w:line="324" w:lineRule="exact"/>
        <w:rPr>
          <w:rFonts w:hint="eastAsia"/>
        </w:rPr>
      </w:pPr>
      <w:r>
        <w:rPr>
          <w:rFonts w:hint="eastAsia"/>
        </w:rPr>
        <w:t>47.</w:t>
      </w:r>
      <w:r>
        <w:rPr>
          <w:rFonts w:hint="eastAsia"/>
        </w:rPr>
        <w:tab/>
      </w:r>
      <w:r>
        <w:rPr>
          <w:rFonts w:ascii="SimHei" w:eastAsia="SimHei" w:hint="eastAsia"/>
          <w:color w:val="FF0000"/>
        </w:rPr>
        <w:t>主席</w:t>
      </w:r>
      <w:r>
        <w:rPr>
          <w:rFonts w:hint="eastAsia"/>
        </w:rPr>
        <w:t>在发言中以个人身份指出，列支敦士登代表团在发言中谈到关于继承问题正在起草一部没有性别歧视的《民法》，并正在采取措施，改变男子和妇女的社会和文化习惯，她对此表示欢迎。关于妇女卖淫问题，委员会认为各国政府应该制订对卖淫妇女和嫖客同时处罚的立法。</w:t>
      </w:r>
    </w:p>
    <w:p w:rsidR="00183DCE" w:rsidRDefault="00183DCE">
      <w:pPr>
        <w:pStyle w:val="DualTxt"/>
        <w:spacing w:line="324" w:lineRule="exact"/>
        <w:rPr>
          <w:rFonts w:hint="eastAsia"/>
        </w:rPr>
      </w:pPr>
      <w:r>
        <w:rPr>
          <w:rFonts w:hint="eastAsia"/>
        </w:rPr>
        <w:t>48.</w:t>
      </w:r>
      <w:r>
        <w:rPr>
          <w:rFonts w:hint="eastAsia"/>
        </w:rPr>
        <w:tab/>
        <w:t>她并以主席身份希望列支敦士登政府最广泛地宣传委员会的各项磋商成果。</w:t>
      </w:r>
    </w:p>
    <w:p w:rsidR="00183DCE" w:rsidRDefault="00183DCE">
      <w:pPr>
        <w:pStyle w:val="DualTxt"/>
        <w:spacing w:after="240" w:line="324" w:lineRule="exact"/>
        <w:rPr>
          <w:rFonts w:hint="eastAsia"/>
        </w:rPr>
      </w:pPr>
      <w:r>
        <w:rPr>
          <w:rFonts w:hint="eastAsia"/>
        </w:rPr>
        <w:t>49.</w:t>
      </w:r>
      <w:r>
        <w:rPr>
          <w:rFonts w:hint="eastAsia"/>
        </w:rPr>
        <w:tab/>
      </w:r>
      <w:r>
        <w:rPr>
          <w:rFonts w:ascii="SimHei" w:eastAsia="SimHei" w:hint="eastAsia"/>
          <w:color w:val="FF0000"/>
        </w:rPr>
        <w:t>We</w:t>
      </w:r>
      <w:r>
        <w:rPr>
          <w:rFonts w:ascii="Times New Roman" w:eastAsia="SimHei"/>
          <w:color w:val="FF0000"/>
        </w:rPr>
        <w:t>n</w:t>
      </w:r>
      <w:r>
        <w:rPr>
          <w:rFonts w:ascii="SimHei" w:eastAsia="SimHei" w:hint="eastAsia"/>
          <w:color w:val="FF0000"/>
        </w:rPr>
        <w:t>a</w:t>
      </w:r>
      <w:r>
        <w:rPr>
          <w:rFonts w:ascii="SimHei" w:eastAsia="SimHei"/>
          <w:color w:val="FF0000"/>
        </w:rPr>
        <w:t>w</w:t>
      </w:r>
      <w:r>
        <w:rPr>
          <w:rFonts w:ascii="SimHei" w:eastAsia="SimHei" w:hint="eastAsia"/>
          <w:color w:val="FF0000"/>
        </w:rPr>
        <w:t>eser先生</w:t>
      </w:r>
      <w:r>
        <w:rPr>
          <w:rFonts w:hint="eastAsia"/>
        </w:rPr>
        <w:t>（列支敦士登）回答了Hazelle女士的问题。他指出，并不是所有非婚生子女都由单身母亲抚养，因为未婚配偶也选择共同抚养子女。并且，目前的立法规定，非婚生子女的父亲也应该支付赡养费。</w:t>
      </w:r>
    </w:p>
    <w:p w:rsidR="00183DCE" w:rsidRDefault="00183DCE">
      <w:pPr>
        <w:pStyle w:val="DualTxt"/>
        <w:rPr>
          <w:rFonts w:ascii="KaiTi_GB2312" w:eastAsia="KaiTi_GB2312" w:hint="eastAsia"/>
          <w:color w:val="0000FF"/>
        </w:rPr>
      </w:pPr>
      <w:r>
        <w:rPr>
          <w:rFonts w:hint="eastAsia"/>
        </w:rPr>
        <w:tab/>
      </w:r>
      <w:r>
        <w:rPr>
          <w:rFonts w:ascii="KaiTi_GB2312" w:eastAsia="KaiTi_GB2312" w:hint="eastAsia"/>
          <w:color w:val="0000FF"/>
        </w:rPr>
        <w:t>下午4时50分散会</w:t>
      </w:r>
    </w:p>
    <w:p w:rsidR="00183DCE" w:rsidRDefault="00183DCE">
      <w:pPr>
        <w:pStyle w:val="SingleTxt"/>
        <w:sectPr w:rsidR="00183DCE">
          <w:type w:val="continuous"/>
          <w:pgSz w:w="12242" w:h="15842" w:code="1"/>
          <w:pgMar w:top="1742" w:right="1195" w:bottom="1898" w:left="1195" w:header="576" w:footer="1030" w:gutter="0"/>
          <w:cols w:num="2" w:space="240"/>
          <w:noEndnote/>
          <w:docGrid w:type="lines" w:linePitch="312"/>
        </w:sectPr>
      </w:pPr>
    </w:p>
    <w:p w:rsidR="00183DCE" w:rsidRDefault="00183DCE">
      <w:pPr>
        <w:pStyle w:val="SingleTxt"/>
        <w:rPr>
          <w:rFonts w:hint="eastAsia"/>
        </w:rPr>
      </w:pPr>
    </w:p>
    <w:sectPr w:rsidR="00183DCE">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83DCE" w:rsidRDefault="00183DCE">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NO&gt;&gt;N0224303C&lt;&lt;ODS JOB NO&gt;&gt;</w:t>
      </w:r>
    </w:p>
    <w:p w:rsidR="00183DCE" w:rsidRDefault="00183DCE">
      <w:pPr>
        <w:pStyle w:val="CommentText"/>
      </w:pPr>
      <w:r>
        <w:t>&lt;&lt;ODS DOC SYMBOL1&gt;&gt;CEDAW/C/SR.414&lt;&lt;ODS DOC SYMBOL1&gt;&gt;</w:t>
      </w:r>
    </w:p>
    <w:p w:rsidR="00183DCE" w:rsidRDefault="00183D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D08F0">
      <w:pPr>
        <w:spacing w:line="240" w:lineRule="auto"/>
      </w:pPr>
      <w:r>
        <w:separator/>
      </w:r>
    </w:p>
  </w:endnote>
  <w:endnote w:type="continuationSeparator" w:id="0">
    <w:p w:rsidR="00000000" w:rsidRDefault="007D0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83DCE">
      <w:tblPrEx>
        <w:tblCellMar>
          <w:top w:w="0" w:type="dxa"/>
          <w:bottom w:w="0" w:type="dxa"/>
        </w:tblCellMar>
      </w:tblPrEx>
      <w:tc>
        <w:tcPr>
          <w:tcW w:w="5034" w:type="dxa"/>
          <w:vAlign w:val="bottom"/>
        </w:tcPr>
        <w:p w:rsidR="00183DCE" w:rsidRDefault="00183DCE">
          <w:pPr>
            <w:pStyle w:val="Footer"/>
          </w:pPr>
          <w:r>
            <w:fldChar w:fldCharType="begin"/>
          </w:r>
          <w:r>
            <w:instrText xml:space="preserve"> PAGE  \* MERGEFORMAT </w:instrText>
          </w:r>
          <w:r>
            <w:fldChar w:fldCharType="separate"/>
          </w:r>
          <w:r>
            <w:t>2</w:t>
          </w:r>
          <w:r>
            <w:fldChar w:fldCharType="end"/>
          </w:r>
        </w:p>
      </w:tc>
      <w:tc>
        <w:tcPr>
          <w:tcW w:w="5034" w:type="dxa"/>
          <w:vAlign w:val="bottom"/>
        </w:tcPr>
        <w:p w:rsidR="00183DCE" w:rsidRDefault="00183DCE">
          <w:pPr>
            <w:pStyle w:val="Footer"/>
            <w:jc w:val="right"/>
          </w:pPr>
        </w:p>
      </w:tc>
    </w:tr>
  </w:tbl>
  <w:p w:rsidR="00183DCE" w:rsidRDefault="00183D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83DCE">
      <w:tblPrEx>
        <w:tblCellMar>
          <w:top w:w="0" w:type="dxa"/>
          <w:bottom w:w="0" w:type="dxa"/>
        </w:tblCellMar>
      </w:tblPrEx>
      <w:tc>
        <w:tcPr>
          <w:tcW w:w="5034" w:type="dxa"/>
          <w:vAlign w:val="bottom"/>
        </w:tcPr>
        <w:p w:rsidR="00183DCE" w:rsidRDefault="00183DCE">
          <w:pPr>
            <w:pStyle w:val="Footer"/>
          </w:pPr>
        </w:p>
      </w:tc>
      <w:tc>
        <w:tcPr>
          <w:tcW w:w="5034" w:type="dxa"/>
          <w:vAlign w:val="bottom"/>
        </w:tcPr>
        <w:p w:rsidR="00183DCE" w:rsidRDefault="00183DCE">
          <w:pPr>
            <w:pStyle w:val="Footer"/>
            <w:jc w:val="right"/>
          </w:pPr>
          <w:r>
            <w:fldChar w:fldCharType="begin"/>
          </w:r>
          <w:r>
            <w:instrText xml:space="preserve"> PAGE  \* MERGEFORMAT </w:instrText>
          </w:r>
          <w:r>
            <w:fldChar w:fldCharType="separate"/>
          </w:r>
          <w:r>
            <w:t>5</w:t>
          </w:r>
          <w:r>
            <w:fldChar w:fldCharType="end"/>
          </w:r>
        </w:p>
      </w:tc>
    </w:tr>
  </w:tbl>
  <w:p w:rsidR="00183DCE" w:rsidRDefault="00183D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DCE" w:rsidRDefault="00183DCE">
    <w:pPr>
      <w:pStyle w:val="Footer"/>
    </w:pPr>
  </w:p>
  <w:p w:rsidR="00183DCE" w:rsidRDefault="00183DCE">
    <w:pPr>
      <w:pStyle w:val="Footer"/>
      <w:pBdr>
        <w:top w:val="single" w:sz="2" w:space="0" w:color="000000"/>
      </w:pBdr>
      <w:rPr>
        <w:sz w:val="2"/>
      </w:rPr>
    </w:pPr>
  </w:p>
  <w:p w:rsidR="00183DCE" w:rsidRDefault="00183DCE">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183DCE" w:rsidRDefault="00183DCE">
    <w:pPr>
      <w:pStyle w:val="FootnoteText"/>
      <w:spacing w:after="140"/>
      <w:ind w:left="1267" w:right="1267" w:firstLine="0"/>
      <w:jc w:val="both"/>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ascii="SimHei" w:eastAsia="SimHei" w:hint="eastAsia"/>
        <w:snapToGrid w:val="0"/>
        <w:color w:val="FF000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DC2-750</w:t>
    </w:r>
    <w:r>
      <w:rPr>
        <w:rFonts w:hint="eastAsia"/>
        <w:snapToGrid w:val="0"/>
        <w:spacing w:val="5"/>
        <w:w w:val="104"/>
        <w:sz w:val="17"/>
      </w:rPr>
      <w:t>室）。</w:t>
    </w:r>
  </w:p>
  <w:p w:rsidR="00183DCE" w:rsidRDefault="00183DCE">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183DCE" w:rsidRDefault="00183DCE">
    <w:pPr>
      <w:pStyle w:val="Footer"/>
      <w:rPr>
        <w:b w:val="0"/>
        <w:snapToGrid w:val="0"/>
        <w:w w:val="104"/>
        <w:sz w:val="21"/>
      </w:rPr>
    </w:pPr>
    <w:r>
      <w:rPr>
        <w:b w:val="0"/>
        <w:snapToGrid w:val="0"/>
        <w:w w:val="104"/>
        <w:sz w:val="21"/>
      </w:rPr>
      <w:t>02-24303 (C)</w:t>
    </w:r>
  </w:p>
  <w:p w:rsidR="00183DCE" w:rsidRDefault="00183DCE">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D08F0">
      <w:pPr>
        <w:spacing w:line="240" w:lineRule="auto"/>
      </w:pPr>
      <w:r>
        <w:separator/>
      </w:r>
    </w:p>
  </w:footnote>
  <w:footnote w:type="continuationSeparator" w:id="0">
    <w:p w:rsidR="00000000" w:rsidRDefault="007D08F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DCE" w:rsidRDefault="00183DC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83DCE">
                  <w:tblPrEx>
                    <w:tblCellMar>
                      <w:top w:w="0" w:type="dxa"/>
                      <w:bottom w:w="0" w:type="dxa"/>
                    </w:tblCellMar>
                  </w:tblPrEx>
                  <w:trPr>
                    <w:trHeight w:hRule="exact" w:val="864"/>
                  </w:trPr>
                  <w:tc>
                    <w:tcPr>
                      <w:tcW w:w="4838" w:type="dxa"/>
                      <w:vAlign w:val="bottom"/>
                    </w:tcPr>
                    <w:p w:rsidR="00183DCE" w:rsidRDefault="00183DCE">
                      <w:pPr>
                        <w:pStyle w:val="Header"/>
                        <w:spacing w:after="80"/>
                        <w:rPr>
                          <w:b/>
                          <w:sz w:val="17"/>
                        </w:rPr>
                      </w:pPr>
                      <w:r>
                        <w:rPr>
                          <w:b/>
                          <w:sz w:val="17"/>
                        </w:rPr>
                        <w:t>CEDAW/C/SR.414</w:t>
                      </w:r>
                    </w:p>
                  </w:tc>
                  <w:tc>
                    <w:tcPr>
                      <w:tcW w:w="5048" w:type="dxa"/>
                      <w:vAlign w:val="bottom"/>
                    </w:tcPr>
                    <w:p w:rsidR="00183DCE" w:rsidRDefault="00183DCE">
                      <w:pPr>
                        <w:pStyle w:val="Header"/>
                      </w:pPr>
                    </w:p>
                  </w:tc>
                </w:tr>
              </w:tbl>
              <w:p w:rsidR="00183DCE" w:rsidRDefault="00183DC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DCE" w:rsidRDefault="00183DC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83DCE">
                  <w:tblPrEx>
                    <w:tblCellMar>
                      <w:top w:w="0" w:type="dxa"/>
                      <w:bottom w:w="0" w:type="dxa"/>
                    </w:tblCellMar>
                  </w:tblPrEx>
                  <w:trPr>
                    <w:trHeight w:hRule="exact" w:val="864"/>
                  </w:trPr>
                  <w:tc>
                    <w:tcPr>
                      <w:tcW w:w="4838" w:type="dxa"/>
                      <w:vAlign w:val="bottom"/>
                    </w:tcPr>
                    <w:p w:rsidR="00183DCE" w:rsidRDefault="00183DCE">
                      <w:pPr>
                        <w:pStyle w:val="Header"/>
                      </w:pPr>
                    </w:p>
                  </w:tc>
                  <w:tc>
                    <w:tcPr>
                      <w:tcW w:w="5048" w:type="dxa"/>
                      <w:vAlign w:val="bottom"/>
                    </w:tcPr>
                    <w:p w:rsidR="00183DCE" w:rsidRDefault="00183DCE">
                      <w:pPr>
                        <w:pStyle w:val="Header"/>
                        <w:spacing w:after="80"/>
                        <w:jc w:val="right"/>
                        <w:rPr>
                          <w:b/>
                          <w:sz w:val="17"/>
                        </w:rPr>
                      </w:pPr>
                      <w:r>
                        <w:rPr>
                          <w:b/>
                          <w:sz w:val="17"/>
                        </w:rPr>
                        <w:t>CEDAW/C/SR.414</w:t>
                      </w:r>
                    </w:p>
                  </w:tc>
                </w:tr>
              </w:tbl>
              <w:p w:rsidR="00183DCE" w:rsidRDefault="00183DC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83DC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83DCE" w:rsidRDefault="00183DCE">
          <w:pPr>
            <w:pStyle w:val="Header"/>
            <w:spacing w:after="120"/>
          </w:pPr>
        </w:p>
      </w:tc>
      <w:tc>
        <w:tcPr>
          <w:tcW w:w="1872" w:type="dxa"/>
          <w:tcBorders>
            <w:top w:val="nil"/>
            <w:left w:val="nil"/>
            <w:bottom w:val="single" w:sz="4" w:space="0" w:color="auto"/>
            <w:right w:val="nil"/>
          </w:tcBorders>
          <w:vAlign w:val="bottom"/>
        </w:tcPr>
        <w:p w:rsidR="00183DCE" w:rsidRDefault="00183DCE">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183DCE" w:rsidRDefault="00183DCE">
          <w:pPr>
            <w:pStyle w:val="Header"/>
            <w:spacing w:after="120"/>
          </w:pPr>
        </w:p>
      </w:tc>
      <w:tc>
        <w:tcPr>
          <w:tcW w:w="6523" w:type="dxa"/>
          <w:gridSpan w:val="3"/>
          <w:tcBorders>
            <w:top w:val="nil"/>
            <w:left w:val="nil"/>
            <w:bottom w:val="single" w:sz="4" w:space="0" w:color="auto"/>
            <w:right w:val="nil"/>
          </w:tcBorders>
          <w:vAlign w:val="bottom"/>
        </w:tcPr>
        <w:p w:rsidR="00183DCE" w:rsidRDefault="00183DC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/C/SR.414</w:t>
          </w:r>
        </w:p>
      </w:tc>
    </w:tr>
    <w:tr w:rsidR="00183DCE">
      <w:tblPrEx>
        <w:tblCellMar>
          <w:top w:w="0" w:type="dxa"/>
          <w:bottom w:w="0" w:type="dxa"/>
        </w:tblCellMar>
      </w:tblPrEx>
      <w:trPr>
        <w:trHeight w:hRule="exact" w:val="2880"/>
      </w:trPr>
      <w:tc>
        <w:tcPr>
          <w:tcW w:w="1267" w:type="dxa"/>
          <w:tcBorders>
            <w:left w:val="nil"/>
            <w:bottom w:val="single" w:sz="12" w:space="0" w:color="auto"/>
            <w:right w:val="nil"/>
          </w:tcBorders>
        </w:tcPr>
        <w:p w:rsidR="00183DCE" w:rsidRDefault="00183DC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83DCE" w:rsidRDefault="00183DCE">
          <w:pPr>
            <w:pStyle w:val="Header"/>
            <w:spacing w:before="109"/>
            <w:ind w:left="-72"/>
          </w:pPr>
        </w:p>
      </w:tc>
      <w:tc>
        <w:tcPr>
          <w:tcW w:w="5227" w:type="dxa"/>
          <w:gridSpan w:val="3"/>
          <w:tcBorders>
            <w:left w:val="nil"/>
            <w:bottom w:val="single" w:sz="12" w:space="0" w:color="auto"/>
            <w:right w:val="nil"/>
          </w:tcBorders>
        </w:tcPr>
        <w:p w:rsidR="00183DCE" w:rsidRDefault="00183DCE">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183DCE" w:rsidRDefault="00183DCE">
          <w:pPr>
            <w:pStyle w:val="Header"/>
            <w:spacing w:before="109"/>
          </w:pPr>
        </w:p>
      </w:tc>
      <w:tc>
        <w:tcPr>
          <w:tcW w:w="3180" w:type="dxa"/>
          <w:gridSpan w:val="2"/>
          <w:tcBorders>
            <w:left w:val="nil"/>
            <w:bottom w:val="single" w:sz="12" w:space="0" w:color="auto"/>
            <w:right w:val="nil"/>
          </w:tcBorders>
        </w:tcPr>
        <w:p w:rsidR="00183DCE" w:rsidRDefault="00183DCE">
          <w:pPr>
            <w:spacing w:before="240" w:line="240" w:lineRule="exact"/>
            <w:rPr>
              <w:rFonts w:ascii="Times New Roman"/>
            </w:rPr>
          </w:pPr>
          <w:r>
            <w:rPr>
              <w:rFonts w:ascii="Times New Roman"/>
            </w:rPr>
            <w:t>Distr.: General</w:t>
          </w:r>
        </w:p>
        <w:p w:rsidR="00183DCE" w:rsidRDefault="00183DCE">
          <w:pPr>
            <w:spacing w:line="240" w:lineRule="exact"/>
            <w:rPr>
              <w:rFonts w:ascii="Times New Roman"/>
            </w:rPr>
          </w:pPr>
          <w:r>
            <w:rPr>
              <w:rFonts w:ascii="Times New Roman"/>
            </w:rPr>
            <w:t>29 December 2003</w:t>
          </w:r>
        </w:p>
        <w:p w:rsidR="00183DCE" w:rsidRDefault="00183DCE">
          <w:pPr>
            <w:spacing w:line="240" w:lineRule="exact"/>
            <w:rPr>
              <w:rFonts w:ascii="Times New Roman"/>
            </w:rPr>
          </w:pPr>
          <w:r>
            <w:rPr>
              <w:rFonts w:ascii="Times New Roman"/>
            </w:rPr>
            <w:t>Chinese</w:t>
          </w:r>
        </w:p>
        <w:p w:rsidR="00183DCE" w:rsidRDefault="00183DCE">
          <w:pPr>
            <w:spacing w:line="240" w:lineRule="exact"/>
            <w:rPr>
              <w:rFonts w:ascii="Times New Roman"/>
            </w:rPr>
          </w:pPr>
          <w:r>
            <w:rPr>
              <w:rFonts w:ascii="Times New Roman"/>
            </w:rPr>
            <w:t>Original: English</w:t>
          </w:r>
        </w:p>
      </w:tc>
    </w:tr>
  </w:tbl>
  <w:p w:rsidR="00183DCE" w:rsidRDefault="00183DC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2/2003 9:02: AM"/>
    <w:docVar w:name="DocCategory" w:val="SROthers"/>
    <w:docVar w:name="DocType" w:val="Final"/>
    <w:docVar w:name="JobNo" w:val="0224303C"/>
    <w:docVar w:name="OandT" w:val=" "/>
    <w:docVar w:name="Symbol1" w:val="CEDAW/C/SR.414"/>
    <w:docVar w:name="Symbol2" w:val="-"/>
  </w:docVars>
  <w:rsids>
    <w:rsidRoot w:val="00183DCE"/>
    <w:rsid w:val="00183DCE"/>
    <w:rsid w:val="007D08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183D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3</Pages>
  <Words>835</Words>
  <Characters>4764</Characters>
  <Application>Microsoft Office Word</Application>
  <DocSecurity>4</DocSecurity>
  <Lines>39</Lines>
  <Paragraphs>11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5588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10</cp:revision>
  <cp:lastPrinted>2003-12-29T14:11:00Z</cp:lastPrinted>
  <dcterms:created xsi:type="dcterms:W3CDTF">2003-12-29T13:32:00Z</dcterms:created>
  <dcterms:modified xsi:type="dcterms:W3CDTF">2003-12-29T13:52:00Z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CEDAW/C/SR.414</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0224303C</vt:lpwstr>
  </property>
</Properties>
</file>