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7B991" w14:textId="77777777" w:rsidR="00FE22A8" w:rsidRPr="00C62DFA" w:rsidRDefault="00FE22A8" w:rsidP="00FE22A8">
      <w:pPr>
        <w:spacing w:line="240" w:lineRule="auto"/>
        <w:rPr>
          <w:sz w:val="2"/>
          <w:lang w:val="fr-FR"/>
        </w:rPr>
        <w:sectPr w:rsidR="00FE22A8" w:rsidRPr="00C62DFA" w:rsidSect="00DD58A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28A51B64" w14:textId="48B632C0" w:rsidR="00DD58A1" w:rsidRPr="00C62DFA" w:rsidRDefault="00DD58A1" w:rsidP="00DD58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62DFA">
        <w:rPr>
          <w:lang w:val="fr-FR"/>
        </w:rPr>
        <w:t xml:space="preserve">Comité pour l’élimination de la discrimination </w:t>
      </w:r>
      <w:r w:rsidRPr="00C62DFA">
        <w:rPr>
          <w:lang w:val="fr-FR"/>
        </w:rPr>
        <w:br/>
        <w:t>à l’égard des femmes</w:t>
      </w:r>
    </w:p>
    <w:p w14:paraId="611885C5" w14:textId="77777777" w:rsidR="00DD58A1" w:rsidRPr="00C62DFA" w:rsidRDefault="00DD58A1" w:rsidP="00DD58A1">
      <w:pPr>
        <w:pStyle w:val="Session"/>
      </w:pPr>
      <w:r w:rsidRPr="00C62DFA">
        <w:t>Soixante-dixième session</w:t>
      </w:r>
    </w:p>
    <w:p w14:paraId="04D0CA7C" w14:textId="77777777" w:rsidR="00DD58A1" w:rsidRPr="00C62DFA" w:rsidRDefault="00DD58A1" w:rsidP="00DD58A1">
      <w:pPr>
        <w:rPr>
          <w:lang w:val="fr-FR"/>
        </w:rPr>
      </w:pPr>
      <w:r w:rsidRPr="00C62DFA">
        <w:rPr>
          <w:lang w:val="fr-FR"/>
        </w:rPr>
        <w:t>2-20 juillet 2018</w:t>
      </w:r>
    </w:p>
    <w:p w14:paraId="58F4AA72" w14:textId="77777777" w:rsidR="00DD58A1" w:rsidRPr="00C62DFA" w:rsidRDefault="00DD58A1" w:rsidP="00DD58A1">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62DFA">
        <w:rPr>
          <w:lang w:val="fr-FR"/>
        </w:rPr>
        <w:t>Point 2 de l’ordre du jour provisoire</w:t>
      </w:r>
    </w:p>
    <w:p w14:paraId="3D3BC87B" w14:textId="77777777" w:rsidR="00DD58A1" w:rsidRPr="00C62DFA" w:rsidRDefault="00DD58A1" w:rsidP="00DD58A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62DFA">
        <w:rPr>
          <w:lang w:val="fr-FR"/>
        </w:rPr>
        <w:t>Adoption de l’ordre du jour et organisation des travaux</w:t>
      </w:r>
    </w:p>
    <w:p w14:paraId="3986F432" w14:textId="1A6E6EA2" w:rsidR="00DD58A1" w:rsidRPr="00C62DFA" w:rsidRDefault="00DD58A1" w:rsidP="00DD58A1">
      <w:pPr>
        <w:pStyle w:val="SingleTxt"/>
        <w:spacing w:after="0" w:line="120" w:lineRule="exact"/>
        <w:rPr>
          <w:b/>
          <w:sz w:val="10"/>
          <w:lang w:val="fr-FR"/>
        </w:rPr>
      </w:pPr>
    </w:p>
    <w:p w14:paraId="1996F859" w14:textId="4FC22A59" w:rsidR="00DD58A1" w:rsidRPr="00C62DFA" w:rsidRDefault="00DD58A1" w:rsidP="00DD58A1">
      <w:pPr>
        <w:pStyle w:val="SingleTxt"/>
        <w:spacing w:after="0" w:line="120" w:lineRule="exact"/>
        <w:rPr>
          <w:b/>
          <w:sz w:val="10"/>
          <w:lang w:val="fr-FR"/>
        </w:rPr>
      </w:pPr>
    </w:p>
    <w:p w14:paraId="66DF8520" w14:textId="5A204870" w:rsidR="00DD58A1" w:rsidRPr="00C62DFA" w:rsidRDefault="00DD58A1" w:rsidP="00DD58A1">
      <w:pPr>
        <w:pStyle w:val="SingleTxt"/>
        <w:spacing w:after="0" w:line="120" w:lineRule="exact"/>
        <w:rPr>
          <w:b/>
          <w:sz w:val="10"/>
          <w:lang w:val="fr-FR"/>
        </w:rPr>
      </w:pPr>
    </w:p>
    <w:p w14:paraId="09C5F828" w14:textId="77777777" w:rsidR="00DD58A1" w:rsidRPr="00C62DFA" w:rsidRDefault="00DD58A1" w:rsidP="00DD58A1">
      <w:pPr>
        <w:pStyle w:val="TitleHCH"/>
        <w:ind w:right="1260"/>
        <w:rPr>
          <w:lang w:val="fr-FR"/>
        </w:rPr>
      </w:pPr>
      <w:r w:rsidRPr="00C62DFA">
        <w:rPr>
          <w:lang w:val="fr-FR"/>
        </w:rPr>
        <w:tab/>
      </w:r>
      <w:r w:rsidRPr="00C62DFA">
        <w:rPr>
          <w:lang w:val="fr-FR"/>
        </w:rPr>
        <w:tab/>
        <w:t>Ordre du jour provisoire annoté</w:t>
      </w:r>
    </w:p>
    <w:p w14:paraId="0ACDCF2E" w14:textId="0943EC52" w:rsidR="00DD58A1" w:rsidRPr="00C62DFA" w:rsidRDefault="00DD58A1" w:rsidP="00DD58A1">
      <w:pPr>
        <w:pStyle w:val="SingleTxt"/>
        <w:spacing w:after="0" w:line="120" w:lineRule="exact"/>
        <w:rPr>
          <w:sz w:val="10"/>
          <w:lang w:val="fr-FR"/>
        </w:rPr>
      </w:pPr>
    </w:p>
    <w:p w14:paraId="0DCDCE8C" w14:textId="2B7992A6" w:rsidR="00DD58A1" w:rsidRPr="00C62DFA" w:rsidRDefault="00DD58A1" w:rsidP="00DD58A1">
      <w:pPr>
        <w:pStyle w:val="SingleTxt"/>
        <w:spacing w:after="0" w:line="120" w:lineRule="exact"/>
        <w:rPr>
          <w:sz w:val="10"/>
          <w:lang w:val="fr-FR"/>
        </w:rPr>
      </w:pPr>
    </w:p>
    <w:p w14:paraId="3A042CE7" w14:textId="77777777" w:rsidR="00DD58A1" w:rsidRPr="00C62DFA" w:rsidRDefault="00DD58A1" w:rsidP="00AB4D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r>
      <w:r w:rsidRPr="00C62DFA">
        <w:rPr>
          <w:lang w:val="fr-FR"/>
        </w:rPr>
        <w:tab/>
        <w:t>Ordre du jour provisoire</w:t>
      </w:r>
    </w:p>
    <w:p w14:paraId="4D3B5BA1" w14:textId="5EEEF18A" w:rsidR="00DD58A1" w:rsidRPr="00C62DFA" w:rsidRDefault="00DD58A1" w:rsidP="00AB4DFF">
      <w:pPr>
        <w:pStyle w:val="SingleTxt"/>
        <w:spacing w:after="0" w:line="120" w:lineRule="exact"/>
        <w:rPr>
          <w:sz w:val="10"/>
          <w:lang w:val="fr-FR"/>
        </w:rPr>
      </w:pPr>
    </w:p>
    <w:p w14:paraId="0FB51F2A" w14:textId="3279548B" w:rsidR="00AB4DFF" w:rsidRPr="00C62DFA" w:rsidRDefault="00AB4DFF" w:rsidP="00AB4DFF">
      <w:pPr>
        <w:pStyle w:val="SingleTxt"/>
        <w:spacing w:after="0" w:line="120" w:lineRule="exact"/>
        <w:rPr>
          <w:sz w:val="10"/>
          <w:lang w:val="fr-FR"/>
        </w:rPr>
      </w:pPr>
    </w:p>
    <w:p w14:paraId="51257966" w14:textId="77777777" w:rsidR="00DD58A1" w:rsidRPr="00C62DFA" w:rsidRDefault="00DD58A1" w:rsidP="00AB4DFF">
      <w:pPr>
        <w:pStyle w:val="SingleTxt"/>
        <w:jc w:val="left"/>
        <w:rPr>
          <w:lang w:val="fr-FR"/>
        </w:rPr>
      </w:pPr>
      <w:r w:rsidRPr="00C62DFA">
        <w:rPr>
          <w:lang w:val="fr-FR"/>
        </w:rPr>
        <w:t>1.</w:t>
      </w:r>
      <w:r w:rsidRPr="00C62DFA">
        <w:rPr>
          <w:lang w:val="fr-FR"/>
        </w:rPr>
        <w:tab/>
        <w:t>Ouverture de la session.</w:t>
      </w:r>
    </w:p>
    <w:p w14:paraId="25AF2D2D" w14:textId="77777777" w:rsidR="00DD58A1" w:rsidRPr="00C62DFA" w:rsidRDefault="00DD58A1" w:rsidP="00AB4DFF">
      <w:pPr>
        <w:pStyle w:val="SingleTxt"/>
        <w:jc w:val="left"/>
        <w:rPr>
          <w:lang w:val="fr-FR"/>
        </w:rPr>
      </w:pPr>
      <w:r w:rsidRPr="00C62DFA">
        <w:rPr>
          <w:lang w:val="fr-FR"/>
        </w:rPr>
        <w:t>2.</w:t>
      </w:r>
      <w:r w:rsidRPr="00C62DFA">
        <w:rPr>
          <w:lang w:val="fr-FR"/>
        </w:rPr>
        <w:tab/>
        <w:t>Adoption de l’ordre du jour et organisation des travaux.</w:t>
      </w:r>
    </w:p>
    <w:p w14:paraId="4C64D922" w14:textId="3AB9C157" w:rsidR="00DD58A1" w:rsidRPr="00C62DFA" w:rsidRDefault="00DD58A1" w:rsidP="00A24A9F">
      <w:pPr>
        <w:pStyle w:val="SingleTxt"/>
        <w:ind w:left="1742" w:hanging="475"/>
        <w:jc w:val="left"/>
        <w:rPr>
          <w:lang w:val="fr-FR"/>
        </w:rPr>
      </w:pPr>
      <w:r w:rsidRPr="00C62DFA">
        <w:rPr>
          <w:lang w:val="fr-FR"/>
        </w:rPr>
        <w:t>3.</w:t>
      </w:r>
      <w:r w:rsidRPr="00C62DFA">
        <w:rPr>
          <w:lang w:val="fr-FR"/>
        </w:rPr>
        <w:tab/>
        <w:t xml:space="preserve">Rapport de la Présidente sur les activités menées entre la soixante-neuvième et la soixante-dixième </w:t>
      </w:r>
      <w:r w:rsidR="0053685B">
        <w:rPr>
          <w:lang w:val="fr-FR"/>
        </w:rPr>
        <w:t>sessions</w:t>
      </w:r>
      <w:r w:rsidRPr="00C62DFA">
        <w:rPr>
          <w:lang w:val="fr-FR"/>
        </w:rPr>
        <w:t xml:space="preserve"> du Comité.</w:t>
      </w:r>
    </w:p>
    <w:p w14:paraId="53EAD99F" w14:textId="11A78ABC" w:rsidR="00DD58A1" w:rsidRPr="00C62DFA" w:rsidRDefault="00DD58A1" w:rsidP="00A24A9F">
      <w:pPr>
        <w:pStyle w:val="SingleTxt"/>
        <w:ind w:left="1742" w:hanging="475"/>
        <w:jc w:val="left"/>
        <w:rPr>
          <w:lang w:val="fr-FR"/>
        </w:rPr>
      </w:pPr>
      <w:r w:rsidRPr="00C62DFA">
        <w:rPr>
          <w:lang w:val="fr-FR"/>
        </w:rPr>
        <w:t>4.</w:t>
      </w:r>
      <w:r w:rsidRPr="00C62DFA">
        <w:rPr>
          <w:lang w:val="fr-FR"/>
        </w:rPr>
        <w:tab/>
        <w:t>Examen des rapports soumis par les États parties en application de l’</w:t>
      </w:r>
      <w:r w:rsidR="00AB4DFF" w:rsidRPr="00C62DFA">
        <w:rPr>
          <w:lang w:val="fr-FR"/>
        </w:rPr>
        <w:t>article </w:t>
      </w:r>
      <w:r w:rsidRPr="00C62DFA">
        <w:rPr>
          <w:lang w:val="fr-FR"/>
        </w:rPr>
        <w:t>18 de la Convention sur l’élimination de toutes les formes de discrimination à l’égard des femmes.</w:t>
      </w:r>
    </w:p>
    <w:p w14:paraId="73AB94A8" w14:textId="77777777" w:rsidR="00DD58A1" w:rsidRPr="00C62DFA" w:rsidRDefault="00DD58A1" w:rsidP="00A24A9F">
      <w:pPr>
        <w:pStyle w:val="SingleTxt"/>
        <w:ind w:left="1742" w:hanging="475"/>
        <w:jc w:val="left"/>
        <w:rPr>
          <w:lang w:val="fr-FR"/>
        </w:rPr>
      </w:pPr>
      <w:r w:rsidRPr="00C62DFA">
        <w:rPr>
          <w:lang w:val="fr-FR"/>
        </w:rPr>
        <w:t>5.</w:t>
      </w:r>
      <w:r w:rsidRPr="00C62DFA">
        <w:rPr>
          <w:lang w:val="fr-FR"/>
        </w:rPr>
        <w:tab/>
        <w:t>Suite donnée à l’examen des rapports soumis par les États parties en application de l’article 18 de la Convention.</w:t>
      </w:r>
    </w:p>
    <w:p w14:paraId="1872E074" w14:textId="77777777" w:rsidR="00DD58A1" w:rsidRPr="00C62DFA" w:rsidRDefault="00DD58A1" w:rsidP="00A24A9F">
      <w:pPr>
        <w:pStyle w:val="SingleTxt"/>
        <w:ind w:left="1742" w:hanging="475"/>
        <w:jc w:val="left"/>
        <w:rPr>
          <w:lang w:val="fr-FR"/>
        </w:rPr>
      </w:pPr>
      <w:r w:rsidRPr="00C62DFA">
        <w:rPr>
          <w:lang w:val="fr-FR"/>
        </w:rPr>
        <w:t>6.</w:t>
      </w:r>
      <w:r w:rsidRPr="00C62DFA">
        <w:rPr>
          <w:lang w:val="fr-FR"/>
        </w:rPr>
        <w:tab/>
        <w:t>Application des articles 21 et 22 de la Convention.</w:t>
      </w:r>
    </w:p>
    <w:p w14:paraId="0A197984" w14:textId="77777777" w:rsidR="00DD58A1" w:rsidRPr="00C62DFA" w:rsidRDefault="00DD58A1" w:rsidP="00A24A9F">
      <w:pPr>
        <w:pStyle w:val="SingleTxt"/>
        <w:ind w:left="1742" w:hanging="475"/>
        <w:jc w:val="left"/>
        <w:rPr>
          <w:lang w:val="fr-FR"/>
        </w:rPr>
      </w:pPr>
      <w:r w:rsidRPr="00C62DFA">
        <w:rPr>
          <w:lang w:val="fr-FR"/>
        </w:rPr>
        <w:t>7.</w:t>
      </w:r>
      <w:r w:rsidRPr="00C62DFA">
        <w:rPr>
          <w:lang w:val="fr-FR"/>
        </w:rPr>
        <w:tab/>
        <w:t>Moyens d’accélérer les travaux du Comité.</w:t>
      </w:r>
    </w:p>
    <w:p w14:paraId="0E577959" w14:textId="77777777" w:rsidR="00DD58A1" w:rsidRPr="00C62DFA" w:rsidRDefault="00DD58A1" w:rsidP="00A24A9F">
      <w:pPr>
        <w:pStyle w:val="SingleTxt"/>
        <w:ind w:left="1742" w:hanging="475"/>
        <w:jc w:val="left"/>
        <w:rPr>
          <w:lang w:val="fr-FR"/>
        </w:rPr>
      </w:pPr>
      <w:r w:rsidRPr="00C62DFA">
        <w:rPr>
          <w:lang w:val="fr-FR"/>
        </w:rPr>
        <w:t>8.</w:t>
      </w:r>
      <w:r w:rsidRPr="00C62DFA">
        <w:rPr>
          <w:lang w:val="fr-FR"/>
        </w:rPr>
        <w:tab/>
        <w:t>Activités menées par le Comité au titre du Protocole facultatif à la Convention.</w:t>
      </w:r>
    </w:p>
    <w:p w14:paraId="4CD70E3E" w14:textId="77777777" w:rsidR="00DD58A1" w:rsidRPr="00C62DFA" w:rsidRDefault="00DD58A1" w:rsidP="00AB4DFF">
      <w:pPr>
        <w:pStyle w:val="SingleTxt"/>
        <w:jc w:val="left"/>
        <w:rPr>
          <w:lang w:val="fr-FR"/>
        </w:rPr>
      </w:pPr>
      <w:r w:rsidRPr="00C62DFA">
        <w:rPr>
          <w:lang w:val="fr-FR"/>
        </w:rPr>
        <w:t>9.</w:t>
      </w:r>
      <w:r w:rsidRPr="00C62DFA">
        <w:rPr>
          <w:lang w:val="fr-FR"/>
        </w:rPr>
        <w:tab/>
        <w:t>Ordre du jour provisoire de la soixante et onzième session du Comité.</w:t>
      </w:r>
    </w:p>
    <w:p w14:paraId="714A423A" w14:textId="77777777" w:rsidR="00DD58A1" w:rsidRPr="00C62DFA" w:rsidRDefault="00DD58A1" w:rsidP="00AB4DFF">
      <w:pPr>
        <w:pStyle w:val="SingleTxt"/>
        <w:jc w:val="left"/>
        <w:rPr>
          <w:lang w:val="fr-FR"/>
        </w:rPr>
      </w:pPr>
      <w:r w:rsidRPr="00C62DFA">
        <w:rPr>
          <w:lang w:val="fr-FR"/>
        </w:rPr>
        <w:t>10.</w:t>
      </w:r>
      <w:r w:rsidRPr="00C62DFA">
        <w:rPr>
          <w:lang w:val="fr-FR"/>
        </w:rPr>
        <w:tab/>
        <w:t>Adoption du rapport du Comité sur les travaux de sa soixante-dixième session.</w:t>
      </w:r>
    </w:p>
    <w:p w14:paraId="48DBA5E1" w14:textId="7D83005B" w:rsidR="00DD58A1" w:rsidRPr="00C62DFA" w:rsidRDefault="00DD58A1" w:rsidP="00AB4DFF">
      <w:pPr>
        <w:spacing w:line="120" w:lineRule="exact"/>
        <w:ind w:firstLine="1260"/>
        <w:rPr>
          <w:sz w:val="10"/>
          <w:lang w:val="fr-FR"/>
        </w:rPr>
      </w:pPr>
    </w:p>
    <w:p w14:paraId="25B18B5C" w14:textId="277B04AA" w:rsidR="00AB4DFF" w:rsidRPr="00C62DFA" w:rsidRDefault="00AB4DFF" w:rsidP="00AB4DFF">
      <w:pPr>
        <w:spacing w:line="120" w:lineRule="exact"/>
        <w:ind w:firstLine="1260"/>
        <w:rPr>
          <w:sz w:val="10"/>
          <w:lang w:val="fr-FR"/>
        </w:rPr>
      </w:pPr>
    </w:p>
    <w:p w14:paraId="5BC3C14C" w14:textId="77777777" w:rsidR="00DD58A1" w:rsidRPr="00C62DFA" w:rsidRDefault="00DD58A1" w:rsidP="00AB4D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r>
      <w:r w:rsidRPr="00C62DFA">
        <w:rPr>
          <w:lang w:val="fr-FR"/>
        </w:rPr>
        <w:tab/>
        <w:t>Annotations</w:t>
      </w:r>
    </w:p>
    <w:p w14:paraId="7FDB6383" w14:textId="25CA148E" w:rsidR="00DD58A1" w:rsidRPr="00C62DFA" w:rsidRDefault="00DD58A1" w:rsidP="00AB4DFF">
      <w:pPr>
        <w:pStyle w:val="SingleTxt"/>
        <w:spacing w:after="0" w:line="120" w:lineRule="exact"/>
        <w:rPr>
          <w:sz w:val="10"/>
          <w:lang w:val="fr-FR"/>
        </w:rPr>
      </w:pPr>
    </w:p>
    <w:p w14:paraId="5483431B" w14:textId="0524175F" w:rsidR="00AB4DFF" w:rsidRPr="00C62DFA" w:rsidRDefault="00AB4DFF" w:rsidP="00AB4DFF">
      <w:pPr>
        <w:pStyle w:val="SingleTxt"/>
        <w:spacing w:after="0" w:line="120" w:lineRule="exact"/>
        <w:rPr>
          <w:sz w:val="10"/>
          <w:lang w:val="fr-FR"/>
        </w:rPr>
      </w:pPr>
    </w:p>
    <w:p w14:paraId="04EA8504" w14:textId="77777777" w:rsidR="00DD58A1" w:rsidRPr="00C62DFA" w:rsidRDefault="00DD58A1" w:rsidP="00AB4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t>1.</w:t>
      </w:r>
      <w:r w:rsidRPr="00C62DFA">
        <w:rPr>
          <w:lang w:val="fr-FR"/>
        </w:rPr>
        <w:tab/>
        <w:t>Ouverture de la séance</w:t>
      </w:r>
    </w:p>
    <w:p w14:paraId="33FDA041" w14:textId="347DEEF9" w:rsidR="00DD58A1" w:rsidRPr="00C62DFA" w:rsidRDefault="00DD58A1" w:rsidP="00AB4DFF">
      <w:pPr>
        <w:pStyle w:val="SingleTxt"/>
        <w:spacing w:after="0" w:line="120" w:lineRule="exact"/>
        <w:rPr>
          <w:sz w:val="10"/>
          <w:lang w:val="fr-FR"/>
        </w:rPr>
      </w:pPr>
    </w:p>
    <w:p w14:paraId="23F9A120" w14:textId="77777777" w:rsidR="00DD58A1" w:rsidRPr="00C62DFA" w:rsidRDefault="00DD58A1" w:rsidP="00DD58A1">
      <w:pPr>
        <w:pStyle w:val="SingleTxt"/>
        <w:rPr>
          <w:lang w:val="fr-FR"/>
        </w:rPr>
      </w:pPr>
      <w:r w:rsidRPr="00C62DFA">
        <w:rPr>
          <w:lang w:val="fr-FR"/>
        </w:rPr>
        <w:tab/>
        <w:t>La soixante-dixième session du Comité pour l’élimination de la discrimination à l’égard des femmes sera ouverte par la Présidente du Comité.</w:t>
      </w:r>
    </w:p>
    <w:p w14:paraId="36EAF789" w14:textId="77777777" w:rsidR="00DD58A1" w:rsidRPr="00C62DFA" w:rsidRDefault="00DD58A1" w:rsidP="00AB4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lastRenderedPageBreak/>
        <w:tab/>
        <w:t>2.</w:t>
      </w:r>
      <w:r w:rsidRPr="00C62DFA">
        <w:rPr>
          <w:lang w:val="fr-FR"/>
        </w:rPr>
        <w:tab/>
        <w:t>Adoption de l’ordre du jour et organisation des travaux</w:t>
      </w:r>
    </w:p>
    <w:p w14:paraId="6F271470" w14:textId="35DE3D26" w:rsidR="00DD58A1" w:rsidRPr="00C62DFA" w:rsidRDefault="00DD58A1" w:rsidP="00AB4DFF">
      <w:pPr>
        <w:pStyle w:val="SingleTxt"/>
        <w:keepNext/>
        <w:keepLines/>
        <w:spacing w:after="0" w:line="120" w:lineRule="exact"/>
        <w:rPr>
          <w:sz w:val="10"/>
          <w:lang w:val="fr-FR"/>
        </w:rPr>
      </w:pPr>
    </w:p>
    <w:p w14:paraId="49480C71" w14:textId="77777777" w:rsidR="00DD58A1" w:rsidRPr="00C62DFA" w:rsidRDefault="00DD58A1" w:rsidP="00DD58A1">
      <w:pPr>
        <w:pStyle w:val="SingleTxt"/>
        <w:rPr>
          <w:lang w:val="fr-FR"/>
        </w:rPr>
      </w:pPr>
      <w:r w:rsidRPr="00C62DFA">
        <w:rPr>
          <w:lang w:val="fr-FR"/>
        </w:rPr>
        <w:tab/>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14:paraId="6C121959" w14:textId="77777777" w:rsidR="00DD58A1" w:rsidRPr="00C62DFA" w:rsidRDefault="00DD58A1" w:rsidP="00DD58A1">
      <w:pPr>
        <w:pStyle w:val="SingleTxt"/>
        <w:rPr>
          <w:lang w:val="fr-FR"/>
        </w:rPr>
      </w:pPr>
      <w:r w:rsidRPr="00C62DFA">
        <w:rPr>
          <w:lang w:val="fr-FR"/>
        </w:rPr>
        <w:tab/>
        <w:t>À sa soixante-neuvième session, le Comité a approuvé l’ordre du jour provisoire de la soixante-dixième session.</w:t>
      </w:r>
    </w:p>
    <w:p w14:paraId="65B6E15E" w14:textId="77777777" w:rsidR="00AB4DFF" w:rsidRPr="00C62DFA" w:rsidRDefault="00AB4DFF" w:rsidP="00AB4DFF">
      <w:pPr>
        <w:pStyle w:val="SingleTxt"/>
        <w:spacing w:after="0" w:line="120" w:lineRule="exact"/>
        <w:rPr>
          <w:b/>
          <w:sz w:val="10"/>
          <w:lang w:val="fr-FR"/>
        </w:rPr>
      </w:pPr>
    </w:p>
    <w:p w14:paraId="391024BA" w14:textId="5C2873E2" w:rsidR="00DD58A1" w:rsidRPr="00C62DFA" w:rsidRDefault="00DD58A1" w:rsidP="00AB4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t>3.</w:t>
      </w:r>
      <w:r w:rsidRPr="00C62DFA">
        <w:rPr>
          <w:lang w:val="fr-FR"/>
        </w:rPr>
        <w:tab/>
        <w:t>Rapport de la Présidente sur les activités menées entre la soixante-neuvième</w:t>
      </w:r>
      <w:r w:rsidR="00AB4DFF" w:rsidRPr="00C62DFA">
        <w:rPr>
          <w:lang w:val="fr-FR"/>
        </w:rPr>
        <w:br/>
      </w:r>
      <w:r w:rsidRPr="00C62DFA">
        <w:rPr>
          <w:lang w:val="fr-FR"/>
        </w:rPr>
        <w:t>et la soixante-dixième sessions du Comité</w:t>
      </w:r>
    </w:p>
    <w:p w14:paraId="3B5DD4D4" w14:textId="01643713" w:rsidR="00DD58A1" w:rsidRPr="00C62DFA" w:rsidRDefault="00DD58A1" w:rsidP="00AB4DFF">
      <w:pPr>
        <w:pStyle w:val="SingleTxt"/>
        <w:spacing w:after="0" w:line="120" w:lineRule="exact"/>
        <w:rPr>
          <w:sz w:val="10"/>
          <w:lang w:val="fr-FR"/>
        </w:rPr>
      </w:pPr>
    </w:p>
    <w:p w14:paraId="19BA9A04" w14:textId="77777777" w:rsidR="00DD58A1" w:rsidRPr="00C62DFA" w:rsidRDefault="00DD58A1" w:rsidP="00DD58A1">
      <w:pPr>
        <w:pStyle w:val="SingleTxt"/>
        <w:rPr>
          <w:lang w:val="fr-FR"/>
        </w:rPr>
      </w:pPr>
      <w:r w:rsidRPr="00C62DFA">
        <w:rPr>
          <w:lang w:val="fr-FR"/>
        </w:rPr>
        <w:tab/>
        <w:t>La Présidente rendra compte au Comité des activités menées et des faits nouveaux survenus depuis la session précédente qui ont eu une incidence sur les travaux du Comité.</w:t>
      </w:r>
    </w:p>
    <w:p w14:paraId="26B34C7E" w14:textId="4FD7C9FD" w:rsidR="00DD58A1" w:rsidRPr="00C62DFA" w:rsidRDefault="00DD58A1" w:rsidP="00AB4DFF">
      <w:pPr>
        <w:pStyle w:val="SingleTxt"/>
        <w:spacing w:after="0" w:line="120" w:lineRule="exact"/>
        <w:rPr>
          <w:sz w:val="10"/>
          <w:lang w:val="fr-FR"/>
        </w:rPr>
      </w:pPr>
    </w:p>
    <w:p w14:paraId="478A4ABA" w14:textId="77777777" w:rsidR="00DD58A1" w:rsidRPr="00C62DFA" w:rsidRDefault="00DD58A1" w:rsidP="00AB4D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r>
      <w:r w:rsidRPr="00C62DFA">
        <w:rPr>
          <w:lang w:val="fr-FR"/>
        </w:rPr>
        <w:tab/>
        <w:t>Documentation</w:t>
      </w:r>
    </w:p>
    <w:p w14:paraId="1F6189F4" w14:textId="48A77F24" w:rsidR="00DD58A1" w:rsidRPr="00C62DFA" w:rsidRDefault="00DD58A1" w:rsidP="00AB4DFF">
      <w:pPr>
        <w:pStyle w:val="SingleTxt"/>
        <w:spacing w:after="0" w:line="120" w:lineRule="exact"/>
        <w:rPr>
          <w:sz w:val="10"/>
          <w:lang w:val="fr-FR"/>
        </w:rPr>
      </w:pPr>
    </w:p>
    <w:p w14:paraId="7BF61AF2" w14:textId="3E19AEEE" w:rsidR="00DD58A1" w:rsidRPr="00C62DFA" w:rsidRDefault="00DD58A1" w:rsidP="00DD58A1">
      <w:pPr>
        <w:pStyle w:val="SingleTxt"/>
        <w:rPr>
          <w:lang w:val="fr-FR"/>
        </w:rPr>
      </w:pPr>
      <w:r w:rsidRPr="00C62DFA">
        <w:rPr>
          <w:lang w:val="fr-FR"/>
        </w:rPr>
        <w:t>Ordre du jour provisoire annoté (</w:t>
      </w:r>
      <w:hyperlink r:id="rId15" w:history="1">
        <w:r w:rsidRPr="00C62DFA">
          <w:rPr>
            <w:rStyle w:val="Hyperlink"/>
            <w:lang w:val="fr-FR"/>
          </w:rPr>
          <w:t>CEDAW/C/70/1</w:t>
        </w:r>
      </w:hyperlink>
      <w:r w:rsidRPr="00C62DFA">
        <w:rPr>
          <w:lang w:val="fr-FR"/>
        </w:rPr>
        <w:t>)</w:t>
      </w:r>
    </w:p>
    <w:p w14:paraId="2B74B6CB" w14:textId="2D462EF3" w:rsidR="00DD58A1" w:rsidRPr="00C62DFA" w:rsidRDefault="00DD58A1" w:rsidP="00AB4DFF">
      <w:pPr>
        <w:pStyle w:val="SingleTxt"/>
        <w:spacing w:after="0" w:line="120" w:lineRule="exact"/>
        <w:rPr>
          <w:sz w:val="10"/>
          <w:lang w:val="fr-FR"/>
        </w:rPr>
      </w:pPr>
    </w:p>
    <w:p w14:paraId="37954D68" w14:textId="77777777" w:rsidR="00DD58A1" w:rsidRPr="00C62DFA" w:rsidRDefault="00DD58A1" w:rsidP="00AB4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t>4.</w:t>
      </w:r>
      <w:r w:rsidRPr="00C62DFA">
        <w:rPr>
          <w:lang w:val="fr-FR"/>
        </w:rPr>
        <w:tab/>
        <w:t xml:space="preserve">Examen des rapports soumis par les États parties en application de l’article 18 </w:t>
      </w:r>
      <w:r w:rsidRPr="00C62DFA">
        <w:rPr>
          <w:lang w:val="fr-FR"/>
        </w:rPr>
        <w:br/>
        <w:t xml:space="preserve">de la Convention sur l’élimination de toutes les formes de discrimination </w:t>
      </w:r>
      <w:r w:rsidRPr="00C62DFA">
        <w:rPr>
          <w:lang w:val="fr-FR"/>
        </w:rPr>
        <w:br/>
        <w:t>à l’égard des femmes</w:t>
      </w:r>
    </w:p>
    <w:p w14:paraId="75C76971" w14:textId="4E6B2D0D" w:rsidR="00DD58A1" w:rsidRPr="00C62DFA" w:rsidRDefault="00DD58A1" w:rsidP="00AB4DFF">
      <w:pPr>
        <w:pStyle w:val="SingleTxt"/>
        <w:spacing w:after="0" w:line="120" w:lineRule="exact"/>
        <w:rPr>
          <w:sz w:val="10"/>
          <w:lang w:val="fr-FR"/>
        </w:rPr>
      </w:pPr>
    </w:p>
    <w:p w14:paraId="7E250C02" w14:textId="77777777" w:rsidR="00DD58A1" w:rsidRPr="00C62DFA" w:rsidRDefault="00DD58A1" w:rsidP="00DD58A1">
      <w:pPr>
        <w:pStyle w:val="SingleTxt"/>
        <w:rPr>
          <w:lang w:val="fr-FR"/>
        </w:rPr>
      </w:pPr>
      <w:r w:rsidRPr="00C62DFA">
        <w:rPr>
          <w:lang w:val="fr-FR"/>
        </w:rPr>
        <w:tab/>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6E4AA195" w14:textId="77777777" w:rsidR="00DD58A1" w:rsidRPr="00C62DFA" w:rsidRDefault="00DD58A1" w:rsidP="00DD58A1">
      <w:pPr>
        <w:pStyle w:val="SingleTxt"/>
        <w:rPr>
          <w:lang w:val="fr-FR"/>
        </w:rPr>
      </w:pPr>
      <w:r w:rsidRPr="00C62DFA">
        <w:rPr>
          <w:lang w:val="fr-FR"/>
        </w:rPr>
        <w:tab/>
        <w:t>À sa soixante-dixième session, le Comité doit examiner les rapports des États parties suivants : Australie ; Chypre ; État de Palestine ; Îles Cook ; Liechtenstein (au titre de la procédure simplifiée de présentation des rapports); Mexique ; Nouvelle-Zélande ; Turkménistan.</w:t>
      </w:r>
    </w:p>
    <w:p w14:paraId="4025D0E2" w14:textId="77777777" w:rsidR="00DD58A1" w:rsidRPr="00C62DFA" w:rsidRDefault="00DD58A1" w:rsidP="00DD58A1">
      <w:pPr>
        <w:pStyle w:val="SingleTxt"/>
        <w:rPr>
          <w:lang w:val="fr-FR"/>
        </w:rPr>
      </w:pPr>
      <w:r w:rsidRPr="00C62DFA">
        <w:rPr>
          <w:lang w:val="fr-FR"/>
        </w:rPr>
        <w:tab/>
        <w:t>En vertu de l’article 51 du Règlement intérieur, les États parties sont représentés aux réunions du Comité au cours desquelles leurs rapports sont examinés ; leurs représentants participent aux débats et répondent aux questions ayant trait aux rapports.</w:t>
      </w:r>
    </w:p>
    <w:p w14:paraId="05CB3C68" w14:textId="77777777" w:rsidR="00DD58A1" w:rsidRPr="00C62DFA" w:rsidRDefault="00DD58A1" w:rsidP="00DD58A1">
      <w:pPr>
        <w:pStyle w:val="SingleTxt"/>
        <w:rPr>
          <w:lang w:val="fr-FR"/>
        </w:rPr>
      </w:pPr>
      <w:r w:rsidRPr="00C62DFA">
        <w:rPr>
          <w:lang w:val="fr-FR"/>
        </w:rPr>
        <w:tab/>
        <w:t>En vertu de l’article 49 du Règlement intérieur, à chaque session, le Secrétaire général fait savoir au Comité quels États parties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60D90E23" w14:textId="7A58C8FC" w:rsidR="00DD58A1" w:rsidRPr="00C62DFA" w:rsidRDefault="00DD58A1" w:rsidP="00DD58A1">
      <w:pPr>
        <w:pStyle w:val="SingleTxt"/>
        <w:rPr>
          <w:lang w:val="fr-FR"/>
        </w:rPr>
      </w:pPr>
      <w:r w:rsidRPr="00C62DFA">
        <w:rPr>
          <w:lang w:val="fr-FR"/>
        </w:rPr>
        <w:tab/>
        <w:t>Un groupe de travail d’avant-session établit des listes de points et de questions concernant les rapports, qui sont transmises aux États parties avant les réunions au cours desquelles leurs rapports doivent être examinés. Le groupe de travail d’avant-session de la soixante-dixième session s’est réuni à Genève du 20 au 24 novembre 2017. Le Comité sera saisi de son rapport (</w:t>
      </w:r>
      <w:hyperlink r:id="rId16" w:history="1">
        <w:r w:rsidRPr="00C62DFA">
          <w:rPr>
            <w:rStyle w:val="Hyperlink"/>
            <w:lang w:val="fr-FR"/>
          </w:rPr>
          <w:t>CEDAW/C/PSWG/70/1</w:t>
        </w:r>
      </w:hyperlink>
      <w:r w:rsidRPr="00C62DFA">
        <w:rPr>
          <w:lang w:val="fr-FR"/>
        </w:rPr>
        <w:t>) et des réponses des États parties aux listes de points et de questions.</w:t>
      </w:r>
    </w:p>
    <w:p w14:paraId="020042F0" w14:textId="320A71D0" w:rsidR="00DD58A1" w:rsidRPr="00C62DFA" w:rsidRDefault="00DD58A1" w:rsidP="00AB4DFF">
      <w:pPr>
        <w:pStyle w:val="SingleTxt"/>
        <w:spacing w:after="0" w:line="120" w:lineRule="exact"/>
        <w:rPr>
          <w:sz w:val="10"/>
          <w:lang w:val="fr-FR"/>
        </w:rPr>
      </w:pPr>
    </w:p>
    <w:p w14:paraId="5F14AC14" w14:textId="77777777" w:rsidR="00DD58A1" w:rsidRPr="00C62DFA" w:rsidRDefault="00DD58A1" w:rsidP="00AB4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lastRenderedPageBreak/>
        <w:tab/>
      </w:r>
      <w:r w:rsidRPr="00C62DFA">
        <w:rPr>
          <w:lang w:val="fr-FR"/>
        </w:rPr>
        <w:tab/>
        <w:t>Documentation</w:t>
      </w:r>
      <w:bookmarkStart w:id="1" w:name="_GoBack"/>
      <w:bookmarkEnd w:id="1"/>
    </w:p>
    <w:p w14:paraId="371A72A1" w14:textId="4C7FCB0C" w:rsidR="00DD58A1" w:rsidRPr="00C62DFA" w:rsidRDefault="00DD58A1" w:rsidP="00AB4DFF">
      <w:pPr>
        <w:pStyle w:val="SingleTxt"/>
        <w:keepNext/>
        <w:keepLines/>
        <w:spacing w:after="0" w:line="120" w:lineRule="exact"/>
        <w:rPr>
          <w:sz w:val="10"/>
          <w:lang w:val="fr-FR"/>
        </w:rPr>
      </w:pPr>
    </w:p>
    <w:p w14:paraId="0CAC6288" w14:textId="77777777" w:rsidR="00DD58A1" w:rsidRPr="00C62DFA" w:rsidRDefault="00DD58A1" w:rsidP="00AB4D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b/>
          <w:lang w:val="fr-FR"/>
        </w:rPr>
        <w:tab/>
      </w:r>
      <w:r w:rsidRPr="00C62DFA">
        <w:rPr>
          <w:b/>
          <w:lang w:val="fr-FR"/>
        </w:rPr>
        <w:tab/>
      </w:r>
      <w:r w:rsidRPr="00C62DFA">
        <w:rPr>
          <w:lang w:val="fr-FR"/>
        </w:rPr>
        <w:t>Rapports</w:t>
      </w:r>
    </w:p>
    <w:p w14:paraId="4C4CBF4A" w14:textId="44091F9A" w:rsidR="00DD58A1" w:rsidRPr="00C62DFA" w:rsidRDefault="00DD58A1" w:rsidP="00AB4DFF">
      <w:pPr>
        <w:pStyle w:val="SingleTxt"/>
        <w:spacing w:after="0" w:line="120" w:lineRule="exact"/>
        <w:rPr>
          <w:sz w:val="10"/>
          <w:lang w:val="fr-FR"/>
        </w:rPr>
      </w:pPr>
    </w:p>
    <w:p w14:paraId="37536974" w14:textId="3B23544C" w:rsidR="00DD58A1" w:rsidRPr="00C62DFA" w:rsidRDefault="00DD58A1" w:rsidP="00DD58A1">
      <w:pPr>
        <w:pStyle w:val="SingleTxt"/>
        <w:rPr>
          <w:lang w:val="fr-FR"/>
        </w:rPr>
      </w:pPr>
      <w:r w:rsidRPr="00C62DFA">
        <w:rPr>
          <w:lang w:val="fr-FR"/>
        </w:rPr>
        <w:t>Huitième rapport périodique de l’Australie (</w:t>
      </w:r>
      <w:hyperlink r:id="rId17" w:history="1">
        <w:r w:rsidRPr="00C62DFA">
          <w:rPr>
            <w:rStyle w:val="Hyperlink"/>
            <w:lang w:val="fr-FR"/>
          </w:rPr>
          <w:t>CEDAW/C/AUS/8</w:t>
        </w:r>
      </w:hyperlink>
      <w:r w:rsidRPr="00C62DFA">
        <w:rPr>
          <w:lang w:val="fr-FR"/>
        </w:rPr>
        <w:t>)</w:t>
      </w:r>
    </w:p>
    <w:p w14:paraId="16014C61" w14:textId="5565BF0D" w:rsidR="00DD58A1" w:rsidRPr="00C62DFA" w:rsidRDefault="00DD58A1" w:rsidP="00DD58A1">
      <w:pPr>
        <w:pStyle w:val="SingleTxt"/>
        <w:rPr>
          <w:lang w:val="fr-FR"/>
        </w:rPr>
      </w:pPr>
      <w:r w:rsidRPr="00C62DFA">
        <w:rPr>
          <w:lang w:val="fr-FR"/>
        </w:rPr>
        <w:t>Huitième rapport périodique de Chypre (</w:t>
      </w:r>
      <w:hyperlink r:id="rId18" w:history="1">
        <w:r w:rsidRPr="00C62DFA">
          <w:rPr>
            <w:rStyle w:val="Hyperlink"/>
            <w:lang w:val="fr-FR"/>
          </w:rPr>
          <w:t>CEDAW/C/CYP/8</w:t>
        </w:r>
      </w:hyperlink>
      <w:r w:rsidRPr="00C62DFA">
        <w:rPr>
          <w:lang w:val="fr-FR"/>
        </w:rPr>
        <w:t>)</w:t>
      </w:r>
    </w:p>
    <w:p w14:paraId="4ADBD26B" w14:textId="3B5F2E97" w:rsidR="00DD58A1" w:rsidRPr="00C62DFA" w:rsidRDefault="00DD58A1" w:rsidP="00DD58A1">
      <w:pPr>
        <w:pStyle w:val="SingleTxt"/>
        <w:rPr>
          <w:lang w:val="fr-FR"/>
        </w:rPr>
      </w:pPr>
      <w:r w:rsidRPr="00C62DFA">
        <w:rPr>
          <w:lang w:val="fr-FR"/>
        </w:rPr>
        <w:t>Rapport initial de l’État de Palestine (</w:t>
      </w:r>
      <w:hyperlink r:id="rId19" w:history="1">
        <w:r w:rsidRPr="00C62DFA">
          <w:rPr>
            <w:rStyle w:val="Hyperlink"/>
            <w:lang w:val="fr-FR"/>
          </w:rPr>
          <w:t>CEDAW/C/PSE/1</w:t>
        </w:r>
      </w:hyperlink>
      <w:r w:rsidRPr="00C62DFA">
        <w:rPr>
          <w:lang w:val="fr-FR"/>
        </w:rPr>
        <w:t>)</w:t>
      </w:r>
    </w:p>
    <w:p w14:paraId="6E244103" w14:textId="4D8B1AAA" w:rsidR="00DD58A1" w:rsidRPr="00C62DFA" w:rsidRDefault="00DD58A1" w:rsidP="00DD58A1">
      <w:pPr>
        <w:pStyle w:val="SingleTxt"/>
        <w:rPr>
          <w:lang w:val="fr-FR"/>
        </w:rPr>
      </w:pPr>
      <w:r w:rsidRPr="00C62DFA">
        <w:rPr>
          <w:lang w:val="fr-FR"/>
        </w:rPr>
        <w:t>Rapport unique valant deuxième et troisième rapports périodiques des Îles Cook (</w:t>
      </w:r>
      <w:hyperlink r:id="rId20" w:history="1">
        <w:r w:rsidRPr="00C62DFA">
          <w:rPr>
            <w:rStyle w:val="Hyperlink"/>
            <w:lang w:val="fr-FR"/>
          </w:rPr>
          <w:t>CEDAW/C/COK/2-3</w:t>
        </w:r>
      </w:hyperlink>
      <w:r w:rsidRPr="00C62DFA">
        <w:rPr>
          <w:lang w:val="fr-FR"/>
        </w:rPr>
        <w:t>)</w:t>
      </w:r>
    </w:p>
    <w:p w14:paraId="7FDF10BD" w14:textId="6C8AD45B" w:rsidR="00DD58A1" w:rsidRPr="00C62DFA" w:rsidRDefault="00DD58A1" w:rsidP="00DD58A1">
      <w:pPr>
        <w:pStyle w:val="SingleTxt"/>
        <w:rPr>
          <w:lang w:val="fr-FR"/>
        </w:rPr>
      </w:pPr>
      <w:r w:rsidRPr="00C62DFA">
        <w:rPr>
          <w:lang w:val="fr-FR"/>
        </w:rPr>
        <w:t>Cinquième rapport périodique du Liechtenstein (</w:t>
      </w:r>
      <w:hyperlink r:id="rId21" w:history="1">
        <w:r w:rsidRPr="00C62DFA">
          <w:rPr>
            <w:rStyle w:val="Hyperlink"/>
            <w:lang w:val="fr-FR"/>
          </w:rPr>
          <w:t>CEDAW/C/LIE/5 ;</w:t>
        </w:r>
      </w:hyperlink>
      <w:r w:rsidRPr="00C62DFA">
        <w:rPr>
          <w:lang w:val="fr-FR"/>
        </w:rPr>
        <w:t xml:space="preserve"> présenté au titre de la procédure simplifiée de présentation des rapports)</w:t>
      </w:r>
    </w:p>
    <w:p w14:paraId="2B921E38" w14:textId="250196C7" w:rsidR="00DD58A1" w:rsidRPr="00C62DFA" w:rsidRDefault="00DD58A1" w:rsidP="00DD58A1">
      <w:pPr>
        <w:pStyle w:val="SingleTxt"/>
        <w:rPr>
          <w:lang w:val="fr-FR"/>
        </w:rPr>
      </w:pPr>
      <w:r w:rsidRPr="00C62DFA">
        <w:rPr>
          <w:lang w:val="fr-FR"/>
        </w:rPr>
        <w:t>Neuvième rapport périodique du Mexique (</w:t>
      </w:r>
      <w:hyperlink r:id="rId22" w:history="1">
        <w:r w:rsidRPr="00C62DFA">
          <w:rPr>
            <w:rStyle w:val="Hyperlink"/>
            <w:lang w:val="fr-FR"/>
          </w:rPr>
          <w:t>CEDAW/C/MEX/9</w:t>
        </w:r>
      </w:hyperlink>
      <w:r w:rsidRPr="00C62DFA">
        <w:rPr>
          <w:lang w:val="fr-FR"/>
        </w:rPr>
        <w:t>)</w:t>
      </w:r>
    </w:p>
    <w:p w14:paraId="1F9E120D" w14:textId="4902238A" w:rsidR="00DD58A1" w:rsidRPr="00C62DFA" w:rsidRDefault="00DD58A1" w:rsidP="00DD58A1">
      <w:pPr>
        <w:pStyle w:val="SingleTxt"/>
        <w:rPr>
          <w:lang w:val="fr-FR"/>
        </w:rPr>
      </w:pPr>
      <w:r w:rsidRPr="00C62DFA">
        <w:rPr>
          <w:lang w:val="fr-FR"/>
        </w:rPr>
        <w:t>Huitième rapport périodique de la Nouvelle-Zélande (</w:t>
      </w:r>
      <w:hyperlink r:id="rId23" w:history="1">
        <w:r w:rsidRPr="00C62DFA">
          <w:rPr>
            <w:rStyle w:val="Hyperlink"/>
            <w:lang w:val="fr-FR"/>
          </w:rPr>
          <w:t>CEDAW/C/NZL/8</w:t>
        </w:r>
      </w:hyperlink>
      <w:r w:rsidRPr="00C62DFA">
        <w:rPr>
          <w:lang w:val="fr-FR"/>
        </w:rPr>
        <w:t>)</w:t>
      </w:r>
    </w:p>
    <w:p w14:paraId="0E27500C" w14:textId="721A3767" w:rsidR="00DD58A1" w:rsidRPr="00C62DFA" w:rsidRDefault="00DD58A1" w:rsidP="00DD58A1">
      <w:pPr>
        <w:pStyle w:val="SingleTxt"/>
        <w:rPr>
          <w:lang w:val="fr-FR"/>
        </w:rPr>
      </w:pPr>
      <w:r w:rsidRPr="00C62DFA">
        <w:rPr>
          <w:lang w:val="fr-FR"/>
        </w:rPr>
        <w:t>Cinquième rapport périodique du Turkménistan (</w:t>
      </w:r>
      <w:hyperlink r:id="rId24" w:history="1">
        <w:r w:rsidRPr="00C62DFA">
          <w:rPr>
            <w:rStyle w:val="Hyperlink"/>
            <w:lang w:val="fr-FR"/>
          </w:rPr>
          <w:t>CEDAW/C/TKM/5</w:t>
        </w:r>
      </w:hyperlink>
      <w:r w:rsidRPr="00C62DFA">
        <w:rPr>
          <w:lang w:val="fr-FR"/>
        </w:rPr>
        <w:t>)</w:t>
      </w:r>
    </w:p>
    <w:p w14:paraId="15368F3D" w14:textId="292D4526" w:rsidR="00DD58A1" w:rsidRPr="00C62DFA" w:rsidRDefault="00DD58A1" w:rsidP="00AB4DFF">
      <w:pPr>
        <w:pStyle w:val="SingleTxt"/>
        <w:spacing w:after="0" w:line="120" w:lineRule="exact"/>
        <w:rPr>
          <w:sz w:val="10"/>
          <w:lang w:val="fr-FR"/>
        </w:rPr>
      </w:pPr>
    </w:p>
    <w:p w14:paraId="6921D772" w14:textId="77777777" w:rsidR="00DD58A1" w:rsidRPr="00C62DFA" w:rsidRDefault="00DD58A1" w:rsidP="00AB4D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r>
      <w:r w:rsidRPr="00C62DFA">
        <w:rPr>
          <w:lang w:val="fr-FR"/>
        </w:rPr>
        <w:tab/>
        <w:t>Listes de points et de questions</w:t>
      </w:r>
    </w:p>
    <w:p w14:paraId="52532AC5" w14:textId="443CD39B" w:rsidR="00DD58A1" w:rsidRPr="00C62DFA" w:rsidRDefault="00DD58A1" w:rsidP="00AB4DFF">
      <w:pPr>
        <w:pStyle w:val="SingleTxt"/>
        <w:spacing w:after="0" w:line="120" w:lineRule="exact"/>
        <w:rPr>
          <w:sz w:val="10"/>
          <w:lang w:val="fr-FR"/>
        </w:rPr>
      </w:pPr>
    </w:p>
    <w:p w14:paraId="5B9CB928" w14:textId="72CC5530" w:rsidR="00DD58A1" w:rsidRPr="00C62DFA" w:rsidRDefault="00DD58A1" w:rsidP="00DD58A1">
      <w:pPr>
        <w:pStyle w:val="SingleTxt"/>
        <w:rPr>
          <w:lang w:val="fr-FR"/>
        </w:rPr>
      </w:pPr>
      <w:r w:rsidRPr="00C62DFA">
        <w:rPr>
          <w:lang w:val="fr-FR"/>
        </w:rPr>
        <w:t>Australie (</w:t>
      </w:r>
      <w:hyperlink r:id="rId25" w:history="1">
        <w:r w:rsidRPr="00C62DFA">
          <w:rPr>
            <w:rStyle w:val="Hyperlink"/>
            <w:lang w:val="fr-FR"/>
          </w:rPr>
          <w:t>CEDAW/C/AUS/Q/8</w:t>
        </w:r>
      </w:hyperlink>
      <w:r w:rsidRPr="00C62DFA">
        <w:rPr>
          <w:lang w:val="fr-FR"/>
        </w:rPr>
        <w:t>)</w:t>
      </w:r>
    </w:p>
    <w:p w14:paraId="26781B75" w14:textId="23ED0C7F" w:rsidR="00DD58A1" w:rsidRPr="00C62DFA" w:rsidRDefault="00DD58A1" w:rsidP="00DD58A1">
      <w:pPr>
        <w:pStyle w:val="SingleTxt"/>
        <w:rPr>
          <w:lang w:val="fr-FR"/>
        </w:rPr>
      </w:pPr>
      <w:r w:rsidRPr="00C62DFA">
        <w:rPr>
          <w:lang w:val="fr-FR"/>
        </w:rPr>
        <w:t>Chypre (</w:t>
      </w:r>
      <w:hyperlink r:id="rId26" w:history="1">
        <w:r w:rsidRPr="00C62DFA">
          <w:rPr>
            <w:rStyle w:val="Hyperlink"/>
            <w:lang w:val="fr-FR"/>
          </w:rPr>
          <w:t>CEDAW/C/CYP/Q/8</w:t>
        </w:r>
      </w:hyperlink>
      <w:r w:rsidRPr="00C62DFA">
        <w:rPr>
          <w:lang w:val="fr-FR"/>
        </w:rPr>
        <w:t>)</w:t>
      </w:r>
    </w:p>
    <w:p w14:paraId="68C22EDE" w14:textId="580539EE" w:rsidR="00DD58A1" w:rsidRPr="00C62DFA" w:rsidRDefault="00DD58A1" w:rsidP="00DD58A1">
      <w:pPr>
        <w:pStyle w:val="SingleTxt"/>
        <w:rPr>
          <w:lang w:val="fr-FR"/>
        </w:rPr>
      </w:pPr>
      <w:r w:rsidRPr="00C62DFA">
        <w:rPr>
          <w:lang w:val="fr-FR"/>
        </w:rPr>
        <w:t>État de Palestine (</w:t>
      </w:r>
      <w:hyperlink r:id="rId27" w:history="1">
        <w:r w:rsidRPr="00C62DFA">
          <w:rPr>
            <w:rStyle w:val="Hyperlink"/>
            <w:lang w:val="fr-FR"/>
          </w:rPr>
          <w:t>CEDAW/C/PSE/Q/1</w:t>
        </w:r>
      </w:hyperlink>
      <w:r w:rsidRPr="00C62DFA">
        <w:rPr>
          <w:lang w:val="fr-FR"/>
        </w:rPr>
        <w:t>)</w:t>
      </w:r>
    </w:p>
    <w:p w14:paraId="7C8CF2E8" w14:textId="5B8C3879" w:rsidR="00DD58A1" w:rsidRPr="00C62DFA" w:rsidRDefault="00DD58A1" w:rsidP="00DD58A1">
      <w:pPr>
        <w:pStyle w:val="SingleTxt"/>
        <w:rPr>
          <w:lang w:val="fr-FR"/>
        </w:rPr>
      </w:pPr>
      <w:r w:rsidRPr="00C62DFA">
        <w:rPr>
          <w:lang w:val="fr-FR"/>
        </w:rPr>
        <w:t>Îles Cook (</w:t>
      </w:r>
      <w:hyperlink r:id="rId28" w:history="1">
        <w:r w:rsidRPr="00C62DFA">
          <w:rPr>
            <w:rStyle w:val="Hyperlink"/>
            <w:lang w:val="fr-FR"/>
          </w:rPr>
          <w:t>CEDAW/C/COK/Q/2-3</w:t>
        </w:r>
      </w:hyperlink>
      <w:r w:rsidRPr="00C62DFA">
        <w:rPr>
          <w:lang w:val="fr-FR"/>
        </w:rPr>
        <w:t>)</w:t>
      </w:r>
    </w:p>
    <w:p w14:paraId="464F9C93" w14:textId="2D5F7212" w:rsidR="00DD58A1" w:rsidRPr="00C62DFA" w:rsidRDefault="00DD58A1" w:rsidP="00DD58A1">
      <w:pPr>
        <w:pStyle w:val="SingleTxt"/>
        <w:rPr>
          <w:lang w:val="fr-FR"/>
        </w:rPr>
      </w:pPr>
      <w:r w:rsidRPr="00C62DFA">
        <w:rPr>
          <w:lang w:val="fr-FR"/>
        </w:rPr>
        <w:t>Liechtenstein (</w:t>
      </w:r>
      <w:hyperlink r:id="rId29" w:history="1">
        <w:r w:rsidRPr="00C62DFA">
          <w:rPr>
            <w:rStyle w:val="Hyperlink"/>
            <w:lang w:val="fr-FR"/>
          </w:rPr>
          <w:t>CEDAW/C/LIE/QRP/5</w:t>
        </w:r>
      </w:hyperlink>
      <w:r w:rsidRPr="00C62DFA">
        <w:rPr>
          <w:lang w:val="fr-FR"/>
        </w:rPr>
        <w:t>)</w:t>
      </w:r>
    </w:p>
    <w:p w14:paraId="77369BA0" w14:textId="41A7D689" w:rsidR="00DD58A1" w:rsidRPr="00C62DFA" w:rsidRDefault="00DD58A1" w:rsidP="00DD58A1">
      <w:pPr>
        <w:pStyle w:val="SingleTxt"/>
        <w:rPr>
          <w:lang w:val="fr-FR"/>
        </w:rPr>
      </w:pPr>
      <w:r w:rsidRPr="00C62DFA">
        <w:rPr>
          <w:lang w:val="fr-FR"/>
        </w:rPr>
        <w:t>Mexique (</w:t>
      </w:r>
      <w:hyperlink r:id="rId30" w:history="1">
        <w:r w:rsidRPr="00C62DFA">
          <w:rPr>
            <w:rStyle w:val="Hyperlink"/>
            <w:lang w:val="fr-FR"/>
          </w:rPr>
          <w:t>CEDAW/C/MEX/Q/9</w:t>
        </w:r>
      </w:hyperlink>
      <w:r w:rsidRPr="00C62DFA">
        <w:rPr>
          <w:lang w:val="fr-FR"/>
        </w:rPr>
        <w:t>)</w:t>
      </w:r>
    </w:p>
    <w:p w14:paraId="04FD3C5E" w14:textId="5EDE0FDF" w:rsidR="00DD58A1" w:rsidRPr="00C62DFA" w:rsidRDefault="00DD58A1" w:rsidP="00DD58A1">
      <w:pPr>
        <w:pStyle w:val="SingleTxt"/>
        <w:rPr>
          <w:lang w:val="fr-FR"/>
        </w:rPr>
      </w:pPr>
      <w:r w:rsidRPr="00C62DFA">
        <w:rPr>
          <w:lang w:val="fr-FR"/>
        </w:rPr>
        <w:t>Nouvelle-Zélande (</w:t>
      </w:r>
      <w:hyperlink r:id="rId31" w:history="1">
        <w:r w:rsidRPr="00C62DFA">
          <w:rPr>
            <w:rStyle w:val="Hyperlink"/>
            <w:lang w:val="fr-FR"/>
          </w:rPr>
          <w:t>CEDAW/C/NZL/Q/8</w:t>
        </w:r>
      </w:hyperlink>
      <w:r w:rsidRPr="00C62DFA">
        <w:rPr>
          <w:lang w:val="fr-FR"/>
        </w:rPr>
        <w:t>)</w:t>
      </w:r>
    </w:p>
    <w:p w14:paraId="0201A3B7" w14:textId="0813D082" w:rsidR="00DD58A1" w:rsidRPr="00C62DFA" w:rsidRDefault="00DD58A1" w:rsidP="00DD58A1">
      <w:pPr>
        <w:pStyle w:val="SingleTxt"/>
        <w:rPr>
          <w:lang w:val="fr-FR"/>
        </w:rPr>
      </w:pPr>
      <w:r w:rsidRPr="00C62DFA">
        <w:rPr>
          <w:lang w:val="fr-FR"/>
        </w:rPr>
        <w:t>Turkménistan (</w:t>
      </w:r>
      <w:hyperlink r:id="rId32" w:history="1">
        <w:r w:rsidRPr="00C62DFA">
          <w:rPr>
            <w:rStyle w:val="Hyperlink"/>
            <w:lang w:val="fr-FR"/>
          </w:rPr>
          <w:t>CEDAW/C/TKM/Q/5</w:t>
        </w:r>
      </w:hyperlink>
      <w:r w:rsidRPr="00C62DFA">
        <w:rPr>
          <w:lang w:val="fr-FR"/>
        </w:rPr>
        <w:t>)</w:t>
      </w:r>
    </w:p>
    <w:p w14:paraId="13F2547D" w14:textId="034B6AAA" w:rsidR="00DD58A1" w:rsidRPr="00C62DFA" w:rsidRDefault="00DD58A1" w:rsidP="00AB4DFF">
      <w:pPr>
        <w:pStyle w:val="SingleTxt"/>
        <w:spacing w:after="0" w:line="120" w:lineRule="exact"/>
        <w:rPr>
          <w:sz w:val="10"/>
          <w:lang w:val="fr-FR"/>
        </w:rPr>
      </w:pPr>
    </w:p>
    <w:p w14:paraId="529FEAF2" w14:textId="77777777" w:rsidR="00DD58A1" w:rsidRPr="00C62DFA" w:rsidRDefault="00DD58A1" w:rsidP="00AB4DF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r>
      <w:r w:rsidRPr="00C62DFA">
        <w:rPr>
          <w:lang w:val="fr-FR"/>
        </w:rPr>
        <w:tab/>
        <w:t>Réponses aux listes de points et de questions</w:t>
      </w:r>
    </w:p>
    <w:p w14:paraId="5C0524D9" w14:textId="142D6907" w:rsidR="00DD58A1" w:rsidRPr="00C62DFA" w:rsidRDefault="00DD58A1" w:rsidP="00AB4DFF">
      <w:pPr>
        <w:pStyle w:val="SingleTxt"/>
        <w:spacing w:after="0" w:line="120" w:lineRule="exact"/>
        <w:rPr>
          <w:sz w:val="10"/>
          <w:lang w:val="fr-FR"/>
        </w:rPr>
      </w:pPr>
    </w:p>
    <w:p w14:paraId="4C6377FE" w14:textId="7B32AD51" w:rsidR="00DD58A1" w:rsidRPr="00C62DFA" w:rsidRDefault="00DD58A1" w:rsidP="00DD58A1">
      <w:pPr>
        <w:pStyle w:val="SingleTxt"/>
        <w:rPr>
          <w:lang w:val="fr-FR"/>
        </w:rPr>
      </w:pPr>
      <w:r w:rsidRPr="00C62DFA">
        <w:rPr>
          <w:lang w:val="fr-FR"/>
        </w:rPr>
        <w:t>Australie (</w:t>
      </w:r>
      <w:hyperlink r:id="rId33" w:history="1">
        <w:r w:rsidRPr="00C62DFA">
          <w:rPr>
            <w:rStyle w:val="Hyperlink"/>
            <w:lang w:val="fr-FR"/>
          </w:rPr>
          <w:t>CEDAW/C/AUS/Q/8/Add.1</w:t>
        </w:r>
      </w:hyperlink>
      <w:r w:rsidRPr="00C62DFA">
        <w:rPr>
          <w:lang w:val="fr-FR"/>
        </w:rPr>
        <w:t>)</w:t>
      </w:r>
    </w:p>
    <w:p w14:paraId="1EFF18FA" w14:textId="622FEF10" w:rsidR="00DD58A1" w:rsidRPr="00C62DFA" w:rsidRDefault="00DD58A1" w:rsidP="00DD58A1">
      <w:pPr>
        <w:pStyle w:val="SingleTxt"/>
        <w:rPr>
          <w:lang w:val="fr-FR"/>
        </w:rPr>
      </w:pPr>
      <w:r w:rsidRPr="00C62DFA">
        <w:rPr>
          <w:lang w:val="fr-FR"/>
        </w:rPr>
        <w:t>Chypre (</w:t>
      </w:r>
      <w:hyperlink r:id="rId34" w:history="1">
        <w:r w:rsidRPr="00C62DFA">
          <w:rPr>
            <w:rStyle w:val="Hyperlink"/>
            <w:lang w:val="fr-FR"/>
          </w:rPr>
          <w:t>CEDAW/C/CYP/Q/8/Add.1</w:t>
        </w:r>
      </w:hyperlink>
      <w:r w:rsidRPr="00C62DFA">
        <w:rPr>
          <w:lang w:val="fr-FR"/>
        </w:rPr>
        <w:t>)</w:t>
      </w:r>
    </w:p>
    <w:p w14:paraId="3B6DF029" w14:textId="63F335B7" w:rsidR="00DD58A1" w:rsidRPr="00C62DFA" w:rsidRDefault="00DD58A1" w:rsidP="00DD58A1">
      <w:pPr>
        <w:pStyle w:val="SingleTxt"/>
        <w:rPr>
          <w:lang w:val="fr-FR"/>
        </w:rPr>
      </w:pPr>
      <w:r w:rsidRPr="00C62DFA">
        <w:rPr>
          <w:lang w:val="fr-FR"/>
        </w:rPr>
        <w:t>État de Palestine (</w:t>
      </w:r>
      <w:hyperlink r:id="rId35" w:history="1">
        <w:r w:rsidRPr="00C62DFA">
          <w:rPr>
            <w:rStyle w:val="Hyperlink"/>
            <w:lang w:val="fr-FR"/>
          </w:rPr>
          <w:t>CEDAW/C/PSE/Q/1/Add.1</w:t>
        </w:r>
      </w:hyperlink>
      <w:r w:rsidRPr="00C62DFA">
        <w:rPr>
          <w:lang w:val="fr-FR"/>
        </w:rPr>
        <w:t>)</w:t>
      </w:r>
    </w:p>
    <w:p w14:paraId="03A3175C" w14:textId="0460A5D2" w:rsidR="00DD58A1" w:rsidRPr="00C62DFA" w:rsidRDefault="00DD58A1" w:rsidP="00DD58A1">
      <w:pPr>
        <w:pStyle w:val="SingleTxt"/>
        <w:rPr>
          <w:lang w:val="fr-FR"/>
        </w:rPr>
      </w:pPr>
      <w:r w:rsidRPr="00C62DFA">
        <w:rPr>
          <w:lang w:val="fr-FR"/>
        </w:rPr>
        <w:t>Îles Cook (</w:t>
      </w:r>
      <w:hyperlink r:id="rId36" w:history="1">
        <w:r w:rsidRPr="00C62DFA">
          <w:rPr>
            <w:rStyle w:val="Hyperlink"/>
            <w:lang w:val="fr-FR"/>
          </w:rPr>
          <w:t>CEDAW/C/COK/Q/2-3/Add.1</w:t>
        </w:r>
      </w:hyperlink>
      <w:r w:rsidRPr="00C62DFA">
        <w:rPr>
          <w:lang w:val="fr-FR"/>
        </w:rPr>
        <w:t>)</w:t>
      </w:r>
    </w:p>
    <w:p w14:paraId="22C3DC52" w14:textId="0AC611D4" w:rsidR="00DD58A1" w:rsidRPr="00C62DFA" w:rsidRDefault="00DD58A1" w:rsidP="00DD58A1">
      <w:pPr>
        <w:pStyle w:val="SingleTxt"/>
        <w:rPr>
          <w:lang w:val="fr-FR"/>
        </w:rPr>
      </w:pPr>
      <w:r w:rsidRPr="00C62DFA">
        <w:rPr>
          <w:lang w:val="fr-FR"/>
        </w:rPr>
        <w:t>Mexique (</w:t>
      </w:r>
      <w:hyperlink r:id="rId37" w:history="1">
        <w:r w:rsidRPr="00C62DFA">
          <w:rPr>
            <w:rStyle w:val="Hyperlink"/>
            <w:lang w:val="fr-FR"/>
          </w:rPr>
          <w:t>CEDAW/C/MEX/Q/9/Add.1</w:t>
        </w:r>
      </w:hyperlink>
      <w:r w:rsidRPr="00C62DFA">
        <w:rPr>
          <w:lang w:val="fr-FR"/>
        </w:rPr>
        <w:t>)</w:t>
      </w:r>
    </w:p>
    <w:p w14:paraId="4EE7FC99" w14:textId="6BA6AFC1" w:rsidR="00DD58A1" w:rsidRPr="00C62DFA" w:rsidRDefault="00DD58A1" w:rsidP="00DD58A1">
      <w:pPr>
        <w:pStyle w:val="SingleTxt"/>
        <w:rPr>
          <w:lang w:val="fr-FR"/>
        </w:rPr>
      </w:pPr>
      <w:r w:rsidRPr="00C62DFA">
        <w:rPr>
          <w:lang w:val="fr-FR"/>
        </w:rPr>
        <w:t>Nouvelle-Zélande (</w:t>
      </w:r>
      <w:hyperlink r:id="rId38" w:history="1">
        <w:r w:rsidRPr="00C62DFA">
          <w:rPr>
            <w:rStyle w:val="Hyperlink"/>
            <w:lang w:val="fr-FR"/>
          </w:rPr>
          <w:t>CEDAW/C/NZL/Q/8/Add.1</w:t>
        </w:r>
      </w:hyperlink>
      <w:r w:rsidRPr="00C62DFA">
        <w:rPr>
          <w:lang w:val="fr-FR"/>
        </w:rPr>
        <w:t>)</w:t>
      </w:r>
    </w:p>
    <w:p w14:paraId="34D24603" w14:textId="74B172BA" w:rsidR="00DD58A1" w:rsidRPr="00C62DFA" w:rsidRDefault="00DD58A1" w:rsidP="00DD58A1">
      <w:pPr>
        <w:pStyle w:val="SingleTxt"/>
        <w:rPr>
          <w:lang w:val="fr-FR"/>
        </w:rPr>
      </w:pPr>
      <w:r w:rsidRPr="00C62DFA">
        <w:rPr>
          <w:lang w:val="fr-FR"/>
        </w:rPr>
        <w:t>Turkménistan (</w:t>
      </w:r>
      <w:hyperlink r:id="rId39" w:history="1">
        <w:r w:rsidRPr="00C62DFA">
          <w:rPr>
            <w:rStyle w:val="Hyperlink"/>
            <w:lang w:val="fr-FR"/>
          </w:rPr>
          <w:t>CEDAW/C/TKM/Q/5/Add.1</w:t>
        </w:r>
      </w:hyperlink>
      <w:r w:rsidRPr="00C62DFA">
        <w:rPr>
          <w:lang w:val="fr-FR"/>
        </w:rPr>
        <w:t>)</w:t>
      </w:r>
    </w:p>
    <w:p w14:paraId="01D49F0F" w14:textId="64AE4E60" w:rsidR="00DD58A1" w:rsidRPr="00C62DFA" w:rsidRDefault="00DD58A1" w:rsidP="00AB4DFF">
      <w:pPr>
        <w:pStyle w:val="SingleTxt"/>
        <w:spacing w:after="0" w:line="120" w:lineRule="exact"/>
        <w:rPr>
          <w:sz w:val="10"/>
          <w:lang w:val="fr-FR"/>
        </w:rPr>
      </w:pPr>
    </w:p>
    <w:p w14:paraId="54E6BE3E" w14:textId="49FF047A" w:rsidR="00DD58A1" w:rsidRPr="00C62DFA" w:rsidRDefault="00DD58A1" w:rsidP="00C62D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t>5.</w:t>
      </w:r>
      <w:r w:rsidRPr="00C62DFA">
        <w:rPr>
          <w:lang w:val="fr-FR"/>
        </w:rPr>
        <w:tab/>
        <w:t xml:space="preserve">Suite donnée à l’examen des rapports soumis par les </w:t>
      </w:r>
      <w:r w:rsidR="00C62DFA">
        <w:rPr>
          <w:lang w:val="fr-FR"/>
        </w:rPr>
        <w:t>États parties en application </w:t>
      </w:r>
      <w:r w:rsidR="00AB4DFF" w:rsidRPr="00C62DFA">
        <w:rPr>
          <w:lang w:val="fr-FR"/>
        </w:rPr>
        <w:t>de </w:t>
      </w:r>
      <w:r w:rsidRPr="00C62DFA">
        <w:rPr>
          <w:lang w:val="fr-FR"/>
        </w:rPr>
        <w:t>l’article 18 de la Convention</w:t>
      </w:r>
    </w:p>
    <w:p w14:paraId="331D286B" w14:textId="01455122" w:rsidR="00DD58A1" w:rsidRPr="00C62DFA" w:rsidRDefault="00DD58A1" w:rsidP="00AB4DFF">
      <w:pPr>
        <w:pStyle w:val="SingleTxt"/>
        <w:spacing w:after="0" w:line="120" w:lineRule="exact"/>
        <w:rPr>
          <w:sz w:val="10"/>
          <w:lang w:val="fr-FR"/>
        </w:rPr>
      </w:pPr>
    </w:p>
    <w:p w14:paraId="00A45DD4" w14:textId="77777777" w:rsidR="00DD58A1" w:rsidRPr="00C62DFA" w:rsidRDefault="00DD58A1" w:rsidP="00DD58A1">
      <w:pPr>
        <w:pStyle w:val="SingleTxt"/>
        <w:rPr>
          <w:lang w:val="fr-FR"/>
        </w:rPr>
      </w:pPr>
      <w:r w:rsidRPr="00C62DFA">
        <w:rPr>
          <w:lang w:val="fr-FR"/>
        </w:rPr>
        <w:tab/>
        <w:t>Le Comité examinera les questions se rapportant à la suite donnée à ses observations finales.</w:t>
      </w:r>
    </w:p>
    <w:p w14:paraId="3CB03009" w14:textId="6B34B25D" w:rsidR="00DD58A1" w:rsidRPr="00C62DFA" w:rsidRDefault="00DD58A1" w:rsidP="00252158">
      <w:pPr>
        <w:pStyle w:val="SingleTxt"/>
        <w:spacing w:after="0" w:line="120" w:lineRule="exact"/>
        <w:rPr>
          <w:sz w:val="10"/>
          <w:lang w:val="fr-FR"/>
        </w:rPr>
      </w:pPr>
    </w:p>
    <w:p w14:paraId="4E2F8E94" w14:textId="77777777" w:rsidR="00DD58A1" w:rsidRPr="00C62DFA" w:rsidRDefault="00DD58A1" w:rsidP="002521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t>6.</w:t>
      </w:r>
      <w:r w:rsidRPr="00C62DFA">
        <w:rPr>
          <w:lang w:val="fr-FR"/>
        </w:rPr>
        <w:tab/>
        <w:t>Application des articles 21 et 22 de la Convention</w:t>
      </w:r>
    </w:p>
    <w:p w14:paraId="1EA573E0" w14:textId="2C400954" w:rsidR="00252158" w:rsidRPr="00C62DFA" w:rsidRDefault="00252158" w:rsidP="00252158">
      <w:pPr>
        <w:pStyle w:val="SingleTxt"/>
        <w:keepNext/>
        <w:keepLines/>
        <w:spacing w:after="0" w:line="120" w:lineRule="exact"/>
        <w:rPr>
          <w:sz w:val="10"/>
          <w:lang w:val="fr-FR"/>
        </w:rPr>
      </w:pPr>
    </w:p>
    <w:p w14:paraId="1CE5C008" w14:textId="77777777" w:rsidR="00DD58A1" w:rsidRPr="00C62DFA" w:rsidRDefault="00DD58A1" w:rsidP="00DD58A1">
      <w:pPr>
        <w:pStyle w:val="SingleTxt"/>
        <w:rPr>
          <w:lang w:val="fr-FR"/>
        </w:rPr>
      </w:pPr>
      <w:r w:rsidRPr="00C62DFA">
        <w:rPr>
          <w:lang w:val="fr-FR"/>
        </w:rPr>
        <w:tab/>
        <w:t xml:space="preserve">Aux termes de l’article 21 de la Convention, le Comité peut formuler des suggestions et des recommandations générales fondées sur l’examen des rapports et des renseignements reçus des États parties. Ces suggestions et recommandations sont </w:t>
      </w:r>
      <w:r w:rsidRPr="00C62DFA">
        <w:rPr>
          <w:lang w:val="fr-FR"/>
        </w:rPr>
        <w:lastRenderedPageBreak/>
        <w:t>incluses dans le rapport du Comité à l’Assemblée générale, accompagnées, le cas échéant, des observations des États parties.</w:t>
      </w:r>
    </w:p>
    <w:p w14:paraId="3504BCDD" w14:textId="77777777" w:rsidR="00DD58A1" w:rsidRPr="00C62DFA" w:rsidRDefault="00DD58A1" w:rsidP="00DD58A1">
      <w:pPr>
        <w:pStyle w:val="SingleTxt"/>
        <w:rPr>
          <w:lang w:val="fr-FR"/>
        </w:rPr>
      </w:pPr>
      <w:r w:rsidRPr="00C62DFA">
        <w:rPr>
          <w:lang w:val="fr-FR"/>
        </w:rPr>
        <w:tab/>
        <w:t>Aux termes de l’article 22 de la Convention, les institutions spécialisées ont le droit d’être représentées lors de l’examen de la mise en œuvre de toute disposition de la Convention qui entre dans le cadre de leurs activités, et le Comité peut inviter les institutions spécialisées à soumettre des rapports sur l’application de la Convention dans les domaines qui entrent dans le cadre de leurs activités.</w:t>
      </w:r>
    </w:p>
    <w:p w14:paraId="11CE287B" w14:textId="1B4645DE" w:rsidR="00DD58A1" w:rsidRPr="00C62DFA" w:rsidRDefault="00DD58A1" w:rsidP="00252158">
      <w:pPr>
        <w:pStyle w:val="SingleTxt"/>
        <w:spacing w:after="0" w:line="120" w:lineRule="exact"/>
        <w:rPr>
          <w:sz w:val="10"/>
          <w:lang w:val="fr-FR"/>
        </w:rPr>
      </w:pPr>
    </w:p>
    <w:p w14:paraId="2CF3A105" w14:textId="77777777" w:rsidR="00DD58A1" w:rsidRPr="00C62DFA" w:rsidRDefault="00DD58A1" w:rsidP="002521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r>
      <w:r w:rsidRPr="00C62DFA">
        <w:rPr>
          <w:lang w:val="fr-FR"/>
        </w:rPr>
        <w:tab/>
        <w:t>Documentation</w:t>
      </w:r>
    </w:p>
    <w:p w14:paraId="19750859" w14:textId="757DD91E" w:rsidR="00DD58A1" w:rsidRPr="00C62DFA" w:rsidRDefault="00DD58A1" w:rsidP="00252158">
      <w:pPr>
        <w:pStyle w:val="SingleTxt"/>
        <w:spacing w:after="0" w:line="120" w:lineRule="exact"/>
        <w:rPr>
          <w:sz w:val="10"/>
          <w:lang w:val="fr-FR"/>
        </w:rPr>
      </w:pPr>
    </w:p>
    <w:p w14:paraId="39CDF568" w14:textId="6E002806" w:rsidR="00DD58A1" w:rsidRPr="00C62DFA" w:rsidRDefault="00DD58A1" w:rsidP="00DD58A1">
      <w:pPr>
        <w:pStyle w:val="SingleTxt"/>
        <w:rPr>
          <w:lang w:val="fr-FR"/>
        </w:rPr>
      </w:pPr>
      <w:r w:rsidRPr="00C62DFA">
        <w:rPr>
          <w:lang w:val="fr-FR"/>
        </w:rPr>
        <w:t>Rapports présentés par les institutions spécialisées des Nations Unies sur l’application de la Convention dans les domaines qui entrent dans le cadre de leurs activités</w:t>
      </w:r>
    </w:p>
    <w:p w14:paraId="2D4C5DAA" w14:textId="7383891B" w:rsidR="00DD58A1" w:rsidRPr="00C62DFA" w:rsidRDefault="00DD58A1" w:rsidP="00252158">
      <w:pPr>
        <w:pStyle w:val="SingleTxt"/>
        <w:spacing w:after="0" w:line="120" w:lineRule="exact"/>
        <w:rPr>
          <w:sz w:val="10"/>
          <w:lang w:val="fr-FR"/>
        </w:rPr>
      </w:pPr>
    </w:p>
    <w:p w14:paraId="65B21627" w14:textId="77777777" w:rsidR="00DD58A1" w:rsidRPr="00C62DFA" w:rsidRDefault="00DD58A1" w:rsidP="002521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lang w:val="fr-FR"/>
        </w:rPr>
        <w:tab/>
        <w:t>7.</w:t>
      </w:r>
      <w:r w:rsidRPr="00C62DFA">
        <w:rPr>
          <w:lang w:val="fr-FR"/>
        </w:rPr>
        <w:tab/>
        <w:t>Moyens d’accélérer les travaux du Comité</w:t>
      </w:r>
    </w:p>
    <w:p w14:paraId="7C08B65F" w14:textId="2FF21736" w:rsidR="00DD58A1" w:rsidRPr="00C62DFA" w:rsidRDefault="00DD58A1" w:rsidP="00252158">
      <w:pPr>
        <w:pStyle w:val="SingleTxt"/>
        <w:spacing w:after="0" w:line="120" w:lineRule="exact"/>
        <w:rPr>
          <w:sz w:val="10"/>
          <w:lang w:val="fr-FR"/>
        </w:rPr>
      </w:pPr>
    </w:p>
    <w:p w14:paraId="75496367" w14:textId="77777777" w:rsidR="00DD58A1" w:rsidRPr="00C62DFA" w:rsidRDefault="00DD58A1" w:rsidP="00DD58A1">
      <w:pPr>
        <w:pStyle w:val="SingleTxt"/>
        <w:rPr>
          <w:lang w:val="fr-FR"/>
        </w:rPr>
      </w:pPr>
      <w:r w:rsidRPr="00C62DFA">
        <w:rPr>
          <w:lang w:val="fr-FR"/>
        </w:rPr>
        <w:tab/>
        <w:t>Le Comité examinera les questions se rapportant à ses méthodes de travail.</w:t>
      </w:r>
    </w:p>
    <w:p w14:paraId="564EEEFB" w14:textId="77777777" w:rsidR="00252158" w:rsidRPr="00C62DFA" w:rsidRDefault="00252158" w:rsidP="00252158">
      <w:pPr>
        <w:pStyle w:val="SingleTxt"/>
        <w:spacing w:after="0" w:line="120" w:lineRule="exact"/>
        <w:rPr>
          <w:b/>
          <w:sz w:val="10"/>
          <w:lang w:val="fr-FR"/>
        </w:rPr>
      </w:pPr>
    </w:p>
    <w:p w14:paraId="1B77613A" w14:textId="47EC7B9C" w:rsidR="00DD58A1" w:rsidRPr="00C62DFA" w:rsidRDefault="00DD58A1" w:rsidP="0025215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62DFA">
        <w:rPr>
          <w:lang w:val="fr-FR"/>
        </w:rPr>
        <w:tab/>
        <w:t>8.</w:t>
      </w:r>
      <w:r w:rsidRPr="00C62DFA">
        <w:rPr>
          <w:lang w:val="fr-FR"/>
        </w:rPr>
        <w:tab/>
        <w:t>Activités menées par le Comité au titre du Protocole facultatif à la Convention</w:t>
      </w:r>
    </w:p>
    <w:p w14:paraId="4DD9BCD2" w14:textId="7068F851" w:rsidR="00DD58A1" w:rsidRPr="00C62DFA" w:rsidRDefault="00DD58A1" w:rsidP="00252158">
      <w:pPr>
        <w:pStyle w:val="SingleTxt"/>
        <w:spacing w:after="0" w:line="120" w:lineRule="exact"/>
        <w:rPr>
          <w:sz w:val="10"/>
          <w:lang w:val="fr-FR"/>
        </w:rPr>
      </w:pPr>
    </w:p>
    <w:p w14:paraId="352D9A75" w14:textId="77777777" w:rsidR="00DD58A1" w:rsidRPr="00C62DFA" w:rsidRDefault="00DD58A1" w:rsidP="00DD58A1">
      <w:pPr>
        <w:pStyle w:val="SingleTxt"/>
        <w:rPr>
          <w:lang w:val="fr-FR"/>
        </w:rPr>
      </w:pPr>
      <w:r w:rsidRPr="00C62DFA">
        <w:rPr>
          <w:lang w:val="fr-FR"/>
        </w:rPr>
        <w:tab/>
        <w:t>La quarantième session du Groupe de travail des communications soumises en vertu du Protocole facultatif se tiendra à Genève, du 27 au 29 juin 2018.</w:t>
      </w:r>
    </w:p>
    <w:p w14:paraId="318B5000" w14:textId="77777777" w:rsidR="00DD58A1" w:rsidRPr="00C62DFA" w:rsidRDefault="00DD58A1" w:rsidP="00DD58A1">
      <w:pPr>
        <w:pStyle w:val="SingleTxt"/>
        <w:rPr>
          <w:lang w:val="fr-FR"/>
        </w:rPr>
      </w:pPr>
      <w:r w:rsidRPr="00C62DFA">
        <w:rPr>
          <w:lang w:val="fr-FR"/>
        </w:rPr>
        <w:tab/>
        <w:t>La dixième session du Groupe de travail chargé des enquêtes menées au titre du Protocole facultatif se tiendra à Genève, les 28 et 29 juin 2018.</w:t>
      </w:r>
    </w:p>
    <w:p w14:paraId="4888CD24" w14:textId="77777777" w:rsidR="00DD58A1" w:rsidRPr="00C62DFA" w:rsidRDefault="00DD58A1" w:rsidP="00DD58A1">
      <w:pPr>
        <w:pStyle w:val="SingleTxt"/>
        <w:rPr>
          <w:lang w:val="fr-FR"/>
        </w:rPr>
      </w:pPr>
      <w:r w:rsidRPr="00C62DFA">
        <w:rPr>
          <w:lang w:val="fr-FR"/>
        </w:rPr>
        <w:tab/>
        <w:t>À sa soixante-dixième session, le Comité continuera de s’acquitter de son mandat qu’il tient des articles 2 et 8 du Protocole facultatif à la Convention.</w:t>
      </w:r>
    </w:p>
    <w:p w14:paraId="4332C04F" w14:textId="6909D9A7" w:rsidR="00DD58A1" w:rsidRPr="00C62DFA" w:rsidRDefault="00DD58A1" w:rsidP="00252158">
      <w:pPr>
        <w:pStyle w:val="SingleTxt"/>
        <w:spacing w:after="0" w:line="120" w:lineRule="exact"/>
        <w:rPr>
          <w:sz w:val="10"/>
          <w:lang w:val="fr-FR"/>
        </w:rPr>
      </w:pPr>
    </w:p>
    <w:p w14:paraId="0D087590" w14:textId="77777777" w:rsidR="00DD58A1" w:rsidRPr="00C62DFA" w:rsidRDefault="00DD58A1" w:rsidP="0025215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62DFA">
        <w:rPr>
          <w:lang w:val="fr-FR"/>
        </w:rPr>
        <w:tab/>
        <w:t>9.</w:t>
      </w:r>
      <w:r w:rsidRPr="00C62DFA">
        <w:rPr>
          <w:lang w:val="fr-FR"/>
        </w:rPr>
        <w:tab/>
        <w:t>Ordre du jour provisoire de la soixante et onzième session du Comité</w:t>
      </w:r>
    </w:p>
    <w:p w14:paraId="1892C724" w14:textId="527BB825" w:rsidR="00DD58A1" w:rsidRPr="00C62DFA" w:rsidRDefault="00DD58A1" w:rsidP="00252158">
      <w:pPr>
        <w:pStyle w:val="SingleTxt"/>
        <w:spacing w:after="0" w:line="120" w:lineRule="exact"/>
        <w:rPr>
          <w:sz w:val="10"/>
          <w:lang w:val="fr-FR"/>
        </w:rPr>
      </w:pPr>
    </w:p>
    <w:p w14:paraId="51EE81E6" w14:textId="77777777" w:rsidR="00DD58A1" w:rsidRPr="00C62DFA" w:rsidRDefault="00DD58A1" w:rsidP="002521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2DFA">
        <w:rPr>
          <w:b/>
          <w:lang w:val="fr-FR"/>
        </w:rPr>
        <w:tab/>
      </w:r>
      <w:r w:rsidRPr="00C62DFA">
        <w:rPr>
          <w:lang w:val="fr-FR"/>
        </w:rPr>
        <w:tab/>
        <w:t>Documentation</w:t>
      </w:r>
    </w:p>
    <w:p w14:paraId="45FA3BE1" w14:textId="1FD79055" w:rsidR="00DD58A1" w:rsidRPr="00C62DFA" w:rsidRDefault="00DD58A1" w:rsidP="00252158">
      <w:pPr>
        <w:pStyle w:val="SingleTxt"/>
        <w:spacing w:after="0" w:line="120" w:lineRule="exact"/>
        <w:rPr>
          <w:sz w:val="10"/>
          <w:lang w:val="fr-FR"/>
        </w:rPr>
      </w:pPr>
    </w:p>
    <w:p w14:paraId="2BD81316" w14:textId="568B2DE6" w:rsidR="00DD58A1" w:rsidRPr="00C62DFA" w:rsidRDefault="00E72F7F" w:rsidP="00DD58A1">
      <w:pPr>
        <w:pStyle w:val="SingleTxt"/>
        <w:rPr>
          <w:lang w:val="fr-FR"/>
        </w:rPr>
      </w:pPr>
      <w:r>
        <w:rPr>
          <w:lang w:val="fr-FR"/>
        </w:rPr>
        <w:tab/>
      </w:r>
      <w:r w:rsidR="00DD58A1" w:rsidRPr="00C62DFA">
        <w:rPr>
          <w:lang w:val="fr-FR"/>
        </w:rPr>
        <w:t>Ordre du jour provisoire annoté de la soixante et onzième session (</w:t>
      </w:r>
      <w:hyperlink r:id="rId40" w:history="1">
        <w:r w:rsidR="00DD58A1" w:rsidRPr="00C62DFA">
          <w:rPr>
            <w:rStyle w:val="Hyperlink"/>
            <w:lang w:val="fr-FR"/>
          </w:rPr>
          <w:t>CEDAW/C/71/1</w:t>
        </w:r>
      </w:hyperlink>
      <w:r w:rsidR="00DD58A1" w:rsidRPr="00C62DFA">
        <w:rPr>
          <w:lang w:val="fr-FR"/>
        </w:rPr>
        <w:t>)</w:t>
      </w:r>
    </w:p>
    <w:p w14:paraId="1B60FF7F" w14:textId="2EBF379B" w:rsidR="00DD58A1" w:rsidRPr="00C62DFA" w:rsidRDefault="00DD58A1" w:rsidP="00252158">
      <w:pPr>
        <w:pStyle w:val="SingleTxt"/>
        <w:spacing w:after="0" w:line="120" w:lineRule="exact"/>
        <w:rPr>
          <w:sz w:val="10"/>
          <w:lang w:val="fr-FR"/>
        </w:rPr>
      </w:pPr>
    </w:p>
    <w:p w14:paraId="73367011" w14:textId="77777777" w:rsidR="00DD58A1" w:rsidRPr="00C62DFA" w:rsidRDefault="00DD58A1" w:rsidP="0025215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62DFA">
        <w:rPr>
          <w:lang w:val="fr-FR"/>
        </w:rPr>
        <w:tab/>
        <w:t>10.</w:t>
      </w:r>
      <w:r w:rsidRPr="00C62DFA">
        <w:rPr>
          <w:lang w:val="fr-FR"/>
        </w:rPr>
        <w:tab/>
        <w:t>Adoption du rapport du Comité sur les travaux de sa soixante-dixième session</w:t>
      </w:r>
    </w:p>
    <w:p w14:paraId="06BE9CDB" w14:textId="27E33A8D" w:rsidR="00FE22A8" w:rsidRPr="00C62DFA" w:rsidRDefault="00252158" w:rsidP="00252158">
      <w:pPr>
        <w:pStyle w:val="SingleTxt"/>
        <w:spacing w:after="0" w:line="240" w:lineRule="auto"/>
        <w:rPr>
          <w:lang w:val="fr-FR"/>
        </w:rPr>
      </w:pPr>
      <w:r w:rsidRPr="00C62DFA">
        <w:rPr>
          <w:noProof/>
          <w:w w:val="100"/>
          <w:lang w:val="fr-FR"/>
        </w:rPr>
        <mc:AlternateContent>
          <mc:Choice Requires="wps">
            <w:drawing>
              <wp:anchor distT="0" distB="0" distL="114300" distR="114300" simplePos="0" relativeHeight="251659264" behindDoc="0" locked="0" layoutInCell="1" allowOverlap="1" wp14:anchorId="534A0E2F" wp14:editId="225DAA9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F966D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E22A8" w:rsidRPr="00C62DFA" w:rsidSect="00DD58A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23T09:56:00Z" w:initials="Start">
    <w:p w14:paraId="0A37B106" w14:textId="77777777" w:rsidR="00FE22A8" w:rsidRPr="00DD58A1" w:rsidRDefault="00FE22A8">
      <w:pPr>
        <w:pStyle w:val="CommentText"/>
        <w:rPr>
          <w:lang w:val="en-US"/>
        </w:rPr>
      </w:pPr>
      <w:r>
        <w:fldChar w:fldCharType="begin"/>
      </w:r>
      <w:r w:rsidRPr="00DD58A1">
        <w:rPr>
          <w:rStyle w:val="CommentReference"/>
          <w:lang w:val="en-US"/>
        </w:rPr>
        <w:instrText xml:space="preserve"> </w:instrText>
      </w:r>
      <w:r w:rsidRPr="00DD58A1">
        <w:rPr>
          <w:lang w:val="en-US"/>
        </w:rPr>
        <w:instrText>PAGE \# "'Page: '#'</w:instrText>
      </w:r>
      <w:r w:rsidRPr="00DD58A1">
        <w:rPr>
          <w:lang w:val="en-US"/>
        </w:rPr>
        <w:br/>
        <w:instrText>'"</w:instrText>
      </w:r>
      <w:r w:rsidRPr="00DD58A1">
        <w:rPr>
          <w:rStyle w:val="CommentReference"/>
          <w:lang w:val="en-US"/>
        </w:rPr>
        <w:instrText xml:space="preserve"> </w:instrText>
      </w:r>
      <w:r>
        <w:fldChar w:fldCharType="end"/>
      </w:r>
      <w:r>
        <w:rPr>
          <w:rStyle w:val="CommentReference"/>
        </w:rPr>
        <w:annotationRef/>
      </w:r>
      <w:r w:rsidRPr="00DD58A1">
        <w:rPr>
          <w:lang w:val="en-US"/>
        </w:rPr>
        <w:t>&lt;&lt;ODS JOB NO&gt;&gt;N1810265F&lt;&lt;ODS JOB NO&gt;&gt;</w:t>
      </w:r>
    </w:p>
    <w:p w14:paraId="158EDC65" w14:textId="77777777" w:rsidR="00FE22A8" w:rsidRDefault="00FE22A8">
      <w:pPr>
        <w:pStyle w:val="CommentText"/>
      </w:pPr>
      <w:r>
        <w:t>&lt;&lt;ODS DOC SYMBOL1&gt;&gt;CEDAW/C/70/1&lt;&lt;ODS DOC SYMBOL1&gt;&gt;</w:t>
      </w:r>
    </w:p>
    <w:p w14:paraId="24A9BE6C" w14:textId="77777777" w:rsidR="00FE22A8" w:rsidRDefault="00FE22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A9BE6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366B9" w14:textId="77777777" w:rsidR="009A11DC" w:rsidRDefault="009A11DC" w:rsidP="00101B18">
      <w:pPr>
        <w:spacing w:line="240" w:lineRule="auto"/>
      </w:pPr>
      <w:r>
        <w:separator/>
      </w:r>
    </w:p>
  </w:endnote>
  <w:endnote w:type="continuationSeparator" w:id="0">
    <w:p w14:paraId="2C704794" w14:textId="77777777" w:rsidR="009A11DC" w:rsidRDefault="009A11D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22A8" w14:paraId="196BC7AF" w14:textId="77777777" w:rsidTr="00FE22A8">
      <w:tc>
        <w:tcPr>
          <w:tcW w:w="4920" w:type="dxa"/>
          <w:shd w:val="clear" w:color="auto" w:fill="auto"/>
        </w:tcPr>
        <w:p w14:paraId="5A7FBECE" w14:textId="58ADAD51" w:rsidR="00FE22A8" w:rsidRPr="00FE22A8" w:rsidRDefault="00FE22A8" w:rsidP="00FE22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021C">
            <w:rPr>
              <w:b w:val="0"/>
              <w:w w:val="103"/>
              <w:sz w:val="14"/>
            </w:rPr>
            <w:t>18-05707</w:t>
          </w:r>
          <w:r>
            <w:rPr>
              <w:b w:val="0"/>
              <w:w w:val="103"/>
              <w:sz w:val="14"/>
            </w:rPr>
            <w:fldChar w:fldCharType="end"/>
          </w:r>
        </w:p>
      </w:tc>
      <w:tc>
        <w:tcPr>
          <w:tcW w:w="4920" w:type="dxa"/>
          <w:shd w:val="clear" w:color="auto" w:fill="auto"/>
        </w:tcPr>
        <w:p w14:paraId="71C7CF62" w14:textId="7FAB4D74" w:rsidR="00FE22A8" w:rsidRPr="00FE22A8" w:rsidRDefault="00FE22A8" w:rsidP="00FE22A8">
          <w:pPr>
            <w:pStyle w:val="Footer"/>
            <w:rPr>
              <w:w w:val="103"/>
            </w:rPr>
          </w:pPr>
          <w:r>
            <w:rPr>
              <w:w w:val="103"/>
            </w:rPr>
            <w:fldChar w:fldCharType="begin"/>
          </w:r>
          <w:r>
            <w:rPr>
              <w:w w:val="103"/>
            </w:rPr>
            <w:instrText xml:space="preserve"> PAGE  \* Arabic  \* MERGEFORMAT </w:instrText>
          </w:r>
          <w:r>
            <w:rPr>
              <w:w w:val="103"/>
            </w:rPr>
            <w:fldChar w:fldCharType="separate"/>
          </w:r>
          <w:r w:rsidR="0078021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8021C">
            <w:rPr>
              <w:noProof/>
              <w:w w:val="103"/>
            </w:rPr>
            <w:t>4</w:t>
          </w:r>
          <w:r>
            <w:rPr>
              <w:w w:val="103"/>
            </w:rPr>
            <w:fldChar w:fldCharType="end"/>
          </w:r>
        </w:p>
      </w:tc>
    </w:tr>
  </w:tbl>
  <w:p w14:paraId="56D83966" w14:textId="77777777" w:rsidR="00FE22A8" w:rsidRPr="00FE22A8" w:rsidRDefault="00FE22A8" w:rsidP="00FE22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22A8" w14:paraId="3CD6711A" w14:textId="77777777" w:rsidTr="00FE22A8">
      <w:tc>
        <w:tcPr>
          <w:tcW w:w="4920" w:type="dxa"/>
          <w:shd w:val="clear" w:color="auto" w:fill="auto"/>
        </w:tcPr>
        <w:p w14:paraId="7AA09A1C" w14:textId="2E175B3B" w:rsidR="00FE22A8" w:rsidRPr="00FE22A8" w:rsidRDefault="00FE22A8" w:rsidP="00FE22A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8021C">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8021C">
            <w:rPr>
              <w:noProof/>
              <w:w w:val="103"/>
            </w:rPr>
            <w:t>4</w:t>
          </w:r>
          <w:r>
            <w:rPr>
              <w:w w:val="103"/>
            </w:rPr>
            <w:fldChar w:fldCharType="end"/>
          </w:r>
        </w:p>
      </w:tc>
      <w:tc>
        <w:tcPr>
          <w:tcW w:w="4920" w:type="dxa"/>
          <w:shd w:val="clear" w:color="auto" w:fill="auto"/>
        </w:tcPr>
        <w:p w14:paraId="7E451F80" w14:textId="6172CA4B" w:rsidR="00FE22A8" w:rsidRPr="00FE22A8" w:rsidRDefault="00FE22A8" w:rsidP="00FE22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021C">
            <w:rPr>
              <w:b w:val="0"/>
              <w:w w:val="103"/>
              <w:sz w:val="14"/>
            </w:rPr>
            <w:t>18-05707</w:t>
          </w:r>
          <w:r>
            <w:rPr>
              <w:b w:val="0"/>
              <w:w w:val="103"/>
              <w:sz w:val="14"/>
            </w:rPr>
            <w:fldChar w:fldCharType="end"/>
          </w:r>
        </w:p>
      </w:tc>
    </w:tr>
  </w:tbl>
  <w:p w14:paraId="09BDD92D" w14:textId="77777777" w:rsidR="00FE22A8" w:rsidRPr="00FE22A8" w:rsidRDefault="00FE22A8" w:rsidP="00FE22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B5D05" w14:textId="77777777" w:rsidR="00FE22A8" w:rsidRDefault="00FE22A8">
    <w:pPr>
      <w:pStyle w:val="Footer"/>
    </w:pPr>
    <w:r>
      <w:rPr>
        <w:noProof/>
      </w:rPr>
      <w:drawing>
        <wp:anchor distT="0" distB="0" distL="114300" distR="114300" simplePos="0" relativeHeight="251658240" behindDoc="0" locked="0" layoutInCell="1" allowOverlap="1" wp14:anchorId="3186A172" wp14:editId="14EC6510">
          <wp:simplePos x="0" y="0"/>
          <wp:positionH relativeFrom="column">
            <wp:posOffset>5532120</wp:posOffset>
          </wp:positionH>
          <wp:positionV relativeFrom="paragraph">
            <wp:posOffset>-228600</wp:posOffset>
          </wp:positionV>
          <wp:extent cx="694690" cy="694690"/>
          <wp:effectExtent l="0" t="0" r="0" b="0"/>
          <wp:wrapNone/>
          <wp:docPr id="6" name="Picture 6" descr="https://undocs.org/m2/QRCode2.ashx?DS=CEDAW/C/70/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0/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FE22A8" w14:paraId="09C9F07B" w14:textId="77777777" w:rsidTr="00FE22A8">
      <w:tc>
        <w:tcPr>
          <w:tcW w:w="3758" w:type="dxa"/>
        </w:tcPr>
        <w:p w14:paraId="773C6B6B" w14:textId="7F23CB29" w:rsidR="00FE22A8" w:rsidRDefault="00FE22A8" w:rsidP="00FE22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8021C">
            <w:rPr>
              <w:b w:val="0"/>
              <w:sz w:val="20"/>
            </w:rPr>
            <w:t>18-05707 (F)</w:t>
          </w:r>
          <w:r>
            <w:rPr>
              <w:b w:val="0"/>
              <w:sz w:val="20"/>
            </w:rPr>
            <w:fldChar w:fldCharType="end"/>
          </w:r>
          <w:r w:rsidR="00AB4DFF">
            <w:rPr>
              <w:b w:val="0"/>
              <w:sz w:val="20"/>
            </w:rPr>
            <w:t xml:space="preserve">    190418    26</w:t>
          </w:r>
          <w:r>
            <w:rPr>
              <w:b w:val="0"/>
              <w:sz w:val="20"/>
            </w:rPr>
            <w:t>0418</w:t>
          </w:r>
        </w:p>
        <w:p w14:paraId="63F1E992" w14:textId="7C17F4DD" w:rsidR="00FE22A8" w:rsidRPr="00FE22A8" w:rsidRDefault="00FE22A8" w:rsidP="00FE22A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8021C">
            <w:rPr>
              <w:rFonts w:ascii="Barcode 3 of 9 by request" w:hAnsi="Barcode 3 of 9 by request"/>
              <w:b w:val="0"/>
              <w:spacing w:val="0"/>
              <w:w w:val="100"/>
              <w:sz w:val="24"/>
            </w:rPr>
            <w:t>*1805707*</w:t>
          </w:r>
          <w:r>
            <w:rPr>
              <w:rFonts w:ascii="Barcode 3 of 9 by request" w:hAnsi="Barcode 3 of 9 by request"/>
              <w:b w:val="0"/>
              <w:spacing w:val="0"/>
              <w:w w:val="100"/>
              <w:sz w:val="24"/>
            </w:rPr>
            <w:fldChar w:fldCharType="end"/>
          </w:r>
        </w:p>
      </w:tc>
      <w:tc>
        <w:tcPr>
          <w:tcW w:w="4920" w:type="dxa"/>
        </w:tcPr>
        <w:p w14:paraId="529A7010" w14:textId="77777777" w:rsidR="00FE22A8" w:rsidRDefault="00FE22A8" w:rsidP="00FE22A8">
          <w:pPr>
            <w:pStyle w:val="Footer"/>
            <w:spacing w:line="240" w:lineRule="atLeast"/>
            <w:jc w:val="right"/>
            <w:rPr>
              <w:b w:val="0"/>
              <w:sz w:val="20"/>
            </w:rPr>
          </w:pPr>
          <w:r>
            <w:rPr>
              <w:b w:val="0"/>
              <w:noProof/>
              <w:sz w:val="20"/>
            </w:rPr>
            <w:drawing>
              <wp:inline distT="0" distB="0" distL="0" distR="0" wp14:anchorId="4BEDD7B3" wp14:editId="7E78D367">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31B49EB" w14:textId="77777777" w:rsidR="00FE22A8" w:rsidRPr="00FE22A8" w:rsidRDefault="00FE22A8" w:rsidP="00FE22A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C111B" w14:textId="77777777" w:rsidR="009A11DC" w:rsidRDefault="009A11DC" w:rsidP="00101B18">
      <w:pPr>
        <w:spacing w:line="240" w:lineRule="auto"/>
      </w:pPr>
      <w:r>
        <w:separator/>
      </w:r>
    </w:p>
  </w:footnote>
  <w:footnote w:type="continuationSeparator" w:id="0">
    <w:p w14:paraId="7381105A" w14:textId="77777777" w:rsidR="009A11DC" w:rsidRDefault="009A11DC"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E22A8" w14:paraId="335BBF17" w14:textId="77777777" w:rsidTr="00FE22A8">
      <w:trPr>
        <w:trHeight w:hRule="exact" w:val="864"/>
      </w:trPr>
      <w:tc>
        <w:tcPr>
          <w:tcW w:w="4920" w:type="dxa"/>
          <w:shd w:val="clear" w:color="auto" w:fill="auto"/>
          <w:vAlign w:val="bottom"/>
        </w:tcPr>
        <w:p w14:paraId="1E1D49A2" w14:textId="0212F337" w:rsidR="00FE22A8" w:rsidRPr="00FE22A8" w:rsidRDefault="00FE22A8" w:rsidP="00FE22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8021C">
            <w:rPr>
              <w:b/>
              <w:color w:val="000000"/>
            </w:rPr>
            <w:t>CEDAW/C/70/1</w:t>
          </w:r>
          <w:r>
            <w:rPr>
              <w:b/>
              <w:color w:val="000000"/>
            </w:rPr>
            <w:fldChar w:fldCharType="end"/>
          </w:r>
        </w:p>
      </w:tc>
      <w:tc>
        <w:tcPr>
          <w:tcW w:w="4920" w:type="dxa"/>
          <w:shd w:val="clear" w:color="auto" w:fill="auto"/>
          <w:vAlign w:val="bottom"/>
        </w:tcPr>
        <w:p w14:paraId="649E98E0" w14:textId="77777777" w:rsidR="00FE22A8" w:rsidRDefault="00FE22A8" w:rsidP="00FE22A8">
          <w:pPr>
            <w:pStyle w:val="Header"/>
          </w:pPr>
        </w:p>
      </w:tc>
    </w:tr>
  </w:tbl>
  <w:p w14:paraId="61BE968B" w14:textId="77777777" w:rsidR="00FE22A8" w:rsidRPr="00FE22A8" w:rsidRDefault="00FE22A8" w:rsidP="00FE22A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E22A8" w14:paraId="5009AC1E" w14:textId="77777777" w:rsidTr="00FE22A8">
      <w:trPr>
        <w:trHeight w:hRule="exact" w:val="864"/>
      </w:trPr>
      <w:tc>
        <w:tcPr>
          <w:tcW w:w="4920" w:type="dxa"/>
          <w:shd w:val="clear" w:color="auto" w:fill="auto"/>
          <w:vAlign w:val="bottom"/>
        </w:tcPr>
        <w:p w14:paraId="53B3EF1A" w14:textId="77777777" w:rsidR="00FE22A8" w:rsidRDefault="00FE22A8" w:rsidP="00FE22A8">
          <w:pPr>
            <w:pStyle w:val="Header"/>
          </w:pPr>
        </w:p>
      </w:tc>
      <w:tc>
        <w:tcPr>
          <w:tcW w:w="4920" w:type="dxa"/>
          <w:shd w:val="clear" w:color="auto" w:fill="auto"/>
          <w:vAlign w:val="bottom"/>
        </w:tcPr>
        <w:p w14:paraId="38E8A4DE" w14:textId="77662215" w:rsidR="00FE22A8" w:rsidRPr="00FE22A8" w:rsidRDefault="00FE22A8" w:rsidP="00FE22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8021C">
            <w:rPr>
              <w:b/>
              <w:color w:val="000000"/>
            </w:rPr>
            <w:t>CEDAW/C/70/1</w:t>
          </w:r>
          <w:r>
            <w:rPr>
              <w:b/>
              <w:color w:val="000000"/>
            </w:rPr>
            <w:fldChar w:fldCharType="end"/>
          </w:r>
        </w:p>
      </w:tc>
    </w:tr>
  </w:tbl>
  <w:p w14:paraId="1E1CE214" w14:textId="77777777" w:rsidR="00FE22A8" w:rsidRPr="00FE22A8" w:rsidRDefault="00FE22A8" w:rsidP="00FE22A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E22A8" w14:paraId="55356617" w14:textId="77777777" w:rsidTr="00FE22A8">
      <w:trPr>
        <w:trHeight w:hRule="exact" w:val="864"/>
      </w:trPr>
      <w:tc>
        <w:tcPr>
          <w:tcW w:w="1267" w:type="dxa"/>
          <w:tcBorders>
            <w:bottom w:val="single" w:sz="4" w:space="0" w:color="auto"/>
          </w:tcBorders>
          <w:shd w:val="clear" w:color="auto" w:fill="auto"/>
          <w:vAlign w:val="bottom"/>
        </w:tcPr>
        <w:p w14:paraId="0A71FC63" w14:textId="77777777" w:rsidR="00FE22A8" w:rsidRDefault="00FE22A8" w:rsidP="00FE22A8">
          <w:pPr>
            <w:pStyle w:val="Header"/>
            <w:spacing w:after="120"/>
          </w:pPr>
        </w:p>
      </w:tc>
      <w:tc>
        <w:tcPr>
          <w:tcW w:w="2059" w:type="dxa"/>
          <w:tcBorders>
            <w:bottom w:val="single" w:sz="4" w:space="0" w:color="auto"/>
          </w:tcBorders>
          <w:shd w:val="clear" w:color="auto" w:fill="auto"/>
          <w:vAlign w:val="bottom"/>
        </w:tcPr>
        <w:p w14:paraId="51EC23E7" w14:textId="77777777" w:rsidR="00FE22A8" w:rsidRPr="00FE22A8" w:rsidRDefault="00FE22A8" w:rsidP="00FE22A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B2A28C3" w14:textId="77777777" w:rsidR="00FE22A8" w:rsidRDefault="00FE22A8" w:rsidP="00FE22A8">
          <w:pPr>
            <w:pStyle w:val="Header"/>
            <w:spacing w:after="120"/>
          </w:pPr>
        </w:p>
      </w:tc>
      <w:tc>
        <w:tcPr>
          <w:tcW w:w="6466" w:type="dxa"/>
          <w:gridSpan w:val="3"/>
          <w:tcBorders>
            <w:bottom w:val="single" w:sz="4" w:space="0" w:color="auto"/>
          </w:tcBorders>
          <w:shd w:val="clear" w:color="auto" w:fill="auto"/>
          <w:vAlign w:val="bottom"/>
        </w:tcPr>
        <w:p w14:paraId="4B6AA47E" w14:textId="77777777" w:rsidR="00FE22A8" w:rsidRPr="00FE22A8" w:rsidRDefault="00FE22A8" w:rsidP="00FE22A8">
          <w:pPr>
            <w:spacing w:after="80" w:line="240" w:lineRule="auto"/>
            <w:jc w:val="right"/>
            <w:rPr>
              <w:position w:val="-4"/>
            </w:rPr>
          </w:pPr>
          <w:r>
            <w:rPr>
              <w:position w:val="-4"/>
              <w:sz w:val="40"/>
            </w:rPr>
            <w:t>CEDAW</w:t>
          </w:r>
          <w:r>
            <w:rPr>
              <w:position w:val="-4"/>
            </w:rPr>
            <w:t>/C/70/1</w:t>
          </w:r>
        </w:p>
      </w:tc>
    </w:tr>
    <w:tr w:rsidR="00FE22A8" w:rsidRPr="00FE22A8" w14:paraId="0596DC6C" w14:textId="77777777" w:rsidTr="00FE22A8">
      <w:trPr>
        <w:trHeight w:hRule="exact" w:val="2880"/>
      </w:trPr>
      <w:tc>
        <w:tcPr>
          <w:tcW w:w="1267" w:type="dxa"/>
          <w:tcBorders>
            <w:top w:val="single" w:sz="4" w:space="0" w:color="auto"/>
            <w:bottom w:val="single" w:sz="12" w:space="0" w:color="auto"/>
          </w:tcBorders>
          <w:shd w:val="clear" w:color="auto" w:fill="auto"/>
        </w:tcPr>
        <w:p w14:paraId="7C9A64E8" w14:textId="77777777" w:rsidR="00FE22A8" w:rsidRPr="00FE22A8" w:rsidRDefault="00FE22A8" w:rsidP="00FE22A8">
          <w:pPr>
            <w:pStyle w:val="Header"/>
            <w:spacing w:before="120" w:line="240" w:lineRule="auto"/>
            <w:ind w:left="-72"/>
            <w:jc w:val="center"/>
          </w:pPr>
          <w:r>
            <w:t xml:space="preserve">  </w:t>
          </w:r>
          <w:r>
            <w:rPr>
              <w:noProof/>
            </w:rPr>
            <w:drawing>
              <wp:inline distT="0" distB="0" distL="0" distR="0" wp14:anchorId="1D845DCC" wp14:editId="7A0F218A">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1E0F58" w14:textId="77777777" w:rsidR="00FE22A8" w:rsidRPr="00FE22A8" w:rsidRDefault="00FE22A8" w:rsidP="00FE22A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E3F6E91" w14:textId="77777777" w:rsidR="00FE22A8" w:rsidRPr="00DD58A1" w:rsidRDefault="00FE22A8" w:rsidP="00FE22A8">
          <w:pPr>
            <w:pStyle w:val="Header"/>
            <w:spacing w:before="109"/>
            <w:rPr>
              <w:lang w:val="fr-FR"/>
            </w:rPr>
          </w:pPr>
        </w:p>
      </w:tc>
      <w:tc>
        <w:tcPr>
          <w:tcW w:w="3110" w:type="dxa"/>
          <w:tcBorders>
            <w:top w:val="single" w:sz="4" w:space="0" w:color="auto"/>
            <w:bottom w:val="single" w:sz="12" w:space="0" w:color="auto"/>
          </w:tcBorders>
          <w:shd w:val="clear" w:color="auto" w:fill="auto"/>
        </w:tcPr>
        <w:p w14:paraId="6281BB71" w14:textId="77777777" w:rsidR="00FE22A8" w:rsidRPr="00DD58A1" w:rsidRDefault="00FE22A8" w:rsidP="00FE22A8">
          <w:pPr>
            <w:pStyle w:val="Distribution"/>
            <w:rPr>
              <w:color w:val="000000"/>
              <w:lang w:val="fr-FR"/>
            </w:rPr>
          </w:pPr>
          <w:r w:rsidRPr="00DD58A1">
            <w:rPr>
              <w:color w:val="000000"/>
              <w:lang w:val="fr-FR"/>
            </w:rPr>
            <w:t>Distr. générale</w:t>
          </w:r>
        </w:p>
        <w:p w14:paraId="2600C72D" w14:textId="77777777" w:rsidR="00FE22A8" w:rsidRPr="00DD58A1" w:rsidRDefault="00FE22A8" w:rsidP="00FE22A8">
          <w:pPr>
            <w:pStyle w:val="Publication"/>
            <w:rPr>
              <w:color w:val="000000"/>
              <w:lang w:val="fr-FR"/>
            </w:rPr>
          </w:pPr>
          <w:r w:rsidRPr="00DD58A1">
            <w:rPr>
              <w:color w:val="000000"/>
              <w:lang w:val="fr-FR"/>
            </w:rPr>
            <w:t>11 avril 2018</w:t>
          </w:r>
        </w:p>
        <w:p w14:paraId="06E5DD1F" w14:textId="77777777" w:rsidR="00FE22A8" w:rsidRPr="00DD58A1" w:rsidRDefault="00FE22A8" w:rsidP="00FE22A8">
          <w:pPr>
            <w:rPr>
              <w:lang w:val="fr-FR"/>
            </w:rPr>
          </w:pPr>
          <w:r w:rsidRPr="00DD58A1">
            <w:rPr>
              <w:lang w:val="fr-FR"/>
            </w:rPr>
            <w:t>Français</w:t>
          </w:r>
        </w:p>
        <w:p w14:paraId="7121AB71" w14:textId="77777777" w:rsidR="008257A3" w:rsidRDefault="00FE22A8" w:rsidP="00683685">
          <w:pPr>
            <w:pStyle w:val="Original"/>
            <w:rPr>
              <w:color w:val="000000"/>
              <w:lang w:val="fr-FR"/>
            </w:rPr>
          </w:pPr>
          <w:r w:rsidRPr="00DD58A1">
            <w:rPr>
              <w:color w:val="000000"/>
              <w:lang w:val="fr-FR"/>
            </w:rPr>
            <w:t>Original : anglais</w:t>
          </w:r>
        </w:p>
        <w:p w14:paraId="3B60A496" w14:textId="5BF90DD7" w:rsidR="00683685" w:rsidRPr="00683685" w:rsidRDefault="008257A3" w:rsidP="00683685">
          <w:pPr>
            <w:pStyle w:val="Original"/>
            <w:rPr>
              <w:color w:val="000000"/>
              <w:lang w:val="fr-FR"/>
            </w:rPr>
          </w:pPr>
          <w:r>
            <w:rPr>
              <w:color w:val="000000"/>
              <w:lang w:val="fr-FR"/>
            </w:rPr>
            <w:t>Anglais</w:t>
          </w:r>
          <w:r w:rsidR="00683685">
            <w:rPr>
              <w:color w:val="000000"/>
              <w:lang w:val="fr-FR"/>
            </w:rPr>
            <w:t xml:space="preserve">, </w:t>
          </w:r>
          <w:r w:rsidRPr="00683685">
            <w:rPr>
              <w:lang w:val="fr-CA"/>
            </w:rPr>
            <w:t xml:space="preserve">espagnol </w:t>
          </w:r>
          <w:r>
            <w:rPr>
              <w:lang w:val="fr-CA"/>
            </w:rPr>
            <w:t xml:space="preserve">et français </w:t>
          </w:r>
          <w:r w:rsidR="00683685" w:rsidRPr="00683685">
            <w:rPr>
              <w:lang w:val="fr-CA"/>
            </w:rPr>
            <w:t>uniquement</w:t>
          </w:r>
        </w:p>
      </w:tc>
    </w:tr>
  </w:tbl>
  <w:p w14:paraId="0792CB1E" w14:textId="77777777" w:rsidR="00FE22A8" w:rsidRPr="00DD58A1" w:rsidRDefault="00FE22A8" w:rsidP="00FE22A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9ECEC1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55E8F95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B5FAB3F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33ACBCF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5707*"/>
    <w:docVar w:name="CreationDt" w:val="23/04/2018 09:56:28"/>
    <w:docVar w:name="DocCategory" w:val="Doc"/>
    <w:docVar w:name="DocType" w:val="Final"/>
    <w:docVar w:name="DutyStation" w:val="New York"/>
    <w:docVar w:name="FooterJN" w:val="18-05707"/>
    <w:docVar w:name="jobn" w:val="18-05707 (F)"/>
    <w:docVar w:name="jobnDT" w:val="18-05707 (F)   230418"/>
    <w:docVar w:name="jobnDTDT" w:val="18-05707 (F)   230418   230418"/>
    <w:docVar w:name="JobNo" w:val="1805707F"/>
    <w:docVar w:name="JobNo2" w:val="1810265F"/>
    <w:docVar w:name="LocalDrive" w:val="0"/>
    <w:docVar w:name="OandT" w:val="VLG"/>
    <w:docVar w:name="sss1" w:val="CEDAW/C/70/1"/>
    <w:docVar w:name="sss2" w:val="-"/>
    <w:docVar w:name="Symbol1" w:val="CEDAW/C/70/1"/>
    <w:docVar w:name="Symbol2" w:val="-"/>
  </w:docVars>
  <w:rsids>
    <w:rsidRoot w:val="009A11DC"/>
    <w:rsid w:val="00002584"/>
    <w:rsid w:val="00007941"/>
    <w:rsid w:val="00054245"/>
    <w:rsid w:val="000625F8"/>
    <w:rsid w:val="00071D43"/>
    <w:rsid w:val="00072AB2"/>
    <w:rsid w:val="00101B18"/>
    <w:rsid w:val="00120D00"/>
    <w:rsid w:val="00122A56"/>
    <w:rsid w:val="00134FEE"/>
    <w:rsid w:val="00146C6A"/>
    <w:rsid w:val="00164F96"/>
    <w:rsid w:val="00166A0D"/>
    <w:rsid w:val="001C57BB"/>
    <w:rsid w:val="001E4B50"/>
    <w:rsid w:val="001E61FD"/>
    <w:rsid w:val="001F49D8"/>
    <w:rsid w:val="00213B56"/>
    <w:rsid w:val="002478A0"/>
    <w:rsid w:val="00252158"/>
    <w:rsid w:val="002A5E20"/>
    <w:rsid w:val="002D1D8F"/>
    <w:rsid w:val="002F7817"/>
    <w:rsid w:val="00303D48"/>
    <w:rsid w:val="00351ADA"/>
    <w:rsid w:val="00366D21"/>
    <w:rsid w:val="003B44B2"/>
    <w:rsid w:val="003E7AFE"/>
    <w:rsid w:val="003F15B1"/>
    <w:rsid w:val="003F61E1"/>
    <w:rsid w:val="00403508"/>
    <w:rsid w:val="00426D67"/>
    <w:rsid w:val="00440C93"/>
    <w:rsid w:val="004667CD"/>
    <w:rsid w:val="00480B84"/>
    <w:rsid w:val="004C1A25"/>
    <w:rsid w:val="004E2EC9"/>
    <w:rsid w:val="00515991"/>
    <w:rsid w:val="00517574"/>
    <w:rsid w:val="005225EC"/>
    <w:rsid w:val="0053685B"/>
    <w:rsid w:val="00556A58"/>
    <w:rsid w:val="005F1F5F"/>
    <w:rsid w:val="006359F6"/>
    <w:rsid w:val="00652E8B"/>
    <w:rsid w:val="00653DBD"/>
    <w:rsid w:val="00656403"/>
    <w:rsid w:val="00657C88"/>
    <w:rsid w:val="00683685"/>
    <w:rsid w:val="007459AE"/>
    <w:rsid w:val="0075233A"/>
    <w:rsid w:val="007531A5"/>
    <w:rsid w:val="00771C9E"/>
    <w:rsid w:val="0078021C"/>
    <w:rsid w:val="007B55ED"/>
    <w:rsid w:val="007E2886"/>
    <w:rsid w:val="007F22E3"/>
    <w:rsid w:val="0082045E"/>
    <w:rsid w:val="008222A3"/>
    <w:rsid w:val="008257A3"/>
    <w:rsid w:val="00883622"/>
    <w:rsid w:val="00885C4E"/>
    <w:rsid w:val="008869DF"/>
    <w:rsid w:val="008D7942"/>
    <w:rsid w:val="00935932"/>
    <w:rsid w:val="00993CB7"/>
    <w:rsid w:val="009A11DC"/>
    <w:rsid w:val="009A2713"/>
    <w:rsid w:val="009C4CD5"/>
    <w:rsid w:val="009F6227"/>
    <w:rsid w:val="00A13A0F"/>
    <w:rsid w:val="00A2494D"/>
    <w:rsid w:val="00A24A9F"/>
    <w:rsid w:val="00AB0B7D"/>
    <w:rsid w:val="00AB182F"/>
    <w:rsid w:val="00AB4DFF"/>
    <w:rsid w:val="00AC7C22"/>
    <w:rsid w:val="00AD5F2F"/>
    <w:rsid w:val="00B4537B"/>
    <w:rsid w:val="00B84320"/>
    <w:rsid w:val="00B858D5"/>
    <w:rsid w:val="00C62DFA"/>
    <w:rsid w:val="00C81207"/>
    <w:rsid w:val="00CA7CA2"/>
    <w:rsid w:val="00CB06FB"/>
    <w:rsid w:val="00CB63C5"/>
    <w:rsid w:val="00CE649A"/>
    <w:rsid w:val="00D30EED"/>
    <w:rsid w:val="00DD1128"/>
    <w:rsid w:val="00DD58A1"/>
    <w:rsid w:val="00E343A6"/>
    <w:rsid w:val="00E7105F"/>
    <w:rsid w:val="00E72F7F"/>
    <w:rsid w:val="00E950A6"/>
    <w:rsid w:val="00EE37EC"/>
    <w:rsid w:val="00EF2DFA"/>
    <w:rsid w:val="00F5012D"/>
    <w:rsid w:val="00F73093"/>
    <w:rsid w:val="00FA3D05"/>
    <w:rsid w:val="00FA5CC9"/>
    <w:rsid w:val="00FB0A2C"/>
    <w:rsid w:val="00FB724A"/>
    <w:rsid w:val="00FC59F1"/>
    <w:rsid w:val="00FC633F"/>
    <w:rsid w:val="00FE22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530D67"/>
  <w15:chartTrackingRefBased/>
  <w15:docId w15:val="{DFF10413-A882-471C-9497-B46812E5C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288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288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288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288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288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288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288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288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288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288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2886"/>
    <w:pPr>
      <w:keepNext/>
      <w:keepLines/>
      <w:suppressAutoHyphens/>
      <w:spacing w:line="270" w:lineRule="exact"/>
      <w:outlineLvl w:val="0"/>
    </w:pPr>
    <w:rPr>
      <w:b/>
      <w:sz w:val="24"/>
    </w:rPr>
  </w:style>
  <w:style w:type="paragraph" w:customStyle="1" w:styleId="HCH">
    <w:name w:val="_ H _CH"/>
    <w:basedOn w:val="H1"/>
    <w:next w:val="Normal"/>
    <w:qFormat/>
    <w:rsid w:val="007E2886"/>
    <w:pPr>
      <w:spacing w:line="300" w:lineRule="exact"/>
    </w:pPr>
    <w:rPr>
      <w:spacing w:val="-2"/>
      <w:sz w:val="28"/>
    </w:rPr>
  </w:style>
  <w:style w:type="paragraph" w:customStyle="1" w:styleId="HM">
    <w:name w:val="_ H __M"/>
    <w:basedOn w:val="HCH"/>
    <w:next w:val="Normal"/>
    <w:qFormat/>
    <w:rsid w:val="007E2886"/>
    <w:pPr>
      <w:spacing w:line="360" w:lineRule="exact"/>
    </w:pPr>
    <w:rPr>
      <w:spacing w:val="-3"/>
      <w:w w:val="99"/>
      <w:sz w:val="34"/>
    </w:rPr>
  </w:style>
  <w:style w:type="paragraph" w:customStyle="1" w:styleId="H23">
    <w:name w:val="_ H_2/3"/>
    <w:basedOn w:val="H1"/>
    <w:next w:val="SingleTxt"/>
    <w:qFormat/>
    <w:rsid w:val="007E2886"/>
    <w:pPr>
      <w:spacing w:line="240" w:lineRule="exact"/>
      <w:outlineLvl w:val="1"/>
    </w:pPr>
    <w:rPr>
      <w:spacing w:val="2"/>
      <w:sz w:val="20"/>
    </w:rPr>
  </w:style>
  <w:style w:type="paragraph" w:customStyle="1" w:styleId="H4">
    <w:name w:val="_ H_4"/>
    <w:basedOn w:val="Normal"/>
    <w:next w:val="SingleTxt"/>
    <w:qFormat/>
    <w:rsid w:val="007E2886"/>
    <w:pPr>
      <w:keepNext/>
      <w:keepLines/>
      <w:tabs>
        <w:tab w:val="right" w:pos="360"/>
      </w:tabs>
      <w:suppressAutoHyphens/>
      <w:outlineLvl w:val="3"/>
    </w:pPr>
    <w:rPr>
      <w:i/>
      <w:spacing w:val="3"/>
    </w:rPr>
  </w:style>
  <w:style w:type="paragraph" w:customStyle="1" w:styleId="H56">
    <w:name w:val="_ H_5/6"/>
    <w:basedOn w:val="Normal"/>
    <w:next w:val="Normal"/>
    <w:qFormat/>
    <w:rsid w:val="007E28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28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28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2886"/>
    <w:pPr>
      <w:spacing w:line="540" w:lineRule="exact"/>
    </w:pPr>
    <w:rPr>
      <w:spacing w:val="-8"/>
      <w:w w:val="96"/>
      <w:sz w:val="57"/>
    </w:rPr>
  </w:style>
  <w:style w:type="paragraph" w:customStyle="1" w:styleId="SS">
    <w:name w:val="__S_S"/>
    <w:basedOn w:val="HCH"/>
    <w:next w:val="Normal"/>
    <w:qFormat/>
    <w:rsid w:val="007E2886"/>
    <w:pPr>
      <w:ind w:left="1267" w:right="1267"/>
    </w:pPr>
  </w:style>
  <w:style w:type="paragraph" w:customStyle="1" w:styleId="SingleTxt">
    <w:name w:val="__Single Txt"/>
    <w:basedOn w:val="Normal"/>
    <w:qFormat/>
    <w:rsid w:val="007E28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288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288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288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288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288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2886"/>
    <w:pPr>
      <w:numPr>
        <w:numId w:val="1"/>
      </w:numPr>
      <w:spacing w:after="120"/>
      <w:ind w:right="1267"/>
      <w:jc w:val="both"/>
    </w:pPr>
  </w:style>
  <w:style w:type="paragraph" w:customStyle="1" w:styleId="Bullet2">
    <w:name w:val="Bullet 2"/>
    <w:basedOn w:val="Normal"/>
    <w:qFormat/>
    <w:rsid w:val="007E2886"/>
    <w:pPr>
      <w:numPr>
        <w:numId w:val="2"/>
      </w:numPr>
      <w:spacing w:after="120"/>
      <w:ind w:right="1264"/>
      <w:jc w:val="both"/>
    </w:pPr>
  </w:style>
  <w:style w:type="paragraph" w:customStyle="1" w:styleId="Bullet3">
    <w:name w:val="Bullet 3"/>
    <w:basedOn w:val="SingleTxt"/>
    <w:qFormat/>
    <w:rsid w:val="007E288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288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28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2886"/>
    <w:pPr>
      <w:spacing w:line="210" w:lineRule="exact"/>
    </w:pPr>
    <w:rPr>
      <w:sz w:val="17"/>
      <w:szCs w:val="20"/>
    </w:rPr>
  </w:style>
  <w:style w:type="character" w:customStyle="1" w:styleId="EndnoteTextChar">
    <w:name w:val="Endnote Text Char"/>
    <w:link w:val="EndnoteText"/>
    <w:uiPriority w:val="99"/>
    <w:semiHidden/>
    <w:rsid w:val="007E288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288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288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7E288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2886"/>
    <w:pPr>
      <w:spacing w:line="210" w:lineRule="exact"/>
    </w:pPr>
    <w:rPr>
      <w:sz w:val="17"/>
      <w:szCs w:val="20"/>
    </w:rPr>
  </w:style>
  <w:style w:type="character" w:customStyle="1" w:styleId="FootnoteTextChar">
    <w:name w:val="Footnote Text Char"/>
    <w:link w:val="FootnoteText"/>
    <w:uiPriority w:val="99"/>
    <w:rsid w:val="007E288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288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288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288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288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288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288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288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288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288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288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288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2886"/>
    <w:rPr>
      <w:sz w:val="14"/>
    </w:rPr>
  </w:style>
  <w:style w:type="paragraph" w:styleId="ListParagraph">
    <w:name w:val="List Paragraph"/>
    <w:basedOn w:val="Normal"/>
    <w:uiPriority w:val="34"/>
    <w:rsid w:val="007E2886"/>
    <w:pPr>
      <w:ind w:left="720"/>
      <w:contextualSpacing/>
    </w:pPr>
  </w:style>
  <w:style w:type="paragraph" w:styleId="NoSpacing">
    <w:name w:val="No Spacing"/>
    <w:uiPriority w:val="1"/>
    <w:rsid w:val="007E288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288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288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288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2886"/>
    <w:pPr>
      <w:tabs>
        <w:tab w:val="right" w:pos="9965"/>
      </w:tabs>
      <w:spacing w:line="210" w:lineRule="exact"/>
    </w:pPr>
    <w:rPr>
      <w:spacing w:val="5"/>
      <w:w w:val="104"/>
      <w:sz w:val="17"/>
    </w:rPr>
  </w:style>
  <w:style w:type="paragraph" w:customStyle="1" w:styleId="SmallX">
    <w:name w:val="SmallX"/>
    <w:basedOn w:val="Small"/>
    <w:next w:val="Normal"/>
    <w:qFormat/>
    <w:rsid w:val="007E2886"/>
    <w:pPr>
      <w:spacing w:line="180" w:lineRule="exact"/>
      <w:jc w:val="right"/>
    </w:pPr>
    <w:rPr>
      <w:spacing w:val="6"/>
      <w:w w:val="106"/>
      <w:sz w:val="14"/>
    </w:rPr>
  </w:style>
  <w:style w:type="character" w:styleId="Strong">
    <w:name w:val="Strong"/>
    <w:uiPriority w:val="22"/>
    <w:rsid w:val="007E2886"/>
    <w:rPr>
      <w:b/>
      <w:bCs/>
    </w:rPr>
  </w:style>
  <w:style w:type="paragraph" w:customStyle="1" w:styleId="Style1">
    <w:name w:val="Style1"/>
    <w:basedOn w:val="Normal"/>
    <w:qFormat/>
    <w:rsid w:val="007E2886"/>
  </w:style>
  <w:style w:type="paragraph" w:customStyle="1" w:styleId="Style2">
    <w:name w:val="Style2"/>
    <w:basedOn w:val="Normal"/>
    <w:autoRedefine/>
    <w:qFormat/>
    <w:rsid w:val="007E2886"/>
  </w:style>
  <w:style w:type="paragraph" w:customStyle="1" w:styleId="TitleHCH">
    <w:name w:val="Title_H_CH"/>
    <w:basedOn w:val="H1"/>
    <w:next w:val="Normal"/>
    <w:qFormat/>
    <w:rsid w:val="007E2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2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2886"/>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FE22A8"/>
    <w:rPr>
      <w:sz w:val="16"/>
      <w:szCs w:val="16"/>
    </w:rPr>
  </w:style>
  <w:style w:type="paragraph" w:styleId="CommentText">
    <w:name w:val="annotation text"/>
    <w:basedOn w:val="Normal"/>
    <w:link w:val="CommentTextChar"/>
    <w:uiPriority w:val="99"/>
    <w:semiHidden/>
    <w:unhideWhenUsed/>
    <w:rsid w:val="00FE22A8"/>
    <w:pPr>
      <w:spacing w:line="240" w:lineRule="auto"/>
    </w:pPr>
    <w:rPr>
      <w:szCs w:val="20"/>
    </w:rPr>
  </w:style>
  <w:style w:type="character" w:customStyle="1" w:styleId="CommentTextChar">
    <w:name w:val="Comment Text Char"/>
    <w:basedOn w:val="DefaultParagraphFont"/>
    <w:link w:val="CommentText"/>
    <w:uiPriority w:val="99"/>
    <w:semiHidden/>
    <w:rsid w:val="00FE22A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E22A8"/>
    <w:rPr>
      <w:b/>
      <w:bCs/>
    </w:rPr>
  </w:style>
  <w:style w:type="character" w:customStyle="1" w:styleId="CommentSubjectChar">
    <w:name w:val="Comment Subject Char"/>
    <w:basedOn w:val="CommentTextChar"/>
    <w:link w:val="CommentSubject"/>
    <w:uiPriority w:val="99"/>
    <w:semiHidden/>
    <w:rsid w:val="00FE22A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B4DFF"/>
    <w:rPr>
      <w:color w:val="0000FF" w:themeColor="hyperlink"/>
      <w:u w:val="none"/>
    </w:rPr>
  </w:style>
  <w:style w:type="character" w:styleId="FollowedHyperlink">
    <w:name w:val="FollowedHyperlink"/>
    <w:basedOn w:val="DefaultParagraphFont"/>
    <w:uiPriority w:val="99"/>
    <w:semiHidden/>
    <w:unhideWhenUsed/>
    <w:rsid w:val="00AB4DFF"/>
    <w:rPr>
      <w:color w:val="0000FF"/>
      <w:u w:val="none"/>
    </w:rPr>
  </w:style>
  <w:style w:type="character" w:styleId="UnresolvedMention">
    <w:name w:val="Unresolved Mention"/>
    <w:basedOn w:val="DefaultParagraphFont"/>
    <w:uiPriority w:val="99"/>
    <w:semiHidden/>
    <w:unhideWhenUsed/>
    <w:rsid w:val="00AB4DFF"/>
    <w:rPr>
      <w:color w:val="808080"/>
      <w:shd w:val="clear" w:color="auto" w:fill="E6E6E6"/>
    </w:rPr>
  </w:style>
  <w:style w:type="paragraph" w:styleId="Revision">
    <w:name w:val="Revision"/>
    <w:hidden/>
    <w:uiPriority w:val="99"/>
    <w:semiHidden/>
    <w:rsid w:val="0088362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YP/8" TargetMode="External"/><Relationship Id="rId26" Type="http://schemas.openxmlformats.org/officeDocument/2006/relationships/hyperlink" Target="https://undocs.org/fr/CEDAW/C/CYP/Q/8" TargetMode="External"/><Relationship Id="rId39" Type="http://schemas.openxmlformats.org/officeDocument/2006/relationships/hyperlink" Target="https://undocs.org/fr/CEDAW/C/TKM/Q/5/Add.1" TargetMode="External"/><Relationship Id="rId3" Type="http://schemas.openxmlformats.org/officeDocument/2006/relationships/settings" Target="settings.xml"/><Relationship Id="rId21" Type="http://schemas.openxmlformats.org/officeDocument/2006/relationships/hyperlink" Target="https://undocs.org/fr/CEDAW/C/LIE/5&#160;;" TargetMode="External"/><Relationship Id="rId34" Type="http://schemas.openxmlformats.org/officeDocument/2006/relationships/hyperlink" Target="https://undocs.org/fr/CEDAW/C/CYP/Q/8/Add.1"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US/8" TargetMode="External"/><Relationship Id="rId25" Type="http://schemas.openxmlformats.org/officeDocument/2006/relationships/hyperlink" Target="https://undocs.org/fr/CEDAW/C/AUS/Q/8" TargetMode="External"/><Relationship Id="rId33" Type="http://schemas.openxmlformats.org/officeDocument/2006/relationships/hyperlink" Target="https://undocs.org/fr/CEDAW/C/AUS/Q/8/Add.1" TargetMode="External"/><Relationship Id="rId38" Type="http://schemas.openxmlformats.org/officeDocument/2006/relationships/hyperlink" Target="https://undocs.org/fr/CEDAW/C/NZL/Q/8/Add.1" TargetMode="External"/><Relationship Id="rId2" Type="http://schemas.openxmlformats.org/officeDocument/2006/relationships/styles" Target="styles.xml"/><Relationship Id="rId16" Type="http://schemas.openxmlformats.org/officeDocument/2006/relationships/hyperlink" Target="https://undocs.org/fr/CEDAW/C/PSWG/70/1" TargetMode="External"/><Relationship Id="rId20" Type="http://schemas.openxmlformats.org/officeDocument/2006/relationships/hyperlink" Target="https://undocs.org/fr/CEDAW/C/COK/2-3" TargetMode="External"/><Relationship Id="rId29" Type="http://schemas.openxmlformats.org/officeDocument/2006/relationships/hyperlink" Target="https://undocs.org/fr/CEDAW/C/LIE/QRP/5"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TKM/5" TargetMode="External"/><Relationship Id="rId32" Type="http://schemas.openxmlformats.org/officeDocument/2006/relationships/hyperlink" Target="https://undocs.org/fr/CEDAW/C/TKM/Q/5" TargetMode="External"/><Relationship Id="rId37" Type="http://schemas.openxmlformats.org/officeDocument/2006/relationships/hyperlink" Target="https://undocs.org/fr/CEDAW/C/MEX/Q/9/Add.1" TargetMode="External"/><Relationship Id="rId40" Type="http://schemas.openxmlformats.org/officeDocument/2006/relationships/hyperlink" Target="https://undocs.org/fr/CEDAW/C/71/1" TargetMode="External"/><Relationship Id="rId5" Type="http://schemas.openxmlformats.org/officeDocument/2006/relationships/footnotes" Target="footnotes.xml"/><Relationship Id="rId15" Type="http://schemas.openxmlformats.org/officeDocument/2006/relationships/hyperlink" Target="https://undocs.org/fr/CEDAW/C/70/1" TargetMode="External"/><Relationship Id="rId23" Type="http://schemas.openxmlformats.org/officeDocument/2006/relationships/hyperlink" Target="https://undocs.org/fr/CEDAW/C/NZL/8" TargetMode="External"/><Relationship Id="rId28" Type="http://schemas.openxmlformats.org/officeDocument/2006/relationships/hyperlink" Target="https://undocs.org/fr/CEDAW/C/COK/Q/2-3" TargetMode="External"/><Relationship Id="rId36" Type="http://schemas.openxmlformats.org/officeDocument/2006/relationships/hyperlink" Target="https://undocs.org/fr/CEDAW/C/COK/Q/2-3/Add.1" TargetMode="External"/><Relationship Id="rId10" Type="http://schemas.openxmlformats.org/officeDocument/2006/relationships/footer" Target="footer2.xml"/><Relationship Id="rId19" Type="http://schemas.openxmlformats.org/officeDocument/2006/relationships/hyperlink" Target="https://undocs.org/fr/CEDAW/C/PSE/1" TargetMode="External"/><Relationship Id="rId31" Type="http://schemas.openxmlformats.org/officeDocument/2006/relationships/hyperlink" Target="https://undocs.org/fr/CEDAW/C/NZL/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EX/9" TargetMode="External"/><Relationship Id="rId27" Type="http://schemas.openxmlformats.org/officeDocument/2006/relationships/hyperlink" Target="https://undocs.org/fr/CEDAW/C/PSE/Q/1" TargetMode="External"/><Relationship Id="rId30" Type="http://schemas.openxmlformats.org/officeDocument/2006/relationships/hyperlink" Target="https://undocs.org/fr/CEDAW/C/MEX/Q/9" TargetMode="External"/><Relationship Id="rId35" Type="http://schemas.openxmlformats.org/officeDocument/2006/relationships/hyperlink" Target="https://undocs.org/fr/CEDAW/C/PSE/Q/1/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Sandra Larroque</dc:creator>
  <cp:keywords/>
  <dc:description/>
  <cp:lastModifiedBy>French Text Processing</cp:lastModifiedBy>
  <cp:revision>3</cp:revision>
  <cp:lastPrinted>2018-04-26T15:27:00Z</cp:lastPrinted>
  <dcterms:created xsi:type="dcterms:W3CDTF">2018-04-26T15:26:00Z</dcterms:created>
  <dcterms:modified xsi:type="dcterms:W3CDTF">2018-04-26T15:27:00Z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1805707F</vt:lpwstr>
  </property>
  <property fmtid="{D5CDD505-2E9C-101B-9397-08002B2CF9AE}" pid="3" name="ODSRefJobNo">
    <vt:lpwstr>1810265F</vt:lpwstr>
  </property>
  <property fmtid="{D5CDD505-2E9C-101B-9397-08002B2CF9AE}" pid="4" name="Symbol1">
    <vt:lpwstr>CEDAW/C/70/1</vt:lpwstr>
  </property>
  <property fmtid="{D5CDD505-2E9C-101B-9397-08002B2CF9AE}" pid="5" name="Symbol2">
    <vt:lpwstr/>
  </property>
  <property fmtid="{D5CDD505-2E9C-101B-9397-08002B2CF9AE}" pid="6" name="Translator">
    <vt:lpwstr/>
  </property>
  <property fmtid="{D5CDD505-2E9C-101B-9397-08002B2CF9AE}" pid="7" name="Operator">
    <vt:lpwstr>VLG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français et espagnol uniquement_x000d__x0007_</vt:lpwstr>
  </property>
  <property fmtid="{D5CDD505-2E9C-101B-9397-08002B2CF9AE}" pid="13" name="Release Date">
    <vt:lpwstr/>
  </property>
  <property fmtid="{D5CDD505-2E9C-101B-9397-08002B2CF9AE}" pid="14" name="Session">
    <vt:lpwstr>Soixante-dixième session_x000d_</vt:lpwstr>
  </property>
  <property fmtid="{D5CDD505-2E9C-101B-9397-08002B2CF9AE}" pid="15" name="Agenda">
    <vt:lpwstr>Point 2 de l’ordre du jour provisoire_x000d_</vt:lpwstr>
  </property>
  <property fmtid="{D5CDD505-2E9C-101B-9397-08002B2CF9AE}" pid="16" name="Agenda Title0">
    <vt:lpwstr>Adoption de l’ordre du jour et organisation des travaux_x000d_</vt:lpwstr>
  </property>
  <property fmtid="{D5CDD505-2E9C-101B-9397-08002B2CF9AE}" pid="17" name="Title1">
    <vt:lpwstr>		Ordre du jour provisoire annoté_x000d_</vt:lpwstr>
  </property>
</Properties>
</file>