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3302"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Cs/>
              </w:rPr>
            </w:pPr>
            <w:r>
              <w:rPr>
                <w:iCs/>
                <w:sz w:val="40"/>
              </w:rPr>
              <w:t>М</w:t>
            </w:r>
            <w:r>
              <w:rPr>
                <w:iCs/>
              </w:rPr>
              <w:t xml:space="preserve">ЕЖДУНАРОДНАЯ </w:t>
            </w:r>
            <w:r>
              <w:rPr>
                <w:iCs/>
              </w:rPr>
              <w:br/>
              <w:t xml:space="preserve">КОНВЕНЦИЯ </w:t>
            </w:r>
            <w:r>
              <w:rPr>
                <w:iCs/>
              </w:rPr>
              <w:br/>
              <w:t xml:space="preserve">О ЛИКВИДАЦИИ </w:t>
            </w:r>
            <w:r>
              <w:rPr>
                <w:iCs/>
              </w:rPr>
              <w:br/>
              <w:t xml:space="preserve">ВСЕХ ФОРМ </w:t>
            </w:r>
            <w:r>
              <w:rPr>
                <w:iCs/>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СERD/C/SR.1795</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22 August 2008</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lang w:val="en-US"/>
              </w:rPr>
            </w:pPr>
            <w:r>
              <w:rPr>
                <w:sz w:val="22"/>
                <w:lang w:val="en-US"/>
              </w:rPr>
              <w:t>Original:  FRENCH</w:t>
            </w:r>
          </w:p>
          <w:p w:rsidR="00000000" w:rsidRDefault="00000000">
            <w:pPr>
              <w:tabs>
                <w:tab w:val="left" w:pos="0"/>
                <w:tab w:val="left" w:pos="7086"/>
              </w:tabs>
              <w:suppressAutoHyphens/>
              <w:spacing w:line="216" w:lineRule="auto"/>
              <w:ind w:left="284"/>
              <w:rPr>
                <w:sz w:val="22"/>
                <w:lang w:val="en-US"/>
              </w:rPr>
            </w:pPr>
          </w:p>
        </w:tc>
      </w:tr>
    </w:tbl>
    <w:p w:rsidR="00000000" w:rsidRDefault="00000000">
      <w:pPr>
        <w:pStyle w:val="16"/>
        <w:tabs>
          <w:tab w:val="clear" w:pos="567"/>
          <w:tab w:val="clear" w:pos="1134"/>
          <w:tab w:val="clear" w:pos="1701"/>
          <w:tab w:val="clear" w:pos="2268"/>
          <w:tab w:val="clear" w:pos="6237"/>
          <w:tab w:val="left" w:pos="680"/>
        </w:tabs>
        <w:spacing w:before="120" w:after="120"/>
        <w:rPr>
          <w:szCs w:val="24"/>
        </w:rPr>
      </w:pPr>
      <w:r>
        <w:rPr>
          <w:szCs w:val="24"/>
        </w:rPr>
        <w:t>КОМИТЕТ ПО ЛИКВИДАЦИИ РАСОВОЙ ДИСКРИМИНАЦИИ</w:t>
      </w:r>
    </w:p>
    <w:p w:rsidR="00000000" w:rsidRDefault="00000000">
      <w:pPr>
        <w:tabs>
          <w:tab w:val="clear" w:pos="567"/>
          <w:tab w:val="clear" w:pos="1134"/>
          <w:tab w:val="clear" w:pos="1701"/>
          <w:tab w:val="clear" w:pos="2268"/>
          <w:tab w:val="clear" w:pos="6237"/>
          <w:tab w:val="left" w:pos="680"/>
        </w:tabs>
        <w:spacing w:before="120" w:after="120"/>
        <w:jc w:val="center"/>
        <w:rPr>
          <w:szCs w:val="24"/>
        </w:rPr>
      </w:pPr>
      <w:r>
        <w:rPr>
          <w:szCs w:val="24"/>
        </w:rPr>
        <w:t>Семидесятая сессия</w:t>
      </w:r>
    </w:p>
    <w:p w:rsidR="00000000" w:rsidRDefault="00000000">
      <w:pPr>
        <w:tabs>
          <w:tab w:val="clear" w:pos="567"/>
          <w:tab w:val="clear" w:pos="1134"/>
          <w:tab w:val="clear" w:pos="1701"/>
          <w:tab w:val="clear" w:pos="2268"/>
          <w:tab w:val="clear" w:pos="6237"/>
          <w:tab w:val="left" w:pos="680"/>
        </w:tabs>
        <w:spacing w:before="120" w:after="120"/>
        <w:jc w:val="center"/>
        <w:rPr>
          <w:szCs w:val="24"/>
        </w:rPr>
      </w:pPr>
      <w:r>
        <w:rPr>
          <w:szCs w:val="24"/>
        </w:rPr>
        <w:t>КРАТКИЙ ОТЧЕТ О 1795-м ЗАСЕДАНИИ,</w:t>
      </w:r>
    </w:p>
    <w:p w:rsidR="00000000" w:rsidRDefault="00000000">
      <w:pPr>
        <w:tabs>
          <w:tab w:val="clear" w:pos="567"/>
          <w:tab w:val="clear" w:pos="1134"/>
          <w:tab w:val="clear" w:pos="1701"/>
          <w:tab w:val="clear" w:pos="2268"/>
          <w:tab w:val="clear" w:pos="6237"/>
          <w:tab w:val="left" w:pos="680"/>
        </w:tabs>
        <w:spacing w:before="120" w:after="120"/>
        <w:jc w:val="center"/>
        <w:rPr>
          <w:szCs w:val="24"/>
        </w:rPr>
      </w:pPr>
      <w:r>
        <w:rPr>
          <w:szCs w:val="24"/>
        </w:rPr>
        <w:t>состоявшемся во Дворце Вильсона в Женеве</w:t>
      </w:r>
      <w:r>
        <w:rPr>
          <w:szCs w:val="24"/>
        </w:rPr>
        <w:br/>
        <w:t>в пятницу, 23 февраля 2007 года, в 10 час. 00 мин.</w:t>
      </w:r>
    </w:p>
    <w:p w:rsidR="00000000" w:rsidRDefault="00000000">
      <w:pPr>
        <w:tabs>
          <w:tab w:val="clear" w:pos="567"/>
          <w:tab w:val="clear" w:pos="1134"/>
          <w:tab w:val="clear" w:pos="1701"/>
          <w:tab w:val="clear" w:pos="2268"/>
          <w:tab w:val="clear" w:pos="6237"/>
          <w:tab w:val="right" w:pos="6124"/>
        </w:tabs>
        <w:spacing w:before="120" w:after="120"/>
        <w:jc w:val="center"/>
        <w:rPr>
          <w:szCs w:val="24"/>
        </w:rPr>
      </w:pPr>
      <w:r>
        <w:rPr>
          <w:szCs w:val="24"/>
          <w:u w:val="single"/>
        </w:rPr>
        <w:t>Председатель</w:t>
      </w:r>
      <w:r>
        <w:rPr>
          <w:szCs w:val="24"/>
        </w:rPr>
        <w:t>:  г-н ЮТСИС (Заместитель Председателя)</w:t>
      </w:r>
    </w:p>
    <w:p w:rsidR="00000000" w:rsidRDefault="00000000">
      <w:pPr>
        <w:tabs>
          <w:tab w:val="clear" w:pos="567"/>
          <w:tab w:val="clear" w:pos="1134"/>
          <w:tab w:val="clear" w:pos="1701"/>
          <w:tab w:val="clear" w:pos="2268"/>
          <w:tab w:val="clear" w:pos="6237"/>
          <w:tab w:val="left" w:pos="680"/>
        </w:tabs>
        <w:spacing w:before="120" w:after="120"/>
        <w:jc w:val="center"/>
        <w:rPr>
          <w:szCs w:val="24"/>
        </w:rPr>
      </w:pPr>
      <w:r>
        <w:rPr>
          <w:szCs w:val="24"/>
        </w:rPr>
        <w:t>СОДЕРЖАНИЕ</w:t>
      </w:r>
    </w:p>
    <w:p w:rsidR="00000000" w:rsidRDefault="00000000">
      <w:pPr>
        <w:pStyle w:val="16"/>
        <w:tabs>
          <w:tab w:val="clear" w:pos="567"/>
          <w:tab w:val="clear" w:pos="1134"/>
          <w:tab w:val="clear" w:pos="1701"/>
          <w:tab w:val="clear" w:pos="2268"/>
          <w:tab w:val="clear" w:pos="6237"/>
          <w:tab w:val="left" w:pos="680"/>
        </w:tabs>
        <w:spacing w:before="120" w:after="120"/>
        <w:jc w:val="left"/>
        <w:rPr>
          <w:szCs w:val="24"/>
        </w:rPr>
      </w:pPr>
      <w:r>
        <w:rPr>
          <w:szCs w:val="24"/>
        </w:rPr>
        <w:t xml:space="preserve">РАССМОТРЕНИЕ ДОКЛАДОВ, ЗАМЕЧАНИЙ И ИНФОРМАЦИИ, ПРЕДСТАВЛЕННЫХ ГОСУДАРСТВАМИ-УЧАСТНИКАМИ В СООТВЕТСТВИИ СО СТАТЬЕЙ 9 КОНВЕНЦИИ </w:t>
      </w:r>
      <w:r>
        <w:rPr>
          <w:i/>
          <w:szCs w:val="24"/>
        </w:rPr>
        <w:t>(продолжение)</w:t>
      </w:r>
    </w:p>
    <w:p w:rsidR="00000000" w:rsidRDefault="00000000">
      <w:pPr>
        <w:pStyle w:val="16"/>
        <w:tabs>
          <w:tab w:val="clear" w:pos="567"/>
          <w:tab w:val="clear" w:pos="1134"/>
          <w:tab w:val="clear" w:pos="1701"/>
          <w:tab w:val="clear" w:pos="2268"/>
          <w:tab w:val="clear" w:pos="6237"/>
          <w:tab w:val="left" w:pos="570"/>
          <w:tab w:val="left" w:pos="1140"/>
        </w:tabs>
        <w:spacing w:before="120" w:after="120"/>
        <w:jc w:val="left"/>
      </w:pPr>
      <w:r>
        <w:rPr>
          <w:szCs w:val="24"/>
        </w:rPr>
        <w:tab/>
      </w:r>
      <w:r>
        <w:rPr>
          <w:szCs w:val="24"/>
          <w:u w:val="single"/>
        </w:rPr>
        <w:t>Тринадцатый периодический доклад Израиля</w:t>
      </w:r>
      <w:r>
        <w:t xml:space="preserve"> (</w:t>
      </w:r>
      <w:r>
        <w:rPr>
          <w:i/>
        </w:rPr>
        <w:t>продолжение</w:t>
      </w:r>
      <w:r>
        <w:t>)</w:t>
      </w:r>
    </w:p>
    <w:p w:rsidR="00000000" w:rsidRDefault="00000000">
      <w:pPr>
        <w:pStyle w:val="BodyText2"/>
        <w:tabs>
          <w:tab w:val="clear" w:pos="680"/>
          <w:tab w:val="left" w:pos="570"/>
          <w:tab w:val="left" w:pos="1140"/>
        </w:tabs>
        <w:spacing w:before="120" w:after="120" w:line="240" w:lineRule="auto"/>
        <w:rPr>
          <w:sz w:val="24"/>
        </w:rPr>
      </w:pPr>
      <w:r>
        <w:rPr>
          <w:sz w:val="16"/>
          <w:lang w:val="fr-CH"/>
        </w:rPr>
        <w:t>________________________________</w:t>
      </w:r>
      <w:r>
        <w:rPr>
          <w:sz w:val="16"/>
          <w:lang w:val="fr-CH"/>
        </w:rPr>
        <w:br/>
      </w:r>
      <w:r>
        <w:rPr>
          <w:sz w:val="24"/>
        </w:rPr>
        <w:tab/>
        <w:t>В настоящий отчет могут вноситься поправки.</w:t>
      </w:r>
    </w:p>
    <w:p w:rsidR="00000000" w:rsidRDefault="00000000">
      <w:pPr>
        <w:tabs>
          <w:tab w:val="clear" w:pos="567"/>
          <w:tab w:val="clear" w:pos="1134"/>
          <w:tab w:val="clear" w:pos="1701"/>
          <w:tab w:val="clear" w:pos="2268"/>
          <w:tab w:val="clear" w:pos="6237"/>
          <w:tab w:val="left" w:pos="570"/>
          <w:tab w:val="left" w:pos="1140"/>
        </w:tabs>
        <w:spacing w:before="120" w:after="120" w:line="216"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E.4108, Дворец Наций, Женева.</w:t>
      </w:r>
    </w:p>
    <w:p w:rsidR="00000000" w:rsidRDefault="00000000">
      <w:pPr>
        <w:pStyle w:val="BodyText2"/>
        <w:tabs>
          <w:tab w:val="clear" w:pos="680"/>
          <w:tab w:val="left" w:pos="570"/>
          <w:tab w:val="left" w:pos="1140"/>
        </w:tabs>
        <w:spacing w:before="0" w:line="216" w:lineRule="auto"/>
        <w:rPr>
          <w:sz w:val="16"/>
        </w:rPr>
      </w:pPr>
    </w:p>
    <w:p w:rsidR="00000000" w:rsidRDefault="00000000">
      <w:pPr>
        <w:tabs>
          <w:tab w:val="clear" w:pos="567"/>
          <w:tab w:val="clear" w:pos="1134"/>
          <w:tab w:val="clear" w:pos="1701"/>
          <w:tab w:val="clear" w:pos="2268"/>
          <w:tab w:val="clear" w:pos="6237"/>
          <w:tab w:val="left" w:pos="570"/>
          <w:tab w:val="left" w:pos="1140"/>
        </w:tabs>
        <w:spacing w:line="216" w:lineRule="auto"/>
        <w:rPr>
          <w:lang w:val="fr-CH"/>
        </w:rPr>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clear" w:pos="567"/>
          <w:tab w:val="clear" w:pos="1134"/>
          <w:tab w:val="clear" w:pos="1701"/>
          <w:tab w:val="clear" w:pos="2268"/>
          <w:tab w:val="clear" w:pos="6237"/>
          <w:tab w:val="left" w:pos="570"/>
          <w:tab w:val="left" w:pos="1140"/>
        </w:tabs>
        <w:spacing w:line="216" w:lineRule="auto"/>
        <w:rPr>
          <w:lang w:val="fr-CH"/>
        </w:rPr>
      </w:pPr>
    </w:p>
    <w:p w:rsidR="00000000" w:rsidRDefault="00000000">
      <w:pPr>
        <w:tabs>
          <w:tab w:val="clear" w:pos="567"/>
          <w:tab w:val="clear" w:pos="1134"/>
          <w:tab w:val="clear" w:pos="1701"/>
          <w:tab w:val="clear" w:pos="2268"/>
          <w:tab w:val="clear" w:pos="6237"/>
          <w:tab w:val="left" w:pos="570"/>
          <w:tab w:val="left" w:pos="1140"/>
        </w:tabs>
        <w:spacing w:line="216" w:lineRule="auto"/>
        <w:rPr>
          <w:lang w:val="fr-CH"/>
        </w:rPr>
      </w:pPr>
    </w:p>
    <w:p w:rsidR="00000000" w:rsidRDefault="00000000">
      <w:pPr>
        <w:tabs>
          <w:tab w:val="clear" w:pos="567"/>
          <w:tab w:val="clear" w:pos="1134"/>
          <w:tab w:val="clear" w:pos="1701"/>
          <w:tab w:val="clear" w:pos="2268"/>
          <w:tab w:val="clear" w:pos="6237"/>
          <w:tab w:val="left" w:pos="570"/>
          <w:tab w:val="left" w:pos="1140"/>
        </w:tabs>
        <w:spacing w:line="216" w:lineRule="auto"/>
        <w:rPr>
          <w:lang w:val="fr-CH"/>
        </w:rPr>
      </w:pPr>
    </w:p>
    <w:p w:rsidR="00000000" w:rsidRDefault="00000000">
      <w:pPr>
        <w:rPr>
          <w:lang w:val="en-US"/>
        </w:rPr>
      </w:pPr>
      <w:r>
        <w:rPr>
          <w:lang w:val="en-US"/>
        </w:rPr>
        <w:t>GE.07-40683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fldChar w:fldCharType="end"/>
      </w:r>
      <w:r>
        <w:rPr>
          <w:lang w:val="en-US"/>
        </w:rPr>
        <w:t xml:space="preserve">   (EXT)</w:t>
      </w:r>
    </w:p>
    <w:p w:rsidR="00000000" w:rsidRDefault="00000000">
      <w:pPr>
        <w:tabs>
          <w:tab w:val="left" w:pos="0"/>
        </w:tabs>
        <w:suppressAutoHyphens/>
        <w:jc w:val="center"/>
        <w:rPr>
          <w:i/>
        </w:rPr>
      </w:pPr>
      <w:r>
        <w:rPr>
          <w:i/>
        </w:rPr>
        <w:br w:type="page"/>
        <w:t>Заседание открывается в 10 час. 00 мин.</w:t>
      </w:r>
    </w:p>
    <w:p w:rsidR="00000000" w:rsidRDefault="00000000">
      <w:pPr>
        <w:tabs>
          <w:tab w:val="left" w:pos="0"/>
        </w:tabs>
        <w:suppressAutoHyphens/>
      </w:pPr>
    </w:p>
    <w:p w:rsidR="00000000" w:rsidRDefault="00000000">
      <w:pPr>
        <w:pStyle w:val="16"/>
        <w:tabs>
          <w:tab w:val="clear" w:pos="567"/>
          <w:tab w:val="clear" w:pos="1134"/>
          <w:tab w:val="clear" w:pos="1701"/>
          <w:tab w:val="clear" w:pos="2268"/>
          <w:tab w:val="clear" w:pos="6237"/>
          <w:tab w:val="left" w:pos="680"/>
        </w:tabs>
        <w:jc w:val="left"/>
        <w:rPr>
          <w:i/>
          <w:szCs w:val="24"/>
        </w:rPr>
      </w:pPr>
      <w:r>
        <w:rPr>
          <w:szCs w:val="24"/>
        </w:rPr>
        <w:t>РАССМОТРЕНИЕ ДОКЛАДОВ, ЗАМЕЧАНИЙ И ИНФОРМАЦИИ, ПРЕДСТАВЛЕННЫХ ГОСУДАРСТВАМИ-УЧАСТНИКАМИ В СООТВЕТСТВИИ СО СТАТЬЕЙ 9 КОНВЕНЦИИ (пункт 5 повестки дня) (</w:t>
      </w:r>
      <w:r>
        <w:rPr>
          <w:i/>
          <w:szCs w:val="24"/>
        </w:rPr>
        <w:t>продолжение</w:t>
      </w:r>
      <w:r>
        <w:rPr>
          <w:szCs w:val="24"/>
        </w:rPr>
        <w:t>)</w:t>
      </w:r>
    </w:p>
    <w:p w:rsidR="00000000" w:rsidRDefault="00000000">
      <w:pPr>
        <w:tabs>
          <w:tab w:val="left" w:pos="0"/>
        </w:tabs>
        <w:suppressAutoHyphens/>
      </w:pPr>
    </w:p>
    <w:p w:rsidR="00000000" w:rsidRDefault="00000000">
      <w:pPr>
        <w:tabs>
          <w:tab w:val="left" w:pos="0"/>
        </w:tabs>
        <w:suppressAutoHyphens/>
      </w:pPr>
      <w:r>
        <w:rPr>
          <w:szCs w:val="24"/>
          <w:u w:val="single"/>
        </w:rPr>
        <w:t>Тринадцатый периодический доклад Израиля</w:t>
      </w:r>
      <w:r>
        <w:t xml:space="preserve"> (С</w:t>
      </w:r>
      <w:r>
        <w:rPr>
          <w:lang w:val="en-US"/>
        </w:rPr>
        <w:t>ERD</w:t>
      </w:r>
      <w:r>
        <w:t>/</w:t>
      </w:r>
      <w:r>
        <w:rPr>
          <w:lang w:val="en-US"/>
        </w:rPr>
        <w:t>C</w:t>
      </w:r>
      <w:r>
        <w:t>/471/</w:t>
      </w:r>
      <w:r>
        <w:rPr>
          <w:lang w:val="en-US"/>
        </w:rPr>
        <w:t>Add</w:t>
      </w:r>
      <w:r>
        <w:t>.2;  список рассматриваемых вопросов (документ без условного обозначения, распространенный на заседании только на английском языке)) (</w:t>
      </w:r>
      <w:r>
        <w:rPr>
          <w:i/>
        </w:rPr>
        <w:t>продолжение</w:t>
      </w:r>
      <w:r>
        <w:t>)</w:t>
      </w:r>
    </w:p>
    <w:p w:rsidR="00000000" w:rsidRDefault="00000000">
      <w:pPr>
        <w:tabs>
          <w:tab w:val="left" w:pos="0"/>
        </w:tabs>
        <w:suppressAutoHyphens/>
      </w:pPr>
    </w:p>
    <w:p w:rsidR="00000000" w:rsidRDefault="00000000">
      <w:pPr>
        <w:tabs>
          <w:tab w:val="left" w:pos="0"/>
        </w:tabs>
        <w:suppressAutoHyphens/>
      </w:pPr>
      <w:r>
        <w:t>1.</w:t>
      </w:r>
      <w:r>
        <w:tab/>
        <w:t>По приглашению Председателя израильская делегация занимает места за столом Комитета.</w:t>
      </w:r>
    </w:p>
    <w:p w:rsidR="00000000" w:rsidRDefault="00000000">
      <w:pPr>
        <w:tabs>
          <w:tab w:val="left" w:pos="0"/>
        </w:tabs>
        <w:suppressAutoHyphens/>
      </w:pPr>
    </w:p>
    <w:p w:rsidR="00000000" w:rsidRDefault="00000000">
      <w:pPr>
        <w:tabs>
          <w:tab w:val="left" w:pos="0"/>
        </w:tabs>
        <w:suppressAutoHyphens/>
      </w:pPr>
      <w:r>
        <w:t>2.</w:t>
      </w:r>
      <w:r>
        <w:tab/>
      </w:r>
      <w:r>
        <w:rPr>
          <w:u w:val="single"/>
        </w:rPr>
        <w:t>Г-н ЛЕВАНОН</w:t>
      </w:r>
      <w:r>
        <w:t xml:space="preserve"> (Израиль) объясняет, что причина, в силу которой Государство Израиль не представило письменные ответы на перечень рассматриваемых вопросов, не связана с какой-либо стратегией, а соответствует желанию представить по возможности самые последние статистические данные и информацию.  Также было сочтено предпочтительным ответить на эти вопросы в устной форме.  Г-н Леванон напоминает, что свобода передвижения не является абсолютным правом и что ограничения иногда необходимы по соображениям безопасности.  Он обращает внимание Комитета на этот пункт, поскольку в рамках диалога, проводимого с механизмами Организации Объединенных Наций, политика Государства Израиль весьма часто подвергается критике, хотя при этом не учитывается уникальная ситуация, в которой находится страна.  Делегация тем не менее серьезно относится к рекомендациям Докладчика и хорошо понимает, что, поскольку Государство Израиль обязано ограничивать свободу передвижения, оно должно делать это с максимальной осторожностью.</w:t>
      </w:r>
    </w:p>
    <w:p w:rsidR="00000000" w:rsidRDefault="00000000">
      <w:pPr>
        <w:tabs>
          <w:tab w:val="left" w:pos="0"/>
        </w:tabs>
        <w:suppressAutoHyphens/>
      </w:pPr>
    </w:p>
    <w:p w:rsidR="00000000" w:rsidRDefault="00000000">
      <w:pPr>
        <w:tabs>
          <w:tab w:val="left" w:pos="0"/>
        </w:tabs>
        <w:suppressAutoHyphens/>
      </w:pPr>
      <w:r>
        <w:t>3.</w:t>
      </w:r>
      <w:r>
        <w:tab/>
        <w:t>Вопреки представлению, которое может создаться, Государство Израиль не испытывает удовольствия от создания препятствий для осуществления основополагающих прав.  Безусловно, охранные заграждения и контрольные посты затрудняют повседневную жизнь людей, которые живут поблизости, однако Израиль не может абстрагироваться от постоянной угрозы, которую создают для него смертники, целью которых являются гражданские лица.  Кроме того, необходимо констатировать, что, согласно статистическим данным, эти меры являются эффективными и способствуют резкому снижению количества покушений, совершаемых в Израиле.  Г-ну Леванону известно, сколько антитеррористических мер, принятых Израилем, являются причиной для заявлений о противном.  Тем не менее он просит членов Комитета рассматривать их в контексте и понять, что они соответствуют тому вызову, который Израиль должен принимать каждый день, а именно примирять соблюдение прав человека с интересами безопасности.  Он также считает необходимым уточнить, что Верховный суд осуществляет исключительно важный контроль, анализируя административные меры, принятые правительством.</w:t>
      </w:r>
    </w:p>
    <w:p w:rsidR="00000000" w:rsidRDefault="00000000">
      <w:pPr>
        <w:tabs>
          <w:tab w:val="left" w:pos="0"/>
        </w:tabs>
        <w:suppressAutoHyphens/>
      </w:pPr>
    </w:p>
    <w:p w:rsidR="00000000" w:rsidRDefault="00000000">
      <w:pPr>
        <w:tabs>
          <w:tab w:val="left" w:pos="0"/>
        </w:tabs>
        <w:suppressAutoHyphens/>
      </w:pPr>
      <w:r>
        <w:t>4.</w:t>
      </w:r>
      <w:r>
        <w:tab/>
        <w:t>В качестве ответа на речь в пользу мира, произнесенную на предыдущем заседании, г-н Леванон заявляет, что в мире нет ни одной страны, которая так сильно желала бы мира, как Израиль.  Хотя в Декларации независимости Государства Израиль указывается, что названием новой страны будет "Мединат Израэль", в ней также заявляется, что должно соблюдаться равенство между всеми составляющими элементами общества в системе этого государства.  Государство Израиль достигло мира, к сожалению неполного, с тремя арабскими странами - Египтом, Иорданией и Исламской Республикой Мавритания - и надеется придти к удовлетворительному соглашению со своими палестинскими соседями, которое положит конец конфликту.  Это станет возможным лишь тогда, когда палестинский народ осознает, что терроризм и насилие ни к чему не приведут и что мир является единственным решением для того, чтобы дети Авраама сосуществовали в полном спокойствии.</w:t>
      </w:r>
    </w:p>
    <w:p w:rsidR="00000000" w:rsidRDefault="00000000">
      <w:pPr>
        <w:tabs>
          <w:tab w:val="left" w:pos="0"/>
        </w:tabs>
        <w:suppressAutoHyphens/>
      </w:pPr>
    </w:p>
    <w:p w:rsidR="00000000" w:rsidRDefault="00000000">
      <w:pPr>
        <w:tabs>
          <w:tab w:val="left" w:pos="0"/>
        </w:tabs>
        <w:suppressAutoHyphens/>
      </w:pPr>
      <w:r>
        <w:t>5.</w:t>
      </w:r>
      <w:r>
        <w:tab/>
      </w:r>
      <w:r>
        <w:rPr>
          <w:u w:val="single"/>
        </w:rPr>
        <w:t>Г-н ЛЕВЕРТОВ</w:t>
      </w:r>
      <w:r>
        <w:t xml:space="preserve"> (Израиль) говорит, что, согласно положениям документа, вносящего изменения в Закон о назначениях на государственной службе, Израиль принял меры, направленные на ускорение найма представителей групп меньшинств на государственную службу.  Суть этого изменения, принятого в 2000 году, заключается фактически в обеспечении надлежащего представительства мужчин и женщин, инвалидов и представителей арабского населения, включая друзов и черкесов.  Кроме того, правительством установлена доля в 8% для арабов, которые должны быть приняты на государственную службу к концу 2008 года и составят 10% к концу 2010 года.  В отношении вопросов поощрения и найма на работу решением от 19 августа 2003 года министров также обязывают отдавать предпочтение, при наличии равной квалификации, кандидатам или служащим арабского происхождения, при этом это решение действует в течение четырех лет с даты его принятия.  Должностные лица, которые не будут выполнять это решение, должны будут представить объяснения и доказательства того, что они добросовестно пытались применять предписанные позитивные меры.</w:t>
      </w:r>
    </w:p>
    <w:p w:rsidR="00000000" w:rsidRDefault="00000000">
      <w:pPr>
        <w:tabs>
          <w:tab w:val="left" w:pos="0"/>
        </w:tabs>
        <w:suppressAutoHyphens/>
      </w:pPr>
    </w:p>
    <w:p w:rsidR="00000000" w:rsidRDefault="00000000">
      <w:pPr>
        <w:tabs>
          <w:tab w:val="left" w:pos="0"/>
        </w:tabs>
        <w:suppressAutoHyphens/>
      </w:pPr>
      <w:r>
        <w:t>6.</w:t>
      </w:r>
      <w:r>
        <w:tab/>
        <w:t>Группа смешанного состава, включающая сотрудников министерства юстиции и министерства финансов, рекомендовала в 2006 году принять дополнительные меры в интересах этого населения, и, в частности, назначать арабов в состав комиссий, отвечающих за рассмотрение дел кандидатов на должности служащих, публиковать предложения на вебсайте государственной службы и в прессе на арабском языке, назначать в рамках каждого министерства координатора, контролирующего ход осуществления этого вопроса, или проводить также информационную кампанию для ознакомления общественности с намерением правительства принимать на работу большее число арабов в рамках системы государственной службы.  В городах и деревнях, в которых большую часть населения составляют арабы, друзы, бедуины или черкесы, должностными лицами служб местного управления почти всегда являются члены этих меньшинств.  Напротив, в наиболее важных муниципалитетах со смешанным составом населения, таких, как Иерусалим, Хайфа или Лод, их представительство соответствует численности соответствующих групп населения.</w:t>
      </w:r>
    </w:p>
    <w:p w:rsidR="00000000" w:rsidRDefault="00000000">
      <w:pPr>
        <w:tabs>
          <w:tab w:val="left" w:pos="0"/>
        </w:tabs>
        <w:suppressAutoHyphens/>
      </w:pPr>
    </w:p>
    <w:p w:rsidR="00000000" w:rsidRDefault="00000000">
      <w:pPr>
        <w:tabs>
          <w:tab w:val="left" w:pos="0"/>
        </w:tabs>
        <w:suppressAutoHyphens/>
      </w:pPr>
      <w:r>
        <w:t>7.</w:t>
      </w:r>
      <w:r>
        <w:tab/>
        <w:t>Законодательная власть позаботилась о том, чтобы были учтены различия в области жизни должностных лиц из числа представителей меньшинств.  Так, например, отпуска предоставляются в зависимости от религиозных праздников, что позволяет служащим-мусульманам брать день отпуска во время рамадана, а христианам не работать в воскресенье.  Кроме того, количество дней отпуска, предоставляемых в случае траура, также меняется в зависимости от конфессии и этнической принадлежности служащего, что объясняет, например, тот факт, что служащий друз имеет право на большее количество дней в этом случае по сравнению с коллегой евреем.</w:t>
      </w:r>
    </w:p>
    <w:p w:rsidR="00000000" w:rsidRDefault="00000000">
      <w:pPr>
        <w:tabs>
          <w:tab w:val="left" w:pos="0"/>
        </w:tabs>
        <w:suppressAutoHyphens/>
      </w:pPr>
    </w:p>
    <w:p w:rsidR="00000000" w:rsidRDefault="00000000">
      <w:pPr>
        <w:tabs>
          <w:tab w:val="left" w:pos="0"/>
        </w:tabs>
        <w:suppressAutoHyphens/>
      </w:pPr>
      <w:r>
        <w:t>8.</w:t>
      </w:r>
      <w:r>
        <w:tab/>
        <w:t>Израильское правительство утвердило с 2000 года принцип равного представительства меньшинств в Административном совете государственных компаний в результате принятия в июне 2000 года поправки к Закону о государственных компаниях.  Положения этого нового закона описаны подробным образом в пунктах 55-59 рассматриваемого доклада, который зачитывается г</w:t>
      </w:r>
      <w:r>
        <w:noBreakHyphen/>
        <w:t>ном Левертовым.  Все меры, принятые в этой связи, принесли свои плоды, поскольку в период с января 2000 года по январь 2007 года количество арабских представителей в рамках административных советов государственных компаний значительно возросло, а именно с 10 до 48 (или 9,18% по сравнению с 1,7% в 2000 году).</w:t>
      </w:r>
    </w:p>
    <w:p w:rsidR="00000000" w:rsidRDefault="00000000">
      <w:pPr>
        <w:tabs>
          <w:tab w:val="left" w:pos="0"/>
        </w:tabs>
        <w:suppressAutoHyphens/>
      </w:pPr>
    </w:p>
    <w:p w:rsidR="00000000" w:rsidRDefault="00000000">
      <w:pPr>
        <w:tabs>
          <w:tab w:val="left" w:pos="0"/>
        </w:tabs>
        <w:suppressAutoHyphens/>
      </w:pPr>
      <w:r>
        <w:t>9.</w:t>
      </w:r>
      <w:r>
        <w:tab/>
        <w:t>И наконец, можно сказать, что представительство арабского и друзского населения в рамках судебной системы также резко увеличилось в течение последних десяти лет.  34 из 550 судей относятся сегодня к числу представителей меньшинств, и половина из них была назначена в этот период.  В последние годы 15% лиц, назначенных на работу в судебный аппарат, принадлежит к одному меньшинству;  в настоящее время насчитывается 12 судей-мусульман, 15 судей-христиан и 7 судей-друзов.</w:t>
      </w:r>
    </w:p>
    <w:p w:rsidR="00000000" w:rsidRDefault="00000000">
      <w:pPr>
        <w:tabs>
          <w:tab w:val="left" w:pos="0"/>
        </w:tabs>
        <w:suppressAutoHyphens/>
      </w:pPr>
    </w:p>
    <w:p w:rsidR="00000000" w:rsidRDefault="00000000">
      <w:pPr>
        <w:tabs>
          <w:tab w:val="left" w:pos="0"/>
        </w:tabs>
        <w:suppressAutoHyphens/>
      </w:pPr>
      <w:r>
        <w:t>10.</w:t>
      </w:r>
      <w:r>
        <w:tab/>
      </w:r>
      <w:r>
        <w:rPr>
          <w:u w:val="single"/>
        </w:rPr>
        <w:t>Г-н ОРЕН</w:t>
      </w:r>
      <w:r>
        <w:t xml:space="preserve"> (Израиль) уточняет, что в настоящий момент 100 тыс. бедуинов, или 62% всего бедуинского населения, живут в спланированных городских поселениях, снабженных такими же инфраструктурами и службами (снабжение питьевой водой, электричество, ассенизация, службы здравоохранения, школьные учебные заведения), что и другие населенные пункты страны.  60 тыс. остальных бедуинов (38%) живут в свою очередь в сотнях незаконных мелких колониях, которые ввиду их разброса обслуживаются на более низком уровне.  В целях решениях этой проблемы государство приняло политику, направленную на поощрение бедуинов покидать эти незаконные колонии и переселяться в существующие или строящиеся населенных пункты.  Эта политика и различные меры, принятые в интересах бедуинов, изложены в пунктах 379</w:t>
      </w:r>
      <w:r>
        <w:noBreakHyphen/>
        <w:t>389 доклада, который г-н Орен широко цитирует.</w:t>
      </w:r>
    </w:p>
    <w:p w:rsidR="00000000" w:rsidRDefault="00000000">
      <w:pPr>
        <w:tabs>
          <w:tab w:val="left" w:pos="0"/>
        </w:tabs>
        <w:suppressAutoHyphens/>
      </w:pPr>
    </w:p>
    <w:p w:rsidR="00000000" w:rsidRDefault="00000000">
      <w:pPr>
        <w:tabs>
          <w:tab w:val="left" w:pos="0"/>
        </w:tabs>
        <w:suppressAutoHyphens/>
      </w:pPr>
      <w:r>
        <w:t>11.</w:t>
      </w:r>
      <w:r>
        <w:tab/>
        <w:t>В отношении проблем снабжения водой незаконных колоний бедуинов г-н Орен объясняет, что очень трудно снабжать водой непризнанные колонии из-за их разбросанности.  Тем не менее предпринимаются усилия для того, чтобы общины бедуинов могли быть подсоединены к системе распределения воды и таким образом улучшить условия жизни.  Так, в наиболее населенных районах Негев было построено пять центров по снабжению водой.  В период с 2000 по 2006 год, например, Комитетом по выделению кредитов для подсоединения к сети водоснабжения было рассмотрено 306 заявлений о подсоединении.  Отказные решения по заявкам выносились ввиду технической невозможности прокладки водопровода из-за чисто топографических условий в соответствующих зонах.  Для того чтобы воспользоваться канализационной системой, создание которой входит в компетенцию местных властей, поселениям бедуинов предоставляется возможность получения займов на условиях гораздо более благоприятных по сравнению с условиями, предоставляемыми еврейским поселениям.</w:t>
      </w:r>
    </w:p>
    <w:p w:rsidR="00000000" w:rsidRDefault="00000000">
      <w:pPr>
        <w:tabs>
          <w:tab w:val="left" w:pos="0"/>
        </w:tabs>
        <w:suppressAutoHyphens/>
      </w:pPr>
    </w:p>
    <w:p w:rsidR="00000000" w:rsidRDefault="00000000">
      <w:pPr>
        <w:tabs>
          <w:tab w:val="left" w:pos="0"/>
        </w:tabs>
        <w:suppressAutoHyphens/>
      </w:pPr>
      <w:r>
        <w:t>12.</w:t>
      </w:r>
      <w:r>
        <w:tab/>
      </w:r>
      <w:r>
        <w:rPr>
          <w:u w:val="single"/>
        </w:rPr>
        <w:t>Г-н ЗАЙЛЕР</w:t>
      </w:r>
      <w:r>
        <w:t xml:space="preserve"> (Израиль) говорит, что Закон о национальном режиме страхования на случай болезни 1995 года гарантирует всем израильтянам без дискриминации или различия равный доступ к услугам в области здравоохранения.  При осуществлении этого права имеются различия, однако они никоим образом не основаны на признаке расы.  Усилия, предпринятые с целью улучшения доступа бедуинов к услугам в области здравоохранения, привели к появлению в 2005 году 31 местного диспансера, обеспечивающего медицинское обслуживание матерей и детей в поселения бедуинов.  Незаконные поселения располагают шестью новыми диспансерами, которые снабжаются электричеством электрогенераторными установками, и подвижной медицинской бригадой по обслуживанию семей.  Уровень детской смертности среди бедуинов составлял 15% в 2005 году и был меньше по сравнению с показателем предыдущего года.</w:t>
      </w:r>
    </w:p>
    <w:p w:rsidR="00000000" w:rsidRDefault="00000000">
      <w:pPr>
        <w:tabs>
          <w:tab w:val="left" w:pos="0"/>
        </w:tabs>
        <w:suppressAutoHyphens/>
      </w:pPr>
    </w:p>
    <w:p w:rsidR="00000000" w:rsidRDefault="00000000">
      <w:pPr>
        <w:tabs>
          <w:tab w:val="left" w:pos="0"/>
        </w:tabs>
        <w:suppressAutoHyphens/>
      </w:pPr>
      <w:r>
        <w:t>13.</w:t>
      </w:r>
      <w:r>
        <w:tab/>
      </w:r>
      <w:r>
        <w:rPr>
          <w:u w:val="single"/>
        </w:rPr>
        <w:t>Г-жа ШОНМАН</w:t>
      </w:r>
      <w:r>
        <w:t xml:space="preserve"> (Израиль) указывает, что ее страна не сделала заявление, позволяющее распространить применимость Конвенции на Западный берег реки Иордан и полосу Газа и что этот документ не может соответственно применяться на этих территориях.  Из этого она делает вывод о том, что положение на этих территориях не входит, таким образом, в компетенцию Комитета.  С 1990 года Израиль передал важные полномочия Палестинской администрации, которая с тех пор в полной мере осуществляет свою юрисдикцию в таких областях, например, как здравоохранение, образование и соблюдение общественного порядка.  Отделение полосы Газы с августа 2005 года, которое было отмечено выводом всех израильских вооруженных сил, означает, что в конкретном плане Израиль не осуществляет более территориальную юрисдикцию в этой зоне.  Согласно принципу </w:t>
      </w:r>
      <w:r>
        <w:rPr>
          <w:lang w:val="en-US"/>
        </w:rPr>
        <w:t>lex</w:t>
      </w:r>
      <w:r>
        <w:t xml:space="preserve"> </w:t>
      </w:r>
      <w:r>
        <w:rPr>
          <w:lang w:val="en-US"/>
        </w:rPr>
        <w:t>specialis</w:t>
      </w:r>
      <w:r>
        <w:t xml:space="preserve"> правом, которое применяется на этих территориях, является международное гуманитарное право.</w:t>
      </w:r>
    </w:p>
    <w:p w:rsidR="00000000" w:rsidRDefault="00000000">
      <w:pPr>
        <w:tabs>
          <w:tab w:val="left" w:pos="0"/>
        </w:tabs>
        <w:suppressAutoHyphens/>
      </w:pPr>
    </w:p>
    <w:p w:rsidR="00000000" w:rsidRDefault="00000000">
      <w:pPr>
        <w:tabs>
          <w:tab w:val="left" w:pos="0"/>
        </w:tabs>
        <w:suppressAutoHyphens/>
      </w:pPr>
      <w:r>
        <w:t>14.</w:t>
      </w:r>
      <w:r>
        <w:tab/>
        <w:t>В отношении вопроса о стене безопасности, воздвигаемой Израилем, г-жа Шонман  напоминает, что Международный Суд в своем консультативном заключении, вынесенном в июне 2004 года относительно юридических последствий сооружения стены на оккупированной палестинской территории (запрос на консультативное заключение), не подразумевал, что строительство этой защитной системы представляет собой форму дискриминации в отношении палестинцев.  Консультативное заключение Международного Суда в любом случае не имеет ограничительного характера для Израиля, поскольку, помимо того факта, что это заключение конкретно является лишь консультативным, Израиль не признал однозначным образом юрисдикцию этой инстанции.  В то же время Верховным судом Израиля вынесено несколько решений относительно законности строительства стены.  В первом постановлении, вынесенном 30 июня 2004 года, Верховный суд установил принцип, согласно которому строительство стены на оккупированных палестинских территориях является как таковое законным.  Суд фактически пришел к выводу о том, что в качестве оккупирующей державы Израиль имеет право, согласно международному гуманитарному праву, на начало такого строительства, если оно вызвано исключительно соображениями безопасности.  Во втором постановлении, вынесенном 15 сентября 2005 года, Верховный суд углубил свое обоснование законности сооружения стены, с тем чтобы ответить на заключения, сделанные Международным Судом, однако признал в то же время, что некоторые части стены являются незаконными.  Кроме того, Суд постановил, что линия заграждения должна соответствовать с точки зрения международного права и израильского права принципу пропорциональности, при этом требуется установление адекватного баланса между требованиями безопасности и гуманитарными последствиями для соответствующих групп населения.  Правительство приняло к сведению это решение и, кроме того, изменило линию некоторых сегментов стены.</w:t>
      </w:r>
    </w:p>
    <w:p w:rsidR="00000000" w:rsidRDefault="00000000">
      <w:pPr>
        <w:tabs>
          <w:tab w:val="left" w:pos="0"/>
        </w:tabs>
        <w:suppressAutoHyphens/>
      </w:pPr>
    </w:p>
    <w:p w:rsidR="00000000" w:rsidRDefault="00000000">
      <w:pPr>
        <w:tabs>
          <w:tab w:val="left" w:pos="0"/>
        </w:tabs>
        <w:suppressAutoHyphens/>
      </w:pPr>
      <w:r>
        <w:t>15.</w:t>
      </w:r>
      <w:r>
        <w:tab/>
      </w:r>
      <w:r>
        <w:rPr>
          <w:u w:val="single"/>
        </w:rPr>
        <w:t>Г-жа ГЕНЕССИН</w:t>
      </w:r>
      <w:r>
        <w:t xml:space="preserve"> (Израиль) указывает, что право на свободу передвижения иногда ограничивается в Израиле, но что это не обосновывается соображениями расового или этнического характера, а требованиями безопасности.  Она напоминает, что в соответствии с Конвенцией различия, которые могут устанавливаться государствами-участниками между гражданами и негражданами при осуществлении прав, закрепленных в Конвенции, не представляют собой дискриминации.  Израиль построил стену безопасности для защиты израильских граждан от нападений террористов, осуществляемых с палестинских территорий, однако это решение, которое фактически ограничило свободу передвижения лиц, не являющихся израильскими гражданами, определяется заботой о безопасности, которая никоим образом не является нарушением положений Конвенции.</w:t>
      </w:r>
    </w:p>
    <w:p w:rsidR="00000000" w:rsidRDefault="00000000">
      <w:pPr>
        <w:tabs>
          <w:tab w:val="left" w:pos="0"/>
        </w:tabs>
        <w:suppressAutoHyphens/>
      </w:pPr>
    </w:p>
    <w:p w:rsidR="00000000" w:rsidRDefault="00000000">
      <w:pPr>
        <w:tabs>
          <w:tab w:val="left" w:pos="0"/>
        </w:tabs>
        <w:suppressAutoHyphens/>
      </w:pPr>
      <w:r>
        <w:t>16.</w:t>
      </w:r>
      <w:r>
        <w:tab/>
        <w:t>Г-жа Генессин напоминает, что большинство нападений террористов, совершенных против Израиля с сентября 2000 года, было направлено против гражданских лиц и что их результатом стали 1 000 погибших и 8 000 раненых.  Решение правительства о строительстве стены безопасности позволило помешать новым нападениям и значительно уменьшить число погибших и раненых.  Законность этого решения с тех пор была подтверждена Верховным судом.  Проблема для Израиля заключается в достижении баланса между обязательством государства в отношении защиты жизни своих граждан и необходимость ограничения негативных последствий сооружения этой стены для палестинских жителей.  Правительство учло решение Верховного суда от 15 сентября 2005 года, в котором Суд признал, что эта система защиты причинила ущерб экономическим интересам палестинцев и ограничила свободу передвижения многих гражданских лиц.  Во исполнение этого постановления Израиль изменил линию стены, с тем чтобы были учтены потребности затронутых групп населения.  Израиль пытался строить эту стену на непахатных землях, и всем собственникам, земли которых были конфискованы, была выплачена компенсация.  Недавно были построены многочисленные дороги, предназначенные для облегчения движения в этой зоне, и речь идет о создании служб челночного транспорта, с тем чтобы дать возможность учащимся более свободно передвигаться с одной стороны стены к другой.</w:t>
      </w:r>
    </w:p>
    <w:p w:rsidR="00000000" w:rsidRDefault="00000000">
      <w:pPr>
        <w:tabs>
          <w:tab w:val="left" w:pos="0"/>
        </w:tabs>
        <w:suppressAutoHyphens/>
      </w:pPr>
    </w:p>
    <w:p w:rsidR="00000000" w:rsidRDefault="00000000">
      <w:pPr>
        <w:tabs>
          <w:tab w:val="left" w:pos="0"/>
        </w:tabs>
        <w:suppressAutoHyphens/>
      </w:pPr>
      <w:r>
        <w:t>17.</w:t>
      </w:r>
      <w:r>
        <w:tab/>
        <w:t>Необоснованными являются утверждения, согласно которым акты насилия против палестинцев и уничтожение имущества являются обычным явлением на оккупированных палестинских территориях.  Если армия испытывает трудности с обеспечением общественного порядка и безопасности, она пытается по мере возможности избежать насилия и соблюдать право палестинцев на собственность.  В 2006 году военнослужащим были направлены инструкции, касающиеся наиболее подходящих средств для ослабления напряженности между палестинцами и израильтянами, особенно на оккупированных палестинских территориях.</w:t>
      </w:r>
    </w:p>
    <w:p w:rsidR="00000000" w:rsidRDefault="00000000">
      <w:pPr>
        <w:tabs>
          <w:tab w:val="left" w:pos="0"/>
        </w:tabs>
        <w:suppressAutoHyphens/>
      </w:pPr>
    </w:p>
    <w:p w:rsidR="00000000" w:rsidRDefault="00000000">
      <w:pPr>
        <w:tabs>
          <w:tab w:val="left" w:pos="0"/>
        </w:tabs>
        <w:suppressAutoHyphens/>
      </w:pPr>
      <w:r>
        <w:t>18.</w:t>
      </w:r>
      <w:r>
        <w:tab/>
        <w:t xml:space="preserve">Г-жа Генессин говорит, что не существует препятствий для доступа к правосудию.  В качестве примера судопроизводство в Верховном суде обходится приблизительно в 300 евро, однако расходы на правосудие могут быть компенсированы, если истец доказывает, что он не обладает средствами для оплаты подобных расходов.  В отношении принципа равенства Высокий суд считает бесполезным выносить постановление по этому вопросу, учитывая, что этот принцип вытекает из Основного закона о достоинстве и свободе человеческой личности 1992 года. </w:t>
      </w:r>
    </w:p>
    <w:p w:rsidR="00000000" w:rsidRDefault="00000000">
      <w:pPr>
        <w:tabs>
          <w:tab w:val="left" w:pos="0"/>
        </w:tabs>
        <w:suppressAutoHyphens/>
      </w:pPr>
    </w:p>
    <w:p w:rsidR="00000000" w:rsidRDefault="00000000">
      <w:pPr>
        <w:tabs>
          <w:tab w:val="left" w:pos="0"/>
        </w:tabs>
        <w:suppressAutoHyphens/>
      </w:pPr>
      <w:r>
        <w:t>19.</w:t>
      </w:r>
      <w:r>
        <w:tab/>
      </w:r>
      <w:r>
        <w:rPr>
          <w:u w:val="single"/>
        </w:rPr>
        <w:t>Г-н СОЛОМОН</w:t>
      </w:r>
      <w:r>
        <w:t xml:space="preserve"> (Израиль) говорит, что в соответствии с Законом о возвращении, принятым Кнессетом в 1950 году, евреи, иммигрирующие в Израиль, автоматически получают израильское гражданство.  В этом плане Израиль похож на все другие государства, которые, получив статус государства в соответствии с принципом самоопределения, отдают предпочтение лицам, которые связаны с этим государством определенными узами социального, культурного или этнического характера.  Фактически ничего не мешает евреям иммигрировать в Израиль, и тем более нет никакого ограничительного постановления в отношении определенной группы.  Лица нееврейского происхождения, которые желают получить израильское гражданство, могут обратиться с просьбой об этом в соответствии с Законом о гражданстве 1952 года.  По этому Закону возможно получить израильское гражданство при определенных условиях в силу рождения, места жительства, по ассоциации с рождением или местом жительства, возвращения (на основании Закона о возвращении), натурализации и предоставления гражданства независимо от религии или этнического происхождения.</w:t>
      </w:r>
    </w:p>
    <w:p w:rsidR="00000000" w:rsidRDefault="00000000">
      <w:pPr>
        <w:tabs>
          <w:tab w:val="left" w:pos="0"/>
        </w:tabs>
        <w:suppressAutoHyphens/>
      </w:pPr>
    </w:p>
    <w:p w:rsidR="00000000" w:rsidRDefault="00000000">
      <w:pPr>
        <w:tabs>
          <w:tab w:val="left" w:pos="0"/>
        </w:tabs>
        <w:suppressAutoHyphens/>
        <w:rPr>
          <w:u w:val="single"/>
        </w:rPr>
      </w:pPr>
      <w:r>
        <w:t>20.</w:t>
      </w:r>
      <w:r>
        <w:tab/>
        <w:t>Со времени вспышки вооруженного конфликта в конце 2000 года между Израилем и палестинцами, который повлек за собой десятки самоубийственных покушений, констатируется, что террористические организации во все большей мере привлекают к участию в них палестинцев с Западного берега реки Иордан и из Газы, которые имеют израильское удостоверение личности, выданное на основе объединения семьи.  Вот почему в целях предотвращения любой угрозы правительство решило в мае 2002 года временно прекратить предоставление бывшим жителям Западного берега реки Иордан и полосы Газы юридического статуса в Израиле, в том числе на основании объединения семьи.  Это решение не распространяется на лиц, которым в Израиле уже был предоставлен юридический статус, и оно не является основанием для какой-либо дискриминации между израильскими гражданами и жителями, поскольку оно применяется в отношении всех лиц.  Г-н Соломон отмечает также, что государство имеет право контролировать въезд на свою территорию и делать это особенно строго в период вооруженного конфликта, когда существует опасность того, что лица, обращающиеся с просьбой о въезде на эту территорию, могут совершить террористические акты.</w:t>
      </w:r>
    </w:p>
    <w:p w:rsidR="00000000" w:rsidRDefault="00000000">
      <w:pPr>
        <w:tabs>
          <w:tab w:val="left" w:pos="0"/>
        </w:tabs>
        <w:suppressAutoHyphens/>
        <w:rPr>
          <w:u w:val="single"/>
        </w:rPr>
      </w:pPr>
    </w:p>
    <w:p w:rsidR="00000000" w:rsidRDefault="00000000">
      <w:pPr>
        <w:tabs>
          <w:tab w:val="left" w:pos="0"/>
        </w:tabs>
        <w:suppressAutoHyphens/>
      </w:pPr>
      <w:r>
        <w:t>21.</w:t>
      </w:r>
      <w:r>
        <w:tab/>
        <w:t>В 2003 году Кнессет обнародовал Закон о временном приостановлении действия правил о гражданстве и въезде в Израиль, который ограничивает возможность предоставления жителям палестинских территорий не только израильского гражданства, в том числе на основании объединения семьи, но также и видов на жительство в Израиле.  Этот Закон, отвечающий требованиям безопасности, вызвал волну жестоких покушений, которые стоили жизни нескольким сотням невиновных израильтян.  Верховный суд провел ряд заседаний для вынесения постановления о конституционности этого Закона и каждый раз приходил к выводу, что Закон должным образом обоснован в ситуации, связанной с отсутствием безопасности, которая господствует в стране, и является полностью соразмерным той цели, к которой стремится израильское государство.</w:t>
      </w:r>
    </w:p>
    <w:p w:rsidR="00000000" w:rsidRDefault="00000000">
      <w:pPr>
        <w:tabs>
          <w:tab w:val="left" w:pos="0"/>
        </w:tabs>
        <w:suppressAutoHyphens/>
      </w:pPr>
    </w:p>
    <w:p w:rsidR="00000000" w:rsidRDefault="00000000">
      <w:pPr>
        <w:tabs>
          <w:tab w:val="left" w:pos="0"/>
        </w:tabs>
        <w:suppressAutoHyphens/>
      </w:pPr>
      <w:r>
        <w:t>22.</w:t>
      </w:r>
      <w:r>
        <w:tab/>
        <w:t>Израиль является участником Конвенции Организации Объединенных Наций о статусе беженцев 1951 года, и любое лицо, которое соответствует определениям, фигурирующим в упомянутой Конвенции, может обращаться с просьбой о предоставлении статуса беженца в Израиле независимо от своей религии.  В настоящее время Израиль принимает несколько сотен африканских беженцев.</w:t>
      </w:r>
    </w:p>
    <w:p w:rsidR="00000000" w:rsidRDefault="00000000">
      <w:pPr>
        <w:tabs>
          <w:tab w:val="left" w:pos="0"/>
        </w:tabs>
        <w:suppressAutoHyphens/>
      </w:pPr>
    </w:p>
    <w:p w:rsidR="00000000" w:rsidRDefault="00000000">
      <w:pPr>
        <w:tabs>
          <w:tab w:val="left" w:pos="0"/>
        </w:tabs>
        <w:suppressAutoHyphens/>
      </w:pPr>
      <w:r>
        <w:t>23.</w:t>
      </w:r>
      <w:r>
        <w:tab/>
        <w:t xml:space="preserve">Министерство внутренних дел Израиля стремится улучшать инфраструктуры и ускорять развитие арабских деревень и поселений.  С этой целью оно поощряло разработку местных планов благоустройства арабских деревень и предоставляло для этого кредиты.  Для решения проблемы демографического роста в арабском секторе этими планами предусматривается выделение до 2020 года земель достаточной площади.  Необходимо отметить, что плотность населения в еврейском секторе является гораздо более высокой по сравнению с арабским и что количество домов, подлежащих сносу, является одинаковым как в арабском, так и в еврейском секторах.  Кроме того, распределение земель не проводится в зависимости от религиозных или этнических критериев.  Министерство внутренних дел следит за тем, что все общины были представлены в советах, ведающих благоустройством территории. </w:t>
      </w:r>
    </w:p>
    <w:p w:rsidR="00000000" w:rsidRDefault="00000000">
      <w:pPr>
        <w:tabs>
          <w:tab w:val="left" w:pos="0"/>
        </w:tabs>
        <w:suppressAutoHyphens/>
      </w:pPr>
    </w:p>
    <w:p w:rsidR="00000000" w:rsidRDefault="00000000">
      <w:pPr>
        <w:tabs>
          <w:tab w:val="left" w:pos="0"/>
        </w:tabs>
        <w:suppressAutoHyphens/>
      </w:pPr>
      <w:r>
        <w:t>24.</w:t>
      </w:r>
      <w:r>
        <w:tab/>
        <w:t>В Израиле насчитывается от 70 000 до 80 000 рабочих-мигрантов, которые полежат наказанию в виде тюремного заключения сроком до одного года в том случае, если их арестовывают и находят у них фальшивые израильские удостоверения личности.  При этом следует отметить, что с этими нелегальными мигрантами не обращаются как с преступниками и к ним применяется административная процедура возвращения на границу.  Хотя Израиль не располагает какими-либо статистическими данными о торговле людьми, он придает огромное значение этому явлению, а Кнессет принял в октябре 2006 года Закон о торговле людьми.</w:t>
      </w:r>
    </w:p>
    <w:p w:rsidR="00000000" w:rsidRDefault="00000000">
      <w:pPr>
        <w:tabs>
          <w:tab w:val="left" w:pos="0"/>
        </w:tabs>
        <w:suppressAutoHyphens/>
      </w:pPr>
    </w:p>
    <w:p w:rsidR="00000000" w:rsidRDefault="00000000">
      <w:pPr>
        <w:tabs>
          <w:tab w:val="left" w:pos="0"/>
        </w:tabs>
        <w:suppressAutoHyphens/>
      </w:pPr>
      <w:r>
        <w:t>25.</w:t>
      </w:r>
      <w:r>
        <w:tab/>
      </w:r>
      <w:r>
        <w:rPr>
          <w:u w:val="single"/>
        </w:rPr>
        <w:t>Г-н БРУК</w:t>
      </w:r>
      <w:r>
        <w:t xml:space="preserve"> (Израиль) говорит, что Законом о расизме предусматривается наказание в виде тюремного заключения сроком до пяти лет любого лица, которое публикует произведения, направленные на подстрекательство к расизму, или которое хранит публикацию подобного характера с целью ее издания.  Многие дела, связанные с подстрекательством к расовой ненависти, стали предметом расследований и судебных преследований.  При этом поскольку Израиль является демократическим государством, в нем должна соблюдаться свобода выражения мнений, что объясняет тот факт, что рассмотрение каждого дела характеризуется уделением самого большого внимания соблюдению свободы выражения мнений и необходимости вести борьбу против расизма и расовой дискриминации, а также стремлением достичь равновесия между этими двумя критериями.  Г-н Брук напоминает об утверждениях, согласно которым палестинские водители являются жертвами домогательств со стороны израильской полиции, и приводит статистические данные, согласно которым на Западном берегу реки Иордан в период с января по май 2006 года израильские водители получили на 50% больше штрафов по сравнению с палестинскими водителями за нарушения Кодекса дорожного движения.</w:t>
      </w:r>
    </w:p>
    <w:p w:rsidR="00000000" w:rsidRDefault="00000000">
      <w:pPr>
        <w:tabs>
          <w:tab w:val="left" w:pos="0"/>
        </w:tabs>
        <w:suppressAutoHyphens/>
      </w:pPr>
    </w:p>
    <w:p w:rsidR="00000000" w:rsidRDefault="00000000">
      <w:pPr>
        <w:tabs>
          <w:tab w:val="left" w:pos="0"/>
        </w:tabs>
        <w:suppressAutoHyphens/>
      </w:pPr>
      <w:r>
        <w:t>26.</w:t>
      </w:r>
      <w:r>
        <w:tab/>
      </w:r>
      <w:r>
        <w:rPr>
          <w:u w:val="single"/>
        </w:rPr>
        <w:t>Г-н БАР</w:t>
      </w:r>
      <w:r>
        <w:t xml:space="preserve"> (Израиль) напоминает о многочисленных позитивных мерах, принятых в интересах арабского сектора во многих областях:  строительство и/или реконструкция дорожной сети в арабских районах, строительство и/или расширение системы ассенизации в арабских городах, приведение в порядок базовых инфраструктур на севере страны после конфликта с Ливаном, программа в интересах бедуинского населения в северном регионе страны и развитие промышленных зон в арабском секторе.  Г-н Бар подчеркивает, что таковы транспарентные социально-экономические критерии, которые определяют объем ресурсов, выделяемых по линии программ, предназначенных для арабского сектора.</w:t>
      </w:r>
    </w:p>
    <w:p w:rsidR="00000000" w:rsidRDefault="00000000">
      <w:pPr>
        <w:tabs>
          <w:tab w:val="left" w:pos="0"/>
        </w:tabs>
        <w:suppressAutoHyphens/>
      </w:pPr>
    </w:p>
    <w:p w:rsidR="00000000" w:rsidRDefault="00000000">
      <w:pPr>
        <w:tabs>
          <w:tab w:val="left" w:pos="0"/>
        </w:tabs>
        <w:suppressAutoHyphens/>
      </w:pPr>
      <w:r>
        <w:t>27.</w:t>
      </w:r>
      <w:r>
        <w:tab/>
      </w:r>
      <w:r>
        <w:rPr>
          <w:u w:val="single"/>
        </w:rPr>
        <w:t>Г-жа ТЕНЕ</w:t>
      </w:r>
      <w:r>
        <w:t xml:space="preserve"> (Израиль) напоминает об усилиях, предпринятых министерством промышленности, торговли и труда для стимулирования экономического развития арабского и черкесского секторов.  Например, на арабский сектор пришлось 21,9% общего бюджета на 2000-2005 годы, выделенного министерством на промышленные зоны страны.  Кроме того, в целях решения проблемы безработицы среди арабского населения, особенно среди женщин, министерство уделяет особое внимание профессиональной подготовке и приобретению базовой квалификации.  Оно также осуществляет программу по обеспечению равенства возможностей в области трудоустройства.</w:t>
      </w:r>
    </w:p>
    <w:p w:rsidR="00000000" w:rsidRDefault="00000000">
      <w:pPr>
        <w:tabs>
          <w:tab w:val="left" w:pos="0"/>
        </w:tabs>
        <w:suppressAutoHyphens/>
      </w:pPr>
    </w:p>
    <w:p w:rsidR="00000000" w:rsidRDefault="00000000">
      <w:pPr>
        <w:tabs>
          <w:tab w:val="left" w:pos="0"/>
        </w:tabs>
        <w:suppressAutoHyphens/>
      </w:pPr>
      <w:r>
        <w:t>28.</w:t>
      </w:r>
      <w:r>
        <w:tab/>
      </w:r>
      <w:r>
        <w:rPr>
          <w:u w:val="single"/>
        </w:rPr>
        <w:t>Г-жа ЗАЙЛЕР</w:t>
      </w:r>
      <w:r>
        <w:t xml:space="preserve"> (Израиль) говорит, что задачей израильской системы образования является ознакомление детей с самого раннего возраста с такими ценностями, как уважение различия, терпимости и мира, а также с правами человека, в частности правами ребенка, и культурным наследием общин бедуинов, друзов и арабов.  Делегация привезла в Комитет целый ряд учебных материалов на арабском языке, посвященных правам человека и вопросам мира, таких, как учебники, плакаты и буклеты, которые свидетельствуют о том, какое место отводится арабскому языку в системе образования.  </w:t>
      </w:r>
    </w:p>
    <w:p w:rsidR="00000000" w:rsidRDefault="00000000">
      <w:pPr>
        <w:tabs>
          <w:tab w:val="left" w:pos="0"/>
        </w:tabs>
        <w:suppressAutoHyphens/>
      </w:pPr>
    </w:p>
    <w:p w:rsidR="00000000" w:rsidRDefault="00000000">
      <w:pPr>
        <w:tabs>
          <w:tab w:val="left" w:pos="0"/>
        </w:tabs>
        <w:suppressAutoHyphens/>
      </w:pPr>
      <w:r>
        <w:t>29.</w:t>
      </w:r>
      <w:r>
        <w:tab/>
        <w:t>В соответствии с Законом об обязательном обучении 1949 года учеба в школе является обязательной для детей в возрасте от 3 до 15 лет и бесплатной для детей в возрасте от 3 до 17 лет;  дискриминация, основанная на признаке этнического происхождения, запрещена в системе образования.  В соответствии с Законом об общественном образовании 1953 года цель образования заключается, в частности, в передаче всеобщих ценностей человечества и культурного наследия общин, проживающих в Израиле, и строительстве общества, основанного на принципах свободы, равенства и терпимости.  В 2000 году этот Закон был дополнен положением, согласно которому цель образования состоит в гарантировании равенства возможностей и прав для всех израильских граждан и признании языка, культуры, истории и традиций общин, живущих в Израиле, в частности арабской общины.</w:t>
      </w:r>
    </w:p>
    <w:p w:rsidR="00000000" w:rsidRDefault="00000000">
      <w:pPr>
        <w:tabs>
          <w:tab w:val="left" w:pos="0"/>
        </w:tabs>
        <w:suppressAutoHyphens/>
      </w:pPr>
    </w:p>
    <w:p w:rsidR="00000000" w:rsidRDefault="00000000">
      <w:pPr>
        <w:tabs>
          <w:tab w:val="left" w:pos="0"/>
        </w:tabs>
        <w:suppressAutoHyphens/>
      </w:pPr>
      <w:r>
        <w:t>30.</w:t>
      </w:r>
      <w:r>
        <w:tab/>
        <w:t>В еврейском секторе у родителей учащихся имеется выбор между государственной светской школой и государственными учебными заведениями с религиозным образованием.  Кроме того, они могут высказывать свое мнение в отношении предметов, преподаваемых их детям, поскольку в соответствии с законом 25% школьных программ могут быть посвящены изучению предметов, определенных родителями, и 75% из них устанавливаются по запросу в министерство образования.  В целом эта часть школьной программы посвящена преподаванию языка и культурного наследия той общины, к которой дети принадлежат.  Разнообразие рассматривается в качестве преимущественного элемента в Израиле - причина, в силу которой государство предоставляет лицам, которые желают этого, возможности для сохранения и передачи их лингвистического и культурного наследия.  И наконец, для гарантирования равенства возможностей в муниципалитетах и кварталах, которые нуждаются в дополнительной помощи в области образования, Израиль принял в 1997 году Закон о продленном школьном дне и дополнительном преподавании, который в настоящее время применяется в 106 муниципалитетах, из которых 58 являются еврейскими и 41 - арабскими.  Следует отметить, что среди учащихся, соответствующих условиям, оговоренным в указанном законе в отношении права на продленный день, 41% учащихся являются выходцами из арабского сектора.</w:t>
      </w:r>
    </w:p>
    <w:p w:rsidR="00000000" w:rsidRDefault="00000000">
      <w:pPr>
        <w:tabs>
          <w:tab w:val="left" w:pos="0"/>
        </w:tabs>
        <w:suppressAutoHyphens/>
      </w:pPr>
    </w:p>
    <w:p w:rsidR="00000000" w:rsidRDefault="00000000">
      <w:pPr>
        <w:tabs>
          <w:tab w:val="left" w:pos="0"/>
        </w:tabs>
        <w:suppressAutoHyphens/>
      </w:pPr>
      <w:r>
        <w:t>31.</w:t>
      </w:r>
      <w:r>
        <w:tab/>
      </w:r>
      <w:r>
        <w:rPr>
          <w:u w:val="single"/>
        </w:rPr>
        <w:t>Г-н АМИР</w:t>
      </w:r>
      <w:r>
        <w:t xml:space="preserve"> хотел бы знать, каким образом государство-участник толкует понятие оккупационной державы и считает ли оно, что национальная безопасность относится исключительно к компетенции полиции и армии.</w:t>
      </w:r>
    </w:p>
    <w:p w:rsidR="00000000" w:rsidRDefault="00000000">
      <w:pPr>
        <w:tabs>
          <w:tab w:val="left" w:pos="0"/>
        </w:tabs>
        <w:suppressAutoHyphens/>
      </w:pPr>
    </w:p>
    <w:p w:rsidR="00000000" w:rsidRDefault="00000000">
      <w:pPr>
        <w:tabs>
          <w:tab w:val="left" w:pos="0"/>
        </w:tabs>
        <w:suppressAutoHyphens/>
      </w:pPr>
      <w:r>
        <w:t>32.</w:t>
      </w:r>
      <w:r>
        <w:tab/>
      </w:r>
      <w:r>
        <w:rPr>
          <w:u w:val="single"/>
        </w:rPr>
        <w:t>Г-н КАЛИ ЦАЙ</w:t>
      </w:r>
      <w:r>
        <w:t xml:space="preserve"> хотел бы получить разъяснения того факта, что с 2000 года нерассмотренными остаются 1 200 заявлений о воссоединении семьи, поданных палестинцами, которые хотели бы воссоединиться с родственниками, находящимися на Западном берегу реки Иордан, в то время как, по некоторым сведениям, евреи, имеющие семью в этом районе, пользуются помощью государства для обустройства в этом месте.  Является ли совместимым с положениями Конвенции это различие в предоставляемом режиме?</w:t>
      </w:r>
    </w:p>
    <w:p w:rsidR="00000000" w:rsidRDefault="00000000">
      <w:pPr>
        <w:tabs>
          <w:tab w:val="left" w:pos="0"/>
        </w:tabs>
        <w:suppressAutoHyphens/>
      </w:pPr>
    </w:p>
    <w:p w:rsidR="00000000" w:rsidRDefault="00000000">
      <w:pPr>
        <w:tabs>
          <w:tab w:val="left" w:pos="0"/>
        </w:tabs>
        <w:suppressAutoHyphens/>
      </w:pPr>
      <w:r>
        <w:t>33.</w:t>
      </w:r>
      <w:r>
        <w:tab/>
      </w:r>
      <w:r>
        <w:rPr>
          <w:u w:val="single"/>
        </w:rPr>
        <w:t>Г-н ПИЛЛАИ</w:t>
      </w:r>
      <w:r>
        <w:t xml:space="preserve">, констатируя, что, согласно информации, предоставленной делегацией, число трудящихся-мигрантов является исключительно высоким в государстве-участнике, хотел бы знать, предусматривается ли последним ратификация Международной конвенции о защите прав всех трудящихся-мигрантов и членов их семей.  Он хотел бы также знать, имели ли последствия для этнического состава населения значительные потоки иммигрантов, прибывших для устройства в Израиле в соответствии с Законом о возвращении 1950 года.  </w:t>
      </w:r>
    </w:p>
    <w:p w:rsidR="00000000" w:rsidRDefault="00000000">
      <w:pPr>
        <w:tabs>
          <w:tab w:val="left" w:pos="0"/>
        </w:tabs>
        <w:suppressAutoHyphens/>
      </w:pPr>
    </w:p>
    <w:p w:rsidR="00000000" w:rsidRDefault="00000000">
      <w:pPr>
        <w:tabs>
          <w:tab w:val="left" w:pos="0"/>
        </w:tabs>
        <w:suppressAutoHyphens/>
      </w:pPr>
      <w:r>
        <w:t>34.</w:t>
      </w:r>
      <w:r>
        <w:tab/>
      </w:r>
      <w:r>
        <w:rPr>
          <w:u w:val="single"/>
        </w:rPr>
        <w:t>Г-н ЭВОМСАН</w:t>
      </w:r>
      <w:r>
        <w:t xml:space="preserve"> хотел бы, что делегация ответила на вопросы, которые он задал в отношении положения евреев, являющихся выходцами из Эфиопии.</w:t>
      </w:r>
    </w:p>
    <w:p w:rsidR="00000000" w:rsidRDefault="00000000">
      <w:pPr>
        <w:tabs>
          <w:tab w:val="left" w:pos="0"/>
        </w:tabs>
        <w:suppressAutoHyphens/>
      </w:pPr>
    </w:p>
    <w:p w:rsidR="00000000" w:rsidRDefault="00000000">
      <w:pPr>
        <w:tabs>
          <w:tab w:val="left" w:pos="0"/>
        </w:tabs>
        <w:suppressAutoHyphens/>
      </w:pPr>
      <w:r>
        <w:t>35.</w:t>
      </w:r>
      <w:r>
        <w:tab/>
      </w:r>
      <w:r>
        <w:rPr>
          <w:u w:val="single"/>
        </w:rPr>
        <w:t>Г-н ТОРНБЕРРИ</w:t>
      </w:r>
      <w:r>
        <w:t xml:space="preserve"> просит сообщить подробности, касающиеся того, каким образом бедуины адаптируются к современности.  Удается ли им приспособиться к ней или приобщиться к достижениям современного мира и достичь примирения современности и традиций?  В отношении прав коренных народов на недвижимое имущество, г</w:t>
      </w:r>
      <w:r>
        <w:noBreakHyphen/>
        <w:t>н Торнберри указывает, что во многих страна обычное право коренного народа сосуществует с письменным правом и что в области международного права все более характерной является тенденция проведения равенства между этими двумя типами права.</w:t>
      </w:r>
    </w:p>
    <w:p w:rsidR="00000000" w:rsidRDefault="00000000">
      <w:pPr>
        <w:tabs>
          <w:tab w:val="left" w:pos="0"/>
        </w:tabs>
        <w:suppressAutoHyphens/>
        <w:rPr>
          <w:u w:val="single"/>
        </w:rPr>
      </w:pPr>
    </w:p>
    <w:p w:rsidR="00000000" w:rsidRDefault="00000000">
      <w:pPr>
        <w:tabs>
          <w:tab w:val="left" w:pos="0"/>
        </w:tabs>
        <w:suppressAutoHyphens/>
      </w:pPr>
      <w:r>
        <w:t>36.</w:t>
      </w:r>
      <w:r>
        <w:tab/>
      </w:r>
      <w:r>
        <w:rPr>
          <w:u w:val="single"/>
        </w:rPr>
        <w:t>Г-н де ГУТТ</w:t>
      </w:r>
      <w:r>
        <w:t xml:space="preserve"> хотел бы знать об исходе дел, которые в момент подготовки доклада еще находились на рассмотрении Верховного суда.  Ссылаясь на решение, вынесенное этой судебной инстанцией по делу </w:t>
      </w:r>
      <w:r>
        <w:rPr>
          <w:i/>
        </w:rPr>
        <w:t>Каадан против Управления недвижимости Израиля</w:t>
      </w:r>
      <w:r>
        <w:t>, он хотел бы знать, мог ли Верховный суд вместо рассмотрения дел подобного типа по каждому конкретному случаю, как он делает это в настоящее время, исходить из этого прецедента, когда факты по делу являются весьма схожими.</w:t>
      </w:r>
    </w:p>
    <w:p w:rsidR="00000000" w:rsidRDefault="00000000">
      <w:pPr>
        <w:tabs>
          <w:tab w:val="left" w:pos="0"/>
        </w:tabs>
        <w:suppressAutoHyphens/>
      </w:pPr>
    </w:p>
    <w:p w:rsidR="00000000" w:rsidRDefault="00000000">
      <w:pPr>
        <w:tabs>
          <w:tab w:val="left" w:pos="0"/>
        </w:tabs>
        <w:suppressAutoHyphens/>
      </w:pPr>
      <w:r>
        <w:t>37.</w:t>
      </w:r>
      <w:r>
        <w:tab/>
      </w:r>
      <w:r>
        <w:rPr>
          <w:u w:val="single"/>
        </w:rPr>
        <w:t>Г-н СОЛОМОН</w:t>
      </w:r>
      <w:r>
        <w:t xml:space="preserve"> (Израиль) указывает в отношении евреев из Эфиопии, что в настоящее время эмиграционная квота составляет 300 человек в месяц для членов этого сообщества и что 7 000 эфиопских евреев еще ожидают разрешения на эмиграцию в Израиль.  Длительность этой процедуры объясняется конкретными потребностями этой категории кандидатов для эмиграции.</w:t>
      </w:r>
    </w:p>
    <w:p w:rsidR="00000000" w:rsidRDefault="00000000">
      <w:pPr>
        <w:tabs>
          <w:tab w:val="left" w:pos="0"/>
        </w:tabs>
        <w:suppressAutoHyphens/>
      </w:pPr>
    </w:p>
    <w:p w:rsidR="00000000" w:rsidRDefault="00000000">
      <w:pPr>
        <w:tabs>
          <w:tab w:val="left" w:pos="0"/>
        </w:tabs>
        <w:suppressAutoHyphens/>
      </w:pPr>
      <w:r>
        <w:t>38.</w:t>
      </w:r>
      <w:r>
        <w:tab/>
        <w:t>После принятия в 2005 году поправки к Закону о временном приостановлении действия правил о гражданстве и въезде в Израиль 2003 года 30% запросов на натурализацию, которые были отклонены до 2005 года, в настоящее время пересматриваются министерством внутренних дел.  К указанному закону должна быть принята другая поправка, которая предусматривает возможность предоставления вида на жительство по гуманитарным причинам.</w:t>
      </w:r>
    </w:p>
    <w:p w:rsidR="00000000" w:rsidRDefault="00000000">
      <w:pPr>
        <w:tabs>
          <w:tab w:val="left" w:pos="0"/>
        </w:tabs>
        <w:suppressAutoHyphens/>
        <w:spacing w:line="216" w:lineRule="auto"/>
      </w:pPr>
    </w:p>
    <w:p w:rsidR="00000000" w:rsidRDefault="00000000">
      <w:pPr>
        <w:tabs>
          <w:tab w:val="left" w:pos="0"/>
        </w:tabs>
        <w:suppressAutoHyphens/>
      </w:pPr>
      <w:r>
        <w:t>39.</w:t>
      </w:r>
      <w:r>
        <w:tab/>
        <w:t xml:space="preserve"> </w:t>
      </w:r>
      <w:r>
        <w:rPr>
          <w:u w:val="single"/>
        </w:rPr>
        <w:t>Г-н КЬЕРУМ</w:t>
      </w:r>
      <w:r>
        <w:t xml:space="preserve"> (Докладчик по Израилю) приветствует откровенный характер диалога с израильской делегаций и дух сотрудничества, который был проявлен этой делегацией.  Он приветствует позитивные меры, принятые государством-участником, которое демонстрирует реальную волю к ведению борьбы против расовой дискриминации.  В то же время должен быть достигнут прогресс в определенных областях.  Национальное законодательство должно быть изменено таким образом, чтобы оно соответствовало положению, однозначно запрещающему расовую дискриминацию, и государство-участник должно осуществлять контроль за тем, чтобы средства, используемые для гарантии безопасности, были пропорциональны рискам, а их следствием не являлось бы появление прямой или косвенной дискриминации в отношении некоторых групп населения.</w:t>
      </w:r>
    </w:p>
    <w:p w:rsidR="00000000" w:rsidRDefault="00000000">
      <w:pPr>
        <w:tabs>
          <w:tab w:val="left" w:pos="0"/>
        </w:tabs>
        <w:suppressAutoHyphens/>
      </w:pPr>
    </w:p>
    <w:p w:rsidR="00000000" w:rsidRDefault="00000000">
      <w:pPr>
        <w:tabs>
          <w:tab w:val="left" w:pos="0"/>
        </w:tabs>
        <w:suppressAutoHyphens/>
      </w:pPr>
      <w:r>
        <w:t>40.</w:t>
      </w:r>
      <w:r>
        <w:tab/>
      </w:r>
      <w:r>
        <w:rPr>
          <w:u w:val="single"/>
        </w:rPr>
        <w:t>ПРЕДСЕДАТЕЛЬ</w:t>
      </w:r>
      <w:r>
        <w:t xml:space="preserve"> благодарит израильскую делегацию и выражает надежду на то, что диалог с Комитетом заложит камень в здание мира.</w:t>
      </w:r>
    </w:p>
    <w:p w:rsidR="00000000" w:rsidRDefault="00000000">
      <w:pPr>
        <w:tabs>
          <w:tab w:val="left" w:pos="0"/>
        </w:tabs>
        <w:suppressAutoHyphens/>
      </w:pPr>
    </w:p>
    <w:p w:rsidR="00000000" w:rsidRDefault="00000000">
      <w:pPr>
        <w:tabs>
          <w:tab w:val="left" w:pos="0"/>
        </w:tabs>
        <w:suppressAutoHyphens/>
        <w:spacing w:before="240" w:after="120" w:line="216" w:lineRule="auto"/>
        <w:jc w:val="center"/>
        <w:rPr>
          <w:i/>
        </w:rPr>
      </w:pPr>
      <w:r>
        <w:rPr>
          <w:i/>
        </w:rPr>
        <w:t>Заседание закрывается в 13 час. 05 мин.</w:t>
      </w:r>
    </w:p>
    <w:p w:rsidR="00000000" w:rsidRDefault="00000000">
      <w:pPr>
        <w:tabs>
          <w:tab w:val="left" w:pos="0"/>
        </w:tabs>
        <w:suppressAutoHyphens/>
        <w:spacing w:before="120" w:after="120" w:line="216" w:lineRule="auto"/>
        <w:jc w:val="center"/>
      </w:pPr>
      <w:r>
        <w:t>-----</w:t>
      </w:r>
    </w:p>
    <w:sectPr w:rsidR="00000000">
      <w:headerReference w:type="even" r:id="rId9"/>
      <w:headerReference w:type="default" r:id="rId10"/>
      <w:footerReference w:type="even" r:id="rId11"/>
      <w:type w:val="continuous"/>
      <w:pgSz w:w="11906" w:h="16838"/>
      <w:pgMar w:top="1134" w:right="851" w:bottom="1985"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CERD/C/SR.1795</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pPr>
    <w:r>
      <w:rPr>
        <w:lang w:val="en-US"/>
      </w:rPr>
      <w:tab/>
    </w:r>
    <w:r>
      <w:rPr>
        <w:lang w:val="en-US"/>
      </w:rPr>
      <w:tab/>
      <w:t>CERD/C/SR.1795</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2">
    <w:name w:val="Body Text 2"/>
    <w:basedOn w:val="Normal"/>
    <w:semiHidden/>
    <w:pPr>
      <w:tabs>
        <w:tab w:val="clear" w:pos="567"/>
        <w:tab w:val="clear" w:pos="1134"/>
        <w:tab w:val="clear" w:pos="1701"/>
        <w:tab w:val="clear" w:pos="2268"/>
        <w:tab w:val="clear" w:pos="6237"/>
        <w:tab w:val="left" w:pos="680"/>
      </w:tabs>
      <w:spacing w:before="240" w:line="260" w:lineRule="exact"/>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4647</Words>
  <Characters>26490</Characters>
  <Application>Microsoft Office Word</Application>
  <DocSecurity>4</DocSecurity>
  <Lines>220</Lines>
  <Paragraphs>52</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32531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Лариса Майковская</dc:creator>
  <cp:keywords/>
  <dc:description/>
  <cp:lastModifiedBy>csd</cp:lastModifiedBy>
  <cp:revision>2</cp:revision>
  <cp:lastPrinted>2008-08-21T16:02:00Z</cp:lastPrinted>
  <dcterms:created xsi:type="dcterms:W3CDTF">2008-09-02T09:50:00Z</dcterms:created>
  <dcterms:modified xsi:type="dcterms:W3CDTF">2008-09-02T09:50:00Z</dcterms:modified>
</cp:coreProperties>
</file>