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1280"/>
        <w:gridCol w:w="3420"/>
        <w:gridCol w:w="2120"/>
        <w:gridCol w:w="2819"/>
      </w:tblGrid>
      <w:tr w:rsidR="007511D7" w:rsidRPr="00D65A62" w:rsidTr="002B43B0">
        <w:trPr>
          <w:cnfStyle w:val="100000000000" w:firstRow="1" w:lastRow="0" w:firstColumn="0" w:lastColumn="0" w:oddVBand="0" w:evenVBand="0" w:oddHBand="0" w:evenHBand="0" w:firstRowFirstColumn="0" w:firstRowLastColumn="0" w:lastRowFirstColumn="0" w:lastRowLastColumn="0"/>
          <w:trHeight w:hRule="exact" w:val="851"/>
        </w:trPr>
        <w:tc>
          <w:tcPr>
            <w:tcW w:w="4700" w:type="dxa"/>
            <w:gridSpan w:val="2"/>
            <w:tcBorders>
              <w:bottom w:val="single" w:sz="4" w:space="0" w:color="auto"/>
            </w:tcBorders>
            <w:vAlign w:val="bottom"/>
          </w:tcPr>
          <w:p w:rsidR="007511D7" w:rsidRPr="00635870" w:rsidRDefault="007511D7" w:rsidP="002B43B0">
            <w:pPr>
              <w:spacing w:after="80" w:line="300" w:lineRule="exact"/>
              <w:rPr>
                <w:sz w:val="28"/>
              </w:rPr>
            </w:pPr>
            <w:r>
              <w:rPr>
                <w:sz w:val="28"/>
              </w:rPr>
              <w:t>Организация Объединенных Наций</w:t>
            </w:r>
          </w:p>
        </w:tc>
        <w:tc>
          <w:tcPr>
            <w:tcW w:w="4939" w:type="dxa"/>
            <w:gridSpan w:val="2"/>
            <w:tcBorders>
              <w:bottom w:val="single" w:sz="4" w:space="0" w:color="auto"/>
            </w:tcBorders>
            <w:vAlign w:val="bottom"/>
          </w:tcPr>
          <w:p w:rsidR="007511D7" w:rsidRPr="00D65A62" w:rsidRDefault="007511D7" w:rsidP="002B43B0">
            <w:pPr>
              <w:jc w:val="right"/>
              <w:rPr>
                <w:sz w:val="20"/>
                <w:lang w:val="en-US"/>
              </w:rPr>
            </w:pPr>
            <w:r w:rsidRPr="002F7307">
              <w:rPr>
                <w:sz w:val="40"/>
                <w:szCs w:val="40"/>
                <w:lang w:val="en-US"/>
              </w:rPr>
              <w:t>CERD</w:t>
            </w:r>
            <w:r w:rsidRPr="00D65A62">
              <w:rPr>
                <w:sz w:val="20"/>
                <w:lang w:val="en-US"/>
              </w:rPr>
              <w:t>/</w:t>
            </w:r>
            <w:fldSimple w:instr=" FILLIN  &quot;Введите часть символа после CERD/&quot;  \* MERGEFORMAT ">
              <w:r w:rsidR="0021442E">
                <w:t>C/SR.2035</w:t>
              </w:r>
            </w:fldSimple>
          </w:p>
        </w:tc>
      </w:tr>
      <w:tr w:rsidR="007511D7" w:rsidRPr="00635870" w:rsidTr="002B43B0">
        <w:trPr>
          <w:trHeight w:hRule="exact" w:val="2835"/>
        </w:trPr>
        <w:tc>
          <w:tcPr>
            <w:tcW w:w="1280" w:type="dxa"/>
            <w:tcBorders>
              <w:top w:val="single" w:sz="4" w:space="0" w:color="auto"/>
              <w:bottom w:val="single" w:sz="12" w:space="0" w:color="auto"/>
            </w:tcBorders>
          </w:tcPr>
          <w:p w:rsidR="007511D7" w:rsidRPr="00635870" w:rsidRDefault="007511D7" w:rsidP="002B43B0">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511D7" w:rsidRPr="007511D7" w:rsidRDefault="007511D7" w:rsidP="007511D7">
            <w:pPr>
              <w:suppressAutoHyphens/>
              <w:spacing w:before="120" w:line="380" w:lineRule="exact"/>
              <w:rPr>
                <w:b/>
                <w:spacing w:val="-4"/>
                <w:w w:val="100"/>
                <w:sz w:val="34"/>
                <w:szCs w:val="40"/>
              </w:rPr>
            </w:pPr>
            <w:r w:rsidRPr="007511D7">
              <w:rPr>
                <w:b/>
                <w:spacing w:val="-4"/>
                <w:w w:val="100"/>
                <w:sz w:val="34"/>
                <w:szCs w:val="40"/>
              </w:rPr>
              <w:t>Международная конвенция</w:t>
            </w:r>
            <w:r w:rsidRPr="007511D7">
              <w:rPr>
                <w:b/>
                <w:spacing w:val="-4"/>
                <w:w w:val="100"/>
                <w:sz w:val="34"/>
                <w:szCs w:val="40"/>
              </w:rPr>
              <w:br/>
              <w:t>о ликвидации всех форм</w:t>
            </w:r>
            <w:r w:rsidRPr="007511D7">
              <w:rPr>
                <w:b/>
                <w:spacing w:val="-4"/>
                <w:w w:val="100"/>
                <w:sz w:val="34"/>
                <w:szCs w:val="40"/>
              </w:rPr>
              <w:br/>
              <w:t>расовой дискриминации</w:t>
            </w:r>
          </w:p>
        </w:tc>
        <w:tc>
          <w:tcPr>
            <w:tcW w:w="2819" w:type="dxa"/>
            <w:tcBorders>
              <w:top w:val="single" w:sz="4" w:space="0" w:color="auto"/>
              <w:bottom w:val="single" w:sz="12" w:space="0" w:color="auto"/>
            </w:tcBorders>
          </w:tcPr>
          <w:p w:rsidR="007511D7" w:rsidRPr="00D65A62" w:rsidRDefault="007511D7" w:rsidP="002B43B0">
            <w:pPr>
              <w:spacing w:before="240" w:after="0"/>
              <w:rPr>
                <w:sz w:val="20"/>
                <w:lang w:val="en-US"/>
              </w:rPr>
            </w:pPr>
            <w:r w:rsidRPr="00D65A62">
              <w:rPr>
                <w:sz w:val="20"/>
                <w:lang w:val="en-US"/>
              </w:rPr>
              <w:t>Distr</w:t>
            </w:r>
            <w:r w:rsidRPr="00D65A62">
              <w:rPr>
                <w:sz w:val="20"/>
              </w:rPr>
              <w:t>.:</w:t>
            </w:r>
            <w:r w:rsidRPr="00D65A62">
              <w:rPr>
                <w:sz w:val="20"/>
                <w:lang w:val="en-US"/>
              </w:rPr>
              <w:t xml:space="preserve"> </w:t>
            </w:r>
            <w:bookmarkStart w:id="0" w:name="ПолеСоСписком1"/>
            <w:r w:rsidRPr="00D65A62">
              <w:rPr>
                <w:sz w:val="20"/>
              </w:rPr>
              <w:fldChar w:fldCharType="begin">
                <w:ffData>
                  <w:name w:val="ПолеСоСписком1"/>
                  <w:enabled/>
                  <w:calcOnExit w:val="0"/>
                  <w:ddList>
                    <w:listEntry w:val="General"/>
                    <w:listEntry w:val="Limited"/>
                    <w:listEntry w:val="Restricted"/>
                  </w:ddList>
                </w:ffData>
              </w:fldChar>
            </w:r>
            <w:r w:rsidRPr="00D65A62">
              <w:rPr>
                <w:sz w:val="20"/>
                <w:lang w:val="en-US"/>
              </w:rPr>
              <w:instrText xml:space="preserve"> FORMDROPDOWN </w:instrText>
            </w:r>
            <w:r w:rsidRPr="00D65A62">
              <w:rPr>
                <w:sz w:val="20"/>
              </w:rPr>
            </w:r>
            <w:r w:rsidRPr="00D65A62">
              <w:rPr>
                <w:sz w:val="20"/>
              </w:rPr>
              <w:fldChar w:fldCharType="end"/>
            </w:r>
            <w:bookmarkEnd w:id="0"/>
          </w:p>
          <w:p w:rsidR="007511D7" w:rsidRPr="00D65A62" w:rsidRDefault="007511D7" w:rsidP="002B43B0">
            <w:pPr>
              <w:spacing w:before="0" w:after="0"/>
              <w:rPr>
                <w:sz w:val="20"/>
                <w:lang w:val="en-US"/>
              </w:rPr>
            </w:pPr>
            <w:r w:rsidRPr="00D65A62">
              <w:rPr>
                <w:sz w:val="20"/>
                <w:lang w:val="en-US"/>
              </w:rPr>
              <w:fldChar w:fldCharType="begin"/>
            </w:r>
            <w:r w:rsidRPr="00D65A62">
              <w:rPr>
                <w:sz w:val="20"/>
                <w:lang w:val="en-US"/>
              </w:rPr>
              <w:instrText xml:space="preserve"> FILLIN  "Введите дату документа" \* MERGEFORMAT </w:instrText>
            </w:r>
            <w:r w:rsidR="0021442E">
              <w:rPr>
                <w:sz w:val="20"/>
                <w:lang w:val="en-US"/>
              </w:rPr>
              <w:fldChar w:fldCharType="separate"/>
            </w:r>
            <w:r w:rsidR="00370B99">
              <w:rPr>
                <w:sz w:val="20"/>
                <w:lang w:val="en-US"/>
              </w:rPr>
              <w:t>15 October</w:t>
            </w:r>
            <w:r w:rsidR="0021442E">
              <w:rPr>
                <w:sz w:val="20"/>
                <w:lang w:val="en-US"/>
              </w:rPr>
              <w:t xml:space="preserve"> 2010</w:t>
            </w:r>
            <w:r w:rsidRPr="00D65A62">
              <w:rPr>
                <w:sz w:val="20"/>
                <w:lang w:val="en-US"/>
              </w:rPr>
              <w:fldChar w:fldCharType="end"/>
            </w:r>
          </w:p>
          <w:p w:rsidR="007511D7" w:rsidRPr="00D65A62" w:rsidRDefault="007511D7" w:rsidP="002B43B0">
            <w:pPr>
              <w:spacing w:before="0" w:after="0"/>
              <w:rPr>
                <w:sz w:val="20"/>
              </w:rPr>
            </w:pPr>
            <w:r w:rsidRPr="00D65A62">
              <w:rPr>
                <w:sz w:val="20"/>
                <w:lang w:val="en-US"/>
              </w:rPr>
              <w:t>Russian</w:t>
            </w:r>
          </w:p>
          <w:p w:rsidR="007511D7" w:rsidRPr="00D65A62" w:rsidRDefault="007511D7" w:rsidP="002B43B0">
            <w:pPr>
              <w:spacing w:before="0" w:after="0"/>
              <w:rPr>
                <w:sz w:val="20"/>
              </w:rPr>
            </w:pPr>
            <w:r w:rsidRPr="00D65A62">
              <w:rPr>
                <w:sz w:val="20"/>
                <w:lang w:val="en-US"/>
              </w:rPr>
              <w:t>Original</w:t>
            </w:r>
            <w:r w:rsidRPr="00D65A62">
              <w:rPr>
                <w:sz w:val="20"/>
              </w:rPr>
              <w:t xml:space="preserve">: </w:t>
            </w:r>
            <w:bookmarkStart w:id="1" w:name="ПолеСоСписком2"/>
            <w:r w:rsidRPr="00D65A62">
              <w:rPr>
                <w:sz w:val="20"/>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D65A62">
              <w:rPr>
                <w:sz w:val="20"/>
                <w:lang w:val="en-US"/>
              </w:rPr>
              <w:instrText xml:space="preserve"> FORMDROPDOWN </w:instrText>
            </w:r>
            <w:r w:rsidRPr="00D65A62">
              <w:rPr>
                <w:sz w:val="20"/>
              </w:rPr>
            </w:r>
            <w:r w:rsidRPr="00D65A62">
              <w:rPr>
                <w:sz w:val="20"/>
              </w:rPr>
              <w:fldChar w:fldCharType="end"/>
            </w:r>
            <w:bookmarkEnd w:id="1"/>
          </w:p>
          <w:p w:rsidR="007511D7" w:rsidRPr="00635870" w:rsidRDefault="007511D7" w:rsidP="002B43B0"/>
        </w:tc>
      </w:tr>
    </w:tbl>
    <w:p w:rsidR="002B3239" w:rsidRPr="00636288" w:rsidRDefault="00E57A11" w:rsidP="002B3239">
      <w:pPr>
        <w:spacing w:before="120"/>
        <w:rPr>
          <w:b/>
          <w:sz w:val="24"/>
          <w:szCs w:val="24"/>
        </w:rPr>
      </w:pPr>
      <w:r>
        <w:rPr>
          <w:b/>
          <w:sz w:val="24"/>
          <w:szCs w:val="24"/>
        </w:rPr>
        <w:t>Комитет по ликвидации расовой</w:t>
      </w:r>
      <w:r>
        <w:rPr>
          <w:b/>
          <w:sz w:val="24"/>
          <w:szCs w:val="24"/>
        </w:rPr>
        <w:br/>
      </w:r>
      <w:r w:rsidR="002B3239" w:rsidRPr="00636288">
        <w:rPr>
          <w:b/>
          <w:sz w:val="24"/>
          <w:szCs w:val="24"/>
        </w:rPr>
        <w:t>дискриминации</w:t>
      </w:r>
    </w:p>
    <w:p w:rsidR="002B3239" w:rsidRPr="00636288" w:rsidRDefault="002B3239" w:rsidP="002B3239">
      <w:pPr>
        <w:rPr>
          <w:b/>
        </w:rPr>
      </w:pPr>
      <w:r w:rsidRPr="00636288">
        <w:rPr>
          <w:b/>
        </w:rPr>
        <w:t>Семьдесят седьмая сессия</w:t>
      </w:r>
    </w:p>
    <w:p w:rsidR="002B3239" w:rsidRPr="00636288" w:rsidRDefault="002B3239" w:rsidP="002B3239">
      <w:pPr>
        <w:pStyle w:val="H23GR"/>
        <w:ind w:left="0" w:firstLine="0"/>
        <w:rPr>
          <w:b w:val="0"/>
        </w:rPr>
      </w:pPr>
      <w:r w:rsidRPr="00636288">
        <w:t>Краткий отчет о 20</w:t>
      </w:r>
      <w:r w:rsidRPr="002B3239">
        <w:t>35</w:t>
      </w:r>
      <w:r w:rsidRPr="00636288">
        <w:t>-м заседании,</w:t>
      </w:r>
      <w:r>
        <w:br/>
      </w:r>
      <w:r w:rsidRPr="00636288">
        <w:rPr>
          <w:b w:val="0"/>
        </w:rPr>
        <w:t>состоявшемся во Дворце Вильсона в Женеве</w:t>
      </w:r>
      <w:r w:rsidRPr="00636288">
        <w:rPr>
          <w:b w:val="0"/>
        </w:rPr>
        <w:br/>
        <w:t xml:space="preserve">в </w:t>
      </w:r>
      <w:r>
        <w:rPr>
          <w:b w:val="0"/>
        </w:rPr>
        <w:t>среду</w:t>
      </w:r>
      <w:r w:rsidRPr="00636288">
        <w:rPr>
          <w:b w:val="0"/>
        </w:rPr>
        <w:t xml:space="preserve">, </w:t>
      </w:r>
      <w:r>
        <w:rPr>
          <w:b w:val="0"/>
        </w:rPr>
        <w:t>18</w:t>
      </w:r>
      <w:r w:rsidRPr="00636288">
        <w:rPr>
          <w:b w:val="0"/>
        </w:rPr>
        <w:t xml:space="preserve"> августа 2010 года, в 10 ч. 00 м.</w:t>
      </w:r>
    </w:p>
    <w:p w:rsidR="002B3239" w:rsidRPr="00636288" w:rsidRDefault="002B3239" w:rsidP="002B3239">
      <w:pPr>
        <w:spacing w:before="240" w:after="480"/>
      </w:pPr>
      <w:r w:rsidRPr="00636288">
        <w:rPr>
          <w:i/>
        </w:rPr>
        <w:t>Председатель</w:t>
      </w:r>
      <w:r w:rsidRPr="00636288">
        <w:t xml:space="preserve">: </w:t>
      </w:r>
      <w:r w:rsidRPr="002B3239">
        <w:tab/>
      </w:r>
      <w:r w:rsidRPr="00636288">
        <w:t>г-</w:t>
      </w:r>
      <w:r>
        <w:t>жа</w:t>
      </w:r>
      <w:r w:rsidRPr="00636288">
        <w:t xml:space="preserve"> </w:t>
      </w:r>
      <w:r>
        <w:t>Дах</w:t>
      </w:r>
    </w:p>
    <w:p w:rsidR="002B3239" w:rsidRDefault="002B3239" w:rsidP="002B3239">
      <w:pPr>
        <w:suppressAutoHyphens/>
        <w:spacing w:after="120"/>
        <w:rPr>
          <w:sz w:val="28"/>
        </w:rPr>
      </w:pPr>
      <w:r>
        <w:rPr>
          <w:sz w:val="28"/>
        </w:rPr>
        <w:t>Содержание</w:t>
      </w:r>
    </w:p>
    <w:p w:rsidR="002B3239" w:rsidRPr="00636288" w:rsidRDefault="002B3239" w:rsidP="002B3239">
      <w:pPr>
        <w:pStyle w:val="SingleTxtGR"/>
      </w:pPr>
      <w:r w:rsidRPr="00636288">
        <w:t>Рассмотрение докладов, замечаний и информации, представляемых государс</w:t>
      </w:r>
      <w:r w:rsidRPr="00636288">
        <w:t>т</w:t>
      </w:r>
      <w:r w:rsidRPr="00636288">
        <w:t>вами-участниками в соо</w:t>
      </w:r>
      <w:r w:rsidRPr="00636288">
        <w:t>т</w:t>
      </w:r>
      <w:r w:rsidRPr="00636288">
        <w:t>ветствии со статьей 9 Конвенции (</w:t>
      </w:r>
      <w:r w:rsidRPr="00636288">
        <w:rPr>
          <w:i/>
        </w:rPr>
        <w:t>продолжение</w:t>
      </w:r>
      <w:r w:rsidRPr="00636288">
        <w:t>)</w:t>
      </w:r>
    </w:p>
    <w:p w:rsidR="002B3239" w:rsidRPr="00636288" w:rsidRDefault="002B3239" w:rsidP="000B2D0A">
      <w:pPr>
        <w:pStyle w:val="SingleTxtGR"/>
        <w:ind w:left="1701" w:hanging="567"/>
        <w:jc w:val="left"/>
      </w:pPr>
      <w:r>
        <w:rPr>
          <w:i/>
        </w:rPr>
        <w:tab/>
      </w:r>
      <w:r w:rsidR="000B2D0A">
        <w:rPr>
          <w:i/>
        </w:rPr>
        <w:t>Восемнадцатый и девятнадцатый</w:t>
      </w:r>
      <w:r w:rsidRPr="00636288">
        <w:rPr>
          <w:i/>
        </w:rPr>
        <w:t xml:space="preserve"> периодические доклады </w:t>
      </w:r>
      <w:r w:rsidR="000B2D0A">
        <w:rPr>
          <w:i/>
        </w:rPr>
        <w:t>Дании</w:t>
      </w:r>
      <w:r w:rsidRPr="00636288">
        <w:t xml:space="preserve"> </w:t>
      </w:r>
      <w:r w:rsidR="000B2D0A">
        <w:br/>
      </w:r>
      <w:r w:rsidRPr="00636288">
        <w:t>(пр</w:t>
      </w:r>
      <w:r w:rsidRPr="00636288">
        <w:t>о</w:t>
      </w:r>
      <w:r w:rsidRPr="00636288">
        <w:t>должение)</w:t>
      </w:r>
    </w:p>
    <w:p w:rsidR="002B3239" w:rsidRPr="00E52946" w:rsidRDefault="002B3239" w:rsidP="00E52946">
      <w:pPr>
        <w:pStyle w:val="SingleTxtGR"/>
        <w:rPr>
          <w:i/>
        </w:rPr>
      </w:pPr>
      <w:r w:rsidRPr="00636288">
        <w:br w:type="page"/>
      </w:r>
      <w:r w:rsidRPr="00E52946">
        <w:rPr>
          <w:i/>
        </w:rPr>
        <w:t>Заседание открывается в 10 ч. 0</w:t>
      </w:r>
      <w:r w:rsidR="001947DC" w:rsidRPr="00E52946">
        <w:rPr>
          <w:i/>
        </w:rPr>
        <w:t>5</w:t>
      </w:r>
      <w:r w:rsidRPr="00E52946">
        <w:rPr>
          <w:i/>
        </w:rPr>
        <w:t xml:space="preserve"> м.</w:t>
      </w:r>
    </w:p>
    <w:p w:rsidR="002B3239" w:rsidRPr="00E52946" w:rsidRDefault="00E52946" w:rsidP="00E52946">
      <w:pPr>
        <w:pStyle w:val="H23GR"/>
        <w:rPr>
          <w:b w:val="0"/>
        </w:rPr>
      </w:pPr>
      <w:r>
        <w:tab/>
      </w:r>
      <w:r>
        <w:tab/>
      </w:r>
      <w:r w:rsidR="002B3239" w:rsidRPr="00974011">
        <w:t>Рассмотрение докладов, замечаний и информации, представляемых государствами-участниками в соответствие со статье</w:t>
      </w:r>
      <w:r w:rsidR="002B3239">
        <w:t>й</w:t>
      </w:r>
      <w:r w:rsidR="002B3239" w:rsidRPr="00974011">
        <w:t xml:space="preserve"> 9 Конвенции</w:t>
      </w:r>
      <w:r w:rsidR="002B3239">
        <w:t xml:space="preserve"> </w:t>
      </w:r>
      <w:r w:rsidR="002B3239" w:rsidRPr="00E52946">
        <w:rPr>
          <w:b w:val="0"/>
        </w:rPr>
        <w:t>(</w:t>
      </w:r>
      <w:r w:rsidR="002B3239" w:rsidRPr="00E52946">
        <w:rPr>
          <w:b w:val="0"/>
          <w:i/>
        </w:rPr>
        <w:t>продолжение</w:t>
      </w:r>
      <w:r w:rsidR="002B3239" w:rsidRPr="00E52946">
        <w:rPr>
          <w:b w:val="0"/>
        </w:rPr>
        <w:t>)</w:t>
      </w:r>
    </w:p>
    <w:p w:rsidR="002B3239" w:rsidRDefault="002B3239" w:rsidP="00F30F6B">
      <w:pPr>
        <w:pStyle w:val="SingleTxtGR"/>
        <w:jc w:val="left"/>
      </w:pPr>
      <w:r w:rsidRPr="00E52946">
        <w:rPr>
          <w:i/>
        </w:rPr>
        <w:t>Восемнадцатый и девятнадцатый периодические доклады Дании</w:t>
      </w:r>
      <w:r>
        <w:t xml:space="preserve"> </w:t>
      </w:r>
      <w:r w:rsidR="00F30F6B">
        <w:br/>
      </w:r>
      <w:r>
        <w:t>(продолж</w:t>
      </w:r>
      <w:r>
        <w:t>е</w:t>
      </w:r>
      <w:r>
        <w:t>ние) (</w:t>
      </w:r>
      <w:r w:rsidRPr="00974011">
        <w:rPr>
          <w:lang w:val="en-GB"/>
        </w:rPr>
        <w:t>CERD</w:t>
      </w:r>
      <w:r w:rsidRPr="00974011">
        <w:t>/</w:t>
      </w:r>
      <w:r w:rsidRPr="00974011">
        <w:rPr>
          <w:lang w:val="en-GB"/>
        </w:rPr>
        <w:t>C</w:t>
      </w:r>
      <w:r w:rsidRPr="00974011">
        <w:t>/</w:t>
      </w:r>
      <w:r w:rsidRPr="00974011">
        <w:rPr>
          <w:lang w:val="en-GB"/>
        </w:rPr>
        <w:t>DNK</w:t>
      </w:r>
      <w:r w:rsidRPr="00974011">
        <w:t>/18</w:t>
      </w:r>
      <w:r w:rsidR="00F30F6B">
        <w:t>−</w:t>
      </w:r>
      <w:r w:rsidRPr="00974011">
        <w:t xml:space="preserve">19 </w:t>
      </w:r>
      <w:r>
        <w:t>и</w:t>
      </w:r>
      <w:r w:rsidRPr="00974011">
        <w:t xml:space="preserve"> </w:t>
      </w:r>
      <w:r w:rsidRPr="00974011">
        <w:rPr>
          <w:lang w:val="en-GB"/>
        </w:rPr>
        <w:t>Corr</w:t>
      </w:r>
      <w:r w:rsidRPr="00974011">
        <w:t xml:space="preserve">.1; </w:t>
      </w:r>
      <w:r w:rsidRPr="00974011">
        <w:rPr>
          <w:lang w:val="en-GB"/>
        </w:rPr>
        <w:t>CERD</w:t>
      </w:r>
      <w:r w:rsidRPr="00974011">
        <w:t>/</w:t>
      </w:r>
      <w:r w:rsidRPr="00974011">
        <w:rPr>
          <w:lang w:val="en-GB"/>
        </w:rPr>
        <w:t>C</w:t>
      </w:r>
      <w:r w:rsidRPr="00974011">
        <w:t>/</w:t>
      </w:r>
      <w:r w:rsidRPr="00974011">
        <w:rPr>
          <w:lang w:val="en-GB"/>
        </w:rPr>
        <w:t>DNK</w:t>
      </w:r>
      <w:r w:rsidRPr="00974011">
        <w:t>/</w:t>
      </w:r>
      <w:r w:rsidRPr="00974011">
        <w:rPr>
          <w:lang w:val="en-GB"/>
        </w:rPr>
        <w:t>Q</w:t>
      </w:r>
      <w:r w:rsidRPr="00974011">
        <w:t>/18</w:t>
      </w:r>
      <w:r w:rsidR="00F30F6B">
        <w:t>−</w:t>
      </w:r>
      <w:r w:rsidRPr="00974011">
        <w:t xml:space="preserve">19; </w:t>
      </w:r>
      <w:r w:rsidRPr="00974011">
        <w:rPr>
          <w:lang w:val="en-GB"/>
        </w:rPr>
        <w:t>HRI</w:t>
      </w:r>
      <w:r w:rsidRPr="00974011">
        <w:t>/</w:t>
      </w:r>
      <w:r w:rsidRPr="00974011">
        <w:rPr>
          <w:lang w:val="en-GB"/>
        </w:rPr>
        <w:t>CORE</w:t>
      </w:r>
      <w:r w:rsidRPr="00974011">
        <w:t>/1/</w:t>
      </w:r>
      <w:r w:rsidRPr="00974011">
        <w:rPr>
          <w:lang w:val="en-GB"/>
        </w:rPr>
        <w:t>Add</w:t>
      </w:r>
      <w:r w:rsidRPr="00974011">
        <w:t>.58)</w:t>
      </w:r>
    </w:p>
    <w:p w:rsidR="002B3239" w:rsidRDefault="002B3239" w:rsidP="00E52946">
      <w:pPr>
        <w:pStyle w:val="SingleTxtGR"/>
      </w:pPr>
      <w:r>
        <w:t>1.</w:t>
      </w:r>
      <w:r>
        <w:tab/>
      </w:r>
      <w:r w:rsidRPr="00E52946">
        <w:rPr>
          <w:i/>
        </w:rPr>
        <w:t>По приглашению Председателя делегация Дании занимает места за ст</w:t>
      </w:r>
      <w:r w:rsidRPr="00E52946">
        <w:rPr>
          <w:i/>
        </w:rPr>
        <w:t>о</w:t>
      </w:r>
      <w:r w:rsidRPr="00E52946">
        <w:rPr>
          <w:i/>
        </w:rPr>
        <w:t>лом К</w:t>
      </w:r>
      <w:r w:rsidRPr="00E52946">
        <w:rPr>
          <w:i/>
        </w:rPr>
        <w:t>о</w:t>
      </w:r>
      <w:r w:rsidRPr="00E52946">
        <w:rPr>
          <w:i/>
        </w:rPr>
        <w:t>митета</w:t>
      </w:r>
      <w:r>
        <w:t>.</w:t>
      </w:r>
    </w:p>
    <w:p w:rsidR="002B3239" w:rsidRDefault="002B3239" w:rsidP="00E52946">
      <w:pPr>
        <w:pStyle w:val="SingleTxtGR"/>
      </w:pPr>
      <w:r>
        <w:t>2.</w:t>
      </w:r>
      <w:r>
        <w:tab/>
      </w:r>
      <w:r>
        <w:rPr>
          <w:b/>
        </w:rPr>
        <w:t xml:space="preserve">Председатель </w:t>
      </w:r>
      <w:r>
        <w:t xml:space="preserve">предлагает </w:t>
      </w:r>
      <w:r w:rsidR="001947DC">
        <w:t>И</w:t>
      </w:r>
      <w:r>
        <w:t>сполнительному директору Датского инст</w:t>
      </w:r>
      <w:r>
        <w:t>и</w:t>
      </w:r>
      <w:r>
        <w:t>тута прав человека выступить перед членами Комитета.</w:t>
      </w:r>
    </w:p>
    <w:p w:rsidR="002B3239" w:rsidRDefault="002B3239" w:rsidP="00E52946">
      <w:pPr>
        <w:pStyle w:val="SingleTxtGR"/>
      </w:pPr>
      <w:r>
        <w:t>3.</w:t>
      </w:r>
      <w:r>
        <w:tab/>
      </w:r>
      <w:r>
        <w:rPr>
          <w:b/>
        </w:rPr>
        <w:t xml:space="preserve">Г-н Кристофферсен </w:t>
      </w:r>
      <w:r>
        <w:t>(Датский институт прав человека) выражает наде</w:t>
      </w:r>
      <w:r>
        <w:t>ж</w:t>
      </w:r>
      <w:r>
        <w:t>ду, что позитивное отношение Комитета к национальным правозащитным у</w:t>
      </w:r>
      <w:r>
        <w:t>ч</w:t>
      </w:r>
      <w:r>
        <w:t xml:space="preserve">реждениям будет способствовать включению их </w:t>
      </w:r>
      <w:r w:rsidR="001947DC">
        <w:t xml:space="preserve">вклада </w:t>
      </w:r>
      <w:r>
        <w:t xml:space="preserve">в деятельность других договорных органов по правам человека. Его </w:t>
      </w:r>
      <w:r w:rsidR="001947DC">
        <w:t>И</w:t>
      </w:r>
      <w:r>
        <w:t xml:space="preserve">нститут </w:t>
      </w:r>
      <w:r w:rsidR="001947DC">
        <w:t>положительно оценив</w:t>
      </w:r>
      <w:r w:rsidR="001947DC">
        <w:t>а</w:t>
      </w:r>
      <w:r w:rsidR="001947DC">
        <w:t>ет</w:t>
      </w:r>
      <w:r>
        <w:t xml:space="preserve"> позитивные меры, принятые правительством Дании </w:t>
      </w:r>
      <w:r w:rsidR="001947DC">
        <w:t xml:space="preserve">за период </w:t>
      </w:r>
      <w:r>
        <w:t>с 2006 года, как</w:t>
      </w:r>
      <w:r w:rsidR="001947DC">
        <w:t>, например,</w:t>
      </w:r>
      <w:r>
        <w:t xml:space="preserve"> создание Комиссии по равному обращению, а также разработка </w:t>
      </w:r>
      <w:r w:rsidR="001947DC">
        <w:t>П</w:t>
      </w:r>
      <w:r>
        <w:t>лана действий по межэтническому равному обращению и уважению личн</w:t>
      </w:r>
      <w:r>
        <w:t>о</w:t>
      </w:r>
      <w:r>
        <w:t>сти. Такие инициативы должны продолжаться и поддерживаться надлежащим финансированием.</w:t>
      </w:r>
    </w:p>
    <w:p w:rsidR="002B3239" w:rsidRDefault="002B3239" w:rsidP="00E52946">
      <w:pPr>
        <w:pStyle w:val="SingleTxtGR"/>
      </w:pPr>
      <w:r>
        <w:t>4.</w:t>
      </w:r>
      <w:r>
        <w:tab/>
        <w:t>В отношении вопроса о</w:t>
      </w:r>
      <w:r w:rsidR="001947DC">
        <w:t>б</w:t>
      </w:r>
      <w:r>
        <w:t xml:space="preserve"> </w:t>
      </w:r>
      <w:r w:rsidR="001947DC">
        <w:t>инкорпорировании</w:t>
      </w:r>
      <w:r>
        <w:t xml:space="preserve"> Кон</w:t>
      </w:r>
      <w:r w:rsidR="001947DC">
        <w:t>вен</w:t>
      </w:r>
      <w:r>
        <w:t>ции во внутренне</w:t>
      </w:r>
      <w:r w:rsidR="001947DC">
        <w:t>е</w:t>
      </w:r>
      <w:r>
        <w:t xml:space="preserve"> законодательство выступающий обращает внимание на обеспокоенность, выр</w:t>
      </w:r>
      <w:r>
        <w:t>а</w:t>
      </w:r>
      <w:r>
        <w:t xml:space="preserve">женную в параллельном докладе Института. Он предлагает Комитету уделить внимание общей </w:t>
      </w:r>
      <w:r w:rsidR="00425CDE">
        <w:t>базисной</w:t>
      </w:r>
      <w:r>
        <w:t xml:space="preserve"> проблеме этнического профилирования, которая тр</w:t>
      </w:r>
      <w:r>
        <w:t>е</w:t>
      </w:r>
      <w:r>
        <w:t>бует дополнительного исслед</w:t>
      </w:r>
      <w:r>
        <w:t>о</w:t>
      </w:r>
      <w:r>
        <w:t>вания для того, чтобы отслеживать те изменения, которые происходят в Дании. В целом страна сталкивается с серьезными пр</w:t>
      </w:r>
      <w:r>
        <w:t>о</w:t>
      </w:r>
      <w:r>
        <w:t>блемами в своей деятельности по преодолению дискриминации и поощрению инклюзивного общества.</w:t>
      </w:r>
    </w:p>
    <w:p w:rsidR="002B3239" w:rsidRDefault="002B3239" w:rsidP="00E52946">
      <w:pPr>
        <w:pStyle w:val="SingleTxtGR"/>
      </w:pPr>
      <w:r>
        <w:t>5.</w:t>
      </w:r>
      <w:r>
        <w:tab/>
        <w:t>Соглашаясь с Докладчиком по стране и другими членами Комитета в том, что н</w:t>
      </w:r>
      <w:r>
        <w:t>е</w:t>
      </w:r>
      <w:r>
        <w:t>обходимо обеспечить дальнейшее уточнение роли органов прокуратуры в связи с пресечением ненавистнической риторики и аналогичных правонаруш</w:t>
      </w:r>
      <w:r>
        <w:t>е</w:t>
      </w:r>
      <w:r>
        <w:t xml:space="preserve">ний, выступающий </w:t>
      </w:r>
      <w:r w:rsidR="00425CDE">
        <w:t xml:space="preserve">вместе с тем </w:t>
      </w:r>
      <w:r>
        <w:t>отмечает особый характер правовой системы страны и выражает свою уверенность в том, что Комитету не следует рекоме</w:t>
      </w:r>
      <w:r>
        <w:t>н</w:t>
      </w:r>
      <w:r>
        <w:t>довать меры по ограничению по</w:t>
      </w:r>
      <w:r>
        <w:t>л</w:t>
      </w:r>
      <w:r>
        <w:t xml:space="preserve">номочий Генерального прокурора. Подобный шаг </w:t>
      </w:r>
      <w:r w:rsidR="00425CDE">
        <w:t>оказался</w:t>
      </w:r>
      <w:r>
        <w:t xml:space="preserve"> бы абсолютно </w:t>
      </w:r>
      <w:r w:rsidR="00425CDE">
        <w:t>несвойстве</w:t>
      </w:r>
      <w:r w:rsidR="00425CDE">
        <w:t>н</w:t>
      </w:r>
      <w:r w:rsidR="00425CDE">
        <w:t>ным</w:t>
      </w:r>
      <w:r>
        <w:t xml:space="preserve"> для датского права и не заслужил бы высокого уровня доверия. Напротив, Комитет мог бы рекомендовать, чтобы прокуроры представили общую информацию относительно своей практики в данной связи с целью активизации общественной дискуссии. Кроме того, </w:t>
      </w:r>
      <w:r w:rsidR="00425CDE">
        <w:t xml:space="preserve">должно быть обеспечено </w:t>
      </w:r>
      <w:r>
        <w:t>право жертв на доступ к правосудию, включая эффе</w:t>
      </w:r>
      <w:r>
        <w:t>к</w:t>
      </w:r>
      <w:r>
        <w:t>тивные средства пр</w:t>
      </w:r>
      <w:r>
        <w:t>а</w:t>
      </w:r>
      <w:r>
        <w:t>вовой защиты даже в случае отсутствия расследования или преследования. Вместе с тем было бы неразумн</w:t>
      </w:r>
      <w:r w:rsidR="00425CDE">
        <w:t>о</w:t>
      </w:r>
      <w:r>
        <w:t xml:space="preserve"> просить правительство м</w:t>
      </w:r>
      <w:r>
        <w:t>е</w:t>
      </w:r>
      <w:r>
        <w:t>нять в целом хорошо функционирующую и вполне легитимную систему преследов</w:t>
      </w:r>
      <w:r>
        <w:t>а</w:t>
      </w:r>
      <w:r>
        <w:t>ния. Выступающий выражает удовлетворение по поводу приверженности пр</w:t>
      </w:r>
      <w:r>
        <w:t>а</w:t>
      </w:r>
      <w:r>
        <w:t>вительства решению серьезной проблемы ненавистнической риторики и над</w:t>
      </w:r>
      <w:r>
        <w:t>е</w:t>
      </w:r>
      <w:r>
        <w:t>ется, что будущие инициативы в этой о</w:t>
      </w:r>
      <w:r>
        <w:t>б</w:t>
      </w:r>
      <w:r>
        <w:t xml:space="preserve">ласти </w:t>
      </w:r>
      <w:r w:rsidR="00425CDE">
        <w:t>станут</w:t>
      </w:r>
      <w:r>
        <w:t xml:space="preserve"> общенациональными.</w:t>
      </w:r>
    </w:p>
    <w:p w:rsidR="002B3239" w:rsidRDefault="002B3239" w:rsidP="00E52946">
      <w:pPr>
        <w:pStyle w:val="SingleTxtGR"/>
      </w:pPr>
      <w:r>
        <w:t>6.</w:t>
      </w:r>
      <w:r>
        <w:tab/>
        <w:t>Ссылаясь на пункты 47−56 параллельного доклада Института, он обр</w:t>
      </w:r>
      <w:r>
        <w:t>а</w:t>
      </w:r>
      <w:r>
        <w:t>щает особое внимание на серьезные трудности, с которыми сталкиваются пр</w:t>
      </w:r>
      <w:r>
        <w:t>о</w:t>
      </w:r>
      <w:r>
        <w:t>сители убежища в х</w:t>
      </w:r>
      <w:r>
        <w:t>о</w:t>
      </w:r>
      <w:r>
        <w:t>де продолжительной процедуры рассмотрения ходатайств о предоставлении убежища, в связи с чем государству-участнику следует пре</w:t>
      </w:r>
      <w:r>
        <w:t>д</w:t>
      </w:r>
      <w:r>
        <w:t>ложить представить более подробную информацию в своем следующем пери</w:t>
      </w:r>
      <w:r>
        <w:t>о</w:t>
      </w:r>
      <w:r>
        <w:t xml:space="preserve">дическом докладе. Пункты 40−46 доклада Института посвящены положению женщин из числа этнических меньшинств, которые </w:t>
      </w:r>
      <w:r w:rsidR="00425CDE">
        <w:t>подвергаются жестокому обращению в своих</w:t>
      </w:r>
      <w:r>
        <w:t xml:space="preserve"> брачных отношениях и зачастую сталкиваются с выборо</w:t>
      </w:r>
      <w:r w:rsidR="00425CDE">
        <w:t>м</w:t>
      </w:r>
      <w:r>
        <w:t xml:space="preserve">, заставляющим их либо </w:t>
      </w:r>
      <w:r w:rsidR="00C857D9">
        <w:t>сохранять</w:t>
      </w:r>
      <w:r>
        <w:t xml:space="preserve"> эти отношения, либо покидать страну. Пре</w:t>
      </w:r>
      <w:r>
        <w:t>д</w:t>
      </w:r>
      <w:r>
        <w:t xml:space="preserve">ставленные правительством данные, свидетельствующие об увеличении выдачи видов на жительство женщинам, которые не вполне удовлетворяют обычным требованиям, заслуживают одобрения, однако выступающий предполагает, что такие данные могут оказаться обманчивыми в силу различных причин. Какое количество дел было отклонено и при каких обстоятельствах? Более строгие требования к выдаче видов на </w:t>
      </w:r>
      <w:r w:rsidR="00C857D9">
        <w:t xml:space="preserve">постоянное </w:t>
      </w:r>
      <w:r>
        <w:t>жительство</w:t>
      </w:r>
      <w:r w:rsidR="00551714">
        <w:t>,</w:t>
      </w:r>
      <w:r>
        <w:t xml:space="preserve"> скорее всего</w:t>
      </w:r>
      <w:r w:rsidR="00551714">
        <w:t>,</w:t>
      </w:r>
      <w:r>
        <w:t xml:space="preserve"> приведут к </w:t>
      </w:r>
      <w:r w:rsidR="00C857D9">
        <w:t>усилению</w:t>
      </w:r>
      <w:r>
        <w:t xml:space="preserve"> необходимости в пр</w:t>
      </w:r>
      <w:r>
        <w:t>е</w:t>
      </w:r>
      <w:r>
        <w:t>доставлении защиты таким женщинам, которые будут испытывать серьезные тру</w:t>
      </w:r>
      <w:r>
        <w:t>д</w:t>
      </w:r>
      <w:r>
        <w:t>ности в том, чтобы соответствовать новым требованиям. В этой связи в следующем докладе необходимо представить д</w:t>
      </w:r>
      <w:r>
        <w:t>о</w:t>
      </w:r>
      <w:r>
        <w:t>полнительную информацию о последствиях этих измен</w:t>
      </w:r>
      <w:r>
        <w:t>е</w:t>
      </w:r>
      <w:r>
        <w:t xml:space="preserve">ний. </w:t>
      </w:r>
    </w:p>
    <w:p w:rsidR="002B3239" w:rsidRDefault="002B3239" w:rsidP="00E52946">
      <w:pPr>
        <w:pStyle w:val="SingleTxtGR"/>
      </w:pPr>
      <w:r>
        <w:t>7.</w:t>
      </w:r>
      <w:r>
        <w:tab/>
        <w:t>В дополнение к тому, что говорится в разделе доклада Института о лицах, прина</w:t>
      </w:r>
      <w:r>
        <w:t>д</w:t>
      </w:r>
      <w:r>
        <w:t>лежащих к этнической группе рома, выступающий предлагает запросить информацию не только о мерах, принимаемых с целью улучшения положения, но также и о том, как</w:t>
      </w:r>
      <w:r w:rsidR="00C857D9">
        <w:t>ая</w:t>
      </w:r>
      <w:r>
        <w:t xml:space="preserve"> ситуация </w:t>
      </w:r>
      <w:r w:rsidR="00C857D9">
        <w:t xml:space="preserve">существует </w:t>
      </w:r>
      <w:r>
        <w:t>на местах. Рамки задач должны быть определены, прежде чем будет принято решение о том, следует ли отн</w:t>
      </w:r>
      <w:r>
        <w:t>о</w:t>
      </w:r>
      <w:r>
        <w:t>ситься к рома иначе, чем к другим группам этнических меньшинств. Институт считает, что все группы этнических мен</w:t>
      </w:r>
      <w:r>
        <w:t>ь</w:t>
      </w:r>
      <w:r>
        <w:t>шинств должны пользоваться равными правами. Выступающий приветствует внимание Комитета, уделяемое данному вопросу.</w:t>
      </w:r>
    </w:p>
    <w:p w:rsidR="002B3239" w:rsidRDefault="002B3239" w:rsidP="00E52946">
      <w:pPr>
        <w:pStyle w:val="SingleTxtGR"/>
      </w:pPr>
      <w:r>
        <w:t>8.</w:t>
      </w:r>
      <w:r>
        <w:tab/>
      </w:r>
      <w:r>
        <w:rPr>
          <w:b/>
        </w:rPr>
        <w:t>Председатель</w:t>
      </w:r>
      <w:r>
        <w:t xml:space="preserve"> выражает признательность Институт</w:t>
      </w:r>
      <w:r w:rsidR="00C857D9">
        <w:t>у</w:t>
      </w:r>
      <w:r w:rsidR="00C857D9" w:rsidRPr="00C857D9">
        <w:t xml:space="preserve"> </w:t>
      </w:r>
      <w:r w:rsidR="00C857D9">
        <w:t>за участие</w:t>
      </w:r>
      <w:r>
        <w:t xml:space="preserve"> в работе Комитета и за сотрудничеств</w:t>
      </w:r>
      <w:r w:rsidR="00C857D9">
        <w:t>о</w:t>
      </w:r>
      <w:r>
        <w:t xml:space="preserve"> государства-участника в этой связи.</w:t>
      </w:r>
    </w:p>
    <w:p w:rsidR="002B3239" w:rsidRDefault="002B3239" w:rsidP="00E52946">
      <w:pPr>
        <w:pStyle w:val="SingleTxtGR"/>
      </w:pPr>
      <w:r>
        <w:t>9.</w:t>
      </w:r>
      <w:r>
        <w:tab/>
      </w:r>
      <w:r>
        <w:rPr>
          <w:b/>
        </w:rPr>
        <w:t xml:space="preserve">Г-жа Аукен </w:t>
      </w:r>
      <w:r>
        <w:t>(Дания), подчеркивая особую важность, которую правител</w:t>
      </w:r>
      <w:r>
        <w:t>ь</w:t>
      </w:r>
      <w:r>
        <w:t xml:space="preserve">ство ее страны придает Конвенции, говорит, что </w:t>
      </w:r>
      <w:r w:rsidR="00C857D9">
        <w:t>перед</w:t>
      </w:r>
      <w:r>
        <w:t xml:space="preserve"> ратификаци</w:t>
      </w:r>
      <w:r w:rsidR="00C857D9">
        <w:t>ей</w:t>
      </w:r>
      <w:r>
        <w:t xml:space="preserve"> любого международного договора проводится изучение действующего законодательс</w:t>
      </w:r>
      <w:r>
        <w:t>т</w:t>
      </w:r>
      <w:r>
        <w:t xml:space="preserve">ва на предмет возможных несоответствий и </w:t>
      </w:r>
      <w:r w:rsidR="00C857D9">
        <w:t xml:space="preserve">необходимости </w:t>
      </w:r>
      <w:r>
        <w:t>прин</w:t>
      </w:r>
      <w:r w:rsidR="00C857D9">
        <w:t>ятия</w:t>
      </w:r>
      <w:r>
        <w:t xml:space="preserve"> надлеж</w:t>
      </w:r>
      <w:r>
        <w:t>а</w:t>
      </w:r>
      <w:r>
        <w:t>щи</w:t>
      </w:r>
      <w:r w:rsidR="00C857D9">
        <w:t>х</w:t>
      </w:r>
      <w:r>
        <w:t xml:space="preserve"> мер. В случае Конвенции это привело к добавлению в Уголовный кодекс</w:t>
      </w:r>
      <w:r w:rsidR="001E381A" w:rsidRPr="001E381A">
        <w:t xml:space="preserve"> </w:t>
      </w:r>
      <w:r w:rsidR="001E381A">
        <w:t>статьи 266 В</w:t>
      </w:r>
      <w:r>
        <w:t xml:space="preserve"> и принятию конкретного законодательства о запрещении дискр</w:t>
      </w:r>
      <w:r>
        <w:t>и</w:t>
      </w:r>
      <w:r>
        <w:t>минации. В этой связи правовая традиция Дании предусматривает, что закон</w:t>
      </w:r>
      <w:r>
        <w:t>о</w:t>
      </w:r>
      <w:r>
        <w:t>дательство должно соответствовать ратифицированным международным дог</w:t>
      </w:r>
      <w:r>
        <w:t>о</w:t>
      </w:r>
      <w:r>
        <w:t>ворам, которые при этом имеют прямое применение в судах в случае возникн</w:t>
      </w:r>
      <w:r>
        <w:t>о</w:t>
      </w:r>
      <w:r>
        <w:t>вения сомнений. Конвенция применя</w:t>
      </w:r>
      <w:r w:rsidR="001E381A">
        <w:t>лась</w:t>
      </w:r>
      <w:r>
        <w:t xml:space="preserve"> в судах и других официальных орг</w:t>
      </w:r>
      <w:r>
        <w:t>а</w:t>
      </w:r>
      <w:r>
        <w:t>нах в связи с н</w:t>
      </w:r>
      <w:r>
        <w:t>а</w:t>
      </w:r>
      <w:r>
        <w:t>рушениями статьи 266 В и другого законодательства.</w:t>
      </w:r>
    </w:p>
    <w:p w:rsidR="002B3239" w:rsidRDefault="002B3239" w:rsidP="00E52946">
      <w:pPr>
        <w:pStyle w:val="SingleTxtGR"/>
      </w:pPr>
      <w:r>
        <w:t>10.</w:t>
      </w:r>
      <w:r>
        <w:tab/>
        <w:t>Решение о включении в датское законодательство Европейской конве</w:t>
      </w:r>
      <w:r>
        <w:t>н</w:t>
      </w:r>
      <w:r>
        <w:t xml:space="preserve">ции о защите прав человека и основных свобод было принято на фоне </w:t>
      </w:r>
      <w:r w:rsidR="001E381A">
        <w:t>возро</w:t>
      </w:r>
      <w:r w:rsidR="001E381A">
        <w:t>с</w:t>
      </w:r>
      <w:r w:rsidR="001E381A">
        <w:t>шего</w:t>
      </w:r>
      <w:r>
        <w:t xml:space="preserve"> </w:t>
      </w:r>
      <w:r w:rsidR="001E381A">
        <w:t>все</w:t>
      </w:r>
      <w:r>
        <w:t>общего понимания необходимости соблюдения принципов прав чел</w:t>
      </w:r>
      <w:r>
        <w:t>о</w:t>
      </w:r>
      <w:r>
        <w:t>века. Учитывая, что Международная конвенция о ликвидации всех форм рас</w:t>
      </w:r>
      <w:r>
        <w:t>о</w:t>
      </w:r>
      <w:r>
        <w:t xml:space="preserve">вой дискриминации и так </w:t>
      </w:r>
      <w:r w:rsidR="001E381A">
        <w:t xml:space="preserve">уже </w:t>
      </w:r>
      <w:r>
        <w:t>ра</w:t>
      </w:r>
      <w:r>
        <w:t>с</w:t>
      </w:r>
      <w:r>
        <w:t>сматривается как соответствующий источник права и используется в судах, правительство решило, что ее включение в зак</w:t>
      </w:r>
      <w:r>
        <w:t>о</w:t>
      </w:r>
      <w:r>
        <w:t>нодательство будет носить чисто символический характер, однако</w:t>
      </w:r>
      <w:r w:rsidR="00551714">
        <w:t>,</w:t>
      </w:r>
      <w:r>
        <w:t xml:space="preserve"> тем не м</w:t>
      </w:r>
      <w:r>
        <w:t>е</w:t>
      </w:r>
      <w:r>
        <w:t>нее</w:t>
      </w:r>
      <w:r w:rsidR="00551714">
        <w:t>,</w:t>
      </w:r>
      <w:r>
        <w:t xml:space="preserve"> приняло к сведению замечания Комитета. Значительное число индивид</w:t>
      </w:r>
      <w:r>
        <w:t>у</w:t>
      </w:r>
      <w:r>
        <w:t xml:space="preserve">альных сообщений, направляемых в Комитет </w:t>
      </w:r>
      <w:r w:rsidR="001E381A">
        <w:t>лицами из</w:t>
      </w:r>
      <w:r>
        <w:t xml:space="preserve"> Дании в соответствии со статьей 14 Конвенции, очевидно, связано либо с проблемами, возника</w:t>
      </w:r>
      <w:r>
        <w:t>ю</w:t>
      </w:r>
      <w:r>
        <w:t>щими в связи с преследованием преступлений, касающихся ненавистнической рит</w:t>
      </w:r>
      <w:r>
        <w:t>о</w:t>
      </w:r>
      <w:r>
        <w:t>рики, либо с относительно высокой информированностью населения о Конве</w:t>
      </w:r>
      <w:r>
        <w:t>н</w:t>
      </w:r>
      <w:r>
        <w:t>ции и возможности при</w:t>
      </w:r>
      <w:r w:rsidR="001E381A">
        <w:t>бегнуть к ней. Согласно</w:t>
      </w:r>
      <w:r>
        <w:t xml:space="preserve"> датскому законодательству</w:t>
      </w:r>
      <w:r w:rsidR="00551714">
        <w:t>,</w:t>
      </w:r>
      <w:r>
        <w:t xml:space="preserve"> ф</w:t>
      </w:r>
      <w:r>
        <w:t>и</w:t>
      </w:r>
      <w:r>
        <w:t xml:space="preserve">нансовая правовая помощь предоставляется по заявлениям, в соответствии с которыми правительству предлагается представить ответы Комитету. </w:t>
      </w:r>
      <w:r w:rsidR="001E381A">
        <w:t>Прав</w:t>
      </w:r>
      <w:r w:rsidR="001E381A">
        <w:t>и</w:t>
      </w:r>
      <w:r w:rsidR="001E381A">
        <w:t>тельство</w:t>
      </w:r>
      <w:r>
        <w:t xml:space="preserve"> будет и впредь пропагандировать различными средствами Конвенцию и предусмотренный в ней механизм рассмотрения ж</w:t>
      </w:r>
      <w:r>
        <w:t>а</w:t>
      </w:r>
      <w:r>
        <w:t>лоб.</w:t>
      </w:r>
    </w:p>
    <w:p w:rsidR="002B3239" w:rsidRDefault="002B3239" w:rsidP="00E52946">
      <w:pPr>
        <w:pStyle w:val="SingleTxtGR"/>
      </w:pPr>
      <w:r>
        <w:t>11.</w:t>
      </w:r>
      <w:r>
        <w:tab/>
        <w:t>Решения Генерального прокурора как высшей обвинительной власти принимаются при строгом соблюдения принципа объективности в связи с ра</w:t>
      </w:r>
      <w:r>
        <w:t>з</w:t>
      </w:r>
      <w:r>
        <w:t>личными нарушениями Уголовного кодекса и основаны на соответствующем прецедентном праве. Признавая тот факт, что дела, возбужденные по ст</w:t>
      </w:r>
      <w:r>
        <w:t>а</w:t>
      </w:r>
      <w:r>
        <w:t>тье</w:t>
      </w:r>
      <w:r w:rsidR="001C194F">
        <w:rPr>
          <w:lang w:val="en-US"/>
        </w:rPr>
        <w:t> </w:t>
      </w:r>
      <w:r>
        <w:t>266</w:t>
      </w:r>
      <w:r w:rsidR="00551714">
        <w:t> </w:t>
      </w:r>
      <w:r>
        <w:t>В, заслуживают особого внимания, правительство установило спец</w:t>
      </w:r>
      <w:r>
        <w:t>и</w:t>
      </w:r>
      <w:r>
        <w:t xml:space="preserve">ально разработанную систему отчетности для обеспечения единообразной и эффективной практики. С целью повышения транспарентности Генеральный прокурор вскоре издаст новые руководящие принципы </w:t>
      </w:r>
      <w:r w:rsidR="001E381A">
        <w:t>для</w:t>
      </w:r>
      <w:r>
        <w:t xml:space="preserve"> практических мер применительно к статье 266 В. Будет рассмотрена возможность опубликования р</w:t>
      </w:r>
      <w:r>
        <w:t>е</w:t>
      </w:r>
      <w:r>
        <w:t xml:space="preserve">шений на вебсайте Генеральной прокуратуры. </w:t>
      </w:r>
    </w:p>
    <w:p w:rsidR="002B3239" w:rsidRDefault="002B3239" w:rsidP="00E52946">
      <w:pPr>
        <w:pStyle w:val="SingleTxtGR"/>
        <w:rPr>
          <w:lang w:val="en-US"/>
        </w:rPr>
      </w:pPr>
      <w:r>
        <w:t>12.</w:t>
      </w:r>
      <w:r>
        <w:tab/>
        <w:t>Тот факт что лишь немногим более половины из 24 дел, связанных с н</w:t>
      </w:r>
      <w:r>
        <w:t>е</w:t>
      </w:r>
      <w:r>
        <w:t>навистн</w:t>
      </w:r>
      <w:r>
        <w:t>и</w:t>
      </w:r>
      <w:r>
        <w:t>ческой риторикой, которые были рассмотрены судами в период 2004−2008 годов, увенчались вынесением обвинительных приговоров, может служить подтверждением того, что Генеральная прокуратура не занимается н</w:t>
      </w:r>
      <w:r>
        <w:t>е</w:t>
      </w:r>
      <w:r>
        <w:t>обоснованным отклонением дел. Наиболее часто предполагаемые нарушения статьи 266 В не рассматриваются в судах либо потому, что они не проходят с</w:t>
      </w:r>
      <w:r>
        <w:t>о</w:t>
      </w:r>
      <w:r>
        <w:t>ответствующей юридической проверки, либо в связи с недостаточностью улик. Некоторы</w:t>
      </w:r>
      <w:r w:rsidR="00CE3C81">
        <w:t>е</w:t>
      </w:r>
      <w:r>
        <w:t xml:space="preserve"> из отклоненных исков касались заявлений, сделанных политическ</w:t>
      </w:r>
      <w:r>
        <w:t>и</w:t>
      </w:r>
      <w:r>
        <w:t>ми деятелями во время политических дебатов. В этих случаях Генеральная пр</w:t>
      </w:r>
      <w:r>
        <w:t>о</w:t>
      </w:r>
      <w:r>
        <w:t>куратура принимает решение, исходя из характера заявления и контекста, в к</w:t>
      </w:r>
      <w:r>
        <w:t>о</w:t>
      </w:r>
      <w:r>
        <w:t>тором оно было сделано, на основании учета существующей судебной практ</w:t>
      </w:r>
      <w:r>
        <w:t>и</w:t>
      </w:r>
      <w:r>
        <w:t>ки, а также практики и принципов Верховного суда, включая принцип то</w:t>
      </w:r>
      <w:r w:rsidR="001E381A">
        <w:t>го</w:t>
      </w:r>
      <w:r>
        <w:t xml:space="preserve">, что </w:t>
      </w:r>
      <w:r w:rsidR="001E381A">
        <w:t>проявление</w:t>
      </w:r>
      <w:r w:rsidR="00CE3C81">
        <w:t xml:space="preserve"> </w:t>
      </w:r>
      <w:r>
        <w:t>терпимост</w:t>
      </w:r>
      <w:r w:rsidR="001E381A">
        <w:t>и</w:t>
      </w:r>
      <w:r>
        <w:t xml:space="preserve"> к мнению других является обязательным условием для открытых дискуссий в демократическом обществе. В то же время свобода в</w:t>
      </w:r>
      <w:r>
        <w:t>ы</w:t>
      </w:r>
      <w:r>
        <w:t>ражения должна осущест</w:t>
      </w:r>
      <w:r>
        <w:t>в</w:t>
      </w:r>
      <w:r>
        <w:t>ляться при необходимом уважении прав человека других лиц. Заявления, которые не соответствуют этим принципам, должны предусматривать наказание, в том числе для того, чтобы не создава</w:t>
      </w:r>
      <w:r w:rsidR="000B0C10">
        <w:t>лось впеча</w:t>
      </w:r>
      <w:r w:rsidR="000B0C10">
        <w:t>т</w:t>
      </w:r>
      <w:r w:rsidR="000B0C10">
        <w:t>ления</w:t>
      </w:r>
      <w:r>
        <w:t xml:space="preserve"> безнаказанности. В июне 2010 года Парламент лишил парламентской н</w:t>
      </w:r>
      <w:r>
        <w:t>е</w:t>
      </w:r>
      <w:r>
        <w:t>прикосновенности одного из оппозиционных депутатов при подобных обсто</w:t>
      </w:r>
      <w:r>
        <w:t>я</w:t>
      </w:r>
      <w:r>
        <w:t>тельствах; в настоящее время ему предъявлены обвинения. Оппозиция пр</w:t>
      </w:r>
      <w:r>
        <w:t>и</w:t>
      </w:r>
      <w:r>
        <w:t>звала отменить статью 266 В на том основании, что она ограничивает свободу выр</w:t>
      </w:r>
      <w:r>
        <w:t>а</w:t>
      </w:r>
      <w:r>
        <w:t>жения, однако правительство отказалось сделать это, настаивая на том, что данное положение является необходимым для защиты этнических меньшинств и что оно не пойдет на н</w:t>
      </w:r>
      <w:r>
        <w:t>а</w:t>
      </w:r>
      <w:r>
        <w:t>рушение своих международных обязательств.</w:t>
      </w:r>
    </w:p>
    <w:p w:rsidR="001C194F" w:rsidRDefault="001C194F" w:rsidP="001C194F">
      <w:pPr>
        <w:pStyle w:val="SingleTxtGR"/>
      </w:pPr>
      <w:r w:rsidRPr="0051009E">
        <w:t>13.</w:t>
      </w:r>
      <w:r w:rsidRPr="0051009E">
        <w:tab/>
      </w:r>
      <w:r>
        <w:rPr>
          <w:b/>
        </w:rPr>
        <w:t>Г-жа Хансен</w:t>
      </w:r>
      <w:r>
        <w:t xml:space="preserve"> (Дания)</w:t>
      </w:r>
      <w:r w:rsidRPr="000D017C">
        <w:t xml:space="preserve"> </w:t>
      </w:r>
      <w:r>
        <w:t>в ответ на выраженную обеспокоенность в отнош</w:t>
      </w:r>
      <w:r>
        <w:t>е</w:t>
      </w:r>
      <w:r>
        <w:t>нии того, что требование представлять жалобы о расовой дискриминации в письменном виде может поставить некоторые жертвы в неблагоприятное п</w:t>
      </w:r>
      <w:r>
        <w:t>о</w:t>
      </w:r>
      <w:r>
        <w:t>ложение, поясняет, что Комиссия по равному обращению была создана для о</w:t>
      </w:r>
      <w:r>
        <w:t>б</w:t>
      </w:r>
      <w:r>
        <w:t>легчения процедуры рассмотрения жалоб, поскольку она позволяет избегать с</w:t>
      </w:r>
      <w:r>
        <w:t>у</w:t>
      </w:r>
      <w:r>
        <w:t>дебного разбирательства дел, не вызывающих сомнения, которые достаточно просто изложить в письменном виде. Это не препятствует подаче любого дела на рассмотрение в суд. Дела, связанные с дискриминацией на рабочих местах, обычно подаются профсоюзом заявителя или самим заявителем, если он не с</w:t>
      </w:r>
      <w:r>
        <w:t>о</w:t>
      </w:r>
      <w:r>
        <w:t>стоит в профсоюзе, и подлежат рассмотрению в судах обычной юрисдикции или в с</w:t>
      </w:r>
      <w:r>
        <w:t>у</w:t>
      </w:r>
      <w:r>
        <w:t>дах по рассмотрению трудовых конфликтов. Дания отличается высоким уровнем профс</w:t>
      </w:r>
      <w:r>
        <w:t>о</w:t>
      </w:r>
      <w:r>
        <w:t>юзной представленности трудящихся.</w:t>
      </w:r>
    </w:p>
    <w:p w:rsidR="001C194F" w:rsidRDefault="00E2401F" w:rsidP="001C194F">
      <w:pPr>
        <w:pStyle w:val="SingleTxtGR"/>
      </w:pPr>
      <w:r>
        <w:br w:type="page"/>
      </w:r>
      <w:r w:rsidR="001C194F">
        <w:t>14.</w:t>
      </w:r>
      <w:r w:rsidR="001C194F">
        <w:tab/>
        <w:t>Работающие в составе Комиссии по равному обращению судьи обладают дополнительным опытом в области рассмотрения дел, связанных с дискрим</w:t>
      </w:r>
      <w:r w:rsidR="001C194F">
        <w:t>и</w:t>
      </w:r>
      <w:r w:rsidR="001C194F">
        <w:t>нацией, и иногда присуждают более значительную компенсацию, чем суды о</w:t>
      </w:r>
      <w:r w:rsidR="001C194F">
        <w:t>б</w:t>
      </w:r>
      <w:r w:rsidR="001C194F">
        <w:t>щей системы правосудия. Секретариат Комиссии может отклонять письма с и</w:t>
      </w:r>
      <w:r w:rsidR="001C194F">
        <w:t>з</w:t>
      </w:r>
      <w:r w:rsidR="001C194F">
        <w:t>ложением жалоб, если сочтет их неуместными для рассмотрения, однако его решения могут быть обжалованы в Коми</w:t>
      </w:r>
      <w:r w:rsidR="001C194F">
        <w:t>с</w:t>
      </w:r>
      <w:r w:rsidR="001C194F">
        <w:t>сии. Если секретариат сочтет дело слишком сложным либо имеющим веские причины быть решенным в интер</w:t>
      </w:r>
      <w:r w:rsidR="001C194F">
        <w:t>е</w:t>
      </w:r>
      <w:r w:rsidR="001C194F">
        <w:t>сах подзащитного, он, как правило, представляет такую жалобу в Институт прав человека для получения консультации относительно дальнейших правовых де</w:t>
      </w:r>
      <w:r w:rsidR="001C194F">
        <w:t>й</w:t>
      </w:r>
      <w:r w:rsidR="001C194F">
        <w:t>ствий. Вследствие особого статуса Комиссии ее решения не могут быть обж</w:t>
      </w:r>
      <w:r w:rsidR="001C194F">
        <w:t>а</w:t>
      </w:r>
      <w:r w:rsidR="001C194F">
        <w:t>лованы в административных органах. На практике система судов обычной юрисдикции выступает в качестве механизма для обжалования решений Коми</w:t>
      </w:r>
      <w:r w:rsidR="001C194F">
        <w:t>с</w:t>
      </w:r>
      <w:r w:rsidR="001C194F">
        <w:t>сии. Соответствующие стороны должны решить, собираются ли они подавать апелляцию. Однако, если работодатель отказывается выплатить компенсацию, назначенную Комиссией, или выполнить другие назначенные меры, Комиссия обязана передать дело на рассмотрение суда обычной юрисдикции бесплатно для истца. Из 22 дел о расовой дискриминации, рассмотренных Комиссией за период ее существования с февраля 2010 года, три дела были направлены в с</w:t>
      </w:r>
      <w:r w:rsidR="001C194F">
        <w:t>у</w:t>
      </w:r>
      <w:r w:rsidR="001C194F">
        <w:t>ды.</w:t>
      </w:r>
    </w:p>
    <w:p w:rsidR="001C194F" w:rsidRDefault="001C194F" w:rsidP="001C194F">
      <w:pPr>
        <w:pStyle w:val="SingleTxtGR"/>
      </w:pPr>
      <w:r>
        <w:t>15.</w:t>
      </w:r>
      <w:r>
        <w:tab/>
      </w:r>
      <w:r>
        <w:rPr>
          <w:b/>
        </w:rPr>
        <w:t>Г-н ван Деурс</w:t>
      </w:r>
      <w:r>
        <w:t xml:space="preserve"> (Дания) говорит, что цель новых требований к постоянн</w:t>
      </w:r>
      <w:r>
        <w:t>о</w:t>
      </w:r>
      <w:r>
        <w:t>му проживанию состоит в создании прямой связи между постоянным прожив</w:t>
      </w:r>
      <w:r>
        <w:t>а</w:t>
      </w:r>
      <w:r>
        <w:t>нием и социальной интеграцией иммигрантов. При новой системе, основа</w:t>
      </w:r>
      <w:r>
        <w:t>н</w:t>
      </w:r>
      <w:r>
        <w:t>ной на баллах, такие баллы можно заработать различными путями. Для получения постоянного вида на жительство требуется набрать сто баллов. Во избежание дискриминации по признаку образования вместо него может учитываться пр</w:t>
      </w:r>
      <w:r>
        <w:t>о</w:t>
      </w:r>
      <w:r>
        <w:t>фессиональный стаж. Неурегулированные задолженности перед государством, такие как невыплаченные налоги, должны быть погашены до предоставления вида на жительство, однако банковские кредиты и аналогичные задолженности при этом не учитываются. Такие же требования применяются ко всем имм</w:t>
      </w:r>
      <w:r>
        <w:t>и</w:t>
      </w:r>
      <w:r>
        <w:t>грантам, включая беженцев, и виды на</w:t>
      </w:r>
      <w:r w:rsidRPr="00AA617D">
        <w:t xml:space="preserve"> </w:t>
      </w:r>
      <w:r>
        <w:t>временное жительство могут возобно</w:t>
      </w:r>
      <w:r>
        <w:t>в</w:t>
      </w:r>
      <w:r>
        <w:t>ляться, с тем чтобы люди получили возможность набрать необходимое колич</w:t>
      </w:r>
      <w:r>
        <w:t>е</w:t>
      </w:r>
      <w:r>
        <w:t>ство баллов до тех пор, пока они продолжают отвечать требованиям, необход</w:t>
      </w:r>
      <w:r>
        <w:t>и</w:t>
      </w:r>
      <w:r>
        <w:t>мым для получения вида на временное жительство. Серьезная инвалидность признается в качестве основания для освобождения от выполнения обычных требований.</w:t>
      </w:r>
    </w:p>
    <w:p w:rsidR="001C194F" w:rsidRDefault="001C194F" w:rsidP="001C194F">
      <w:pPr>
        <w:pStyle w:val="SingleTxtGR"/>
      </w:pPr>
      <w:r>
        <w:t>16.</w:t>
      </w:r>
      <w:r>
        <w:tab/>
      </w:r>
      <w:r>
        <w:rPr>
          <w:b/>
        </w:rPr>
        <w:t>Г-н Спайс</w:t>
      </w:r>
      <w:r>
        <w:t xml:space="preserve"> (Дания) говорит, что стратегия правительства по сокращению геттоизации сосредоточена на районах социального жилья, а не на этнических группах, хотя многие из затрагиваемых районов отличаются значительным чи</w:t>
      </w:r>
      <w:r>
        <w:t>с</w:t>
      </w:r>
      <w:r>
        <w:t>лом иммигрантов и беженцев в составе своего населения. Геттоизация препя</w:t>
      </w:r>
      <w:r>
        <w:t>т</w:t>
      </w:r>
      <w:r>
        <w:t>ствует успешной интеграции таких групп в датское общество. Законодател</w:t>
      </w:r>
      <w:r>
        <w:t>ь</w:t>
      </w:r>
      <w:r>
        <w:t>ство предоставляет лицам, получающим социальные пособия, право на альтернати</w:t>
      </w:r>
      <w:r>
        <w:t>в</w:t>
      </w:r>
      <w:r>
        <w:t>ное жилье в районах с более высокими уровнями занятости, в то время как их предыдущее жилище предоставляется работающим лицам. Те, кто получают пособия, по-прежнему сохраняют свое право на жилище, и предпринимаются усилия по предоставлению им нового жилья в течение шести месяцев. Районы, на которые направлены такие меры, определяются ежегодно, причем главным критерием остаются уровни безработицы в размере от 30% до 50%. В результ</w:t>
      </w:r>
      <w:r>
        <w:t>а</w:t>
      </w:r>
      <w:r>
        <w:t>те число обездоленных районов − тех, в которых более половины жителей п</w:t>
      </w:r>
      <w:r>
        <w:t>о</w:t>
      </w:r>
      <w:r>
        <w:t>лучают социальные пособия, − сократилось с 23 в 2007 году до 20 в 2008 году. Многие проблемы по-прежнему сохраняются, в частности в связи с безопасн</w:t>
      </w:r>
      <w:r>
        <w:t>о</w:t>
      </w:r>
      <w:r>
        <w:t>стью и образованием, а реализация обновленной стратегии будет начата поз</w:t>
      </w:r>
      <w:r>
        <w:t>д</w:t>
      </w:r>
      <w:r>
        <w:t>нее в 2010 году.</w:t>
      </w:r>
    </w:p>
    <w:p w:rsidR="001C194F" w:rsidRDefault="001C194F" w:rsidP="001C194F">
      <w:pPr>
        <w:pStyle w:val="SingleTxtGR"/>
      </w:pPr>
      <w:r>
        <w:t>17.</w:t>
      </w:r>
      <w:r>
        <w:tab/>
        <w:t>Согласно исследованиям, проведенным в 2007 году посредством тел</w:t>
      </w:r>
      <w:r>
        <w:t>е</w:t>
      </w:r>
      <w:r>
        <w:t>фонного опроса семей иммигрантов, лишь ограниченное число иммигрантов сталкиваются с расовой или этнической дискриминацией. Менее обнадеж</w:t>
      </w:r>
      <w:r>
        <w:t>и</w:t>
      </w:r>
      <w:r>
        <w:t>вающим положение является в связи с дискриминацией, которой в большей степени подвергаются не сами иммигранты, а их потомки, что, очевидно, о</w:t>
      </w:r>
      <w:r>
        <w:t>т</w:t>
      </w:r>
      <w:r>
        <w:t>части объясняется их о</w:t>
      </w:r>
      <w:r>
        <w:t>т</w:t>
      </w:r>
      <w:r>
        <w:t>личающимся образом жизни. Предпринимаются усилия по ликвидации дискриминации в сфере ночной жизни за счет предоставления, среди прочего, допо</w:t>
      </w:r>
      <w:r>
        <w:t>л</w:t>
      </w:r>
      <w:r>
        <w:t>нительной информации персоналу ночных клубов.</w:t>
      </w:r>
    </w:p>
    <w:p w:rsidR="001C194F" w:rsidRDefault="001C194F" w:rsidP="001C194F">
      <w:pPr>
        <w:pStyle w:val="SingleTxtGR"/>
      </w:pPr>
      <w:r>
        <w:t>18.</w:t>
      </w:r>
      <w:r>
        <w:tab/>
      </w:r>
      <w:r>
        <w:rPr>
          <w:b/>
        </w:rPr>
        <w:t>Г-жа Хансен</w:t>
      </w:r>
      <w:r>
        <w:t xml:space="preserve"> (Дания) говорит, что Конвенция позволяет государствам-участникам проводить различие между гражданами и негражданами. Вместе с тем подобное неравное обращение не должно допускать актов дискримин</w:t>
      </w:r>
      <w:r>
        <w:t>а</w:t>
      </w:r>
      <w:r>
        <w:t>ции, запрещаемых законом, таких как дискриминация по признаку национал</w:t>
      </w:r>
      <w:r>
        <w:t>ь</w:t>
      </w:r>
      <w:r>
        <w:t>ного происхождения какого-либо лица. С другой стороны, неравное обращение допускается, если гражданство является на</w:t>
      </w:r>
      <w:r>
        <w:t>д</w:t>
      </w:r>
      <w:r>
        <w:t>лежащим требованием для какой-либо конкретной работы, например в Министерстве обороны, где требуется а</w:t>
      </w:r>
      <w:r>
        <w:t>к</w:t>
      </w:r>
      <w:r>
        <w:t>тивное чувство гражданской преданности. На практике довольно трудно пре</w:t>
      </w:r>
      <w:r>
        <w:t>д</w:t>
      </w:r>
      <w:r>
        <w:t>ставить себе ситуацию, при которой частные компании могли бы обладать з</w:t>
      </w:r>
      <w:r>
        <w:t>а</w:t>
      </w:r>
      <w:r>
        <w:t>конной заинтересованностью отбирать только датских граждан. Отвечая на в</w:t>
      </w:r>
      <w:r>
        <w:t>о</w:t>
      </w:r>
      <w:r>
        <w:t>прос, заданный одним из членов Комитета, выступающая подтверждает, что т</w:t>
      </w:r>
      <w:r>
        <w:t>а</w:t>
      </w:r>
      <w:r>
        <w:t>кие должности, как юрист, доктор, инженер или экономист, являются досту</w:t>
      </w:r>
      <w:r>
        <w:t>п</w:t>
      </w:r>
      <w:r>
        <w:t>ными для неграждан.</w:t>
      </w:r>
    </w:p>
    <w:p w:rsidR="001C194F" w:rsidRDefault="001C194F" w:rsidP="001C194F">
      <w:pPr>
        <w:pStyle w:val="SingleTxtGR"/>
      </w:pPr>
      <w:r>
        <w:t>19.</w:t>
      </w:r>
      <w:r>
        <w:tab/>
      </w:r>
      <w:r>
        <w:rPr>
          <w:b/>
        </w:rPr>
        <w:t>Г-н Расмуссен</w:t>
      </w:r>
      <w:r>
        <w:t xml:space="preserve"> (Дания) говорит, что муниципалитеты уполномочены принимать решения по своему собственному усмотрению в отношении орган</w:t>
      </w:r>
      <w:r>
        <w:t>и</w:t>
      </w:r>
      <w:r>
        <w:t>зации обучения на родном языке для двуязычных детей из стран, не входящих в Европейский союз или в Европейское экономическое пространство, а также с Фарерских островов и из Гренландии. Некоторые муниципалитеты приняли такое решение, и в определенных случаях родителям предлагается оплачивать эту услугу. Министерство образования опубликовало программу и руководящие принципы для обучения на родном языке. По мнению правительства, более предпочтительным является использование имеющихся финансовых ресурсов для по</w:t>
      </w:r>
      <w:r>
        <w:t>д</w:t>
      </w:r>
      <w:r>
        <w:t>держки образования на датском языке начиная с раннего возраста, и для повышения кач</w:t>
      </w:r>
      <w:r>
        <w:t>е</w:t>
      </w:r>
      <w:r>
        <w:t>ства преподавания, предлагаемого двуязычным студентам, что в свою очередь позволит повысить их успеваемость. Цель образовательной п</w:t>
      </w:r>
      <w:r>
        <w:t>о</w:t>
      </w:r>
      <w:r>
        <w:t>литики Дании состоит не в поощрении ассимиляции двуязычных детей или в сохранении их идентичности в качестве меньшинства, а в том, чтобы помочь им добиться успехов в системе образования, на рынке труда и в обществе в ц</w:t>
      </w:r>
      <w:r>
        <w:t>е</w:t>
      </w:r>
      <w:r>
        <w:t>лом.</w:t>
      </w:r>
    </w:p>
    <w:p w:rsidR="001C194F" w:rsidRDefault="001C194F" w:rsidP="001C194F">
      <w:pPr>
        <w:pStyle w:val="SingleTxtGR"/>
      </w:pPr>
      <w:r>
        <w:t>20.</w:t>
      </w:r>
      <w:r>
        <w:tab/>
        <w:t>Обучение родному языку предлагается некоторым детям в связи с тем, что они должны быть готовы к возможному возвращению в свою страну прои</w:t>
      </w:r>
      <w:r>
        <w:t>с</w:t>
      </w:r>
      <w:r>
        <w:t>хождения. Оно предлагается детям с Фарерских островов и из Гренландии не потому, что соответствующие языки имеют официальный статус, а потому, что они имеют широкое распространение в общественном и частном контекстах на Фарерских островах и в Гренландии. Министерство образования не искл</w:t>
      </w:r>
      <w:r>
        <w:t>ю</w:t>
      </w:r>
      <w:r>
        <w:t>чает возможности того, что обучение родному языку может способствовать п</w:t>
      </w:r>
      <w:r>
        <w:t>о</w:t>
      </w:r>
      <w:r>
        <w:t>вышению успеваемости двуязычных детей. Вместе с тем среди исследователей о</w:t>
      </w:r>
      <w:r>
        <w:t>т</w:t>
      </w:r>
      <w:r>
        <w:t>сутствует общее мнение в отношении того, что двуязычные дети нуждаются в подобном обучении, для того чтобы выучить второй язык и добиться успехов в системе образования.</w:t>
      </w:r>
    </w:p>
    <w:p w:rsidR="001C194F" w:rsidRDefault="001C194F" w:rsidP="001C194F">
      <w:pPr>
        <w:pStyle w:val="SingleTxtGR"/>
      </w:pPr>
      <w:r>
        <w:t>21.</w:t>
      </w:r>
      <w:r>
        <w:tab/>
        <w:t>Дания имеет весьма разнородный состав учащихся, и в датских школах разговаривают более чем на 100 языках. Поэтому предоставление качественн</w:t>
      </w:r>
      <w:r>
        <w:t>о</w:t>
      </w:r>
      <w:r>
        <w:t>го образования на родном языке всем двуязычным детям будет связано со зн</w:t>
      </w:r>
      <w:r>
        <w:t>а</w:t>
      </w:r>
      <w:r>
        <w:t>чительным финансовым бременем и большими практическими трудностями. Организация экономического сотрудничества и развития (ОЭСР) сочла полит</w:t>
      </w:r>
      <w:r>
        <w:t>и</w:t>
      </w:r>
      <w:r>
        <w:t>ку правительства оправданной в своем обзоре по образованию мигрантов за 2010 год. В пересмотренной в 2009 году програ</w:t>
      </w:r>
      <w:r>
        <w:t>м</w:t>
      </w:r>
      <w:r>
        <w:t>ме обучения датскому языку в качестве второго языка школам и учителям предлагается использовать знание двуязычными детьми их родного языка. Ряд языков меньшинств может быть также выбран в качестве вспомогательных предметов в начальной и средней школах.</w:t>
      </w:r>
    </w:p>
    <w:p w:rsidR="001C194F" w:rsidRDefault="001C194F" w:rsidP="001C194F">
      <w:pPr>
        <w:pStyle w:val="SingleTxtGR"/>
      </w:pPr>
      <w:r>
        <w:t>22.</w:t>
      </w:r>
      <w:r>
        <w:tab/>
        <w:t>Что касается отдельных классов для детей рома, так называемых "классов для отсутствующих", также известных под названием "классов для рома", кот</w:t>
      </w:r>
      <w:r>
        <w:t>о</w:t>
      </w:r>
      <w:r>
        <w:t>рые были организованы в муниципалитете Хельсингёр, то они были признаны незаконными Министерством образования и закрыты летом 2005 года. С тех пор до сведения этого министерства более не доводилось ни одного случая се</w:t>
      </w:r>
      <w:r>
        <w:t>г</w:t>
      </w:r>
      <w:r>
        <w:t>регированного образования для детей рома.</w:t>
      </w:r>
    </w:p>
    <w:p w:rsidR="001C194F" w:rsidRDefault="001C194F" w:rsidP="001C194F">
      <w:pPr>
        <w:pStyle w:val="SingleTxtGR"/>
      </w:pPr>
      <w:r>
        <w:t>23.</w:t>
      </w:r>
      <w:r>
        <w:tab/>
      </w:r>
      <w:r>
        <w:rPr>
          <w:b/>
        </w:rPr>
        <w:t>Г-жа Аукен</w:t>
      </w:r>
      <w:r>
        <w:t xml:space="preserve"> (Дания) говорит, что в пунктах 198−200 периодического до</w:t>
      </w:r>
      <w:r>
        <w:t>к</w:t>
      </w:r>
      <w:r>
        <w:t>лада с</w:t>
      </w:r>
      <w:r>
        <w:t>о</w:t>
      </w:r>
      <w:r>
        <w:t>общается о тесте, который должны пройти все кандидаты на зачисление в Датское полицейское училище. Отвечая на вопрос, касающийся возможных различий в успеваемости датских учащихся и учащихся из другой этнической среды, которые были приняты для прохождения обучения, выступающая гов</w:t>
      </w:r>
      <w:r>
        <w:t>о</w:t>
      </w:r>
      <w:r>
        <w:t>рит, что учащиеся из другой этнической среды проявляют тенденцию к более высокому отсеву, однако такое различие не является слишком явным. В учил</w:t>
      </w:r>
      <w:r>
        <w:t>и</w:t>
      </w:r>
      <w:r>
        <w:t>ще разработана программа наставничества для оказания им помощи. Рекоме</w:t>
      </w:r>
      <w:r>
        <w:t>н</w:t>
      </w:r>
      <w:r>
        <w:t>дация Комитета о проведении дополнительного исследов</w:t>
      </w:r>
      <w:r>
        <w:t>а</w:t>
      </w:r>
      <w:r>
        <w:t>ния в данной области была принята к сведению.</w:t>
      </w:r>
    </w:p>
    <w:p w:rsidR="00BB2C29" w:rsidRPr="00DA1F10" w:rsidRDefault="00BB2C29" w:rsidP="00BB2C29">
      <w:pPr>
        <w:pStyle w:val="SingleTxtGR"/>
      </w:pPr>
      <w:r w:rsidRPr="00DA1F10">
        <w:t>24.</w:t>
      </w:r>
      <w:r w:rsidRPr="00DA1F10">
        <w:tab/>
      </w:r>
      <w:r w:rsidRPr="00DA1F10">
        <w:rPr>
          <w:b/>
        </w:rPr>
        <w:t>Г-н Спайс</w:t>
      </w:r>
      <w:r w:rsidRPr="00DA1F10">
        <w:t xml:space="preserve"> (Дания) говорит, что в ходе проведения переписи населения Дании </w:t>
      </w:r>
      <w:r>
        <w:t>данные об этнической принадлежности</w:t>
      </w:r>
      <w:r w:rsidRPr="00DA1F10">
        <w:t xml:space="preserve"> не регистрир</w:t>
      </w:r>
      <w:r w:rsidRPr="00DA1F10">
        <w:t>у</w:t>
      </w:r>
      <w:r w:rsidRPr="00DA1F10">
        <w:t>ются. Поэтому он не может предоставить точные статистические дан</w:t>
      </w:r>
      <w:r>
        <w:t xml:space="preserve">ные </w:t>
      </w:r>
      <w:r w:rsidRPr="00DA1F10">
        <w:t>о численности рома в стране. Согласно оценкам, полученным от неправительственных организаций, представляющих рома, и от Датского совета по делам беженцев, их число с</w:t>
      </w:r>
      <w:r w:rsidRPr="00DA1F10">
        <w:t>о</w:t>
      </w:r>
      <w:r w:rsidRPr="00DA1F10">
        <w:t xml:space="preserve">ставляет от 1 500 до 10 000. </w:t>
      </w:r>
      <w:r>
        <w:t>О</w:t>
      </w:r>
      <w:r w:rsidRPr="00DA1F10">
        <w:t xml:space="preserve">сновными странами </w:t>
      </w:r>
      <w:r>
        <w:t xml:space="preserve">их </w:t>
      </w:r>
      <w:r w:rsidRPr="00DA1F10">
        <w:t>происхождения предп</w:t>
      </w:r>
      <w:r w:rsidRPr="00DA1F10">
        <w:t>о</w:t>
      </w:r>
      <w:r w:rsidRPr="00DA1F10">
        <w:t>ложительно являются Босния и Герцеговина, бывшая югославская Республика Македония и Румыния. По состоянию на 2009 год</w:t>
      </w:r>
      <w:r>
        <w:t>,</w:t>
      </w:r>
      <w:r w:rsidRPr="00DA1F10">
        <w:t xml:space="preserve"> мигранты и их потомки из этих стран в общей сложности составили приблизительно 30 000</w:t>
      </w:r>
      <w:r>
        <w:t xml:space="preserve"> человек</w:t>
      </w:r>
      <w:r w:rsidRPr="00DA1F10">
        <w:t>.</w:t>
      </w:r>
    </w:p>
    <w:p w:rsidR="00BB2C29" w:rsidRPr="00DA1F10" w:rsidRDefault="00BB2C29" w:rsidP="00BB2C29">
      <w:pPr>
        <w:pStyle w:val="SingleTxtGR"/>
      </w:pPr>
      <w:r w:rsidRPr="00DA1F10">
        <w:t>25.</w:t>
      </w:r>
      <w:r w:rsidRPr="00DA1F10">
        <w:tab/>
        <w:t xml:space="preserve">В докладе представлен краткий обзор политики по интеграции рома. Правительство использует </w:t>
      </w:r>
      <w:r>
        <w:t>комплексный</w:t>
      </w:r>
      <w:r w:rsidRPr="00DA1F10">
        <w:t xml:space="preserve"> подход в данной области, поощряя кампании по повышению осведомленности и разработку ролевых моделей для групп молодежи и родителей из числа этнических меньшинств. Местные гру</w:t>
      </w:r>
      <w:r w:rsidRPr="00DA1F10">
        <w:t>п</w:t>
      </w:r>
      <w:r w:rsidRPr="00DA1F10">
        <w:t>пы ролевых моделей созданы в более чем 13 муниципалитетах, включая такие как Хельсингёр и Копенгаген, где проживает бо</w:t>
      </w:r>
      <w:r>
        <w:rPr>
          <w:rFonts w:ascii="Tahoma" w:hAnsi="Tahoma"/>
        </w:rPr>
        <w:t></w:t>
      </w:r>
      <w:r w:rsidRPr="00DA1F10">
        <w:t>льшая часть населения рома. План действий по поощрению равного обращения предусматривает инициат</w:t>
      </w:r>
      <w:r w:rsidRPr="00DA1F10">
        <w:t>и</w:t>
      </w:r>
      <w:r w:rsidRPr="00DA1F10">
        <w:t>вы по пресеч</w:t>
      </w:r>
      <w:r w:rsidRPr="00DA1F10">
        <w:t>е</w:t>
      </w:r>
      <w:r w:rsidRPr="00DA1F10">
        <w:t>нию нетерпимости по отношению к конкретным этническим группам. В случаях взаимной нетерпимости между конкретными группами можно использовать диалог, сосредоточенный, например, на том, что их объ</w:t>
      </w:r>
      <w:r w:rsidRPr="00DA1F10">
        <w:t>е</w:t>
      </w:r>
      <w:r w:rsidRPr="00DA1F10">
        <w:t xml:space="preserve">диняет. Принимаются меры по недопущению того, чтобы группы меньшинств становились жертвами недоверия или </w:t>
      </w:r>
      <w:r>
        <w:t>о</w:t>
      </w:r>
      <w:r w:rsidRPr="00DA1F10">
        <w:t>злоб</w:t>
      </w:r>
      <w:r>
        <w:t>ленности</w:t>
      </w:r>
      <w:r w:rsidRPr="00DA1F10">
        <w:t xml:space="preserve"> по независящим от них причинам.</w:t>
      </w:r>
    </w:p>
    <w:p w:rsidR="00BB2C29" w:rsidRPr="00DA1F10" w:rsidRDefault="00BB2C29" w:rsidP="00BB2C29">
      <w:pPr>
        <w:pStyle w:val="SingleTxtGR"/>
      </w:pPr>
      <w:r w:rsidRPr="00DA1F10">
        <w:t>26.</w:t>
      </w:r>
      <w:r w:rsidRPr="00DA1F10">
        <w:tab/>
        <w:t>План действий также предусматривает отслеживание тенденций усугу</w:t>
      </w:r>
      <w:r w:rsidRPr="00DA1F10">
        <w:t>б</w:t>
      </w:r>
      <w:r w:rsidRPr="00DA1F10">
        <w:t>ления экстремизма и поляризации. Идея заключается в том, чтобы обращать внимание на случаи антисемитизма и нетерпимости, основанные на организ</w:t>
      </w:r>
      <w:r w:rsidRPr="00DA1F10">
        <w:t>о</w:t>
      </w:r>
      <w:r>
        <w:t>ванных инициативах, или способствующие</w:t>
      </w:r>
      <w:r w:rsidRPr="00DA1F10">
        <w:t xml:space="preserve"> расколу местного населения. На о</w:t>
      </w:r>
      <w:r w:rsidRPr="00DA1F10">
        <w:t>с</w:t>
      </w:r>
      <w:r w:rsidRPr="00DA1F10">
        <w:t>нове полученных выводов в сотрудничестве с муниципалитетами будут прин</w:t>
      </w:r>
      <w:r w:rsidRPr="00DA1F10">
        <w:t>я</w:t>
      </w:r>
      <w:r w:rsidRPr="00DA1F10">
        <w:t>ты надлежащие профилактические меры. Если, например, будут выявлены сл</w:t>
      </w:r>
      <w:r w:rsidRPr="00DA1F10">
        <w:t>у</w:t>
      </w:r>
      <w:r w:rsidRPr="00DA1F10">
        <w:t>чаи нетерпимости по отношению к группам рома, то будут приняты профила</w:t>
      </w:r>
      <w:r w:rsidRPr="00DA1F10">
        <w:t>к</w:t>
      </w:r>
      <w:r w:rsidRPr="00DA1F10">
        <w:t>тические меры.</w:t>
      </w:r>
    </w:p>
    <w:p w:rsidR="00BB2C29" w:rsidRPr="00DA1F10" w:rsidRDefault="00BB2C29" w:rsidP="00BB2C29">
      <w:pPr>
        <w:pStyle w:val="SingleTxtGR"/>
      </w:pPr>
      <w:r w:rsidRPr="00DA1F10">
        <w:t>27.</w:t>
      </w:r>
      <w:r w:rsidRPr="00DA1F10">
        <w:tab/>
      </w:r>
      <w:r w:rsidRPr="00DA1F10">
        <w:rPr>
          <w:b/>
        </w:rPr>
        <w:t xml:space="preserve">Г-жа Томсен </w:t>
      </w:r>
      <w:r w:rsidRPr="00DA1F10">
        <w:t>(Дания) говорит, что Грен</w:t>
      </w:r>
      <w:r>
        <w:t>ландия стала самоуправляемой 21 </w:t>
      </w:r>
      <w:r w:rsidRPr="00DA1F10">
        <w:t>июня 2009 года, и этот день считается национальным праздником Гренла</w:t>
      </w:r>
      <w:r w:rsidRPr="00DA1F10">
        <w:t>н</w:t>
      </w:r>
      <w:r w:rsidRPr="00DA1F10">
        <w:t>дии. В докладе не содержится много информации о Гренландии, однако выст</w:t>
      </w:r>
      <w:r w:rsidRPr="00DA1F10">
        <w:t>у</w:t>
      </w:r>
      <w:r w:rsidRPr="00DA1F10">
        <w:t>пающая предлагает членам Комитета ознакомиться, например, с докладом о процессе самоуправления, который был представлен Постоянному форуму по вопросам коренных народов (</w:t>
      </w:r>
      <w:r w:rsidRPr="00DA1F10">
        <w:rPr>
          <w:lang w:val="en-US"/>
        </w:rPr>
        <w:t>E</w:t>
      </w:r>
      <w:r w:rsidRPr="00DA1F10">
        <w:t>/</w:t>
      </w:r>
      <w:r w:rsidRPr="00DA1F10">
        <w:rPr>
          <w:lang w:val="en-US"/>
        </w:rPr>
        <w:t>C</w:t>
      </w:r>
      <w:r w:rsidRPr="00DA1F10">
        <w:t>.19/2009/4/</w:t>
      </w:r>
      <w:r w:rsidRPr="00DA1F10">
        <w:rPr>
          <w:lang w:val="en-US"/>
        </w:rPr>
        <w:t>Add</w:t>
      </w:r>
      <w:r w:rsidRPr="00DA1F10">
        <w:t>.4)</w:t>
      </w:r>
      <w:r>
        <w:t>,</w:t>
      </w:r>
      <w:r w:rsidRPr="00DA1F10">
        <w:t xml:space="preserve"> и с документом, содерж</w:t>
      </w:r>
      <w:r w:rsidRPr="00DA1F10">
        <w:t>а</w:t>
      </w:r>
      <w:r w:rsidRPr="00DA1F10">
        <w:t>щим Акт о самоопределении Гренландии, который был представлен Генерал</w:t>
      </w:r>
      <w:r w:rsidRPr="00DA1F10">
        <w:t>ь</w:t>
      </w:r>
      <w:r w:rsidRPr="00DA1F10">
        <w:t>ной Ассамблее на ее шестьдесят четвертой сессии (А/64/676). Кроме того, пр</w:t>
      </w:r>
      <w:r w:rsidRPr="00DA1F10">
        <w:t>е</w:t>
      </w:r>
      <w:r w:rsidRPr="00DA1F10">
        <w:t>мьер-министр Гренландии в августе 2009 года обратился с заявлением к Эк</w:t>
      </w:r>
      <w:r w:rsidRPr="00DA1F10">
        <w:t>с</w:t>
      </w:r>
      <w:r w:rsidRPr="00DA1F10">
        <w:t>пертному механизму Организации Объединенных Наций по правам коренных народов, в котором заявил о приверженности своего правительства осущест</w:t>
      </w:r>
      <w:r w:rsidRPr="00DA1F10">
        <w:t>в</w:t>
      </w:r>
      <w:r w:rsidRPr="00DA1F10">
        <w:t>лению Декларации Организации Объединенных Наций о правах коренных н</w:t>
      </w:r>
      <w:r w:rsidRPr="00DA1F10">
        <w:t>а</w:t>
      </w:r>
      <w:r w:rsidRPr="00DA1F10">
        <w:t>родов.</w:t>
      </w:r>
    </w:p>
    <w:p w:rsidR="00BB2C29" w:rsidRPr="00DA1F10" w:rsidRDefault="00BB2C29" w:rsidP="00BB2C29">
      <w:pPr>
        <w:pStyle w:val="SingleTxtGR"/>
      </w:pPr>
      <w:r w:rsidRPr="00DA1F10">
        <w:t>28.</w:t>
      </w:r>
      <w:r w:rsidRPr="00DA1F10">
        <w:tab/>
        <w:t xml:space="preserve">Механизм самоуправления стал продолжением системы внутреннего управления, существовавшей на протяжении последних </w:t>
      </w:r>
      <w:r>
        <w:t>30</w:t>
      </w:r>
      <w:r w:rsidRPr="00DA1F10">
        <w:t xml:space="preserve"> лет. Согласно Акту о самоопределении Гренландии</w:t>
      </w:r>
      <w:r>
        <w:t>,</w:t>
      </w:r>
      <w:r w:rsidRPr="00DA1F10">
        <w:t xml:space="preserve"> гренландцы были признаны народом, пользу</w:t>
      </w:r>
      <w:r w:rsidRPr="00DA1F10">
        <w:t>ю</w:t>
      </w:r>
      <w:r w:rsidRPr="00DA1F10">
        <w:t>щимся правом на самоопределение в соответствии с международным правом, а также правом на все природные ресурсы Гренландии. Гренландский язык, отн</w:t>
      </w:r>
      <w:r w:rsidRPr="00DA1F10">
        <w:t>о</w:t>
      </w:r>
      <w:r w:rsidRPr="00DA1F10">
        <w:t xml:space="preserve">сящийся к группе инуитских языков, стал </w:t>
      </w:r>
      <w:r>
        <w:t>официальным</w:t>
      </w:r>
      <w:r w:rsidRPr="00DA1F10">
        <w:t xml:space="preserve"> языком, однако да</w:t>
      </w:r>
      <w:r w:rsidRPr="00DA1F10">
        <w:t>т</w:t>
      </w:r>
      <w:r w:rsidRPr="00DA1F10">
        <w:t>ский по-прежнему преподается в школах наравне с другими иностра</w:t>
      </w:r>
      <w:r w:rsidRPr="00DA1F10">
        <w:t>н</w:t>
      </w:r>
      <w:r w:rsidRPr="00DA1F10">
        <w:t>ными языками. Кроме того, Акт предусматривает положение о независимости, если таковым будет волеизъявление народа Гренландии. Проведение рефере</w:t>
      </w:r>
      <w:r w:rsidRPr="00DA1F10">
        <w:t>н</w:t>
      </w:r>
      <w:r w:rsidRPr="00DA1F10">
        <w:t>дума по данному вопросу в настоящее время не планируется, однако, если Гренландия выберет независимость, она станет независимым государством − участником договоров Организации Объединенных Наций.</w:t>
      </w:r>
    </w:p>
    <w:p w:rsidR="00BB2C29" w:rsidRPr="00DA1F10" w:rsidRDefault="00BB2C29" w:rsidP="00BB2C29">
      <w:pPr>
        <w:pStyle w:val="SingleTxtGR"/>
      </w:pPr>
      <w:r w:rsidRPr="00DA1F10">
        <w:t>29.</w:t>
      </w:r>
      <w:r w:rsidRPr="00DA1F10">
        <w:tab/>
        <w:t>89% населения Гренландии составляют инуиты, и все члены демократ</w:t>
      </w:r>
      <w:r w:rsidRPr="00DA1F10">
        <w:t>и</w:t>
      </w:r>
      <w:r w:rsidRPr="00DA1F10">
        <w:t>чески избранного прав</w:t>
      </w:r>
      <w:r w:rsidRPr="00DA1F10">
        <w:t>и</w:t>
      </w:r>
      <w:r w:rsidRPr="00DA1F10">
        <w:t>тельства по происхождению являются инуитами.</w:t>
      </w:r>
    </w:p>
    <w:p w:rsidR="00BB2C29" w:rsidRPr="00DA1F10" w:rsidRDefault="00BB2C29" w:rsidP="00BB2C29">
      <w:pPr>
        <w:pStyle w:val="SingleTxtGR"/>
      </w:pPr>
      <w:r w:rsidRPr="00DA1F10">
        <w:t>30.</w:t>
      </w:r>
      <w:r w:rsidRPr="00DA1F10">
        <w:tab/>
        <w:t>Один из членов Комитета задал вопрос относительно "критерия места рождения", согласно кот</w:t>
      </w:r>
      <w:r w:rsidRPr="00DA1F10">
        <w:t>о</w:t>
      </w:r>
      <w:r w:rsidRPr="00DA1F10">
        <w:t>рому лица, нанятые в Дании для работы в Гренландии, получают специальные пособия. Эта система была упразднена с момента пер</w:t>
      </w:r>
      <w:r w:rsidRPr="00DA1F10">
        <w:t>е</w:t>
      </w:r>
      <w:r w:rsidRPr="00DA1F10">
        <w:t>хода власти к автономному правительству Гренландии.</w:t>
      </w:r>
    </w:p>
    <w:p w:rsidR="00BB2C29" w:rsidRPr="00DA1F10" w:rsidRDefault="00BB2C29" w:rsidP="00BB2C29">
      <w:pPr>
        <w:pStyle w:val="SingleTxtGR"/>
      </w:pPr>
      <w:r w:rsidRPr="00DA1F10">
        <w:t>31.</w:t>
      </w:r>
      <w:r w:rsidRPr="00DA1F10">
        <w:tab/>
        <w:t xml:space="preserve">Выступающая подтверждает </w:t>
      </w:r>
      <w:r>
        <w:t xml:space="preserve">факт недавнего образования </w:t>
      </w:r>
      <w:r w:rsidRPr="00DA1F10">
        <w:t>Национального комитета по делам лиц, "не имеющих отца с правовой точки зрения". Премьер-министры Гренландии и Дании приступили к обсу</w:t>
      </w:r>
      <w:r w:rsidRPr="00DA1F10">
        <w:t>ж</w:t>
      </w:r>
      <w:r w:rsidRPr="00DA1F10">
        <w:t>дению этой проблемы.</w:t>
      </w:r>
    </w:p>
    <w:p w:rsidR="00BB2C29" w:rsidRPr="00DA1F10" w:rsidRDefault="00BB2C29" w:rsidP="00BB2C29">
      <w:pPr>
        <w:pStyle w:val="SingleTxtGR"/>
      </w:pPr>
      <w:r w:rsidRPr="00DA1F10">
        <w:t>32.</w:t>
      </w:r>
      <w:r w:rsidRPr="00DA1F10">
        <w:tab/>
      </w:r>
      <w:r w:rsidRPr="00DA1F10">
        <w:rPr>
          <w:b/>
        </w:rPr>
        <w:t>Г-жа Аукен</w:t>
      </w:r>
      <w:r w:rsidRPr="00DA1F10">
        <w:t xml:space="preserve"> (Дания) говорит, что 12 июня 2010 года на встрече с авт</w:t>
      </w:r>
      <w:r w:rsidRPr="00DA1F10">
        <w:t>о</w:t>
      </w:r>
      <w:r w:rsidRPr="00DA1F10">
        <w:t>номным правительством премьер-министр Дании обещал, что</w:t>
      </w:r>
      <w:r>
        <w:t xml:space="preserve"> проблема лиц, "не имеющих отца</w:t>
      </w:r>
      <w:r w:rsidRPr="00DA1F10">
        <w:t xml:space="preserve"> с правовой точки зрения", и связанное с ней законодательс</w:t>
      </w:r>
      <w:r w:rsidRPr="00DA1F10">
        <w:t>т</w:t>
      </w:r>
      <w:r w:rsidRPr="00DA1F10">
        <w:t>во будут тщательно изучены в контексте пересмотра семейного права в Гре</w:t>
      </w:r>
      <w:r w:rsidRPr="00DA1F10">
        <w:t>н</w:t>
      </w:r>
      <w:r w:rsidRPr="00DA1F10">
        <w:t>ландии.</w:t>
      </w:r>
    </w:p>
    <w:p w:rsidR="00BB2C29" w:rsidRPr="00DA1F10" w:rsidRDefault="00BB2C29" w:rsidP="00BB2C29">
      <w:pPr>
        <w:pStyle w:val="SingleTxtGR"/>
      </w:pPr>
      <w:r w:rsidRPr="00DA1F10">
        <w:t>33.</w:t>
      </w:r>
      <w:r w:rsidRPr="00DA1F10">
        <w:tab/>
      </w:r>
      <w:r w:rsidRPr="00DA1F10">
        <w:rPr>
          <w:b/>
        </w:rPr>
        <w:t xml:space="preserve">Г-н Якобсен </w:t>
      </w:r>
      <w:r w:rsidRPr="00DA1F10">
        <w:t>(Дания) обращает внимание на правительственный доклад, озаглавленный "Дания 2020: знания, рост, процветание, благосостояние", кот</w:t>
      </w:r>
      <w:r w:rsidRPr="00DA1F10">
        <w:t>о</w:t>
      </w:r>
      <w:r w:rsidRPr="00DA1F10">
        <w:t xml:space="preserve">рый был опубликован в феврале 2010 года. Согласно документу, Дания будет стремиться к тому, чтобы к 2020 году стать одной из ведущих стран Европы с точки зрения интеграции. В частности, иммигранты из незападных стран и их потомки должны быть интегрированы на рынке труда. Правительство будет </w:t>
      </w:r>
      <w:r>
        <w:t>внимательно</w:t>
      </w:r>
      <w:r w:rsidRPr="00DA1F10">
        <w:t xml:space="preserve"> следить за осуществлением усилий по недопущению распростр</w:t>
      </w:r>
      <w:r w:rsidRPr="00DA1F10">
        <w:t>а</w:t>
      </w:r>
      <w:r w:rsidRPr="00DA1F10">
        <w:t>нения экстремистских взглядов и радикальных настроений среди молодежи. Кроме того, оно будет укреплять демократическое и гражданское воспитание, наряду с просвещением по вопросам датской культуры и датского общества для вновь прибывших иммигрантов, с целью укрепления их способности активно участвовать в общественной жизни.</w:t>
      </w:r>
    </w:p>
    <w:p w:rsidR="00BB2C29" w:rsidRPr="00DA1F10" w:rsidRDefault="00BB2C29" w:rsidP="00BB2C29">
      <w:pPr>
        <w:pStyle w:val="SingleTxtGR"/>
      </w:pPr>
      <w:r w:rsidRPr="00DA1F10">
        <w:t>34.</w:t>
      </w:r>
      <w:r w:rsidRPr="00DA1F10">
        <w:tab/>
      </w:r>
      <w:r w:rsidRPr="00DA1F10">
        <w:rPr>
          <w:b/>
        </w:rPr>
        <w:t>Г-жа Крикли</w:t>
      </w:r>
      <w:r w:rsidRPr="00DA1F10">
        <w:t xml:space="preserve"> говорит, что Комитет в первую очередь проявляет заинт</w:t>
      </w:r>
      <w:r w:rsidRPr="00DA1F10">
        <w:t>е</w:t>
      </w:r>
      <w:r w:rsidRPr="00DA1F10">
        <w:t>ресованность</w:t>
      </w:r>
      <w:r>
        <w:t xml:space="preserve"> в обеспечении эффективных средств </w:t>
      </w:r>
      <w:r w:rsidRPr="00DA1F10">
        <w:t>правовой защиты, напр</w:t>
      </w:r>
      <w:r w:rsidRPr="00DA1F10">
        <w:t>и</w:t>
      </w:r>
      <w:r w:rsidRPr="00DA1F10">
        <w:t>мер, в связи с делами, касающимися преступлений на почве ненависти и ненавис</w:t>
      </w:r>
      <w:r w:rsidRPr="00DA1F10">
        <w:t>т</w:t>
      </w:r>
      <w:r w:rsidRPr="00DA1F10">
        <w:t>нической риторикой. В связи с запланированным пересмотром руководящих прин</w:t>
      </w:r>
      <w:r>
        <w:t>ципов осуществления</w:t>
      </w:r>
      <w:r w:rsidRPr="00DA1F10">
        <w:t xml:space="preserve"> статьи 266 В Уголовного кодекса выступающая и</w:t>
      </w:r>
      <w:r w:rsidRPr="00DA1F10">
        <w:t>н</w:t>
      </w:r>
      <w:r w:rsidRPr="00DA1F10">
        <w:t>тересуется, намерено ли государство-участник изучить возможность создания механизмов для более активного поощрения равенства в обращении со ст</w:t>
      </w:r>
      <w:r w:rsidRPr="00DA1F10">
        <w:t>о</w:t>
      </w:r>
      <w:r w:rsidRPr="00DA1F10">
        <w:t xml:space="preserve">роны </w:t>
      </w:r>
      <w:r>
        <w:t>Генеральной прокуратуры</w:t>
      </w:r>
      <w:r w:rsidRPr="00DA1F10">
        <w:t>.</w:t>
      </w:r>
    </w:p>
    <w:p w:rsidR="00BB2C29" w:rsidRPr="00DA1F10" w:rsidRDefault="00BB2C29" w:rsidP="00BB2C29">
      <w:pPr>
        <w:pStyle w:val="SingleTxtGR"/>
      </w:pPr>
      <w:r w:rsidRPr="00DA1F10">
        <w:t>35.</w:t>
      </w:r>
      <w:r w:rsidRPr="00DA1F10">
        <w:tab/>
        <w:t xml:space="preserve">Что касается </w:t>
      </w:r>
      <w:r>
        <w:t>работы представителей</w:t>
      </w:r>
      <w:r w:rsidRPr="00DA1F10">
        <w:t xml:space="preserve"> этнических меньшинств в полиц</w:t>
      </w:r>
      <w:r>
        <w:t>ии</w:t>
      </w:r>
      <w:r w:rsidRPr="00DA1F10">
        <w:t xml:space="preserve">, </w:t>
      </w:r>
      <w:r>
        <w:t xml:space="preserve">то </w:t>
      </w:r>
      <w:r w:rsidRPr="00DA1F10">
        <w:t>выступающая предлагает предусмотреть, чтобы контроль за эффективностью их деятельности осуществлялся не только в Полицейском училище, но и на протяжении всей их карьеры. Было бы интересно удостовериться, например, в том, что они имеют равный доступ к продвижению по службе.</w:t>
      </w:r>
    </w:p>
    <w:p w:rsidR="00BB2C29" w:rsidRPr="00DA1F10" w:rsidRDefault="00BB2C29" w:rsidP="00BB2C29">
      <w:pPr>
        <w:pStyle w:val="SingleTxtGR"/>
      </w:pPr>
      <w:r w:rsidRPr="00DA1F10">
        <w:t>36.</w:t>
      </w:r>
      <w:r w:rsidRPr="00DA1F10">
        <w:tab/>
        <w:t>В некоторых случаях не совсем понятно, имеет ли в виду делегация инт</w:t>
      </w:r>
      <w:r w:rsidRPr="00DA1F10">
        <w:t>е</w:t>
      </w:r>
      <w:r w:rsidRPr="00DA1F10">
        <w:t>грацию или ассимиляцию. Есть основания предполагать, что прибывшие в Д</w:t>
      </w:r>
      <w:r w:rsidRPr="00DA1F10">
        <w:t>а</w:t>
      </w:r>
      <w:r w:rsidRPr="00DA1F10">
        <w:t>нию до 1960 года рома уже полностью интегрированы. Выступающ</w:t>
      </w:r>
      <w:r>
        <w:t>ая</w:t>
      </w:r>
      <w:r w:rsidRPr="00DA1F10">
        <w:t xml:space="preserve"> интерес</w:t>
      </w:r>
      <w:r w:rsidRPr="00DA1F10">
        <w:t>у</w:t>
      </w:r>
      <w:r w:rsidRPr="00DA1F10">
        <w:t>ется, действительно ли они прошли процесс ассимиляции. Отметив огромную разницу в приведенных оценочных данных в отношении рома (1 500 и 10 000), она подчеркивает желательность наличия относительно надежных</w:t>
      </w:r>
      <w:r>
        <w:t xml:space="preserve"> данных об этническом составе,</w:t>
      </w:r>
      <w:r w:rsidRPr="00DA1F10">
        <w:t xml:space="preserve"> с тем чтобы эффективно заниматься решением проблем дискриминации.</w:t>
      </w:r>
    </w:p>
    <w:p w:rsidR="00BB2C29" w:rsidRPr="00DA1F10" w:rsidRDefault="00BB2C29" w:rsidP="00BB2C29">
      <w:pPr>
        <w:pStyle w:val="SingleTxtGR"/>
      </w:pPr>
      <w:r w:rsidRPr="00DA1F10">
        <w:t>37.</w:t>
      </w:r>
      <w:r w:rsidRPr="00DA1F10">
        <w:tab/>
        <w:t xml:space="preserve">Одобрив План действий по обеспечению равного </w:t>
      </w:r>
      <w:r>
        <w:t>обращения</w:t>
      </w:r>
      <w:r w:rsidRPr="00DA1F10">
        <w:t xml:space="preserve"> по этнич</w:t>
      </w:r>
      <w:r w:rsidRPr="00DA1F10">
        <w:t>е</w:t>
      </w:r>
      <w:r w:rsidRPr="00DA1F10">
        <w:t>скому признаку, выступающая интересуется, намечены ли в нем соответству</w:t>
      </w:r>
      <w:r w:rsidRPr="00DA1F10">
        <w:t>ю</w:t>
      </w:r>
      <w:r w:rsidRPr="00DA1F10">
        <w:t xml:space="preserve">щие цели и предусмотрено ли проведение оценки достигнутого прогресса. Она с определенной обеспокоенностью относится к сообщению о том, что члены этнических меньшинств, занимающие более активную жизненную позицию, могут подвергаться более </w:t>
      </w:r>
      <w:r>
        <w:t>высокой</w:t>
      </w:r>
      <w:r w:rsidRPr="00DA1F10">
        <w:t xml:space="preserve"> опасности дискриминации. В процессе д</w:t>
      </w:r>
      <w:r w:rsidRPr="00DA1F10">
        <w:t>е</w:t>
      </w:r>
      <w:r w:rsidRPr="00DA1F10">
        <w:t>мократической интеграции важно сохр</w:t>
      </w:r>
      <w:r w:rsidRPr="00DA1F10">
        <w:t>а</w:t>
      </w:r>
      <w:r w:rsidRPr="00DA1F10">
        <w:t>нять культурное многообразие.</w:t>
      </w:r>
    </w:p>
    <w:p w:rsidR="00BB2C29" w:rsidRPr="00DA1F10" w:rsidRDefault="00BB2C29" w:rsidP="00BB2C29">
      <w:pPr>
        <w:pStyle w:val="SingleTxtGR"/>
      </w:pPr>
      <w:r w:rsidRPr="00DA1F10">
        <w:t>38.</w:t>
      </w:r>
      <w:r w:rsidRPr="00DA1F10">
        <w:tab/>
        <w:t xml:space="preserve">Выступающая отмечает, что в составе работающих лиц </w:t>
      </w:r>
      <w:r>
        <w:t>имеется</w:t>
      </w:r>
      <w:r w:rsidRPr="00DA1F10">
        <w:t xml:space="preserve"> 83% же</w:t>
      </w:r>
      <w:r w:rsidRPr="00DA1F10">
        <w:t>н</w:t>
      </w:r>
      <w:r w:rsidRPr="00DA1F10">
        <w:t>щин из числа иммигрантов и 84% женщин, не относящихся к иммигрантам. Вместе с тем, поскольку женщины из числа иммигрантов зачастую являются уязвим</w:t>
      </w:r>
      <w:r w:rsidRPr="00DA1F10">
        <w:t>ы</w:t>
      </w:r>
      <w:r w:rsidRPr="00DA1F10">
        <w:t>ми и нуждаются в особой защите, важно узнать, какого рода работу они выполняют, особенно с учетом новых норм, регулирующих законность преб</w:t>
      </w:r>
      <w:r w:rsidRPr="00DA1F10">
        <w:t>ы</w:t>
      </w:r>
      <w:r w:rsidRPr="00DA1F10">
        <w:t>вания в стране, и систему контролирования совместного проживания в браке. Каким образом, например, власти могут обеспечить предоставление защиты женщинам, пострадавшим от насилия в быту?</w:t>
      </w:r>
    </w:p>
    <w:p w:rsidR="00BB2C29" w:rsidRPr="00DA1F10" w:rsidRDefault="00BB2C29" w:rsidP="00BB2C29">
      <w:pPr>
        <w:pStyle w:val="SingleTxtGR"/>
      </w:pPr>
      <w:r w:rsidRPr="00DA1F10">
        <w:t>39.</w:t>
      </w:r>
      <w:r w:rsidRPr="00DA1F10">
        <w:tab/>
        <w:t xml:space="preserve">Что касается стратегии противодействия геттоизации, выступающая одобряет цели процесса </w:t>
      </w:r>
      <w:r>
        <w:t>рассредоточения</w:t>
      </w:r>
      <w:r w:rsidRPr="00DA1F10">
        <w:t>, однако интересуется, каким образом государство-участник собирается обеспечить, чтобы меньшинства продолжали польз</w:t>
      </w:r>
      <w:r w:rsidRPr="00DA1F10">
        <w:t>о</w:t>
      </w:r>
      <w:r w:rsidRPr="00DA1F10">
        <w:t>ваться правом не подвергаться дискриминации после их переселения.</w:t>
      </w:r>
    </w:p>
    <w:p w:rsidR="00BB2C29" w:rsidRDefault="00BB2C29" w:rsidP="00BB2C29">
      <w:pPr>
        <w:pStyle w:val="SingleTxtGR"/>
      </w:pPr>
      <w:r>
        <w:t>40.</w:t>
      </w:r>
      <w:r>
        <w:tab/>
        <w:t>Учитывая сложность ситуации с автономией и самоуправлением, выст</w:t>
      </w:r>
      <w:r>
        <w:t>у</w:t>
      </w:r>
      <w:r>
        <w:t>пающая интересуется, какие механизмы предусмотрены для обеспечения дал</w:t>
      </w:r>
      <w:r>
        <w:t>ь</w:t>
      </w:r>
      <w:r>
        <w:t>нейшей защиты самобытности и необходимости свободного и осознанного о</w:t>
      </w:r>
      <w:r>
        <w:t>б</w:t>
      </w:r>
      <w:r>
        <w:t>суждения изменения традиций, например в отношении традиционного влад</w:t>
      </w:r>
      <w:r>
        <w:t>е</w:t>
      </w:r>
      <w:r>
        <w:t xml:space="preserve">ния. </w:t>
      </w:r>
    </w:p>
    <w:p w:rsidR="00BB2C29" w:rsidRDefault="00BB2C29" w:rsidP="00BB2C29">
      <w:pPr>
        <w:pStyle w:val="SingleTxtGR"/>
      </w:pPr>
      <w:r>
        <w:t>41.</w:t>
      </w:r>
      <w:r>
        <w:tab/>
      </w:r>
      <w:r>
        <w:rPr>
          <w:b/>
        </w:rPr>
        <w:t xml:space="preserve">Г-жа Аукен </w:t>
      </w:r>
      <w:r>
        <w:t>(Дания) говорит, что в период с 2004 по 2008 годы в пол</w:t>
      </w:r>
      <w:r>
        <w:t>и</w:t>
      </w:r>
      <w:r>
        <w:t>цию поступило 190 жалоб на нарушение статьи 266 В Уголовного кодекса. Вм</w:t>
      </w:r>
      <w:r>
        <w:t>е</w:t>
      </w:r>
      <w:r>
        <w:t>сте с тем количество жалоб необязательно соответствует количеству предпол</w:t>
      </w:r>
      <w:r>
        <w:t>а</w:t>
      </w:r>
      <w:r>
        <w:t xml:space="preserve">гаемых правонарушений, поскольку инциденты, касающиеся ненавистнической риторики, довольно часто дают основания для нескольких жалоб в различных полицейских округах, особенно если о подобных высказываниях сообщают в средствах массовой информации. Правительство полностью отдает себе отчет в необходимости поощрять жертв подобных правонарушений к тому, чтобы они обращались в полицию. Также признается, что важнейшей предпосылкой для этого является уверенность в том, к жалобе будет проявлено самое серьезное внимание со стороны полиции и прокуратуры. </w:t>
      </w:r>
    </w:p>
    <w:p w:rsidR="00BB2C29" w:rsidRDefault="00BB2C29" w:rsidP="00BB2C29">
      <w:pPr>
        <w:pStyle w:val="SingleTxtGR"/>
      </w:pPr>
      <w:r>
        <w:t>42.</w:t>
      </w:r>
      <w:r>
        <w:tab/>
        <w:t>В дополнение к тем мерам, которые были приняты в сотрудничестве с Датским институтом прав человека, полиция приложила усилия к тому, чтобы оптимизировать свою практику регистрации. В 2009 году была введена новая система обработки дел, предусматривающая включение отдельной графы, кот</w:t>
      </w:r>
      <w:r>
        <w:t>о</w:t>
      </w:r>
      <w:r>
        <w:t>рая подлежит заполнению сотрудником полиции в том случае, если он заподо</w:t>
      </w:r>
      <w:r>
        <w:t>з</w:t>
      </w:r>
      <w:r>
        <w:t>рит, что преступление могло быть совершено по расовым мотивам. В том же году среди сотрудников полиции была распространена инструкция о том, какие меры надлежит принимать при поступлении заявления о совершении престу</w:t>
      </w:r>
      <w:r>
        <w:t>п</w:t>
      </w:r>
      <w:r>
        <w:t>ления на почве ненависти.</w:t>
      </w:r>
    </w:p>
    <w:p w:rsidR="00BB2C29" w:rsidRDefault="00BB2C29" w:rsidP="00BB2C29">
      <w:pPr>
        <w:pStyle w:val="SingleTxtGR"/>
      </w:pPr>
      <w:r>
        <w:t>43.</w:t>
      </w:r>
      <w:r>
        <w:tab/>
        <w:t>Выступающая приветствует рекомендацию г-жи Крикли о создании м</w:t>
      </w:r>
      <w:r>
        <w:t>е</w:t>
      </w:r>
      <w:r>
        <w:t>ханизма для содействия активному поощрению равенства, о которой она дол</w:t>
      </w:r>
      <w:r>
        <w:t>о</w:t>
      </w:r>
      <w:r>
        <w:t>жит руководству пол</w:t>
      </w:r>
      <w:r>
        <w:t>и</w:t>
      </w:r>
      <w:r>
        <w:t>ции.</w:t>
      </w:r>
    </w:p>
    <w:p w:rsidR="00BB2C29" w:rsidRDefault="00BB2C29" w:rsidP="00BB2C29">
      <w:pPr>
        <w:pStyle w:val="SingleTxtGR"/>
      </w:pPr>
      <w:r>
        <w:t>44.</w:t>
      </w:r>
      <w:r>
        <w:tab/>
        <w:t>Сотрудники полиции, которые не являются датчанами по своему этнич</w:t>
      </w:r>
      <w:r>
        <w:t>е</w:t>
      </w:r>
      <w:r>
        <w:t>скому происхождению, представляют собой ценный ресурс. Предпринимаются усилия по привлечению на работу в полицию представителей этнических меньшинств, с тем чтобы состав ее служащих отражал этнический состав нас</w:t>
      </w:r>
      <w:r>
        <w:t>е</w:t>
      </w:r>
      <w:r>
        <w:t>ления. Сотрудники полиции из числа этнических меньшинств представляют с</w:t>
      </w:r>
      <w:r>
        <w:t>о</w:t>
      </w:r>
      <w:r>
        <w:t>бой великолепную ролевую модель для подражания для молодых людей, я</w:t>
      </w:r>
      <w:r>
        <w:t>в</w:t>
      </w:r>
      <w:r>
        <w:t>ляющихся датчанами по этническому происхожд</w:t>
      </w:r>
      <w:r>
        <w:t>е</w:t>
      </w:r>
      <w:r>
        <w:t>нию.</w:t>
      </w:r>
    </w:p>
    <w:p w:rsidR="00BB2C29" w:rsidRDefault="00BB2C29" w:rsidP="00BB2C29">
      <w:pPr>
        <w:pStyle w:val="SingleTxtGR"/>
      </w:pPr>
      <w:r>
        <w:t>45.</w:t>
      </w:r>
      <w:r>
        <w:tab/>
      </w:r>
      <w:r>
        <w:rPr>
          <w:b/>
        </w:rPr>
        <w:t xml:space="preserve">Г-н Якобсен </w:t>
      </w:r>
      <w:r>
        <w:t>(Дания) говорит, что правительство разделяет обеспокое</w:t>
      </w:r>
      <w:r>
        <w:t>н</w:t>
      </w:r>
      <w:r>
        <w:t>ность К</w:t>
      </w:r>
      <w:r>
        <w:t>о</w:t>
      </w:r>
      <w:r>
        <w:t>митета в связи с отсутствием надежных данных о численности рома в стране. Правительство участвует в продолжающемся диалоге с Консультати</w:t>
      </w:r>
      <w:r>
        <w:t>в</w:t>
      </w:r>
      <w:r>
        <w:t>ным комитетом Совета Европы по Рамочной конвенции о защите национальных меньшинств, а также сотру</w:t>
      </w:r>
      <w:r>
        <w:t>д</w:t>
      </w:r>
      <w:r>
        <w:t>ничает с другими органами.</w:t>
      </w:r>
    </w:p>
    <w:p w:rsidR="00BB2C29" w:rsidRDefault="00BB2C29" w:rsidP="00BB2C29">
      <w:pPr>
        <w:pStyle w:val="SingleTxtGR"/>
      </w:pPr>
      <w:r>
        <w:t>46.</w:t>
      </w:r>
      <w:r>
        <w:tab/>
      </w:r>
      <w:r>
        <w:rPr>
          <w:b/>
        </w:rPr>
        <w:t xml:space="preserve">Г-н Спайс </w:t>
      </w:r>
      <w:r>
        <w:t>(Дания) согласен с тем, что, прежде чем принимать предвар</w:t>
      </w:r>
      <w:r>
        <w:t>и</w:t>
      </w:r>
      <w:r>
        <w:t>тельные меры, необходимо установить число лиц в составе общины рома, по</w:t>
      </w:r>
      <w:r>
        <w:t>д</w:t>
      </w:r>
      <w:r>
        <w:t>вергшихся расовой дискриминации. В этой связи полезными могут оказаться местные планы действий по предупреждению расовой дискриминации, п</w:t>
      </w:r>
      <w:r>
        <w:t>о</w:t>
      </w:r>
      <w:r>
        <w:t>скольку они позволят правительству осуществлять сотрудничество с муницип</w:t>
      </w:r>
      <w:r>
        <w:t>а</w:t>
      </w:r>
      <w:r>
        <w:t>литетами по выявлению таких групп, которые подвергаются дискриминации, или считают, что по отношению к ним проявляют недостаточную терпимость. Если бы это относилось к группам рома, то в соо</w:t>
      </w:r>
      <w:r>
        <w:t>т</w:t>
      </w:r>
      <w:r>
        <w:t>ветствии с этой инициативой были бы приняты соответствующие меры. Согласно новому Плану действий по поощрению равного обращения и многообразия и по борьбе с расизмом, пред</w:t>
      </w:r>
      <w:r>
        <w:t>у</w:t>
      </w:r>
      <w:r>
        <w:t>смотрены также инициативы в области исследовательской деятельности, кот</w:t>
      </w:r>
      <w:r>
        <w:t>о</w:t>
      </w:r>
      <w:r>
        <w:t>рые помогут разработать более точные методы для измерения дискримин</w:t>
      </w:r>
      <w:r>
        <w:t>а</w:t>
      </w:r>
      <w:r>
        <w:t>ции, включая дискриминацию, испытанную на личном опыте.</w:t>
      </w:r>
    </w:p>
    <w:p w:rsidR="00BB2C29" w:rsidRDefault="00BB2C29" w:rsidP="00BB2C29">
      <w:pPr>
        <w:pStyle w:val="SingleTxtGR"/>
      </w:pPr>
      <w:r>
        <w:br w:type="page"/>
        <w:t>47.</w:t>
      </w:r>
      <w:r>
        <w:tab/>
      </w:r>
      <w:r>
        <w:rPr>
          <w:b/>
        </w:rPr>
        <w:t xml:space="preserve">Г-н Расмуссен </w:t>
      </w:r>
      <w:r>
        <w:t>(Дания) говорит, что правительство считает себя обяза</w:t>
      </w:r>
      <w:r>
        <w:t>н</w:t>
      </w:r>
      <w:r>
        <w:t>ным способствовать созданию атмосферы, позволяющей детям из числа мен</w:t>
      </w:r>
      <w:r>
        <w:t>ь</w:t>
      </w:r>
      <w:r>
        <w:t>шинств сохранять и выражать культуру меньшинства и использовать эту кул</w:t>
      </w:r>
      <w:r>
        <w:t>ь</w:t>
      </w:r>
      <w:r>
        <w:t>туру в школьной среде. Публикуются руководящие принципы использования языков меньшинств в качестве активного компонента школьной жизни. Инт</w:t>
      </w:r>
      <w:r>
        <w:t>е</w:t>
      </w:r>
      <w:r>
        <w:t>грация рассматривается как двусторонний процесс; двуязычным детям предо</w:t>
      </w:r>
      <w:r>
        <w:t>с</w:t>
      </w:r>
      <w:r>
        <w:t>тавляется обучение языку, и подготовка по всем предметам предусматривает интеграцию языковой поддержки, межкультурного образования и использов</w:t>
      </w:r>
      <w:r>
        <w:t>а</w:t>
      </w:r>
      <w:r>
        <w:t>ния детьми из числа этнических меньшинств своего родного языка и знания своей культуры. Поэтому двуязычные дети адаптируются к школьной системе, равно как и школьная система адаптируется к изменениям в составе учащихся.</w:t>
      </w:r>
    </w:p>
    <w:p w:rsidR="00BB2C29" w:rsidRDefault="00BB2C29" w:rsidP="00BB2C29">
      <w:pPr>
        <w:pStyle w:val="SingleTxtGR"/>
      </w:pPr>
      <w:r>
        <w:t>48.</w:t>
      </w:r>
      <w:r>
        <w:tab/>
      </w:r>
      <w:r>
        <w:rPr>
          <w:b/>
        </w:rPr>
        <w:t xml:space="preserve">Г-н Спайс </w:t>
      </w:r>
      <w:r>
        <w:t>(Дания) говорит, что целью правительственной стратегии в отношении гетто является недопущение расширения маргинализированных групп, а не объединения по этническому признаку. Тот факт, что лица, прина</w:t>
      </w:r>
      <w:r>
        <w:t>д</w:t>
      </w:r>
      <w:r>
        <w:t>лежащие к этническим меньшинствам, предпочитают проживать в одном и том же районе, не представляет собой проблемы; проблемы возникают там, где л</w:t>
      </w:r>
      <w:r>
        <w:t>ю</w:t>
      </w:r>
      <w:r>
        <w:t>ди являются безработными и маргинализированными. Новый План действий по поощрению равного обращения и многообразия и по борьбе с расизмом пред</w:t>
      </w:r>
      <w:r>
        <w:t>у</w:t>
      </w:r>
      <w:r>
        <w:t>сматривает инициативы по укреплению благополучия в обездоленных районах, включая субсидии на проведение диалога и налаживание связей. Такие меры могут включать в себя дискуссии, образовательные курсы, театральные пре</w:t>
      </w:r>
      <w:r>
        <w:t>д</w:t>
      </w:r>
      <w:r>
        <w:t>ставления или другие шаги, направленные на обеспечение социальной спл</w:t>
      </w:r>
      <w:r>
        <w:t>о</w:t>
      </w:r>
      <w:r>
        <w:t>ченности и улучшение качества жизни всех жителей. Правительство не считает необходимым давать свои рекомендации в отношении этой деятельности; ск</w:t>
      </w:r>
      <w:r>
        <w:t>о</w:t>
      </w:r>
      <w:r>
        <w:t>рее, оно полагает, что наилучшие решения могут быть найдены самими жит</w:t>
      </w:r>
      <w:r>
        <w:t>е</w:t>
      </w:r>
      <w:r>
        <w:t>лями.</w:t>
      </w:r>
    </w:p>
    <w:p w:rsidR="00BB2C29" w:rsidRDefault="00BB2C29" w:rsidP="00BB2C29">
      <w:pPr>
        <w:pStyle w:val="SingleTxtGR"/>
      </w:pPr>
      <w:r>
        <w:t>49.</w:t>
      </w:r>
      <w:r>
        <w:tab/>
        <w:t>В целом эти меры направлены, скорее, на вовлечение, а не на интеграцию этнических меньшинств в демократический процесс по широкому спектру о</w:t>
      </w:r>
      <w:r>
        <w:t>б</w:t>
      </w:r>
      <w:r>
        <w:t>ластей. В сотрудничестве с Союзом датской молодежи был проведен один пр</w:t>
      </w:r>
      <w:r>
        <w:t>о</w:t>
      </w:r>
      <w:r>
        <w:t>ект по созданию демократической платформы с целью поощрения принадл</w:t>
      </w:r>
      <w:r>
        <w:t>е</w:t>
      </w:r>
      <w:r>
        <w:t>жащей к этническим меньшинствам молодежи к созданию своих собственных ассоциаций. Хотя ассоциации являются основным стержнем датского общества, для некоторых этнических меньшинств они представляют собой о</w:t>
      </w:r>
      <w:r>
        <w:t>т</w:t>
      </w:r>
      <w:r>
        <w:t>носительно новое понятие. Правительство обеспечивает выделение финансирования и пр</w:t>
      </w:r>
      <w:r>
        <w:t>е</w:t>
      </w:r>
      <w:r>
        <w:t>доставляет секретариатские услуги, а молодые иммигранты принимают реш</w:t>
      </w:r>
      <w:r>
        <w:t>е</w:t>
      </w:r>
      <w:r>
        <w:t>ние о том, какие мероприятия и инициативы они хотели бы поддержать, для т</w:t>
      </w:r>
      <w:r>
        <w:t>о</w:t>
      </w:r>
      <w:r>
        <w:t>го чтобы играть более полноценную роль в обществе. В этой связи основное внимание уделяется скорее предоставлению возможностей и доступа, чем а</w:t>
      </w:r>
      <w:r>
        <w:t>с</w:t>
      </w:r>
      <w:r>
        <w:t>симиляции и и</w:t>
      </w:r>
      <w:r>
        <w:t>н</w:t>
      </w:r>
      <w:r>
        <w:t>теграции.</w:t>
      </w:r>
    </w:p>
    <w:p w:rsidR="00BB2C29" w:rsidRDefault="00BB2C29" w:rsidP="00BB2C29">
      <w:pPr>
        <w:pStyle w:val="SingleTxtGR"/>
      </w:pPr>
      <w:r>
        <w:t>50.</w:t>
      </w:r>
      <w:r>
        <w:tab/>
      </w:r>
      <w:r>
        <w:rPr>
          <w:b/>
        </w:rPr>
        <w:t xml:space="preserve">Г-н ван Деурс </w:t>
      </w:r>
      <w:r>
        <w:t>(Дания) говорит, что женщинам, которые расстались со своими партнерами по причине насилия в быту, как правило, разрешают о</w:t>
      </w:r>
      <w:r>
        <w:t>с</w:t>
      </w:r>
      <w:r>
        <w:t>таться в стране, если они прожили в ней по меньшей мере два года. Хотя новые правила получения вида на постоянное жительство вступили в силу в июне 2010 года, лиц, которые не отвечают требованиям для получения постоянного статуса проживания, не заставляют покидать страну. Поэтому жертвы бытового насилия могут оставаться в Дании и возобновлять свой вид на жительство. Н</w:t>
      </w:r>
      <w:r>
        <w:t>о</w:t>
      </w:r>
      <w:r>
        <w:t>вые правила были введены, с тем чтобы отразить требования правительства о том, что иммигранты должны достичь определенного уровня интеграции, для того чтобы получить статус лиц, постоянно проживающих в стране.</w:t>
      </w:r>
    </w:p>
    <w:p w:rsidR="00BB2C29" w:rsidRDefault="006A5ABF" w:rsidP="00BB2C29">
      <w:pPr>
        <w:pStyle w:val="SingleTxtGR"/>
      </w:pPr>
      <w:r>
        <w:br w:type="page"/>
      </w:r>
      <w:r w:rsidR="00BB2C29">
        <w:t>51.</w:t>
      </w:r>
      <w:r w:rsidR="00BB2C29">
        <w:tab/>
      </w:r>
      <w:r w:rsidR="00BB2C29">
        <w:rPr>
          <w:b/>
        </w:rPr>
        <w:t xml:space="preserve">Г-жа Томсен </w:t>
      </w:r>
      <w:r w:rsidR="00BB2C29">
        <w:t>(Дания) говорит, что в Гренландии наблюдается активное проявление этнической идентичности, а также открытость, с которой обсужд</w:t>
      </w:r>
      <w:r w:rsidR="00BB2C29">
        <w:t>а</w:t>
      </w:r>
      <w:r w:rsidR="00BB2C29">
        <w:t>ются особые культурные различия, существующие как в северной, так и в во</w:t>
      </w:r>
      <w:r w:rsidR="00BB2C29">
        <w:t>с</w:t>
      </w:r>
      <w:r w:rsidR="00BB2C29">
        <w:t>точной частях Гренландии. Бережно сохраняемой частью гренландского общ</w:t>
      </w:r>
      <w:r w:rsidR="00BB2C29">
        <w:t>е</w:t>
      </w:r>
      <w:r w:rsidR="00BB2C29">
        <w:t>ства являются инуиты. В качестве одного из традиционных методов охоты с</w:t>
      </w:r>
      <w:r w:rsidR="00BB2C29">
        <w:t>о</w:t>
      </w:r>
      <w:r w:rsidR="00BB2C29">
        <w:t>храняется и оберегается охота с пр</w:t>
      </w:r>
      <w:r w:rsidR="00BB2C29">
        <w:t>и</w:t>
      </w:r>
      <w:r w:rsidR="00BB2C29">
        <w:t>менением каяков и гарпунов.</w:t>
      </w:r>
    </w:p>
    <w:p w:rsidR="00BB2C29" w:rsidRDefault="00BB2C29" w:rsidP="00BB2C29">
      <w:pPr>
        <w:pStyle w:val="SingleTxtGR"/>
      </w:pPr>
      <w:r>
        <w:t>52.</w:t>
      </w:r>
      <w:r>
        <w:tab/>
        <w:t>Общий инуитский язык, калаллисут (гренландский), формировался в т</w:t>
      </w:r>
      <w:r>
        <w:t>е</w:t>
      </w:r>
      <w:r>
        <w:t>чение длительного времени, с тем чтобы использоваться для общения всем н</w:t>
      </w:r>
      <w:r>
        <w:t>а</w:t>
      </w:r>
      <w:r>
        <w:t>селением. Им пользуются только приблизительно 50 000 человек, и на его с</w:t>
      </w:r>
      <w:r>
        <w:t>о</w:t>
      </w:r>
      <w:r>
        <w:t>хранение и развитие затрачиваются значительные средства. Было принято нов</w:t>
      </w:r>
      <w:r>
        <w:t>о</w:t>
      </w:r>
      <w:r>
        <w:t>го законодательство о языке, и власти разрабатывают учебные программы и м</w:t>
      </w:r>
      <w:r>
        <w:t>а</w:t>
      </w:r>
      <w:r>
        <w:t>териалы для преимущественно датских работников в Гренландии, с тем чтобы он мог стать первым языком Гренландии, а также официальным яз</w:t>
      </w:r>
      <w:r>
        <w:t>ы</w:t>
      </w:r>
      <w:r>
        <w:t>ком.</w:t>
      </w:r>
    </w:p>
    <w:p w:rsidR="00BB2C29" w:rsidRDefault="00BB2C29" w:rsidP="00BB2C29">
      <w:pPr>
        <w:pStyle w:val="SingleTxtGR"/>
      </w:pPr>
      <w:r>
        <w:t>53.</w:t>
      </w:r>
      <w:r>
        <w:tab/>
      </w:r>
      <w:r>
        <w:rPr>
          <w:b/>
        </w:rPr>
        <w:t xml:space="preserve">Г-жа Спайс </w:t>
      </w:r>
      <w:r>
        <w:t>(Дания) говорит, что принятый в 2003 году План действий по поощрению равного обращения и многообразия и по борьбе с расизмом пред</w:t>
      </w:r>
      <w:r>
        <w:t>у</w:t>
      </w:r>
      <w:r>
        <w:t>сматривал использование Института прав человека Дании, который начал раб</w:t>
      </w:r>
      <w:r>
        <w:t>о</w:t>
      </w:r>
      <w:r>
        <w:t>тать в своем нынешнем виде в 2002 году. В 2003 году он также был назначен датским органом по обеспечению равного обращения, и в рамках его мандата ему было поручено осуществлять задачу документирования случаев дискрим</w:t>
      </w:r>
      <w:r>
        <w:t>и</w:t>
      </w:r>
      <w:r>
        <w:t>нации. Новый План действий предусматривал выделение приблизительно 120 000 евро на проведение исследовательского проекта в данной области.</w:t>
      </w:r>
    </w:p>
    <w:p w:rsidR="00BB2C29" w:rsidRDefault="00BB2C29" w:rsidP="00BB2C29">
      <w:pPr>
        <w:pStyle w:val="SingleTxtGR"/>
      </w:pPr>
      <w:r>
        <w:t>54.</w:t>
      </w:r>
      <w:r>
        <w:tab/>
      </w:r>
      <w:r>
        <w:rPr>
          <w:b/>
        </w:rPr>
        <w:t xml:space="preserve">Г-н Мурильо Мартинес </w:t>
      </w:r>
      <w:r>
        <w:t>говорит, что, хотя он и понимает, что в ответ на его запрос была представлена довольно подробная информация по составу с</w:t>
      </w:r>
      <w:r>
        <w:t>о</w:t>
      </w:r>
      <w:r>
        <w:t>держащихся в тюрьмах заключенных, было бы полезно, если бы государс</w:t>
      </w:r>
      <w:r>
        <w:t>т</w:t>
      </w:r>
      <w:r>
        <w:t>во-участник указало в своем следующем докладе, какую часть содержащихся в тюрьмах заключенных составляют лица, принадлежащие к этническим мен</w:t>
      </w:r>
      <w:r>
        <w:t>ь</w:t>
      </w:r>
      <w:r>
        <w:t>шинствам.</w:t>
      </w:r>
    </w:p>
    <w:p w:rsidR="00BB2C29" w:rsidRDefault="00BB2C29" w:rsidP="00BB2C29">
      <w:pPr>
        <w:pStyle w:val="SingleTxtGR"/>
      </w:pPr>
      <w:r>
        <w:t>55.</w:t>
      </w:r>
      <w:r>
        <w:tab/>
        <w:t>Он предлагает правительству принять активное участие как на террит</w:t>
      </w:r>
      <w:r>
        <w:t>о</w:t>
      </w:r>
      <w:r>
        <w:t>рии Дании, так и за рубежом, в проведении в 2011 году мероприятий, посв</w:t>
      </w:r>
      <w:r>
        <w:t>я</w:t>
      </w:r>
      <w:r>
        <w:t>щенных Междунаро</w:t>
      </w:r>
      <w:r>
        <w:t>д</w:t>
      </w:r>
      <w:r>
        <w:t>ному году лиц африканского происхождения, который был провозглашен Генеральной Ассамблеей Организации Объединенных Наций в ее резолюции 64/169.</w:t>
      </w:r>
    </w:p>
    <w:p w:rsidR="0005667F" w:rsidRDefault="0005667F" w:rsidP="0005667F">
      <w:pPr>
        <w:pStyle w:val="SingleTxtGR"/>
      </w:pPr>
      <w:r w:rsidRPr="008D593F">
        <w:t>56.</w:t>
      </w:r>
      <w:r w:rsidRPr="008D593F">
        <w:tab/>
      </w:r>
      <w:r>
        <w:rPr>
          <w:b/>
        </w:rPr>
        <w:t>Г-жа Аукен</w:t>
      </w:r>
      <w:r>
        <w:t xml:space="preserve"> (Дания) говорит о невозможности сделать какие-либо выв</w:t>
      </w:r>
      <w:r>
        <w:t>о</w:t>
      </w:r>
      <w:r>
        <w:t>ды из весьма подробных статистических данных, которые в настоящее время имеются только на датском языке, относительно числа лиц недатского этнич</w:t>
      </w:r>
      <w:r>
        <w:t>е</w:t>
      </w:r>
      <w:r>
        <w:t>ского происхождения, содержащихся в настоящее время в тюрьмах. Соответс</w:t>
      </w:r>
      <w:r>
        <w:t>т</w:t>
      </w:r>
      <w:r>
        <w:t>вующая информация будет включена в сл</w:t>
      </w:r>
      <w:r>
        <w:t>е</w:t>
      </w:r>
      <w:r>
        <w:t>дующий периодический доклад.</w:t>
      </w:r>
    </w:p>
    <w:p w:rsidR="0005667F" w:rsidRDefault="0005667F" w:rsidP="0005667F">
      <w:pPr>
        <w:pStyle w:val="SingleTxtGR"/>
      </w:pPr>
      <w:r>
        <w:t>57.</w:t>
      </w:r>
      <w:r>
        <w:tab/>
      </w:r>
      <w:r>
        <w:rPr>
          <w:b/>
        </w:rPr>
        <w:t>Г-н Якобсен</w:t>
      </w:r>
      <w:r>
        <w:t xml:space="preserve"> (Дания) говорит, что он принял к сведению предложение отметить Международный год лиц африканского происхождения в 2011 году.</w:t>
      </w:r>
    </w:p>
    <w:p w:rsidR="0005667F" w:rsidRDefault="0005667F" w:rsidP="0005667F">
      <w:pPr>
        <w:pStyle w:val="SingleTxtGR"/>
      </w:pPr>
      <w:r>
        <w:t>58.</w:t>
      </w:r>
      <w:r>
        <w:tab/>
      </w:r>
      <w:r>
        <w:rPr>
          <w:b/>
        </w:rPr>
        <w:t>Г-н Амир</w:t>
      </w:r>
      <w:r>
        <w:t xml:space="preserve"> одобряет проводимую государством-участником кампанию по ликвидации расизма в футболе под лозунгом "Покажи расизму красную карто</w:t>
      </w:r>
      <w:r>
        <w:t>ч</w:t>
      </w:r>
      <w:r>
        <w:t>ку!".</w:t>
      </w:r>
    </w:p>
    <w:p w:rsidR="0005667F" w:rsidRDefault="0005667F" w:rsidP="0005667F">
      <w:pPr>
        <w:pStyle w:val="SingleTxtGR"/>
        <w:rPr>
          <w:szCs w:val="24"/>
        </w:rPr>
      </w:pPr>
      <w:r>
        <w:t>59.</w:t>
      </w:r>
      <w:r>
        <w:tab/>
        <w:t>Напоминая о выраженной Комитетом 2006 году обеспокоенности по п</w:t>
      </w:r>
      <w:r>
        <w:t>о</w:t>
      </w:r>
      <w:r>
        <w:t>воду просителей убежища, которые проживают с детьми в специальных це</w:t>
      </w:r>
      <w:r>
        <w:t>н</w:t>
      </w:r>
      <w:r>
        <w:t>трах на протяжении ряда лет, имеющим право лишь в ограниченной степени заниматься социальной, профессиональной, образовательной и культурной де</w:t>
      </w:r>
      <w:r>
        <w:t>я</w:t>
      </w:r>
      <w:r>
        <w:t xml:space="preserve">тельностью, и могут многократно </w:t>
      </w:r>
      <w:r w:rsidRPr="003370ED">
        <w:rPr>
          <w:szCs w:val="24"/>
        </w:rPr>
        <w:t xml:space="preserve">переводиться из одного центра в другой (CERD/C/DEN/CO/17, </w:t>
      </w:r>
      <w:r>
        <w:rPr>
          <w:szCs w:val="24"/>
        </w:rPr>
        <w:t>пункт 13</w:t>
      </w:r>
      <w:r w:rsidRPr="003370ED">
        <w:rPr>
          <w:szCs w:val="24"/>
        </w:rPr>
        <w:t>),</w:t>
      </w:r>
      <w:r>
        <w:rPr>
          <w:szCs w:val="24"/>
        </w:rPr>
        <w:t xml:space="preserve"> выступающий интересуется, имеют ли прос</w:t>
      </w:r>
      <w:r>
        <w:rPr>
          <w:szCs w:val="24"/>
        </w:rPr>
        <w:t>и</w:t>
      </w:r>
      <w:r>
        <w:rPr>
          <w:szCs w:val="24"/>
        </w:rPr>
        <w:t>тели убежища в настоящее время право обжаловать решения Совета по делам беженцев и пересмотрело ли государство-участник свою политику с целью вс</w:t>
      </w:r>
      <w:r>
        <w:rPr>
          <w:szCs w:val="24"/>
        </w:rPr>
        <w:t>е</w:t>
      </w:r>
      <w:r>
        <w:rPr>
          <w:szCs w:val="24"/>
        </w:rPr>
        <w:t>стороннего соблюдения предусмотренных в Конвенции прав просителей уб</w:t>
      </w:r>
      <w:r>
        <w:rPr>
          <w:szCs w:val="24"/>
        </w:rPr>
        <w:t>е</w:t>
      </w:r>
      <w:r>
        <w:rPr>
          <w:szCs w:val="24"/>
        </w:rPr>
        <w:t>жища.</w:t>
      </w:r>
    </w:p>
    <w:p w:rsidR="0005667F" w:rsidRDefault="0005667F" w:rsidP="0005667F">
      <w:pPr>
        <w:pStyle w:val="SingleTxtGR"/>
        <w:rPr>
          <w:szCs w:val="24"/>
        </w:rPr>
      </w:pPr>
      <w:r>
        <w:rPr>
          <w:szCs w:val="24"/>
        </w:rPr>
        <w:t>60.</w:t>
      </w:r>
      <w:r>
        <w:rPr>
          <w:szCs w:val="24"/>
        </w:rPr>
        <w:tab/>
        <w:t>Выступающий интересуется, собирается ли правительство изменить свою экологическую политику в связи с проведением в 2009 году Конференции по изменению климата Организации Об</w:t>
      </w:r>
      <w:r>
        <w:rPr>
          <w:szCs w:val="24"/>
        </w:rPr>
        <w:t>ъ</w:t>
      </w:r>
      <w:r>
        <w:rPr>
          <w:szCs w:val="24"/>
        </w:rPr>
        <w:t xml:space="preserve">единенных Наций. </w:t>
      </w:r>
    </w:p>
    <w:p w:rsidR="0005667F" w:rsidRDefault="0005667F" w:rsidP="0005667F">
      <w:pPr>
        <w:pStyle w:val="SingleTxtGR"/>
        <w:rPr>
          <w:szCs w:val="24"/>
        </w:rPr>
      </w:pPr>
      <w:r>
        <w:rPr>
          <w:szCs w:val="24"/>
        </w:rPr>
        <w:t>61.</w:t>
      </w:r>
      <w:r>
        <w:rPr>
          <w:szCs w:val="24"/>
        </w:rPr>
        <w:tab/>
      </w:r>
      <w:r>
        <w:rPr>
          <w:b/>
          <w:szCs w:val="24"/>
        </w:rPr>
        <w:t>Г-н Якобсен</w:t>
      </w:r>
      <w:r>
        <w:rPr>
          <w:szCs w:val="24"/>
        </w:rPr>
        <w:t xml:space="preserve"> (Дания) говорит, что правительство его страны продолжает свои усилия по обеспечению того, чтобы проблема воздействия на традицио</w:t>
      </w:r>
      <w:r>
        <w:rPr>
          <w:szCs w:val="24"/>
        </w:rPr>
        <w:t>н</w:t>
      </w:r>
      <w:r>
        <w:rPr>
          <w:szCs w:val="24"/>
        </w:rPr>
        <w:t>ный образ жизни коренных народов учитывалась в контексте достижения ме</w:t>
      </w:r>
      <w:r>
        <w:rPr>
          <w:szCs w:val="24"/>
        </w:rPr>
        <w:t>ж</w:t>
      </w:r>
      <w:r>
        <w:rPr>
          <w:szCs w:val="24"/>
        </w:rPr>
        <w:t>дународного согл</w:t>
      </w:r>
      <w:r>
        <w:rPr>
          <w:szCs w:val="24"/>
        </w:rPr>
        <w:t>а</w:t>
      </w:r>
      <w:r>
        <w:rPr>
          <w:szCs w:val="24"/>
        </w:rPr>
        <w:t>шения по вопросам изменения климата.</w:t>
      </w:r>
    </w:p>
    <w:p w:rsidR="0005667F" w:rsidRDefault="0005667F" w:rsidP="0005667F">
      <w:pPr>
        <w:pStyle w:val="SingleTxtGR"/>
        <w:rPr>
          <w:szCs w:val="24"/>
        </w:rPr>
      </w:pPr>
      <w:r>
        <w:rPr>
          <w:szCs w:val="24"/>
        </w:rPr>
        <w:t>62.</w:t>
      </w:r>
      <w:r>
        <w:rPr>
          <w:szCs w:val="24"/>
        </w:rPr>
        <w:tab/>
      </w:r>
      <w:r>
        <w:rPr>
          <w:b/>
          <w:szCs w:val="24"/>
        </w:rPr>
        <w:t>Г-н ван Деурс</w:t>
      </w:r>
      <w:r>
        <w:rPr>
          <w:szCs w:val="24"/>
        </w:rPr>
        <w:t xml:space="preserve"> (Дания) говорит о том, что в среднем у властей уходит значительно меньше года на принятие решений по делам о предоставлении убежища и что в период рассмотрения их дел просители убежища проживают в соответствующих центрах. Те кто отказывается покидать страну, несмотря на то что их ходатайства были отклонены, в принципе, проживают в Дании нелегал</w:t>
      </w:r>
      <w:r>
        <w:rPr>
          <w:szCs w:val="24"/>
        </w:rPr>
        <w:t>ь</w:t>
      </w:r>
      <w:r>
        <w:rPr>
          <w:szCs w:val="24"/>
        </w:rPr>
        <w:t>но, поскольку правительство четко заявило о том, что они обязаны покинуть страну. Поэтому до того, как они покинут страну, они должны проживать в це</w:t>
      </w:r>
      <w:r>
        <w:rPr>
          <w:szCs w:val="24"/>
        </w:rPr>
        <w:t>н</w:t>
      </w:r>
      <w:r>
        <w:rPr>
          <w:szCs w:val="24"/>
        </w:rPr>
        <w:t>трах для просителей убежища. Некоторые просители, которым было отказ</w:t>
      </w:r>
      <w:r>
        <w:rPr>
          <w:szCs w:val="24"/>
        </w:rPr>
        <w:t>а</w:t>
      </w:r>
      <w:r>
        <w:rPr>
          <w:szCs w:val="24"/>
        </w:rPr>
        <w:t>но в убежище, действительно проживают в таких центрах в течение длительн</w:t>
      </w:r>
      <w:r>
        <w:rPr>
          <w:szCs w:val="24"/>
        </w:rPr>
        <w:t>о</w:t>
      </w:r>
      <w:r>
        <w:rPr>
          <w:szCs w:val="24"/>
        </w:rPr>
        <w:t>го времени, однако они относятся к категории лиц, отказавшихся вернуться в страны своего происхождения. В прошлом правительство разрешало семьям с детьми переселяться в другие места в Дании для оказания им помощи в нал</w:t>
      </w:r>
      <w:r>
        <w:rPr>
          <w:szCs w:val="24"/>
        </w:rPr>
        <w:t>а</w:t>
      </w:r>
      <w:r>
        <w:rPr>
          <w:szCs w:val="24"/>
        </w:rPr>
        <w:t>живании более нормальной жизни. Тем не менее правительство сохраняет свою позицию, состоящую в том, что просители убежища, чьи ходатайства отклон</w:t>
      </w:r>
      <w:r>
        <w:rPr>
          <w:szCs w:val="24"/>
        </w:rPr>
        <w:t>е</w:t>
      </w:r>
      <w:r>
        <w:rPr>
          <w:szCs w:val="24"/>
        </w:rPr>
        <w:t>ны, не должны пользоваться пр</w:t>
      </w:r>
      <w:r>
        <w:rPr>
          <w:szCs w:val="24"/>
        </w:rPr>
        <w:t>а</w:t>
      </w:r>
      <w:r>
        <w:rPr>
          <w:szCs w:val="24"/>
        </w:rPr>
        <w:t>вом на труд. Они имеют право на перемещение в пределах территории страны, до тех пор п</w:t>
      </w:r>
      <w:r>
        <w:rPr>
          <w:szCs w:val="24"/>
        </w:rPr>
        <w:t>о</w:t>
      </w:r>
      <w:r>
        <w:rPr>
          <w:szCs w:val="24"/>
        </w:rPr>
        <w:t>ка они регулярно возвращаются в центры для просителей убежища.</w:t>
      </w:r>
    </w:p>
    <w:p w:rsidR="0005667F" w:rsidRDefault="0005667F" w:rsidP="0005667F">
      <w:pPr>
        <w:pStyle w:val="SingleTxtGR"/>
        <w:rPr>
          <w:szCs w:val="24"/>
        </w:rPr>
      </w:pPr>
      <w:r>
        <w:rPr>
          <w:szCs w:val="24"/>
        </w:rPr>
        <w:t>63.</w:t>
      </w:r>
      <w:r>
        <w:rPr>
          <w:szCs w:val="24"/>
        </w:rPr>
        <w:tab/>
        <w:t>Апелляционная комиссия по делам беженцев является квазисудебным о</w:t>
      </w:r>
      <w:r>
        <w:rPr>
          <w:szCs w:val="24"/>
        </w:rPr>
        <w:t>р</w:t>
      </w:r>
      <w:r>
        <w:rPr>
          <w:szCs w:val="24"/>
        </w:rPr>
        <w:t>ганом, который в безотлагательном порядке рассматривает апелляции просит</w:t>
      </w:r>
      <w:r>
        <w:rPr>
          <w:szCs w:val="24"/>
        </w:rPr>
        <w:t>е</w:t>
      </w:r>
      <w:r>
        <w:rPr>
          <w:szCs w:val="24"/>
        </w:rPr>
        <w:t>лей убежища, чьи ходатайства были отклонены. Правительство считает, что ее решения не подлежат судебному пересмотру. Это мнение получило поддержку Европейского суда по правам человека в его решении 11230 от 2007 года: Суд отклонил апелляцию, в которой оспаривалась легитимность решений Апелл</w:t>
      </w:r>
      <w:r>
        <w:rPr>
          <w:szCs w:val="24"/>
        </w:rPr>
        <w:t>я</w:t>
      </w:r>
      <w:r>
        <w:rPr>
          <w:szCs w:val="24"/>
        </w:rPr>
        <w:t>ционной комиссии по делам беже</w:t>
      </w:r>
      <w:r>
        <w:rPr>
          <w:szCs w:val="24"/>
        </w:rPr>
        <w:t>н</w:t>
      </w:r>
      <w:r>
        <w:rPr>
          <w:szCs w:val="24"/>
        </w:rPr>
        <w:t>цев.</w:t>
      </w:r>
    </w:p>
    <w:p w:rsidR="0005667F" w:rsidRDefault="0005667F" w:rsidP="0005667F">
      <w:pPr>
        <w:pStyle w:val="SingleTxtGR"/>
        <w:rPr>
          <w:szCs w:val="24"/>
        </w:rPr>
      </w:pPr>
      <w:r>
        <w:rPr>
          <w:szCs w:val="24"/>
        </w:rPr>
        <w:t>64.</w:t>
      </w:r>
      <w:r>
        <w:rPr>
          <w:szCs w:val="24"/>
        </w:rPr>
        <w:tab/>
      </w:r>
      <w:r>
        <w:rPr>
          <w:b/>
          <w:szCs w:val="24"/>
        </w:rPr>
        <w:t>Г-н де Гутт</w:t>
      </w:r>
      <w:r>
        <w:rPr>
          <w:szCs w:val="24"/>
        </w:rPr>
        <w:t xml:space="preserve"> приветствует участие национального правозащитного учр</w:t>
      </w:r>
      <w:r>
        <w:rPr>
          <w:szCs w:val="24"/>
        </w:rPr>
        <w:t>е</w:t>
      </w:r>
      <w:r>
        <w:rPr>
          <w:szCs w:val="24"/>
        </w:rPr>
        <w:t>ждения Дании в проведении интерактивного диалога. Он выражает признател</w:t>
      </w:r>
      <w:r>
        <w:rPr>
          <w:szCs w:val="24"/>
        </w:rPr>
        <w:t>ь</w:t>
      </w:r>
      <w:r>
        <w:rPr>
          <w:szCs w:val="24"/>
        </w:rPr>
        <w:t>ность датской делегации за представленную информацию, в частности в связи с выполнением статьи 4 Конвенции, преследованием за преступления, соверше</w:t>
      </w:r>
      <w:r>
        <w:rPr>
          <w:szCs w:val="24"/>
        </w:rPr>
        <w:t>н</w:t>
      </w:r>
      <w:r>
        <w:rPr>
          <w:szCs w:val="24"/>
        </w:rPr>
        <w:t>ные по расовым мот</w:t>
      </w:r>
      <w:r>
        <w:rPr>
          <w:szCs w:val="24"/>
        </w:rPr>
        <w:t>и</w:t>
      </w:r>
      <w:r>
        <w:rPr>
          <w:szCs w:val="24"/>
        </w:rPr>
        <w:t>вам, и усилиями по поощрению представителей групп меньшинств к сотрудничеству с органами полиции и системой правосудия. В</w:t>
      </w:r>
      <w:r>
        <w:rPr>
          <w:szCs w:val="24"/>
        </w:rPr>
        <w:t>ы</w:t>
      </w:r>
      <w:r>
        <w:rPr>
          <w:szCs w:val="24"/>
        </w:rPr>
        <w:t>ступающий хотел бы увидеть в следующем периодическом докладе Дании б</w:t>
      </w:r>
      <w:r>
        <w:rPr>
          <w:szCs w:val="24"/>
        </w:rPr>
        <w:t>о</w:t>
      </w:r>
      <w:r>
        <w:rPr>
          <w:szCs w:val="24"/>
        </w:rPr>
        <w:t>лее подробную информацию по последн</w:t>
      </w:r>
      <w:r>
        <w:rPr>
          <w:szCs w:val="24"/>
        </w:rPr>
        <w:t>е</w:t>
      </w:r>
      <w:r>
        <w:rPr>
          <w:szCs w:val="24"/>
        </w:rPr>
        <w:t>му пункту.</w:t>
      </w:r>
    </w:p>
    <w:p w:rsidR="0005667F" w:rsidRDefault="0005667F" w:rsidP="0005667F">
      <w:pPr>
        <w:pStyle w:val="SingleTxtGR"/>
        <w:rPr>
          <w:szCs w:val="24"/>
        </w:rPr>
      </w:pPr>
      <w:r>
        <w:rPr>
          <w:szCs w:val="24"/>
        </w:rPr>
        <w:t>65.</w:t>
      </w:r>
      <w:r>
        <w:rPr>
          <w:szCs w:val="24"/>
        </w:rPr>
        <w:tab/>
        <w:t>Комитет был проинформирован, в частности посредством представления дел, предложенных на его рассмотрение в соответствии с процедурой индив</w:t>
      </w:r>
      <w:r>
        <w:rPr>
          <w:szCs w:val="24"/>
        </w:rPr>
        <w:t>и</w:t>
      </w:r>
      <w:r>
        <w:rPr>
          <w:szCs w:val="24"/>
        </w:rPr>
        <w:t>дуальных жалоб, о примерах ксенофобских высказываний со стороны полит</w:t>
      </w:r>
      <w:r>
        <w:rPr>
          <w:szCs w:val="24"/>
        </w:rPr>
        <w:t>и</w:t>
      </w:r>
      <w:r>
        <w:rPr>
          <w:szCs w:val="24"/>
        </w:rPr>
        <w:t>ческих деятелей, ос</w:t>
      </w:r>
      <w:r>
        <w:rPr>
          <w:szCs w:val="24"/>
        </w:rPr>
        <w:t>о</w:t>
      </w:r>
      <w:r>
        <w:rPr>
          <w:szCs w:val="24"/>
        </w:rPr>
        <w:t>бенно из Датской народной партии. Выступающий просил представить дополнительную информацию о различиях в рамках применения статьи 266 В Уголовного кодекса, в соответствии с которой преследуются угр</w:t>
      </w:r>
      <w:r>
        <w:rPr>
          <w:szCs w:val="24"/>
        </w:rPr>
        <w:t>о</w:t>
      </w:r>
      <w:r>
        <w:rPr>
          <w:szCs w:val="24"/>
        </w:rPr>
        <w:t>зы или оскорбления в а</w:t>
      </w:r>
      <w:r>
        <w:rPr>
          <w:szCs w:val="24"/>
        </w:rPr>
        <w:t>д</w:t>
      </w:r>
      <w:r>
        <w:rPr>
          <w:szCs w:val="24"/>
        </w:rPr>
        <w:t>рес какой-либо группы, а не индивидуального лица, по признаку расы, цвета кожи или национального или этнического происхождения, и статей 267 и 268, касающихся диффамации в отн</w:t>
      </w:r>
      <w:r>
        <w:rPr>
          <w:szCs w:val="24"/>
        </w:rPr>
        <w:t>о</w:t>
      </w:r>
      <w:r>
        <w:rPr>
          <w:szCs w:val="24"/>
        </w:rPr>
        <w:t>шении какого-либо лица. В своей общей рекомендации № 15 о применении статьи 4 Конвенции и в своей общей рекомендации № 30 о дискриминации неграждан Комитет заявил, что запрещение расистских идей не является несовместимым со свободой слова. Даже в контексте политической дискуссии государство-участник обязано опр</w:t>
      </w:r>
      <w:r>
        <w:rPr>
          <w:szCs w:val="24"/>
        </w:rPr>
        <w:t>е</w:t>
      </w:r>
      <w:r>
        <w:rPr>
          <w:szCs w:val="24"/>
        </w:rPr>
        <w:t>делять, являются ли сделанные заявления расистскими по св</w:t>
      </w:r>
      <w:r>
        <w:rPr>
          <w:szCs w:val="24"/>
        </w:rPr>
        <w:t>о</w:t>
      </w:r>
      <w:r>
        <w:rPr>
          <w:szCs w:val="24"/>
        </w:rPr>
        <w:t>ему характеру, и в случае необходимости применять соответствующие санкции. В частности, ему следует прим</w:t>
      </w:r>
      <w:r>
        <w:rPr>
          <w:szCs w:val="24"/>
        </w:rPr>
        <w:t>е</w:t>
      </w:r>
      <w:r>
        <w:rPr>
          <w:szCs w:val="24"/>
        </w:rPr>
        <w:t>нять решительные меры по преодолению любой тенденции к стигматизации неграждан в выступлениях политиков, в средствах массовой и</w:t>
      </w:r>
      <w:r>
        <w:rPr>
          <w:szCs w:val="24"/>
        </w:rPr>
        <w:t>н</w:t>
      </w:r>
      <w:r>
        <w:rPr>
          <w:szCs w:val="24"/>
        </w:rPr>
        <w:t>формации или в Интернете. Выступающему хотелось бы узнать мнение делег</w:t>
      </w:r>
      <w:r>
        <w:rPr>
          <w:szCs w:val="24"/>
        </w:rPr>
        <w:t>а</w:t>
      </w:r>
      <w:r>
        <w:rPr>
          <w:szCs w:val="24"/>
        </w:rPr>
        <w:t>ции по данн</w:t>
      </w:r>
      <w:r>
        <w:rPr>
          <w:szCs w:val="24"/>
        </w:rPr>
        <w:t>о</w:t>
      </w:r>
      <w:r>
        <w:rPr>
          <w:szCs w:val="24"/>
        </w:rPr>
        <w:t>му вопросу.</w:t>
      </w:r>
    </w:p>
    <w:p w:rsidR="0005667F" w:rsidRDefault="0005667F" w:rsidP="0005667F">
      <w:pPr>
        <w:pStyle w:val="SingleTxtGR"/>
        <w:rPr>
          <w:szCs w:val="24"/>
        </w:rPr>
      </w:pPr>
      <w:r>
        <w:rPr>
          <w:szCs w:val="24"/>
        </w:rPr>
        <w:t>66.</w:t>
      </w:r>
      <w:r>
        <w:rPr>
          <w:szCs w:val="24"/>
        </w:rPr>
        <w:tab/>
      </w:r>
      <w:r>
        <w:rPr>
          <w:b/>
          <w:szCs w:val="24"/>
        </w:rPr>
        <w:t>Г-жа Аукен</w:t>
      </w:r>
      <w:r>
        <w:rPr>
          <w:szCs w:val="24"/>
        </w:rPr>
        <w:t xml:space="preserve"> (Дания) говорит, что государствам действительно следует избегать использования свободы слова в качестве оправдания неприменения от карательных сан</w:t>
      </w:r>
      <w:r>
        <w:rPr>
          <w:szCs w:val="24"/>
        </w:rPr>
        <w:t>к</w:t>
      </w:r>
      <w:r>
        <w:rPr>
          <w:szCs w:val="24"/>
        </w:rPr>
        <w:t>ций против ксенофобских высказываний. Затрагиваемые лица также имеют право на защиту от оскорблений. Генеральный прокурор произв</w:t>
      </w:r>
      <w:r>
        <w:rPr>
          <w:szCs w:val="24"/>
        </w:rPr>
        <w:t>о</w:t>
      </w:r>
      <w:r>
        <w:rPr>
          <w:szCs w:val="24"/>
        </w:rPr>
        <w:t>дит оценку серьезности подобных заявлений и контекста, в котором они сдел</w:t>
      </w:r>
      <w:r>
        <w:rPr>
          <w:szCs w:val="24"/>
        </w:rPr>
        <w:t>а</w:t>
      </w:r>
      <w:r>
        <w:rPr>
          <w:szCs w:val="24"/>
        </w:rPr>
        <w:t>ны, с тем чтобы определить допу</w:t>
      </w:r>
      <w:r>
        <w:rPr>
          <w:szCs w:val="24"/>
        </w:rPr>
        <w:t>с</w:t>
      </w:r>
      <w:r>
        <w:rPr>
          <w:szCs w:val="24"/>
        </w:rPr>
        <w:t>тимые границы для политической дискуссии. Некоторые случаи политически мотивированных ксенофобских высказываний подвергаются преследованиям: например, в я</w:t>
      </w:r>
      <w:r>
        <w:rPr>
          <w:szCs w:val="24"/>
        </w:rPr>
        <w:t>н</w:t>
      </w:r>
      <w:r>
        <w:rPr>
          <w:szCs w:val="24"/>
        </w:rPr>
        <w:t>варе 2010 года было возбуждено расследование в отношении члена Датской народной партии за унижающие достоинство высказывания. Правительство со всей серьезностью относится к своим обязательствам по статье 4 Конвенции.</w:t>
      </w:r>
    </w:p>
    <w:p w:rsidR="0005667F" w:rsidRDefault="0005667F" w:rsidP="0005667F">
      <w:pPr>
        <w:pStyle w:val="SingleTxtGR"/>
        <w:rPr>
          <w:szCs w:val="24"/>
        </w:rPr>
      </w:pPr>
      <w:r>
        <w:rPr>
          <w:szCs w:val="24"/>
        </w:rPr>
        <w:t>67.</w:t>
      </w:r>
      <w:r>
        <w:rPr>
          <w:szCs w:val="24"/>
        </w:rPr>
        <w:tab/>
      </w:r>
      <w:r>
        <w:rPr>
          <w:b/>
          <w:szCs w:val="24"/>
        </w:rPr>
        <w:t>Г-н Дьякону,</w:t>
      </w:r>
      <w:r>
        <w:rPr>
          <w:szCs w:val="24"/>
        </w:rPr>
        <w:t xml:space="preserve"> отмечает, что Дания не корпорировала Конвенцию или др</w:t>
      </w:r>
      <w:r>
        <w:rPr>
          <w:szCs w:val="24"/>
        </w:rPr>
        <w:t>у</w:t>
      </w:r>
      <w:r>
        <w:rPr>
          <w:szCs w:val="24"/>
        </w:rPr>
        <w:t>гие международные правозащитные документы в свое внутреннее законод</w:t>
      </w:r>
      <w:r>
        <w:rPr>
          <w:szCs w:val="24"/>
        </w:rPr>
        <w:t>а</w:t>
      </w:r>
      <w:r>
        <w:rPr>
          <w:szCs w:val="24"/>
        </w:rPr>
        <w:t>тельство, за исключением Европейской конвенции о правах человека, которая лишь опосредованно касается расовой дискриминации. Если Международная конвенция о ликвидации всех форм расовой дискриминации применяется суд</w:t>
      </w:r>
      <w:r>
        <w:rPr>
          <w:szCs w:val="24"/>
        </w:rPr>
        <w:t>а</w:t>
      </w:r>
      <w:r>
        <w:rPr>
          <w:szCs w:val="24"/>
        </w:rPr>
        <w:t>ми во всех соответствующих случаях, как это утверждается в пункте 25 докл</w:t>
      </w:r>
      <w:r>
        <w:rPr>
          <w:szCs w:val="24"/>
        </w:rPr>
        <w:t>а</w:t>
      </w:r>
      <w:r>
        <w:rPr>
          <w:szCs w:val="24"/>
        </w:rPr>
        <w:t>да, то означает ли это, что не существует каких-либо препятствий, за исключ</w:t>
      </w:r>
      <w:r>
        <w:rPr>
          <w:szCs w:val="24"/>
        </w:rPr>
        <w:t>е</w:t>
      </w:r>
      <w:r>
        <w:rPr>
          <w:szCs w:val="24"/>
        </w:rPr>
        <w:t>нием чисто формальных, для ее полной инкорпорации во внутреннее законод</w:t>
      </w:r>
      <w:r>
        <w:rPr>
          <w:szCs w:val="24"/>
        </w:rPr>
        <w:t>а</w:t>
      </w:r>
      <w:r>
        <w:rPr>
          <w:szCs w:val="24"/>
        </w:rPr>
        <w:t>тельство?</w:t>
      </w:r>
    </w:p>
    <w:p w:rsidR="0005667F" w:rsidRDefault="0005667F" w:rsidP="0005667F">
      <w:pPr>
        <w:pStyle w:val="SingleTxtGR"/>
        <w:rPr>
          <w:szCs w:val="24"/>
        </w:rPr>
      </w:pPr>
      <w:r>
        <w:rPr>
          <w:szCs w:val="24"/>
        </w:rPr>
        <w:t>68.</w:t>
      </w:r>
      <w:r>
        <w:rPr>
          <w:szCs w:val="24"/>
        </w:rPr>
        <w:tab/>
        <w:t>Генеральный прокурор принимает решение о преследовании случаев кс</w:t>
      </w:r>
      <w:r>
        <w:rPr>
          <w:szCs w:val="24"/>
        </w:rPr>
        <w:t>е</w:t>
      </w:r>
      <w:r>
        <w:rPr>
          <w:szCs w:val="24"/>
        </w:rPr>
        <w:t>нофобских высказываний, исходя из существа конкретного дела. Вместе с тем такая система в чрезмерной степени не зависит от решения, принимаемого о</w:t>
      </w:r>
      <w:r>
        <w:rPr>
          <w:szCs w:val="24"/>
        </w:rPr>
        <w:t>д</w:t>
      </w:r>
      <w:r>
        <w:rPr>
          <w:szCs w:val="24"/>
        </w:rPr>
        <w:t>ним лицом: в стране выступающего имеется наблюдательный совет, который осуществляет надзор за деятельностью судей и может рекомендовать их отста</w:t>
      </w:r>
      <w:r>
        <w:rPr>
          <w:szCs w:val="24"/>
        </w:rPr>
        <w:t>в</w:t>
      </w:r>
      <w:r>
        <w:rPr>
          <w:szCs w:val="24"/>
        </w:rPr>
        <w:t>ку, если принимаемые ими решения постоянно являются необоснованными. Может ли истец оспаривать решение Генерального прокурора в гражданских судах и требовать возмещения ущерба?</w:t>
      </w:r>
    </w:p>
    <w:p w:rsidR="0005667F" w:rsidRDefault="0005667F" w:rsidP="0005667F">
      <w:pPr>
        <w:pStyle w:val="SingleTxtGR"/>
        <w:rPr>
          <w:szCs w:val="24"/>
        </w:rPr>
      </w:pPr>
      <w:r>
        <w:rPr>
          <w:szCs w:val="24"/>
        </w:rPr>
        <w:t>69.</w:t>
      </w:r>
      <w:r>
        <w:rPr>
          <w:szCs w:val="24"/>
        </w:rPr>
        <w:tab/>
      </w:r>
      <w:r>
        <w:rPr>
          <w:b/>
          <w:szCs w:val="24"/>
        </w:rPr>
        <w:t>Г-жа Аукен</w:t>
      </w:r>
      <w:r>
        <w:rPr>
          <w:szCs w:val="24"/>
        </w:rPr>
        <w:t xml:space="preserve"> (Дания) говорит, что отдельные лица могут возбуждать гр</w:t>
      </w:r>
      <w:r>
        <w:rPr>
          <w:szCs w:val="24"/>
        </w:rPr>
        <w:t>а</w:t>
      </w:r>
      <w:r>
        <w:rPr>
          <w:szCs w:val="24"/>
        </w:rPr>
        <w:t>жданские иски в соответствии со статьями 267 и 268 Уголовного кодекса. Одн</w:t>
      </w:r>
      <w:r>
        <w:rPr>
          <w:szCs w:val="24"/>
        </w:rPr>
        <w:t>а</w:t>
      </w:r>
      <w:r>
        <w:rPr>
          <w:szCs w:val="24"/>
        </w:rPr>
        <w:t>ко ни одного п</w:t>
      </w:r>
      <w:r>
        <w:rPr>
          <w:szCs w:val="24"/>
        </w:rPr>
        <w:t>о</w:t>
      </w:r>
      <w:r>
        <w:rPr>
          <w:szCs w:val="24"/>
        </w:rPr>
        <w:t>добного иска ни разу не было возбуждено по статье 266 В и трудно представить себе ситуацию, в которой кто-либо мог иметь индивид</w:t>
      </w:r>
      <w:r>
        <w:rPr>
          <w:szCs w:val="24"/>
        </w:rPr>
        <w:t>у</w:t>
      </w:r>
      <w:r>
        <w:rPr>
          <w:szCs w:val="24"/>
        </w:rPr>
        <w:t>альную претензию в том случае, если Генеральный прокурор принимает реш</w:t>
      </w:r>
      <w:r>
        <w:rPr>
          <w:szCs w:val="24"/>
        </w:rPr>
        <w:t>е</w:t>
      </w:r>
      <w:r>
        <w:rPr>
          <w:szCs w:val="24"/>
        </w:rPr>
        <w:t>ние об отказе в преследовании по данной статье, которая касается прав всей группы.</w:t>
      </w:r>
    </w:p>
    <w:p w:rsidR="0005667F" w:rsidRDefault="0005667F" w:rsidP="0005667F">
      <w:pPr>
        <w:pStyle w:val="SingleTxtGR"/>
        <w:rPr>
          <w:szCs w:val="24"/>
        </w:rPr>
      </w:pPr>
      <w:r>
        <w:rPr>
          <w:szCs w:val="24"/>
        </w:rPr>
        <w:t>70.</w:t>
      </w:r>
      <w:r>
        <w:rPr>
          <w:szCs w:val="24"/>
        </w:rPr>
        <w:tab/>
      </w:r>
      <w:r>
        <w:rPr>
          <w:b/>
          <w:szCs w:val="24"/>
        </w:rPr>
        <w:t>Г-н Автономов</w:t>
      </w:r>
      <w:r>
        <w:rPr>
          <w:szCs w:val="24"/>
        </w:rPr>
        <w:t xml:space="preserve"> выражает свою обеспокоенность по поводу отсутствия статистических данных в разбивке по этническим группам. Без соответству</w:t>
      </w:r>
      <w:r>
        <w:rPr>
          <w:szCs w:val="24"/>
        </w:rPr>
        <w:t>ю</w:t>
      </w:r>
      <w:r>
        <w:rPr>
          <w:szCs w:val="24"/>
        </w:rPr>
        <w:t>щих данных правительство не может реагировать на фактическую дискримин</w:t>
      </w:r>
      <w:r>
        <w:rPr>
          <w:szCs w:val="24"/>
        </w:rPr>
        <w:t>а</w:t>
      </w:r>
      <w:r>
        <w:rPr>
          <w:szCs w:val="24"/>
        </w:rPr>
        <w:t>цию, которой подвергаются уязвимые группы, особенно рома. Например, пре</w:t>
      </w:r>
      <w:r>
        <w:rPr>
          <w:szCs w:val="24"/>
        </w:rPr>
        <w:t>д</w:t>
      </w:r>
      <w:r>
        <w:rPr>
          <w:szCs w:val="24"/>
        </w:rPr>
        <w:t>ставленные делегацией данные о размерах населения рома колеблются в пред</w:t>
      </w:r>
      <w:r>
        <w:rPr>
          <w:szCs w:val="24"/>
        </w:rPr>
        <w:t>е</w:t>
      </w:r>
      <w:r>
        <w:rPr>
          <w:szCs w:val="24"/>
        </w:rPr>
        <w:t>лах от 1 500 до 10 000. Существуют статистические методы, которые не прив</w:t>
      </w:r>
      <w:r>
        <w:rPr>
          <w:szCs w:val="24"/>
        </w:rPr>
        <w:t>о</w:t>
      </w:r>
      <w:r>
        <w:rPr>
          <w:szCs w:val="24"/>
        </w:rPr>
        <w:t>дят к расовому профилированию или стигматизации, однако, тем не менее, п</w:t>
      </w:r>
      <w:r>
        <w:rPr>
          <w:szCs w:val="24"/>
        </w:rPr>
        <w:t>о</w:t>
      </w:r>
      <w:r>
        <w:rPr>
          <w:szCs w:val="24"/>
        </w:rPr>
        <w:t>зволяют правительству получить необходимую информацию для своевременн</w:t>
      </w:r>
      <w:r>
        <w:rPr>
          <w:szCs w:val="24"/>
        </w:rPr>
        <w:t>о</w:t>
      </w:r>
      <w:r>
        <w:rPr>
          <w:szCs w:val="24"/>
        </w:rPr>
        <w:t>го реагирования на негативные тенденции.</w:t>
      </w:r>
    </w:p>
    <w:p w:rsidR="0005667F" w:rsidRDefault="0005667F" w:rsidP="0005667F">
      <w:pPr>
        <w:pStyle w:val="SingleTxtGR"/>
        <w:rPr>
          <w:szCs w:val="24"/>
        </w:rPr>
      </w:pPr>
      <w:r>
        <w:rPr>
          <w:szCs w:val="24"/>
        </w:rPr>
        <w:t>71.</w:t>
      </w:r>
      <w:r>
        <w:rPr>
          <w:szCs w:val="24"/>
        </w:rPr>
        <w:tab/>
        <w:t>Выступающий хотел бы получить более подробную информацию о стру</w:t>
      </w:r>
      <w:r>
        <w:rPr>
          <w:szCs w:val="24"/>
        </w:rPr>
        <w:t>к</w:t>
      </w:r>
      <w:r>
        <w:rPr>
          <w:szCs w:val="24"/>
        </w:rPr>
        <w:t>туре и полномочиях нового автономного правительства в Гренландии. Продо</w:t>
      </w:r>
      <w:r>
        <w:rPr>
          <w:szCs w:val="24"/>
        </w:rPr>
        <w:t>л</w:t>
      </w:r>
      <w:r>
        <w:rPr>
          <w:szCs w:val="24"/>
        </w:rPr>
        <w:t>жает ли Конвенция действовать в Гренландии при новых договоренностях о с</w:t>
      </w:r>
      <w:r>
        <w:rPr>
          <w:szCs w:val="24"/>
        </w:rPr>
        <w:t>а</w:t>
      </w:r>
      <w:r>
        <w:rPr>
          <w:szCs w:val="24"/>
        </w:rPr>
        <w:t>моопределении или же новому правительству придется присоединяться к ней отдельно? Ее применение затрагивает многие области потенциальной дискр</w:t>
      </w:r>
      <w:r>
        <w:rPr>
          <w:szCs w:val="24"/>
        </w:rPr>
        <w:t>и</w:t>
      </w:r>
      <w:r>
        <w:rPr>
          <w:szCs w:val="24"/>
        </w:rPr>
        <w:t xml:space="preserve">минации, включая семью и занятость. </w:t>
      </w:r>
    </w:p>
    <w:p w:rsidR="0005667F" w:rsidRDefault="0005667F" w:rsidP="0005667F">
      <w:pPr>
        <w:pStyle w:val="SingleTxtGR"/>
      </w:pPr>
      <w:r>
        <w:t>72.</w:t>
      </w:r>
      <w:r>
        <w:tab/>
      </w:r>
      <w:r w:rsidRPr="00F50101">
        <w:rPr>
          <w:b/>
        </w:rPr>
        <w:t>Г-н Петер</w:t>
      </w:r>
      <w:r>
        <w:t xml:space="preserve"> (Докладчик по стране), подводя итог интерактивного обсу</w:t>
      </w:r>
      <w:r>
        <w:t>ж</w:t>
      </w:r>
      <w:r>
        <w:t>дения с г</w:t>
      </w:r>
      <w:r>
        <w:t>о</w:t>
      </w:r>
      <w:r>
        <w:t xml:space="preserve">сударством-участником, благодарит делегацию за представленную ею информацию. Перечень тем, составленный Комитетом </w:t>
      </w:r>
      <w:r w:rsidRPr="00A16909">
        <w:t>(</w:t>
      </w:r>
      <w:r w:rsidRPr="00A16909">
        <w:rPr>
          <w:lang w:val="en-GB"/>
        </w:rPr>
        <w:t>CERD</w:t>
      </w:r>
      <w:r w:rsidRPr="00A16909">
        <w:t>/</w:t>
      </w:r>
      <w:r w:rsidRPr="00A16909">
        <w:rPr>
          <w:lang w:val="en-GB"/>
        </w:rPr>
        <w:t>C</w:t>
      </w:r>
      <w:r w:rsidRPr="00A16909">
        <w:t>/</w:t>
      </w:r>
      <w:r w:rsidRPr="00A16909">
        <w:rPr>
          <w:lang w:val="en-GB"/>
        </w:rPr>
        <w:t>DNK</w:t>
      </w:r>
      <w:r w:rsidRPr="00A16909">
        <w:t>/</w:t>
      </w:r>
      <w:r w:rsidRPr="00A16909">
        <w:rPr>
          <w:lang w:val="en-GB"/>
        </w:rPr>
        <w:t>Q</w:t>
      </w:r>
      <w:r w:rsidRPr="00A16909">
        <w:t>/18-19)</w:t>
      </w:r>
      <w:r>
        <w:t>, обеспечил полезную о</w:t>
      </w:r>
      <w:r>
        <w:t>с</w:t>
      </w:r>
      <w:r>
        <w:t>нову для обсуждения.</w:t>
      </w:r>
    </w:p>
    <w:p w:rsidR="0005667F" w:rsidRDefault="0005667F" w:rsidP="0005667F">
      <w:pPr>
        <w:pStyle w:val="SingleTxtGR"/>
      </w:pPr>
      <w:r>
        <w:t>73.</w:t>
      </w:r>
      <w:r>
        <w:tab/>
        <w:t>Дания имеет хорошую репутацию в той области, которая представляет особый интерес для выступающего, а именно: в проведении кампании против расизма в спорте. Датская футбольная лига провозгласила политику абсолю</w:t>
      </w:r>
      <w:r>
        <w:t>т</w:t>
      </w:r>
      <w:r>
        <w:t>ной нетерпимости по отношению к проявлениям расизма со стороны болельщ</w:t>
      </w:r>
      <w:r>
        <w:t>и</w:t>
      </w:r>
      <w:r>
        <w:t>ков.</w:t>
      </w:r>
    </w:p>
    <w:p w:rsidR="0005667F" w:rsidRDefault="0005667F" w:rsidP="0005667F">
      <w:pPr>
        <w:pStyle w:val="SingleTxtGR"/>
      </w:pPr>
      <w:r>
        <w:t>74.</w:t>
      </w:r>
      <w:r>
        <w:tab/>
        <w:t>В ходе обсуждения был выявлен ряд проблем, вызывающих обеспокое</w:t>
      </w:r>
      <w:r>
        <w:t>н</w:t>
      </w:r>
      <w:r>
        <w:t>ность Комитета. К их числу относятся отсутствие статистических данных по населению рома, особенно в отношении тех, кто прибыл в Данию в период н</w:t>
      </w:r>
      <w:r>
        <w:t>а</w:t>
      </w:r>
      <w:r>
        <w:t>чиная с 1960-х годов, а также расовое профилирование и запугивание со стор</w:t>
      </w:r>
      <w:r>
        <w:t>о</w:t>
      </w:r>
      <w:r>
        <w:t>ны полиции. Причиной для озабоченности по-прежнему остается положение племени туле в Гренландии.</w:t>
      </w:r>
    </w:p>
    <w:p w:rsidR="0005667F" w:rsidRDefault="0005667F" w:rsidP="0005667F">
      <w:pPr>
        <w:pStyle w:val="SingleTxtGR"/>
      </w:pPr>
      <w:r>
        <w:t>75.</w:t>
      </w:r>
      <w:r>
        <w:tab/>
        <w:t>Многие члены Комитета отметили ощутимое нежелание Генерального прокурора возбуждать судебное разбирательство в связи с предполагаемыми случаями ксенофобских высказываний со стороны политических деятелей. З</w:t>
      </w:r>
      <w:r>
        <w:t>а</w:t>
      </w:r>
      <w:r>
        <w:t>щита, предоставляемая в статье 266 В Уголовного кодекса, будет эффективна лишь в том случае, если Генеральный прокурор будет готов осуществлять пр</w:t>
      </w:r>
      <w:r>
        <w:t>е</w:t>
      </w:r>
      <w:r>
        <w:t>следования за нарушение этой статьи. Согласно индивидуальным жалобам, п</w:t>
      </w:r>
      <w:r>
        <w:t>о</w:t>
      </w:r>
      <w:r>
        <w:t>ступавшим на рассмотрение Комитета, многие люди в Дании считают, что пр</w:t>
      </w:r>
      <w:r>
        <w:t>о</w:t>
      </w:r>
      <w:r>
        <w:t>курор не обладает достаточной строгостью. Тем не менее Комитет удовлетв</w:t>
      </w:r>
      <w:r>
        <w:t>о</w:t>
      </w:r>
      <w:r>
        <w:t>рен заявлениями правительства о том, что положения данной статьи б</w:t>
      </w:r>
      <w:r>
        <w:t>у</w:t>
      </w:r>
      <w:r>
        <w:t>дут по-прежнему соблюдаться.</w:t>
      </w:r>
    </w:p>
    <w:p w:rsidR="0005667F" w:rsidRDefault="0005667F" w:rsidP="0005667F">
      <w:pPr>
        <w:pStyle w:val="SingleTxtGR"/>
      </w:pPr>
      <w:r>
        <w:t>76.</w:t>
      </w:r>
      <w:r>
        <w:tab/>
        <w:t>Многие члены Комитета вновь обратились к правительству с призывом изучить вопрос о том, чтобы инкорпорировать Конвенцию непосредственно во внутреннее з</w:t>
      </w:r>
      <w:r>
        <w:t>а</w:t>
      </w:r>
      <w:r>
        <w:t>конодательство страны.</w:t>
      </w:r>
    </w:p>
    <w:p w:rsidR="0005667F" w:rsidRDefault="0005667F" w:rsidP="0005667F">
      <w:pPr>
        <w:pStyle w:val="SingleTxtGR"/>
      </w:pPr>
      <w:r>
        <w:t>77.</w:t>
      </w:r>
      <w:r>
        <w:tab/>
        <w:t>Еще одной вызывающей обеспокоенность проблемой является положение женщин-иностранок, ставших жертвами насилия в быту, которые могут л</w:t>
      </w:r>
      <w:r>
        <w:t>и</w:t>
      </w:r>
      <w:r>
        <w:t>шиться права на проживание в Дании, если расстанутся со своими агрессивн</w:t>
      </w:r>
      <w:r>
        <w:t>ы</w:t>
      </w:r>
      <w:r>
        <w:t>ми мужьями. Делегация отметила возросшее число женщин, которым было ра</w:t>
      </w:r>
      <w:r>
        <w:t>з</w:t>
      </w:r>
      <w:r>
        <w:t>решено остаться в Дании в п</w:t>
      </w:r>
      <w:r>
        <w:t>о</w:t>
      </w:r>
      <w:r>
        <w:t>добных обстоятельствах. Однако члены Комитета тем не менее призывают правител</w:t>
      </w:r>
      <w:r>
        <w:t>ь</w:t>
      </w:r>
      <w:r>
        <w:t>ство обеспечить гуманное обращение со всеми такими лицами.</w:t>
      </w:r>
    </w:p>
    <w:p w:rsidR="0005667F" w:rsidRDefault="0005667F" w:rsidP="0005667F">
      <w:pPr>
        <w:pStyle w:val="SingleTxtGR"/>
      </w:pPr>
      <w:r>
        <w:t>78.</w:t>
      </w:r>
      <w:r>
        <w:tab/>
        <w:t>Члены Комитета приветствовали инициативы правительства по борьбе против расизма и дискриминации и привлечению представителей этнических общин к участию в пополнении состава преподавателей и сотрудников пол</w:t>
      </w:r>
      <w:r>
        <w:t>и</w:t>
      </w:r>
      <w:r>
        <w:t>ции.</w:t>
      </w:r>
    </w:p>
    <w:p w:rsidR="0005667F" w:rsidRDefault="0005667F" w:rsidP="0005667F">
      <w:pPr>
        <w:pStyle w:val="SingleTxtGR"/>
      </w:pPr>
      <w:r>
        <w:t>79.</w:t>
      </w:r>
      <w:r>
        <w:tab/>
        <w:t>По окончании сессии Комитет препроводит свои заключительные зам</w:t>
      </w:r>
      <w:r>
        <w:t>е</w:t>
      </w:r>
      <w:r>
        <w:t>чания государству-участнику. Выступающий благодарит сотрудников секрет</w:t>
      </w:r>
      <w:r>
        <w:t>а</w:t>
      </w:r>
      <w:r>
        <w:t>риата, оказавших ему содействие в углубленном изучении доклада Дании.</w:t>
      </w:r>
    </w:p>
    <w:p w:rsidR="0005667F" w:rsidRDefault="0005667F" w:rsidP="0005667F">
      <w:pPr>
        <w:pStyle w:val="SingleTxtGR"/>
      </w:pPr>
      <w:r>
        <w:t>80.</w:t>
      </w:r>
      <w:r>
        <w:tab/>
      </w:r>
      <w:r w:rsidRPr="00BA0942">
        <w:rPr>
          <w:b/>
        </w:rPr>
        <w:t>Председатель</w:t>
      </w:r>
      <w:r>
        <w:t xml:space="preserve"> благодарит делегацию Дании за ее вклад в откровенный и плод</w:t>
      </w:r>
      <w:r>
        <w:t>о</w:t>
      </w:r>
      <w:r>
        <w:t>творный диалог. Комитет будет с особым нетерпением ожидать встречи с представит</w:t>
      </w:r>
      <w:r>
        <w:t>е</w:t>
      </w:r>
      <w:r>
        <w:t>лями нового Гренландского правительства в предстоящие годы.</w:t>
      </w:r>
    </w:p>
    <w:p w:rsidR="0005667F" w:rsidRPr="00A9429E" w:rsidRDefault="0005667F" w:rsidP="0005667F">
      <w:pPr>
        <w:pStyle w:val="SingleTxtGR"/>
        <w:rPr>
          <w:i/>
        </w:rPr>
      </w:pPr>
      <w:r w:rsidRPr="00A9429E">
        <w:rPr>
          <w:i/>
        </w:rPr>
        <w:t>Заседание закрывается в 13 ч. 00 м.</w:t>
      </w:r>
    </w:p>
    <w:p w:rsidR="001C194F" w:rsidRDefault="0069217F" w:rsidP="0069217F">
      <w:pPr>
        <w:spacing w:before="240"/>
        <w:jc w:val="center"/>
        <w:rPr>
          <w:u w:val="single"/>
          <w:lang w:val="en-US"/>
        </w:rPr>
      </w:pPr>
      <w:r>
        <w:rPr>
          <w:u w:val="single"/>
        </w:rPr>
        <w:tab/>
      </w:r>
      <w:r>
        <w:rPr>
          <w:u w:val="single"/>
        </w:rPr>
        <w:tab/>
      </w:r>
      <w:r>
        <w:rPr>
          <w:u w:val="single"/>
        </w:rPr>
        <w:tab/>
      </w:r>
    </w:p>
    <w:p w:rsidR="0069217F" w:rsidRPr="0069217F" w:rsidRDefault="0069217F" w:rsidP="0069217F">
      <w:pPr>
        <w:spacing w:before="240"/>
        <w:jc w:val="center"/>
        <w:rPr>
          <w:u w:val="single"/>
          <w:lang w:val="en-US"/>
        </w:rPr>
      </w:pPr>
    </w:p>
    <w:sectPr w:rsidR="0069217F" w:rsidRPr="0069217F" w:rsidSect="007511D7">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1950" w:rsidRDefault="00E41950">
      <w:r>
        <w:rPr>
          <w:lang w:val="en-US"/>
        </w:rPr>
        <w:tab/>
      </w:r>
      <w:r>
        <w:separator/>
      </w:r>
    </w:p>
  </w:endnote>
  <w:endnote w:type="continuationSeparator" w:id="0">
    <w:p w:rsidR="00E41950" w:rsidRDefault="00E419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1950" w:rsidRPr="000B2D0A" w:rsidRDefault="00E41950">
    <w:pPr>
      <w:pStyle w:val="Footer"/>
      <w:rPr>
        <w:lang w:val="ru-RU"/>
      </w:rPr>
    </w:pPr>
    <w:r>
      <w:rPr>
        <w:rStyle w:val="PageNumber"/>
      </w:rPr>
      <w:fldChar w:fldCharType="begin"/>
    </w:r>
    <w:r>
      <w:rPr>
        <w:rStyle w:val="PageNumber"/>
      </w:rPr>
      <w:instrText xml:space="preserve"> PAGE </w:instrText>
    </w:r>
    <w:r>
      <w:rPr>
        <w:rStyle w:val="PageNumber"/>
      </w:rPr>
      <w:fldChar w:fldCharType="separate"/>
    </w:r>
    <w:r w:rsidR="00FF0E94">
      <w:rPr>
        <w:rStyle w:val="PageNumber"/>
        <w:noProof/>
      </w:rPr>
      <w:t>16</w:t>
    </w:r>
    <w:r>
      <w:rPr>
        <w:rStyle w:val="PageNumber"/>
      </w:rPr>
      <w:fldChar w:fldCharType="end"/>
    </w:r>
    <w:r>
      <w:rPr>
        <w:lang w:val="en-US"/>
      </w:rPr>
      <w:tab/>
      <w:t>GE.09-</w:t>
    </w:r>
    <w:r>
      <w:rPr>
        <w:lang w:val="ru-RU"/>
      </w:rPr>
      <w:t>44390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1950" w:rsidRPr="009A6F4A" w:rsidRDefault="00E41950">
    <w:pPr>
      <w:pStyle w:val="Footer"/>
      <w:rPr>
        <w:lang w:val="en-US"/>
      </w:rPr>
    </w:pPr>
    <w:r>
      <w:rPr>
        <w:lang w:val="en-US"/>
      </w:rPr>
      <w:t>GE.09-</w:t>
    </w:r>
    <w:r>
      <w:rPr>
        <w:lang w:val="ru-RU"/>
      </w:rPr>
      <w:t>44390</w:t>
    </w:r>
    <w:r>
      <w:rPr>
        <w:lang w:val="en-US"/>
      </w:rPr>
      <w:tab/>
    </w:r>
    <w:r>
      <w:rPr>
        <w:rStyle w:val="PageNumber"/>
      </w:rPr>
      <w:fldChar w:fldCharType="begin"/>
    </w:r>
    <w:r>
      <w:rPr>
        <w:rStyle w:val="PageNumber"/>
      </w:rPr>
      <w:instrText xml:space="preserve"> PAGE </w:instrText>
    </w:r>
    <w:r>
      <w:rPr>
        <w:rStyle w:val="PageNumber"/>
      </w:rPr>
      <w:fldChar w:fldCharType="separate"/>
    </w:r>
    <w:r w:rsidR="00FF0E94">
      <w:rPr>
        <w:rStyle w:val="PageNumber"/>
        <w:noProof/>
      </w:rPr>
      <w:t>15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1950" w:rsidRDefault="00E41950" w:rsidP="00E57A11">
    <w:pPr>
      <w:pStyle w:val="FootnoteText"/>
      <w:pBdr>
        <w:top w:val="single" w:sz="4" w:space="1" w:color="auto"/>
      </w:pBdr>
      <w:ind w:right="-48"/>
      <w:rPr>
        <w:lang w:val="ru-RU"/>
      </w:rPr>
    </w:pPr>
    <w:r>
      <w:rPr>
        <w:lang w:val="ru-RU"/>
      </w:rPr>
      <w:tab/>
    </w:r>
    <w:r>
      <w:rPr>
        <w:lang w:val="ru-RU"/>
      </w:rPr>
      <w:tab/>
    </w:r>
    <w:r w:rsidRPr="009D06EA">
      <w:rPr>
        <w:lang w:val="ru-RU"/>
      </w:rPr>
      <w:t>В настоящий отчет могут вноситься поправки.</w:t>
    </w:r>
  </w:p>
  <w:p w:rsidR="00E41950" w:rsidRDefault="00E41950" w:rsidP="00E57A11">
    <w:pPr>
      <w:pStyle w:val="FootnoteText"/>
      <w:spacing w:before="120" w:after="120"/>
      <w:rPr>
        <w:lang w:val="ru-RU"/>
      </w:rPr>
    </w:pPr>
    <w:r w:rsidRPr="002B3239">
      <w:rPr>
        <w:lang w:val="ru-RU"/>
      </w:rPr>
      <w:tab/>
    </w:r>
    <w:r>
      <w:rPr>
        <w:lang w:val="ru-RU"/>
      </w:rPr>
      <w:tab/>
    </w:r>
    <w:r w:rsidRPr="002B3239">
      <w:rPr>
        <w:lang w:val="ru-RU"/>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w:t>
    </w:r>
    <w:r w:rsidRPr="009D06EA">
      <w:rPr>
        <w:lang w:val="ru-RU"/>
      </w:rPr>
      <w:t>Поправки должны направляться</w:t>
    </w:r>
    <w:r w:rsidRPr="009D06EA">
      <w:rPr>
        <w:i/>
        <w:lang w:val="ru-RU"/>
      </w:rPr>
      <w:t xml:space="preserve"> в течение одной недели с момента выпуска настоящего документа</w:t>
    </w:r>
    <w:r w:rsidRPr="009D06EA">
      <w:rPr>
        <w:lang w:val="ru-RU"/>
      </w:rPr>
      <w:t xml:space="preserve"> в Группу ред</w:t>
    </w:r>
    <w:r>
      <w:rPr>
        <w:lang w:val="ru-RU"/>
      </w:rPr>
      <w:t>акционного контроля, комната Е.</w:t>
    </w:r>
    <w:r w:rsidRPr="009D06EA">
      <w:rPr>
        <w:lang w:val="ru-RU"/>
      </w:rPr>
      <w:t>4108, Дворец Наций, Женева.</w:t>
    </w:r>
  </w:p>
  <w:p w:rsidR="00E41950" w:rsidRPr="009D06EA" w:rsidRDefault="00E41950" w:rsidP="00E57A11">
    <w:pPr>
      <w:pStyle w:val="FootnoteText"/>
      <w:rPr>
        <w:lang w:val="ru-RU"/>
      </w:rPr>
    </w:pPr>
    <w:r w:rsidRPr="009D06EA">
      <w:rPr>
        <w:lang w:val="ru-RU"/>
      </w:rPr>
      <w:tab/>
    </w:r>
    <w:r>
      <w:rPr>
        <w:lang w:val="ru-RU"/>
      </w:rPr>
      <w:tab/>
    </w:r>
    <w:r w:rsidRPr="009D06EA">
      <w:rPr>
        <w:lang w:val="ru-RU"/>
      </w:rPr>
      <w:t>Любые поправки к отчетам об открытых заседаниях Комитета на этой сессии будут сведены в единое исправление, которое будет издано вскоре после окончания сессии.</w:t>
    </w:r>
  </w:p>
  <w:p w:rsidR="00E41950" w:rsidRDefault="00E41950">
    <w:pPr>
      <w:pStyle w:val="Footer"/>
      <w:rPr>
        <w:sz w:val="20"/>
        <w:lang w:val="ru-RU"/>
      </w:rPr>
    </w:pPr>
  </w:p>
  <w:p w:rsidR="00E41950" w:rsidRPr="009A6F4A" w:rsidRDefault="00E41950">
    <w:pPr>
      <w:pStyle w:val="Footer"/>
      <w:rPr>
        <w:sz w:val="20"/>
        <w:lang w:val="en-US"/>
      </w:rPr>
    </w:pPr>
    <w:r>
      <w:rPr>
        <w:sz w:val="20"/>
        <w:lang w:val="en-US"/>
      </w:rPr>
      <w:t>GE.10-</w:t>
    </w:r>
    <w:r>
      <w:rPr>
        <w:sz w:val="20"/>
        <w:lang w:val="ru-RU"/>
      </w:rPr>
      <w:t>44390</w:t>
    </w:r>
    <w:r>
      <w:rPr>
        <w:sz w:val="20"/>
        <w:lang w:val="en-US"/>
      </w:rPr>
      <w:t xml:space="preserve">  (R)  141010  151010</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1950" w:rsidRPr="00F71F63" w:rsidRDefault="00E41950"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E41950" w:rsidRPr="00F71F63" w:rsidRDefault="00E41950" w:rsidP="00635E86">
      <w:pPr>
        <w:tabs>
          <w:tab w:val="right" w:pos="2155"/>
        </w:tabs>
        <w:spacing w:after="80" w:line="240" w:lineRule="auto"/>
        <w:rPr>
          <w:u w:val="single"/>
          <w:lang w:val="en-US"/>
        </w:rPr>
      </w:pPr>
      <w:r w:rsidRPr="00F71F63">
        <w:rPr>
          <w:u w:val="single"/>
          <w:lang w:val="en-US"/>
        </w:rPr>
        <w:tab/>
      </w:r>
    </w:p>
    <w:p w:rsidR="00E41950" w:rsidRPr="00635E86" w:rsidRDefault="00E41950" w:rsidP="00635E86">
      <w:pPr>
        <w:pStyle w:val="Foote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1950" w:rsidRPr="000B2D0A" w:rsidRDefault="00E41950">
    <w:pPr>
      <w:pStyle w:val="Header"/>
      <w:rPr>
        <w:lang w:val="en-US"/>
      </w:rPr>
    </w:pPr>
    <w:r>
      <w:rPr>
        <w:lang w:val="en-US"/>
      </w:rPr>
      <w:t>CERD/</w:t>
    </w:r>
    <w:r w:rsidRPr="000B2D0A">
      <w:rPr>
        <w:lang w:val="en-US"/>
      </w:rPr>
      <w:t>C/SR.2035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1950" w:rsidRPr="000B2D0A" w:rsidRDefault="00E41950">
    <w:pPr>
      <w:pStyle w:val="Header"/>
      <w:rPr>
        <w:lang w:val="en-US"/>
      </w:rPr>
    </w:pPr>
    <w:r>
      <w:rPr>
        <w:lang w:val="en-US"/>
      </w:rPr>
      <w:tab/>
      <w:t>CERD/</w:t>
    </w:r>
    <w:r w:rsidRPr="000B2D0A">
      <w:rPr>
        <w:lang w:val="en-US"/>
      </w:rPr>
      <w:t>C/SR.2035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US" w:vendorID="64" w:dllVersion="131078" w:nlCheck="1" w:checkStyle="1"/>
  <w:activeWritingStyle w:appName="MSWord" w:lang="en-GB" w:vendorID="64" w:dllVersion="131078" w:nlCheck="1" w:checkStyle="1"/>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1442E"/>
    <w:rsid w:val="000033D8"/>
    <w:rsid w:val="00005C1C"/>
    <w:rsid w:val="00016553"/>
    <w:rsid w:val="000233B3"/>
    <w:rsid w:val="00023E9E"/>
    <w:rsid w:val="00026B0C"/>
    <w:rsid w:val="0003638E"/>
    <w:rsid w:val="00036FF2"/>
    <w:rsid w:val="0004010A"/>
    <w:rsid w:val="00043D88"/>
    <w:rsid w:val="00046E4D"/>
    <w:rsid w:val="0005667F"/>
    <w:rsid w:val="0006401A"/>
    <w:rsid w:val="00072C27"/>
    <w:rsid w:val="00086182"/>
    <w:rsid w:val="00090891"/>
    <w:rsid w:val="00092E62"/>
    <w:rsid w:val="00097975"/>
    <w:rsid w:val="000A3DDF"/>
    <w:rsid w:val="000A60A0"/>
    <w:rsid w:val="000B0C10"/>
    <w:rsid w:val="000B2D0A"/>
    <w:rsid w:val="000C3688"/>
    <w:rsid w:val="000D6863"/>
    <w:rsid w:val="00117AEE"/>
    <w:rsid w:val="001463F7"/>
    <w:rsid w:val="0015769C"/>
    <w:rsid w:val="00180752"/>
    <w:rsid w:val="00185076"/>
    <w:rsid w:val="0018543C"/>
    <w:rsid w:val="00190231"/>
    <w:rsid w:val="00192ABD"/>
    <w:rsid w:val="001947DC"/>
    <w:rsid w:val="001A75D5"/>
    <w:rsid w:val="001A7D40"/>
    <w:rsid w:val="001C194F"/>
    <w:rsid w:val="001D07F7"/>
    <w:rsid w:val="001D266F"/>
    <w:rsid w:val="001D7B8F"/>
    <w:rsid w:val="001E381A"/>
    <w:rsid w:val="001E48EE"/>
    <w:rsid w:val="001F2D04"/>
    <w:rsid w:val="0020059C"/>
    <w:rsid w:val="002019BD"/>
    <w:rsid w:val="0021442E"/>
    <w:rsid w:val="00232D42"/>
    <w:rsid w:val="00237334"/>
    <w:rsid w:val="002444F4"/>
    <w:rsid w:val="002629A0"/>
    <w:rsid w:val="0028492B"/>
    <w:rsid w:val="00291C8F"/>
    <w:rsid w:val="002B3239"/>
    <w:rsid w:val="002B43B0"/>
    <w:rsid w:val="002C5036"/>
    <w:rsid w:val="002C6A71"/>
    <w:rsid w:val="002C6D5F"/>
    <w:rsid w:val="002D15EA"/>
    <w:rsid w:val="002D6C07"/>
    <w:rsid w:val="002E0CE6"/>
    <w:rsid w:val="002E1163"/>
    <w:rsid w:val="002E43F3"/>
    <w:rsid w:val="003215F5"/>
    <w:rsid w:val="00332891"/>
    <w:rsid w:val="00356BB2"/>
    <w:rsid w:val="00360477"/>
    <w:rsid w:val="00367FC9"/>
    <w:rsid w:val="00370B99"/>
    <w:rsid w:val="003711A1"/>
    <w:rsid w:val="00372123"/>
    <w:rsid w:val="00386581"/>
    <w:rsid w:val="00387100"/>
    <w:rsid w:val="003951D3"/>
    <w:rsid w:val="003978C6"/>
    <w:rsid w:val="003B40A9"/>
    <w:rsid w:val="003C016E"/>
    <w:rsid w:val="003D5EBD"/>
    <w:rsid w:val="003F3CF6"/>
    <w:rsid w:val="00401CE0"/>
    <w:rsid w:val="00403234"/>
    <w:rsid w:val="00407AC3"/>
    <w:rsid w:val="00414586"/>
    <w:rsid w:val="00415059"/>
    <w:rsid w:val="00424FDD"/>
    <w:rsid w:val="00425CDE"/>
    <w:rsid w:val="0043033D"/>
    <w:rsid w:val="00435FE4"/>
    <w:rsid w:val="00457634"/>
    <w:rsid w:val="00474F42"/>
    <w:rsid w:val="0048244D"/>
    <w:rsid w:val="004A0DE8"/>
    <w:rsid w:val="004A4CB7"/>
    <w:rsid w:val="004A57B5"/>
    <w:rsid w:val="004B19DA"/>
    <w:rsid w:val="004B77A8"/>
    <w:rsid w:val="004C2A53"/>
    <w:rsid w:val="004C3B35"/>
    <w:rsid w:val="004C43EC"/>
    <w:rsid w:val="004E6729"/>
    <w:rsid w:val="004F0E47"/>
    <w:rsid w:val="004F6A3C"/>
    <w:rsid w:val="0051339C"/>
    <w:rsid w:val="0051412F"/>
    <w:rsid w:val="00522B6F"/>
    <w:rsid w:val="0052430E"/>
    <w:rsid w:val="005276AD"/>
    <w:rsid w:val="00540A9A"/>
    <w:rsid w:val="00543522"/>
    <w:rsid w:val="00545680"/>
    <w:rsid w:val="00551714"/>
    <w:rsid w:val="0056618E"/>
    <w:rsid w:val="00576F59"/>
    <w:rsid w:val="00577A34"/>
    <w:rsid w:val="00580AAD"/>
    <w:rsid w:val="00581786"/>
    <w:rsid w:val="00593A04"/>
    <w:rsid w:val="005A6D5A"/>
    <w:rsid w:val="005B1B28"/>
    <w:rsid w:val="005B7D51"/>
    <w:rsid w:val="005B7F35"/>
    <w:rsid w:val="005C2081"/>
    <w:rsid w:val="005C678A"/>
    <w:rsid w:val="005D346D"/>
    <w:rsid w:val="005E74AB"/>
    <w:rsid w:val="00606A3E"/>
    <w:rsid w:val="006115AA"/>
    <w:rsid w:val="006120AE"/>
    <w:rsid w:val="00632EC5"/>
    <w:rsid w:val="00635E86"/>
    <w:rsid w:val="00636A37"/>
    <w:rsid w:val="00640D9D"/>
    <w:rsid w:val="006501A5"/>
    <w:rsid w:val="006567B2"/>
    <w:rsid w:val="00662ADE"/>
    <w:rsid w:val="00664106"/>
    <w:rsid w:val="006756F1"/>
    <w:rsid w:val="00677773"/>
    <w:rsid w:val="006805FC"/>
    <w:rsid w:val="0069217F"/>
    <w:rsid w:val="006926C7"/>
    <w:rsid w:val="00694C37"/>
    <w:rsid w:val="006A1BEB"/>
    <w:rsid w:val="006A401C"/>
    <w:rsid w:val="006A5ABF"/>
    <w:rsid w:val="006A7C6E"/>
    <w:rsid w:val="006B23D9"/>
    <w:rsid w:val="006C1814"/>
    <w:rsid w:val="006C2F45"/>
    <w:rsid w:val="006C361A"/>
    <w:rsid w:val="006C5657"/>
    <w:rsid w:val="006D5E4E"/>
    <w:rsid w:val="006E6860"/>
    <w:rsid w:val="006E7183"/>
    <w:rsid w:val="006F5FBF"/>
    <w:rsid w:val="0070327E"/>
    <w:rsid w:val="00707B5F"/>
    <w:rsid w:val="00735602"/>
    <w:rsid w:val="007511D7"/>
    <w:rsid w:val="0075279B"/>
    <w:rsid w:val="00753748"/>
    <w:rsid w:val="00762446"/>
    <w:rsid w:val="00770BE1"/>
    <w:rsid w:val="00781ACB"/>
    <w:rsid w:val="007A79EB"/>
    <w:rsid w:val="007D4CA0"/>
    <w:rsid w:val="007D7A23"/>
    <w:rsid w:val="007E17A6"/>
    <w:rsid w:val="007E38C3"/>
    <w:rsid w:val="007E549E"/>
    <w:rsid w:val="007E71C9"/>
    <w:rsid w:val="007F7553"/>
    <w:rsid w:val="0080755E"/>
    <w:rsid w:val="008120D4"/>
    <w:rsid w:val="008139A5"/>
    <w:rsid w:val="00817F73"/>
    <w:rsid w:val="0082228E"/>
    <w:rsid w:val="00830402"/>
    <w:rsid w:val="008305D7"/>
    <w:rsid w:val="00834887"/>
    <w:rsid w:val="00842FED"/>
    <w:rsid w:val="008455CF"/>
    <w:rsid w:val="00847689"/>
    <w:rsid w:val="00861C52"/>
    <w:rsid w:val="008727A1"/>
    <w:rsid w:val="00886B0F"/>
    <w:rsid w:val="00891C08"/>
    <w:rsid w:val="008A3879"/>
    <w:rsid w:val="008A5FA8"/>
    <w:rsid w:val="008A7575"/>
    <w:rsid w:val="008B5F47"/>
    <w:rsid w:val="008C7B87"/>
    <w:rsid w:val="008D6A7A"/>
    <w:rsid w:val="008E3E87"/>
    <w:rsid w:val="008E7F13"/>
    <w:rsid w:val="008F3185"/>
    <w:rsid w:val="00915B0A"/>
    <w:rsid w:val="00926904"/>
    <w:rsid w:val="009372F0"/>
    <w:rsid w:val="00955022"/>
    <w:rsid w:val="00957B4D"/>
    <w:rsid w:val="00964EEA"/>
    <w:rsid w:val="00980C86"/>
    <w:rsid w:val="009B1D9B"/>
    <w:rsid w:val="009B4074"/>
    <w:rsid w:val="009B7FB2"/>
    <w:rsid w:val="009C30BB"/>
    <w:rsid w:val="009C60BE"/>
    <w:rsid w:val="009E6279"/>
    <w:rsid w:val="009F00A6"/>
    <w:rsid w:val="009F56A7"/>
    <w:rsid w:val="009F5B05"/>
    <w:rsid w:val="00A026CA"/>
    <w:rsid w:val="00A07232"/>
    <w:rsid w:val="00A14800"/>
    <w:rsid w:val="00A156DE"/>
    <w:rsid w:val="00A157ED"/>
    <w:rsid w:val="00A2446A"/>
    <w:rsid w:val="00A4025D"/>
    <w:rsid w:val="00A800D1"/>
    <w:rsid w:val="00A92699"/>
    <w:rsid w:val="00AB5BF0"/>
    <w:rsid w:val="00AC1C95"/>
    <w:rsid w:val="00AC2CCB"/>
    <w:rsid w:val="00AC443A"/>
    <w:rsid w:val="00AE60E2"/>
    <w:rsid w:val="00B0169F"/>
    <w:rsid w:val="00B05F21"/>
    <w:rsid w:val="00B14EA9"/>
    <w:rsid w:val="00B30A3C"/>
    <w:rsid w:val="00B81305"/>
    <w:rsid w:val="00BB17DC"/>
    <w:rsid w:val="00BB1AF9"/>
    <w:rsid w:val="00BB2C29"/>
    <w:rsid w:val="00BB4C4A"/>
    <w:rsid w:val="00BD3CAE"/>
    <w:rsid w:val="00BD5F3C"/>
    <w:rsid w:val="00C07C0F"/>
    <w:rsid w:val="00C145C4"/>
    <w:rsid w:val="00C20D2F"/>
    <w:rsid w:val="00C2131B"/>
    <w:rsid w:val="00C32252"/>
    <w:rsid w:val="00C37AF8"/>
    <w:rsid w:val="00C37C79"/>
    <w:rsid w:val="00C41BBC"/>
    <w:rsid w:val="00C51419"/>
    <w:rsid w:val="00C54056"/>
    <w:rsid w:val="00C663A3"/>
    <w:rsid w:val="00C75CB2"/>
    <w:rsid w:val="00C857D9"/>
    <w:rsid w:val="00C90723"/>
    <w:rsid w:val="00C90D5C"/>
    <w:rsid w:val="00CA609E"/>
    <w:rsid w:val="00CA7DA4"/>
    <w:rsid w:val="00CB31FB"/>
    <w:rsid w:val="00CE3C81"/>
    <w:rsid w:val="00CE3D6F"/>
    <w:rsid w:val="00CE79A5"/>
    <w:rsid w:val="00CF0042"/>
    <w:rsid w:val="00CF262F"/>
    <w:rsid w:val="00D025D5"/>
    <w:rsid w:val="00D26B13"/>
    <w:rsid w:val="00D26CC1"/>
    <w:rsid w:val="00D30662"/>
    <w:rsid w:val="00D32A0B"/>
    <w:rsid w:val="00D6236B"/>
    <w:rsid w:val="00D809D1"/>
    <w:rsid w:val="00D84ECF"/>
    <w:rsid w:val="00DA2851"/>
    <w:rsid w:val="00DA2B7C"/>
    <w:rsid w:val="00DA5686"/>
    <w:rsid w:val="00DB2FC0"/>
    <w:rsid w:val="00DF18FA"/>
    <w:rsid w:val="00DF49CA"/>
    <w:rsid w:val="00DF775B"/>
    <w:rsid w:val="00E007F3"/>
    <w:rsid w:val="00E00DEA"/>
    <w:rsid w:val="00E06EF0"/>
    <w:rsid w:val="00E11679"/>
    <w:rsid w:val="00E154CA"/>
    <w:rsid w:val="00E2401F"/>
    <w:rsid w:val="00E307D1"/>
    <w:rsid w:val="00E41950"/>
    <w:rsid w:val="00E46A04"/>
    <w:rsid w:val="00E52946"/>
    <w:rsid w:val="00E54AEB"/>
    <w:rsid w:val="00E57A11"/>
    <w:rsid w:val="00E717F3"/>
    <w:rsid w:val="00E72C5E"/>
    <w:rsid w:val="00E73451"/>
    <w:rsid w:val="00E7489F"/>
    <w:rsid w:val="00E75147"/>
    <w:rsid w:val="00E8167D"/>
    <w:rsid w:val="00E907E9"/>
    <w:rsid w:val="00E96BE7"/>
    <w:rsid w:val="00EA2CD0"/>
    <w:rsid w:val="00EC0044"/>
    <w:rsid w:val="00EC6B9F"/>
    <w:rsid w:val="00EE516D"/>
    <w:rsid w:val="00EF4D1B"/>
    <w:rsid w:val="00EF7295"/>
    <w:rsid w:val="00F069D1"/>
    <w:rsid w:val="00F1503D"/>
    <w:rsid w:val="00F22712"/>
    <w:rsid w:val="00F275F5"/>
    <w:rsid w:val="00F30F6B"/>
    <w:rsid w:val="00F33188"/>
    <w:rsid w:val="00F35BDE"/>
    <w:rsid w:val="00F52A0E"/>
    <w:rsid w:val="00F622A8"/>
    <w:rsid w:val="00F71F63"/>
    <w:rsid w:val="00F87506"/>
    <w:rsid w:val="00F92C41"/>
    <w:rsid w:val="00FA5522"/>
    <w:rsid w:val="00FA6E4A"/>
    <w:rsid w:val="00FB2B35"/>
    <w:rsid w:val="00FC4AE1"/>
    <w:rsid w:val="00FD78A3"/>
    <w:rsid w:val="00FF0E94"/>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7511D7"/>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rPr>
      <w:rFonts w:ascii="Times New Roman" w:hAnsi="Times New Roman"/>
      <w:dstrike w:val="0"/>
      <w:sz w:val="18"/>
      <w:vertAlign w:val="superscript"/>
    </w:rPr>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16</Pages>
  <Words>7227</Words>
  <Characters>41197</Characters>
  <Application>Microsoft Office Word</Application>
  <DocSecurity>4</DocSecurity>
  <Lines>343</Lines>
  <Paragraphs>96</Paragraphs>
  <ScaleCrop>false</ScaleCrop>
  <HeadingPairs>
    <vt:vector size="2" baseType="variant">
      <vt:variant>
        <vt:lpstr>Название</vt:lpstr>
      </vt:variant>
      <vt:variant>
        <vt:i4>1</vt:i4>
      </vt:variant>
    </vt:vector>
  </HeadingPairs>
  <TitlesOfParts>
    <vt:vector size="1" baseType="lpstr">
      <vt:lpstr>1044390.doc</vt:lpstr>
    </vt:vector>
  </TitlesOfParts>
  <Company>CSD</Company>
  <LinksUpToDate>false</LinksUpToDate>
  <CharactersWithSpaces>48328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1044390.doc</dc:title>
  <dc:subject>Черепахин</dc:subject>
  <dc:creator>Беляева</dc:creator>
  <cp:keywords/>
  <dc:description/>
  <cp:lastModifiedBy>Беляева Светлана</cp:lastModifiedBy>
  <cp:revision>2</cp:revision>
  <cp:lastPrinted>2010-10-15T14:26:00Z</cp:lastPrinted>
  <dcterms:created xsi:type="dcterms:W3CDTF">2010-10-15T14:41:00Z</dcterms:created>
  <dcterms:modified xsi:type="dcterms:W3CDTF">2010-10-15T14:41:00Z</dcterms:modified>
</cp:coreProperties>
</file>