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bookmarkStart w:id="0" w:name="_GoBack"/>
            <w:bookmarkEnd w:id="0"/>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1242E4" w:rsidRDefault="001242E4" w:rsidP="000E62AA">
            <w:pPr>
              <w:spacing w:line="240" w:lineRule="atLeast"/>
              <w:jc w:val="right"/>
              <w:rPr>
                <w:sz w:val="20"/>
                <w:szCs w:val="21"/>
              </w:rPr>
            </w:pPr>
            <w:r w:rsidRPr="001242E4">
              <w:rPr>
                <w:sz w:val="40"/>
                <w:szCs w:val="21"/>
              </w:rPr>
              <w:t>A</w:t>
            </w:r>
            <w:r>
              <w:rPr>
                <w:sz w:val="20"/>
                <w:szCs w:val="21"/>
              </w:rPr>
              <w:t>/</w:t>
            </w:r>
            <w:proofErr w:type="spellStart"/>
            <w:r>
              <w:rPr>
                <w:sz w:val="20"/>
                <w:szCs w:val="21"/>
              </w:rPr>
              <w:t>HRC</w:t>
            </w:r>
            <w:proofErr w:type="spellEnd"/>
            <w:r>
              <w:rPr>
                <w:sz w:val="20"/>
                <w:szCs w:val="21"/>
              </w:rPr>
              <w:t>/RES/42/33</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1242E4" w:rsidRPr="001242E4">
              <w:rPr>
                <w:sz w:val="20"/>
              </w:rPr>
              <w:t>General</w:t>
            </w:r>
          </w:p>
          <w:p w:rsidR="00A1364C" w:rsidRPr="00F124C6" w:rsidRDefault="001242E4" w:rsidP="000E62AA">
            <w:pPr>
              <w:spacing w:line="240" w:lineRule="atLeast"/>
              <w:rPr>
                <w:sz w:val="20"/>
              </w:rPr>
            </w:pPr>
            <w:r>
              <w:rPr>
                <w:sz w:val="20"/>
              </w:rPr>
              <w:t xml:space="preserve">2 </w:t>
            </w:r>
            <w:r w:rsidRPr="001242E4">
              <w:rPr>
                <w:sz w:val="20"/>
              </w:rPr>
              <w:t>October</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1242E4" w:rsidRDefault="001242E4" w:rsidP="00C7253F">
      <w:pPr>
        <w:spacing w:before="120"/>
        <w:rPr>
          <w:rFonts w:eastAsia="黑体"/>
          <w:sz w:val="24"/>
          <w:szCs w:val="24"/>
          <w:lang w:val="fr-CH"/>
        </w:rPr>
      </w:pPr>
      <w:r>
        <w:rPr>
          <w:rFonts w:eastAsia="黑体" w:hint="eastAsia"/>
          <w:sz w:val="24"/>
          <w:szCs w:val="24"/>
          <w:lang w:val="fr-CH"/>
        </w:rPr>
        <w:t>人权理事会</w:t>
      </w:r>
    </w:p>
    <w:p w:rsidR="001242E4" w:rsidRPr="001242E4" w:rsidRDefault="001242E4" w:rsidP="001242E4">
      <w:pPr>
        <w:rPr>
          <w:rFonts w:eastAsia="黑体" w:hint="eastAsia"/>
          <w:szCs w:val="21"/>
          <w:lang w:val="fr-CH"/>
        </w:rPr>
      </w:pPr>
      <w:r w:rsidRPr="001242E4">
        <w:rPr>
          <w:rFonts w:eastAsia="黑体" w:hint="eastAsia"/>
          <w:szCs w:val="21"/>
          <w:lang w:val="fr-CH"/>
        </w:rPr>
        <w:t>第四十二届会议</w:t>
      </w:r>
    </w:p>
    <w:p w:rsidR="001242E4" w:rsidRPr="001242E4" w:rsidRDefault="001242E4" w:rsidP="001242E4">
      <w:pPr>
        <w:rPr>
          <w:rFonts w:ascii="Time New Roman" w:hAnsi="Time New Roman" w:hint="eastAsia"/>
          <w:szCs w:val="21"/>
          <w:lang w:val="fr-CH"/>
        </w:rPr>
      </w:pPr>
      <w:r w:rsidRPr="001242E4">
        <w:rPr>
          <w:rFonts w:ascii="Time New Roman" w:hAnsi="Time New Roman" w:hint="eastAsia"/>
          <w:szCs w:val="21"/>
          <w:lang w:val="fr-CH"/>
        </w:rPr>
        <w:t>2019</w:t>
      </w:r>
      <w:r w:rsidRPr="001242E4">
        <w:rPr>
          <w:rFonts w:ascii="Time New Roman" w:hAnsi="Time New Roman" w:hint="eastAsia"/>
          <w:szCs w:val="21"/>
          <w:lang w:val="fr-CH"/>
        </w:rPr>
        <w:t>年</w:t>
      </w:r>
      <w:r w:rsidRPr="001242E4">
        <w:rPr>
          <w:rFonts w:ascii="Time New Roman" w:hAnsi="Time New Roman" w:hint="eastAsia"/>
          <w:szCs w:val="21"/>
          <w:lang w:val="fr-CH"/>
        </w:rPr>
        <w:t>9</w:t>
      </w:r>
      <w:r w:rsidRPr="001242E4">
        <w:rPr>
          <w:rFonts w:ascii="Time New Roman" w:hAnsi="Time New Roman" w:hint="eastAsia"/>
          <w:szCs w:val="21"/>
          <w:lang w:val="fr-CH"/>
        </w:rPr>
        <w:t>月</w:t>
      </w:r>
      <w:r w:rsidRPr="001242E4">
        <w:rPr>
          <w:rFonts w:ascii="Time New Roman" w:hAnsi="Time New Roman" w:hint="eastAsia"/>
          <w:szCs w:val="21"/>
          <w:lang w:val="fr-CH"/>
        </w:rPr>
        <w:t>9</w:t>
      </w:r>
      <w:r w:rsidRPr="001242E4">
        <w:rPr>
          <w:rFonts w:ascii="Time New Roman" w:hAnsi="Time New Roman" w:hint="eastAsia"/>
          <w:szCs w:val="21"/>
          <w:lang w:val="fr-CH"/>
        </w:rPr>
        <w:t>日至</w:t>
      </w:r>
      <w:r w:rsidRPr="001242E4">
        <w:rPr>
          <w:rFonts w:ascii="Time New Roman" w:hAnsi="Time New Roman" w:hint="eastAsia"/>
          <w:szCs w:val="21"/>
          <w:lang w:val="fr-CH"/>
        </w:rPr>
        <w:t>27</w:t>
      </w:r>
      <w:r w:rsidRPr="001242E4">
        <w:rPr>
          <w:rFonts w:ascii="Time New Roman" w:hAnsi="Time New Roman" w:hint="eastAsia"/>
          <w:szCs w:val="21"/>
          <w:lang w:val="fr-CH"/>
        </w:rPr>
        <w:t>日</w:t>
      </w:r>
    </w:p>
    <w:p w:rsidR="001242E4" w:rsidRDefault="001242E4" w:rsidP="001242E4">
      <w:pPr>
        <w:rPr>
          <w:rFonts w:ascii="Time New Roman" w:hAnsi="Time New Roman"/>
          <w:szCs w:val="21"/>
          <w:lang w:val="fr-CH"/>
        </w:rPr>
      </w:pPr>
      <w:r w:rsidRPr="001242E4">
        <w:rPr>
          <w:rFonts w:ascii="Time New Roman" w:hAnsi="Time New Roman" w:hint="eastAsia"/>
          <w:szCs w:val="21"/>
          <w:lang w:val="fr-CH"/>
        </w:rPr>
        <w:t>议程项目</w:t>
      </w:r>
      <w:r w:rsidRPr="001242E4">
        <w:rPr>
          <w:rFonts w:ascii="Time New Roman" w:hAnsi="Time New Roman" w:hint="eastAsia"/>
          <w:szCs w:val="21"/>
          <w:lang w:val="fr-CH"/>
        </w:rPr>
        <w:t>10</w:t>
      </w:r>
    </w:p>
    <w:p w:rsidR="001242E4" w:rsidRDefault="001242E4" w:rsidP="001561EB">
      <w:pPr>
        <w:pStyle w:val="HChGC"/>
        <w:rPr>
          <w:rFonts w:hint="eastAsia"/>
        </w:rPr>
      </w:pPr>
      <w:r>
        <w:rPr>
          <w:rFonts w:hint="eastAsia"/>
        </w:rPr>
        <w:tab/>
      </w:r>
      <w:r>
        <w:rPr>
          <w:rFonts w:hint="eastAsia"/>
        </w:rPr>
        <w:tab/>
      </w:r>
      <w:r>
        <w:rPr>
          <w:rFonts w:hint="eastAsia"/>
        </w:rPr>
        <w:t>人权理事会</w:t>
      </w:r>
      <w:r>
        <w:rPr>
          <w:rFonts w:hint="eastAsia"/>
        </w:rPr>
        <w:t>2019</w:t>
      </w:r>
      <w:r>
        <w:rPr>
          <w:rFonts w:hint="eastAsia"/>
        </w:rPr>
        <w:t>年</w:t>
      </w:r>
      <w:r>
        <w:rPr>
          <w:rFonts w:hint="eastAsia"/>
        </w:rPr>
        <w:t>9</w:t>
      </w:r>
      <w:r>
        <w:rPr>
          <w:rFonts w:hint="eastAsia"/>
        </w:rPr>
        <w:t>月</w:t>
      </w:r>
      <w:r>
        <w:rPr>
          <w:rFonts w:hint="eastAsia"/>
        </w:rPr>
        <w:t>27</w:t>
      </w:r>
      <w:r>
        <w:rPr>
          <w:rFonts w:hint="eastAsia"/>
        </w:rPr>
        <w:t>日通过的决定</w:t>
      </w:r>
    </w:p>
    <w:p w:rsidR="001242E4" w:rsidRDefault="00491DF5" w:rsidP="00491DF5">
      <w:pPr>
        <w:pStyle w:val="H1GC"/>
        <w:rPr>
          <w:rFonts w:hint="eastAsia"/>
        </w:rPr>
      </w:pPr>
      <w:r>
        <w:tab/>
      </w:r>
      <w:r w:rsidR="001242E4">
        <w:rPr>
          <w:rFonts w:hint="eastAsia"/>
        </w:rPr>
        <w:t>42/33.</w:t>
      </w:r>
      <w:r w:rsidR="001242E4">
        <w:rPr>
          <w:rFonts w:hint="eastAsia"/>
        </w:rPr>
        <w:tab/>
      </w:r>
      <w:r w:rsidR="001242E4">
        <w:rPr>
          <w:rFonts w:hint="eastAsia"/>
        </w:rPr>
        <w:t>向索马里提供人权领域的援助</w:t>
      </w:r>
    </w:p>
    <w:p w:rsidR="001242E4" w:rsidRPr="000A5DC4" w:rsidRDefault="001242E4" w:rsidP="00491DF5">
      <w:pPr>
        <w:pStyle w:val="SingleTxtGC"/>
        <w:ind w:firstLine="431"/>
        <w:rPr>
          <w:rFonts w:ascii="Time New Roman" w:eastAsia="楷体" w:hAnsi="Time New Roman" w:hint="eastAsia"/>
        </w:rPr>
      </w:pPr>
      <w:r w:rsidRPr="000A5DC4">
        <w:rPr>
          <w:rFonts w:ascii="Time New Roman" w:eastAsia="楷体" w:hAnsi="Time New Roman" w:hint="eastAsia"/>
        </w:rPr>
        <w:t>人权理事会，</w:t>
      </w:r>
    </w:p>
    <w:p w:rsidR="001242E4" w:rsidRDefault="001242E4" w:rsidP="00491DF5">
      <w:pPr>
        <w:pStyle w:val="SingleTxtGC"/>
        <w:ind w:firstLine="431"/>
        <w:rPr>
          <w:rFonts w:hint="eastAsia"/>
        </w:rPr>
      </w:pPr>
      <w:r w:rsidRPr="000A5DC4">
        <w:rPr>
          <w:rFonts w:ascii="Time New Roman" w:eastAsia="楷体" w:hAnsi="Time New Roman" w:hint="eastAsia"/>
        </w:rPr>
        <w:t>遵循</w:t>
      </w:r>
      <w:r>
        <w:rPr>
          <w:rFonts w:hint="eastAsia"/>
        </w:rPr>
        <w:t>《联合国宪章》，</w:t>
      </w:r>
    </w:p>
    <w:p w:rsidR="001242E4" w:rsidRDefault="001242E4" w:rsidP="00491DF5">
      <w:pPr>
        <w:pStyle w:val="SingleTxtGC"/>
        <w:ind w:firstLine="431"/>
        <w:rPr>
          <w:rFonts w:hint="eastAsia"/>
        </w:rPr>
      </w:pPr>
      <w:r w:rsidRPr="00F85B0B">
        <w:rPr>
          <w:rFonts w:ascii="Time New Roman" w:eastAsia="楷体" w:hAnsi="Time New Roman" w:hint="eastAsia"/>
        </w:rPr>
        <w:t>重申</w:t>
      </w:r>
      <w:r>
        <w:rPr>
          <w:rFonts w:hint="eastAsia"/>
        </w:rPr>
        <w:t>《世界人权宣言》，</w:t>
      </w:r>
    </w:p>
    <w:p w:rsidR="001242E4" w:rsidRDefault="001242E4" w:rsidP="00491DF5">
      <w:pPr>
        <w:pStyle w:val="SingleTxtGC"/>
        <w:ind w:firstLine="431"/>
        <w:rPr>
          <w:rFonts w:hint="eastAsia"/>
        </w:rPr>
      </w:pPr>
      <w:r w:rsidRPr="00F85B0B">
        <w:rPr>
          <w:rFonts w:ascii="Time New Roman" w:eastAsia="楷体" w:hAnsi="Time New Roman" w:hint="eastAsia"/>
        </w:rPr>
        <w:t>承认</w:t>
      </w:r>
      <w:r>
        <w:rPr>
          <w:rFonts w:hint="eastAsia"/>
        </w:rPr>
        <w:t>和平与安全、发展和人权是联合国系统的支柱，</w:t>
      </w:r>
    </w:p>
    <w:p w:rsidR="001242E4" w:rsidRDefault="001242E4" w:rsidP="00491DF5">
      <w:pPr>
        <w:pStyle w:val="SingleTxtGC"/>
        <w:ind w:firstLine="431"/>
        <w:rPr>
          <w:rFonts w:hint="eastAsia"/>
        </w:rPr>
      </w:pPr>
      <w:r w:rsidRPr="00F85B0B">
        <w:rPr>
          <w:rFonts w:ascii="Time New Roman" w:eastAsia="楷体" w:hAnsi="Time New Roman" w:hint="eastAsia"/>
        </w:rPr>
        <w:t>重申</w:t>
      </w:r>
      <w:r>
        <w:rPr>
          <w:rFonts w:hint="eastAsia"/>
        </w:rPr>
        <w:t>尊重索马里的主权、领土完整、政治独立和统一，</w:t>
      </w:r>
    </w:p>
    <w:p w:rsidR="001242E4" w:rsidRDefault="001242E4" w:rsidP="00491DF5">
      <w:pPr>
        <w:pStyle w:val="SingleTxtGC"/>
        <w:ind w:firstLine="431"/>
        <w:rPr>
          <w:rFonts w:hint="eastAsia"/>
        </w:rPr>
      </w:pPr>
      <w:r w:rsidRPr="00F85B0B">
        <w:rPr>
          <w:rFonts w:ascii="Time New Roman" w:eastAsia="楷体" w:hAnsi="Time New Roman" w:hint="eastAsia"/>
        </w:rPr>
        <w:t>又重申</w:t>
      </w:r>
      <w:r>
        <w:rPr>
          <w:rFonts w:hint="eastAsia"/>
        </w:rPr>
        <w:t>理事会以往关于索马里的各项决议，</w:t>
      </w:r>
    </w:p>
    <w:p w:rsidR="001242E4" w:rsidRDefault="001242E4" w:rsidP="00491DF5">
      <w:pPr>
        <w:pStyle w:val="SingleTxtGC"/>
        <w:ind w:firstLine="431"/>
        <w:rPr>
          <w:rFonts w:hint="eastAsia"/>
        </w:rPr>
      </w:pPr>
      <w:r w:rsidRPr="00F85B0B">
        <w:rPr>
          <w:rFonts w:ascii="Time New Roman" w:eastAsia="楷体" w:hAnsi="Time New Roman" w:hint="eastAsia"/>
        </w:rPr>
        <w:t>回顾</w:t>
      </w:r>
      <w:r>
        <w:rPr>
          <w:rFonts w:hint="eastAsia"/>
        </w:rPr>
        <w:t>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日第</w:t>
      </w:r>
      <w:r>
        <w:rPr>
          <w:rFonts w:hint="eastAsia"/>
        </w:rPr>
        <w:t>5/1</w:t>
      </w:r>
      <w:r>
        <w:rPr>
          <w:rFonts w:hint="eastAsia"/>
        </w:rPr>
        <w:t>和第</w:t>
      </w:r>
      <w:r>
        <w:rPr>
          <w:rFonts w:hint="eastAsia"/>
        </w:rPr>
        <w:t>5/2</w:t>
      </w:r>
      <w:r>
        <w:rPr>
          <w:rFonts w:hint="eastAsia"/>
        </w:rPr>
        <w:t>号决议，</w:t>
      </w:r>
    </w:p>
    <w:p w:rsidR="001242E4" w:rsidRDefault="001242E4" w:rsidP="00491DF5">
      <w:pPr>
        <w:pStyle w:val="SingleTxtGC"/>
        <w:ind w:firstLine="431"/>
        <w:rPr>
          <w:rFonts w:hint="eastAsia"/>
        </w:rPr>
      </w:pPr>
      <w:r w:rsidRPr="00F85B0B">
        <w:rPr>
          <w:rFonts w:ascii="Time New Roman" w:eastAsia="楷体" w:hAnsi="Time New Roman" w:hint="eastAsia"/>
        </w:rPr>
        <w:t>确认</w:t>
      </w:r>
      <w:r>
        <w:rPr>
          <w:rFonts w:hint="eastAsia"/>
        </w:rPr>
        <w:t>索马里联邦政府对促进和保护索马里境内人权负有主要责任，加强法律框架、人权保护制度以及各机构的能力和合法性对于协助终止有罪不罚现象，加强对侵犯人权行为的问</w:t>
      </w:r>
      <w:proofErr w:type="gramStart"/>
      <w:r>
        <w:rPr>
          <w:rFonts w:hint="eastAsia"/>
        </w:rPr>
        <w:t>责以及</w:t>
      </w:r>
      <w:proofErr w:type="gramEnd"/>
      <w:r>
        <w:rPr>
          <w:rFonts w:hint="eastAsia"/>
        </w:rPr>
        <w:t>鼓励和解至关重要，</w:t>
      </w:r>
    </w:p>
    <w:p w:rsidR="001242E4" w:rsidRDefault="001242E4" w:rsidP="00491DF5">
      <w:pPr>
        <w:pStyle w:val="SingleTxtGC"/>
        <w:ind w:firstLine="431"/>
        <w:rPr>
          <w:rFonts w:hint="eastAsia"/>
        </w:rPr>
      </w:pPr>
      <w:r w:rsidRPr="00F85B0B">
        <w:rPr>
          <w:rFonts w:ascii="Time New Roman" w:eastAsia="楷体" w:hAnsi="Time New Roman" w:hint="eastAsia"/>
        </w:rPr>
        <w:t>又确认</w:t>
      </w:r>
      <w:r>
        <w:rPr>
          <w:rFonts w:hint="eastAsia"/>
        </w:rPr>
        <w:t>所有负责安全的部门必须信守其国际人权承诺和义务，并处理对平民的虐待和过度使用武力的问题，</w:t>
      </w:r>
    </w:p>
    <w:p w:rsidR="001242E4" w:rsidRDefault="001242E4" w:rsidP="00491DF5">
      <w:pPr>
        <w:pStyle w:val="SingleTxtGC"/>
        <w:ind w:firstLine="431"/>
        <w:rPr>
          <w:rFonts w:hint="eastAsia"/>
        </w:rPr>
      </w:pPr>
      <w:r w:rsidRPr="00F85B0B">
        <w:rPr>
          <w:rFonts w:ascii="Time New Roman" w:eastAsia="楷体" w:hAnsi="Time New Roman" w:hint="eastAsia"/>
        </w:rPr>
        <w:t>还确认</w:t>
      </w:r>
      <w:r>
        <w:rPr>
          <w:rFonts w:hint="eastAsia"/>
        </w:rPr>
        <w:t>向索马里提供国际援助的重要性和有效性，以及仍然需要在国家和联邦成员</w:t>
      </w:r>
      <w:proofErr w:type="gramStart"/>
      <w:r>
        <w:rPr>
          <w:rFonts w:hint="eastAsia"/>
        </w:rPr>
        <w:t>州各级</w:t>
      </w:r>
      <w:proofErr w:type="gramEnd"/>
      <w:r>
        <w:rPr>
          <w:rFonts w:hint="eastAsia"/>
        </w:rPr>
        <w:t>加强对索马里人权领域各项能力发展和技术援助的规模、协调、一致性和质量，为此欢迎</w:t>
      </w:r>
      <w:r>
        <w:rPr>
          <w:rFonts w:hint="eastAsia"/>
        </w:rPr>
        <w:t>2018</w:t>
      </w:r>
      <w:r>
        <w:rPr>
          <w:rFonts w:hint="eastAsia"/>
        </w:rPr>
        <w:t>年</w:t>
      </w:r>
      <w:r>
        <w:rPr>
          <w:rFonts w:hint="eastAsia"/>
        </w:rPr>
        <w:t>7</w:t>
      </w:r>
      <w:r>
        <w:rPr>
          <w:rFonts w:hint="eastAsia"/>
        </w:rPr>
        <w:t>月在摩加迪沙和布鲁塞尔举办的索马里伙伴关系论坛，在论坛期间，索马里和国际伙伴重申各自对《索马里新伙伴关系》的承诺，其中载明了对索马里优先事项，包括人权提供国际支助的条件，并欢迎按照国际人道主义法和国际人权</w:t>
      </w:r>
      <w:proofErr w:type="gramStart"/>
      <w:r>
        <w:rPr>
          <w:rFonts w:hint="eastAsia"/>
        </w:rPr>
        <w:t>法实现</w:t>
      </w:r>
      <w:proofErr w:type="gramEnd"/>
      <w:r>
        <w:rPr>
          <w:rFonts w:hint="eastAsia"/>
        </w:rPr>
        <w:t>由索马里主导的安全和保护的《安全契约》，</w:t>
      </w:r>
    </w:p>
    <w:p w:rsidR="001242E4" w:rsidRDefault="001242E4" w:rsidP="00491DF5">
      <w:pPr>
        <w:pStyle w:val="SingleTxtGC"/>
        <w:ind w:firstLine="431"/>
        <w:rPr>
          <w:rFonts w:hint="eastAsia"/>
        </w:rPr>
      </w:pPr>
      <w:r w:rsidRPr="00F85B0B">
        <w:rPr>
          <w:rFonts w:ascii="Time New Roman" w:eastAsia="楷体" w:hAnsi="Time New Roman" w:hint="eastAsia"/>
        </w:rPr>
        <w:t>重申</w:t>
      </w:r>
      <w:r>
        <w:rPr>
          <w:rFonts w:hint="eastAsia"/>
        </w:rPr>
        <w:t>需要定期举行索马里伙伴关系论坛会议，要求各方对进展情况负责，并商定共同的未来优先事项，</w:t>
      </w:r>
    </w:p>
    <w:p w:rsidR="001242E4" w:rsidRDefault="001242E4" w:rsidP="00491DF5">
      <w:pPr>
        <w:pStyle w:val="SingleTxtGC"/>
        <w:ind w:firstLine="431"/>
        <w:rPr>
          <w:rFonts w:hint="eastAsia"/>
        </w:rPr>
      </w:pPr>
      <w:r w:rsidRPr="00F85B0B">
        <w:rPr>
          <w:rFonts w:ascii="Time New Roman" w:eastAsia="楷体" w:hAnsi="Time New Roman" w:hint="eastAsia"/>
        </w:rPr>
        <w:lastRenderedPageBreak/>
        <w:t>确认</w:t>
      </w:r>
      <w:r>
        <w:rPr>
          <w:rFonts w:hint="eastAsia"/>
        </w:rPr>
        <w:t>非洲联盟驻索马里特派团的持续和至关重要的承诺，以及阵亡人员的损失和牺牲，并确认特派团和政府间发展组织的承诺正在创造条件，推动在索马里建立政治机构，拓展国家权力，这是为向索马里安全部队分阶段移交安全责任奠定基础的关键，</w:t>
      </w:r>
    </w:p>
    <w:p w:rsidR="001242E4" w:rsidRDefault="001242E4" w:rsidP="00491DF5">
      <w:pPr>
        <w:pStyle w:val="SingleTxtGC"/>
        <w:ind w:firstLine="431"/>
        <w:rPr>
          <w:rFonts w:hint="eastAsia"/>
        </w:rPr>
      </w:pPr>
      <w:r w:rsidRPr="00F85B0B">
        <w:rPr>
          <w:rFonts w:ascii="Time New Roman" w:eastAsia="楷体" w:hAnsi="Time New Roman" w:hint="eastAsia"/>
        </w:rPr>
        <w:t>又确认</w:t>
      </w:r>
      <w:r>
        <w:rPr>
          <w:rFonts w:hint="eastAsia"/>
        </w:rPr>
        <w:t>妇女在索马里社会的社区动员与建设和平方面已经发挥并将继续发挥作用，必须采取专门措施，制止武装冲突局势中的性别暴力和一切其他形式的暴力，终止有罪不罚现象，并起诉侵害妇女和女童的责任人，还确认必须按照安全理事会</w:t>
      </w:r>
      <w:r>
        <w:rPr>
          <w:rFonts w:hint="eastAsia"/>
        </w:rPr>
        <w:t>2000</w:t>
      </w:r>
      <w:r>
        <w:rPr>
          <w:rFonts w:hint="eastAsia"/>
        </w:rPr>
        <w:t>年</w:t>
      </w:r>
      <w:r>
        <w:rPr>
          <w:rFonts w:hint="eastAsia"/>
        </w:rPr>
        <w:t>10</w:t>
      </w:r>
      <w:r>
        <w:rPr>
          <w:rFonts w:hint="eastAsia"/>
        </w:rPr>
        <w:t>月</w:t>
      </w:r>
      <w:r>
        <w:rPr>
          <w:rFonts w:hint="eastAsia"/>
        </w:rPr>
        <w:t>31</w:t>
      </w:r>
      <w:r>
        <w:rPr>
          <w:rFonts w:hint="eastAsia"/>
        </w:rPr>
        <w:t>日关于妇女、和平与安全的第</w:t>
      </w:r>
      <w:r>
        <w:rPr>
          <w:rFonts w:hint="eastAsia"/>
        </w:rPr>
        <w:t>1325 (2000)</w:t>
      </w:r>
      <w:r>
        <w:rPr>
          <w:rFonts w:hint="eastAsia"/>
        </w:rPr>
        <w:t>号决议，促进对妇女的经济赋权，并促进她们参与政治和公共决策进程，包括在议会内和在各级政府参与这些进程，</w:t>
      </w:r>
    </w:p>
    <w:p w:rsidR="001242E4" w:rsidRDefault="001242E4" w:rsidP="00491DF5">
      <w:pPr>
        <w:pStyle w:val="SingleTxtGC"/>
        <w:ind w:firstLine="431"/>
        <w:rPr>
          <w:rFonts w:hint="eastAsia"/>
        </w:rPr>
      </w:pPr>
      <w:r w:rsidRPr="00F85B0B">
        <w:rPr>
          <w:rFonts w:ascii="Time New Roman" w:eastAsia="楷体" w:hAnsi="Time New Roman" w:hint="eastAsia"/>
        </w:rPr>
        <w:t>还确认</w:t>
      </w:r>
      <w:r>
        <w:rPr>
          <w:rFonts w:hint="eastAsia"/>
        </w:rPr>
        <w:t>索马里联邦政府通过其妇女和人权发展部在联邦一级和联邦成员州一级日益积极地加强促进和保护人权，包括在索马里宣传和履行人权承诺以及与国际人权系统接触，</w:t>
      </w:r>
    </w:p>
    <w:p w:rsidR="001242E4" w:rsidRDefault="001242E4" w:rsidP="00491DF5">
      <w:pPr>
        <w:pStyle w:val="SingleTxtGC"/>
        <w:ind w:firstLine="431"/>
        <w:rPr>
          <w:rFonts w:hint="eastAsia"/>
        </w:rPr>
      </w:pPr>
      <w:r>
        <w:rPr>
          <w:rFonts w:hint="eastAsia"/>
        </w:rPr>
        <w:t>1.</w:t>
      </w:r>
      <w:r>
        <w:rPr>
          <w:rFonts w:hint="eastAsia"/>
        </w:rPr>
        <w:tab/>
      </w:r>
      <w:r w:rsidRPr="00F85B0B">
        <w:rPr>
          <w:rFonts w:ascii="Time New Roman" w:eastAsia="楷体" w:hAnsi="Time New Roman" w:hint="eastAsia"/>
        </w:rPr>
        <w:t>欢迎</w:t>
      </w:r>
      <w:r>
        <w:rPr>
          <w:rFonts w:hint="eastAsia"/>
        </w:rPr>
        <w:t>索马里联邦政府承诺改善索马里的人权状况，并在这方面欢迎：</w:t>
      </w:r>
    </w:p>
    <w:p w:rsidR="001242E4" w:rsidRDefault="001242E4" w:rsidP="00491DF5">
      <w:pPr>
        <w:pStyle w:val="SingleTxtGC"/>
        <w:ind w:firstLine="431"/>
        <w:rPr>
          <w:rFonts w:hint="eastAsia"/>
        </w:rPr>
      </w:pPr>
      <w:r>
        <w:rPr>
          <w:rFonts w:hint="eastAsia"/>
        </w:rPr>
        <w:t>(a)</w:t>
      </w:r>
      <w:r>
        <w:rPr>
          <w:rFonts w:hint="eastAsia"/>
        </w:rPr>
        <w:tab/>
      </w:r>
      <w:r>
        <w:rPr>
          <w:rFonts w:hint="eastAsia"/>
        </w:rPr>
        <w:t>索马里人权状况逐步改善，尤其是《索马里新伙伴关系》和《索马里国家发展框架》中载明的宏大目标取得进展，这些目标旨在促进稳定和尊重人权的发展，如</w:t>
      </w:r>
      <w:r>
        <w:rPr>
          <w:rFonts w:hint="eastAsia"/>
        </w:rPr>
        <w:t>2017-2019</w:t>
      </w:r>
      <w:r>
        <w:rPr>
          <w:rFonts w:hint="eastAsia"/>
        </w:rPr>
        <w:t>年索马里联邦政府人权业绩指标所列，为此除其他外，将着手加强法治，增进政治决策中的包容性，特别是对妇女和女童、青年、少数群体和残疾人而言，同时实行宪法解决办法，保障表达和结社自由，同时以尊重人权义务和保护平民的方式处理安全威胁；</w:t>
      </w:r>
    </w:p>
    <w:p w:rsidR="001242E4" w:rsidRDefault="001242E4" w:rsidP="00491DF5">
      <w:pPr>
        <w:pStyle w:val="SingleTxtGC"/>
        <w:ind w:firstLine="431"/>
        <w:rPr>
          <w:rFonts w:hint="eastAsia"/>
        </w:rPr>
      </w:pPr>
      <w:r>
        <w:rPr>
          <w:rFonts w:hint="eastAsia"/>
        </w:rPr>
        <w:t>(b)</w:t>
      </w:r>
      <w:r>
        <w:rPr>
          <w:rFonts w:hint="eastAsia"/>
        </w:rPr>
        <w:tab/>
      </w:r>
      <w:r>
        <w:rPr>
          <w:rFonts w:hint="eastAsia"/>
        </w:rPr>
        <w:t>制定《过渡计划》，该计划将过渡定义为建立有效的索马里安全机构，以及非洲联盟索马里特派团逐步移交责任，增加索马里对本国公民安全的主导权，并特别赞赏这一方针的基础在于注重法治、和解、正义、尊重人权以及保护妇女、女童和儿童；</w:t>
      </w:r>
    </w:p>
    <w:p w:rsidR="001242E4" w:rsidRDefault="001242E4" w:rsidP="00491DF5">
      <w:pPr>
        <w:pStyle w:val="SingleTxtGC"/>
        <w:ind w:firstLine="431"/>
        <w:rPr>
          <w:rFonts w:hint="eastAsia"/>
        </w:rPr>
      </w:pPr>
      <w:r>
        <w:rPr>
          <w:rFonts w:hint="eastAsia"/>
        </w:rPr>
        <w:t>(c)</w:t>
      </w:r>
      <w:r>
        <w:rPr>
          <w:rFonts w:hint="eastAsia"/>
        </w:rPr>
        <w:tab/>
      </w:r>
      <w:r>
        <w:rPr>
          <w:rFonts w:hint="eastAsia"/>
        </w:rPr>
        <w:t>联邦政府、联邦成员州和巴纳迪尔地区管理局继续致力于增进在公共和政治事务中，尤其是在领导职务上妇女的代表性、融入和参与；</w:t>
      </w:r>
    </w:p>
    <w:p w:rsidR="001242E4" w:rsidRDefault="001242E4" w:rsidP="00491DF5">
      <w:pPr>
        <w:pStyle w:val="SingleTxtGC"/>
        <w:ind w:firstLine="431"/>
        <w:rPr>
          <w:rFonts w:hint="eastAsia"/>
        </w:rPr>
      </w:pPr>
      <w:r>
        <w:rPr>
          <w:rFonts w:hint="eastAsia"/>
        </w:rPr>
        <w:t>(d)</w:t>
      </w:r>
      <w:r>
        <w:rPr>
          <w:rFonts w:hint="eastAsia"/>
        </w:rPr>
        <w:tab/>
      </w:r>
      <w:r>
        <w:rPr>
          <w:rFonts w:hint="eastAsia"/>
        </w:rPr>
        <w:t>联邦政府于</w:t>
      </w:r>
      <w:r>
        <w:rPr>
          <w:rFonts w:hint="eastAsia"/>
        </w:rPr>
        <w:t>2019</w:t>
      </w:r>
      <w:r>
        <w:rPr>
          <w:rFonts w:hint="eastAsia"/>
        </w:rPr>
        <w:t>年</w:t>
      </w:r>
      <w:r>
        <w:rPr>
          <w:rFonts w:hint="eastAsia"/>
        </w:rPr>
        <w:t>8</w:t>
      </w:r>
      <w:r>
        <w:rPr>
          <w:rFonts w:hint="eastAsia"/>
        </w:rPr>
        <w:t>月批准了《残疾人权利公约》，并颁布了一项法律，设立一个由残疾人领导的残疾人事务主管机构；承诺通过索马里有史以来第一项国家残疾法和其他立法机制，在社会、教育、政治和经济生活中确立残疾人的权利，同时改进残疾人数据收集工作，并批准设立国家残疾人机构；</w:t>
      </w:r>
    </w:p>
    <w:p w:rsidR="001242E4" w:rsidRDefault="001242E4" w:rsidP="00491DF5">
      <w:pPr>
        <w:pStyle w:val="SingleTxtGC"/>
        <w:ind w:firstLine="431"/>
        <w:rPr>
          <w:rFonts w:hint="eastAsia"/>
        </w:rPr>
      </w:pPr>
      <w:r>
        <w:rPr>
          <w:rFonts w:hint="eastAsia"/>
        </w:rPr>
        <w:t>(e)</w:t>
      </w:r>
      <w:r>
        <w:rPr>
          <w:rFonts w:hint="eastAsia"/>
        </w:rPr>
        <w:tab/>
      </w:r>
      <w:r>
        <w:rPr>
          <w:rFonts w:hint="eastAsia"/>
        </w:rPr>
        <w:t>妇女和人权发展部作为联邦政府的牵头机构为推进索马里人权议程而开展工作，包括执行《索马里联合人权方案》，设立部际人权工作队，加强部际人权问题协调人的能力，提交关于普遍定期审议所提建议执行情况的中期审查报告，以及根据《儿童权利公约》和《禁止酷刑和其他残忍、不人道或有辱人格的待遇或处罚公约》提交报告；</w:t>
      </w:r>
    </w:p>
    <w:p w:rsidR="001242E4" w:rsidRDefault="001242E4" w:rsidP="00491DF5">
      <w:pPr>
        <w:pStyle w:val="SingleTxtGC"/>
        <w:ind w:firstLine="431"/>
        <w:rPr>
          <w:rFonts w:hint="eastAsia"/>
        </w:rPr>
      </w:pPr>
      <w:r>
        <w:rPr>
          <w:rFonts w:hint="eastAsia"/>
        </w:rPr>
        <w:t>(f)</w:t>
      </w:r>
      <w:r>
        <w:rPr>
          <w:rFonts w:hint="eastAsia"/>
        </w:rPr>
        <w:tab/>
      </w:r>
      <w:r>
        <w:rPr>
          <w:rFonts w:hint="eastAsia"/>
        </w:rPr>
        <w:t>制定和商定关键政策和计划，包括后过渡期人权路线图、国家性别政策和根除冲突中性暴力的国家行动计划，</w:t>
      </w:r>
      <w:r>
        <w:rPr>
          <w:rFonts w:hint="eastAsia"/>
        </w:rPr>
        <w:t>2019</w:t>
      </w:r>
      <w:r>
        <w:rPr>
          <w:rFonts w:hint="eastAsia"/>
        </w:rPr>
        <w:t>年</w:t>
      </w:r>
      <w:r>
        <w:rPr>
          <w:rFonts w:hint="eastAsia"/>
        </w:rPr>
        <w:t>3</w:t>
      </w:r>
      <w:r>
        <w:rPr>
          <w:rFonts w:hint="eastAsia"/>
        </w:rPr>
        <w:t>月</w:t>
      </w:r>
      <w:r>
        <w:rPr>
          <w:rFonts w:hint="eastAsia"/>
        </w:rPr>
        <w:t>4</w:t>
      </w:r>
      <w:r>
        <w:rPr>
          <w:rFonts w:hint="eastAsia"/>
        </w:rPr>
        <w:t>日至</w:t>
      </w:r>
      <w:r>
        <w:rPr>
          <w:rFonts w:hint="eastAsia"/>
        </w:rPr>
        <w:t>6</w:t>
      </w:r>
      <w:r>
        <w:rPr>
          <w:rFonts w:hint="eastAsia"/>
        </w:rPr>
        <w:t>日举行的索马里妇女大会核可《索马里妇女宪章》就证明了这一点；</w:t>
      </w:r>
    </w:p>
    <w:p w:rsidR="001242E4" w:rsidRDefault="001242E4" w:rsidP="00491DF5">
      <w:pPr>
        <w:pStyle w:val="SingleTxtGC"/>
        <w:ind w:firstLine="431"/>
        <w:rPr>
          <w:rFonts w:hint="eastAsia"/>
        </w:rPr>
      </w:pPr>
      <w:r>
        <w:rPr>
          <w:rFonts w:hint="eastAsia"/>
        </w:rPr>
        <w:lastRenderedPageBreak/>
        <w:t>(g)</w:t>
      </w:r>
      <w:r>
        <w:rPr>
          <w:rFonts w:hint="eastAsia"/>
        </w:rPr>
        <w:tab/>
      </w:r>
      <w:r>
        <w:rPr>
          <w:rFonts w:hint="eastAsia"/>
        </w:rPr>
        <w:t>在重大立法方面取得进展，如颁布儿童保护法、禁止</w:t>
      </w:r>
      <w:proofErr w:type="gramStart"/>
      <w:r>
        <w:rPr>
          <w:rFonts w:hint="eastAsia"/>
        </w:rPr>
        <w:t>残割女性</w:t>
      </w:r>
      <w:proofErr w:type="gramEnd"/>
      <w:r>
        <w:rPr>
          <w:rFonts w:hint="eastAsia"/>
        </w:rPr>
        <w:t>生殖器法和残疾法，在通过性犯罪法方面取得进展，并经与媒体组织和民间社会组织协商，实施媒体法，以提供维护表达自由的框架；</w:t>
      </w:r>
    </w:p>
    <w:p w:rsidR="001242E4" w:rsidRDefault="001242E4" w:rsidP="00491DF5">
      <w:pPr>
        <w:pStyle w:val="SingleTxtGC"/>
        <w:ind w:firstLine="431"/>
        <w:rPr>
          <w:rFonts w:hint="eastAsia"/>
        </w:rPr>
      </w:pPr>
      <w:r>
        <w:rPr>
          <w:rFonts w:hint="eastAsia"/>
        </w:rPr>
        <w:t>(h)</w:t>
      </w:r>
      <w:r>
        <w:rPr>
          <w:rFonts w:hint="eastAsia"/>
        </w:rPr>
        <w:tab/>
      </w:r>
      <w:r>
        <w:rPr>
          <w:rFonts w:hint="eastAsia"/>
        </w:rPr>
        <w:t>继续与索马里人权状况独立专家合作，与包括负责冲突中性暴力问题特别代表和负责儿童与武装冲突问题特别代表在内的秘书长特别代表合作；索马里在相关特别代表访问后承诺制定新的国家行动计划，以结束冲突中的性暴力；</w:t>
      </w:r>
    </w:p>
    <w:p w:rsidR="001242E4" w:rsidRDefault="001242E4" w:rsidP="00491DF5">
      <w:pPr>
        <w:pStyle w:val="SingleTxtGC"/>
        <w:ind w:firstLine="431"/>
        <w:rPr>
          <w:rFonts w:hint="eastAsia"/>
        </w:rPr>
      </w:pPr>
      <w:r>
        <w:rPr>
          <w:rFonts w:hint="eastAsia"/>
        </w:rPr>
        <w:t>(</w:t>
      </w:r>
      <w:proofErr w:type="spellStart"/>
      <w:r>
        <w:rPr>
          <w:rFonts w:hint="eastAsia"/>
        </w:rPr>
        <w:t>i</w:t>
      </w:r>
      <w:proofErr w:type="spellEnd"/>
      <w:r>
        <w:rPr>
          <w:rFonts w:hint="eastAsia"/>
        </w:rPr>
        <w:t>)</w:t>
      </w:r>
      <w:r>
        <w:rPr>
          <w:rFonts w:hint="eastAsia"/>
        </w:rPr>
        <w:tab/>
      </w:r>
      <w:r>
        <w:rPr>
          <w:rFonts w:hint="eastAsia"/>
        </w:rPr>
        <w:t>过去一年逮捕了据称对记者实施酷刑和威胁的士兵，并逮捕了被控实施性剥削和性虐待的士兵，从而发出了联邦政府追究责任的强烈信号并希望这些行动促进进一步打击有罪不罚工作；</w:t>
      </w:r>
    </w:p>
    <w:p w:rsidR="001242E4" w:rsidRDefault="001242E4" w:rsidP="00491DF5">
      <w:pPr>
        <w:pStyle w:val="SingleTxtGC"/>
        <w:ind w:firstLine="431"/>
        <w:rPr>
          <w:rFonts w:hint="eastAsia"/>
        </w:rPr>
      </w:pPr>
      <w:r>
        <w:rPr>
          <w:rFonts w:hint="eastAsia"/>
        </w:rPr>
        <w:t>(j)</w:t>
      </w:r>
      <w:r>
        <w:rPr>
          <w:rFonts w:hint="eastAsia"/>
        </w:rPr>
        <w:tab/>
      </w:r>
      <w:r>
        <w:rPr>
          <w:rFonts w:hint="eastAsia"/>
        </w:rPr>
        <w:t>政府最近在几所索马里大学启动了一项社会工作方案，将人权作为一个重要的课程学习领域，力求建立一支能够增强社区应对能力并确保人权得到享有的社会福利工作队伍，并促进对遭受暴力和虐待的个人和家庭</w:t>
      </w:r>
      <w:proofErr w:type="gramStart"/>
      <w:r>
        <w:rPr>
          <w:rFonts w:hint="eastAsia"/>
        </w:rPr>
        <w:t>作出</w:t>
      </w:r>
      <w:proofErr w:type="gramEnd"/>
      <w:r>
        <w:rPr>
          <w:rFonts w:hint="eastAsia"/>
        </w:rPr>
        <w:t>基于性别平等的反应；</w:t>
      </w:r>
    </w:p>
    <w:p w:rsidR="001242E4" w:rsidRDefault="001242E4" w:rsidP="00491DF5">
      <w:pPr>
        <w:pStyle w:val="SingleTxtGC"/>
        <w:ind w:firstLine="431"/>
        <w:rPr>
          <w:rFonts w:hint="eastAsia"/>
        </w:rPr>
      </w:pPr>
      <w:r>
        <w:rPr>
          <w:rFonts w:hint="eastAsia"/>
        </w:rPr>
        <w:t>2.</w:t>
      </w:r>
      <w:r>
        <w:rPr>
          <w:rFonts w:hint="eastAsia"/>
        </w:rPr>
        <w:tab/>
      </w:r>
      <w:r w:rsidRPr="00F85B0B">
        <w:rPr>
          <w:rFonts w:ascii="Time New Roman" w:eastAsia="楷体" w:hAnsi="Time New Roman" w:hint="eastAsia"/>
        </w:rPr>
        <w:t>又欢迎</w:t>
      </w:r>
      <w:r>
        <w:rPr>
          <w:rFonts w:hint="eastAsia"/>
        </w:rPr>
        <w:t>索马里联邦政府继续致力于普遍定期审议进程，为此欢迎联邦政府接受审议期间提出的诸多建议并鼓励落实这些建议；</w:t>
      </w:r>
    </w:p>
    <w:p w:rsidR="001242E4" w:rsidRDefault="001242E4" w:rsidP="00491DF5">
      <w:pPr>
        <w:pStyle w:val="SingleTxtGC"/>
        <w:ind w:firstLine="431"/>
        <w:rPr>
          <w:rFonts w:hint="eastAsia"/>
        </w:rPr>
      </w:pPr>
      <w:r>
        <w:rPr>
          <w:rFonts w:hint="eastAsia"/>
        </w:rPr>
        <w:t>3.</w:t>
      </w:r>
      <w:r>
        <w:rPr>
          <w:rFonts w:hint="eastAsia"/>
        </w:rPr>
        <w:tab/>
      </w:r>
      <w:r w:rsidRPr="00F85B0B">
        <w:rPr>
          <w:rFonts w:ascii="Time New Roman" w:eastAsia="楷体" w:hAnsi="Time New Roman" w:hint="eastAsia"/>
        </w:rPr>
        <w:t>表示关切</w:t>
      </w:r>
      <w:r>
        <w:rPr>
          <w:rFonts w:hint="eastAsia"/>
        </w:rPr>
        <w:t>索马里境内侵犯和践踏人权的报告，包括关于所有武装行为体此类行为的报告，着重指出需要维护对所有人人权的尊重，追究所有应对这类侵犯和践踏人权及相关罪行负责者的责任，包括那些对儿童、妇女和女童犯下的此类罪行，如在武装冲突中非法招募和使用儿童兵和儿童、杀害和致残、强奸以及其他性暴力和性别暴力、童婚、早婚和强迫婚姻以及一切形式的切割女性生殖器，并强调必须承认重新抓获的儿童兵是受害者，有必要制定和实施康复和重返社会方案；</w:t>
      </w:r>
    </w:p>
    <w:p w:rsidR="001242E4" w:rsidRDefault="001242E4" w:rsidP="00491DF5">
      <w:pPr>
        <w:pStyle w:val="SingleTxtGC"/>
        <w:ind w:firstLine="431"/>
        <w:rPr>
          <w:rFonts w:hint="eastAsia"/>
        </w:rPr>
      </w:pPr>
      <w:r>
        <w:rPr>
          <w:rFonts w:hint="eastAsia"/>
        </w:rPr>
        <w:t>4.</w:t>
      </w:r>
      <w:r>
        <w:rPr>
          <w:rFonts w:hint="eastAsia"/>
        </w:rPr>
        <w:tab/>
      </w:r>
      <w:r w:rsidRPr="00F85B0B">
        <w:rPr>
          <w:rFonts w:ascii="Time New Roman" w:eastAsia="楷体" w:hAnsi="Time New Roman" w:hint="eastAsia"/>
        </w:rPr>
        <w:t>表示关切</w:t>
      </w:r>
      <w:r>
        <w:rPr>
          <w:rFonts w:hint="eastAsia"/>
        </w:rPr>
        <w:t>境内流离失所者，包括可能处于弱势地位的人群，其中可能有妇女、儿童、青年、残疾人和少数群体成员，面对暴力、虐待和侵害行为，这些人群首当其冲；</w:t>
      </w:r>
    </w:p>
    <w:p w:rsidR="001242E4" w:rsidRDefault="001242E4" w:rsidP="00491DF5">
      <w:pPr>
        <w:pStyle w:val="SingleTxtGC"/>
        <w:ind w:firstLine="431"/>
        <w:rPr>
          <w:rFonts w:hint="eastAsia"/>
        </w:rPr>
      </w:pPr>
      <w:r>
        <w:rPr>
          <w:rFonts w:hint="eastAsia"/>
        </w:rPr>
        <w:t>5.</w:t>
      </w:r>
      <w:r>
        <w:rPr>
          <w:rFonts w:hint="eastAsia"/>
        </w:rPr>
        <w:tab/>
      </w:r>
      <w:r w:rsidRPr="00F85B0B">
        <w:rPr>
          <w:rFonts w:ascii="Time New Roman" w:eastAsia="楷体" w:hAnsi="Time New Roman" w:hint="eastAsia"/>
        </w:rPr>
        <w:t>又表示</w:t>
      </w:r>
      <w:proofErr w:type="gramStart"/>
      <w:r w:rsidRPr="00F85B0B">
        <w:rPr>
          <w:rFonts w:ascii="Time New Roman" w:eastAsia="楷体" w:hAnsi="Time New Roman" w:hint="eastAsia"/>
        </w:rPr>
        <w:t>关切</w:t>
      </w:r>
      <w:r>
        <w:rPr>
          <w:rFonts w:hint="eastAsia"/>
        </w:rPr>
        <w:t>在</w:t>
      </w:r>
      <w:proofErr w:type="gramEnd"/>
      <w:r>
        <w:rPr>
          <w:rFonts w:hint="eastAsia"/>
        </w:rPr>
        <w:t>索马里，人权维护者和媒体包括新闻记者遭到攻击和骚扰，尤其是以骚扰、任意逮捕或长时间拘留的形式发生，强调需要促进对表达自由和见解自由的尊重，终止有罪不罚现象，追究犯有此类相关罪行者的责任；</w:t>
      </w:r>
    </w:p>
    <w:p w:rsidR="001242E4" w:rsidRDefault="001242E4" w:rsidP="00491DF5">
      <w:pPr>
        <w:pStyle w:val="SingleTxtGC"/>
        <w:ind w:firstLine="431"/>
        <w:rPr>
          <w:rFonts w:hint="eastAsia"/>
        </w:rPr>
      </w:pPr>
      <w:r>
        <w:rPr>
          <w:rFonts w:hint="eastAsia"/>
        </w:rPr>
        <w:t>6.</w:t>
      </w:r>
      <w:r>
        <w:rPr>
          <w:rFonts w:hint="eastAsia"/>
        </w:rPr>
        <w:tab/>
      </w:r>
      <w:r w:rsidRPr="00F85B0B">
        <w:rPr>
          <w:rFonts w:ascii="Time New Roman" w:eastAsia="楷体" w:hAnsi="Time New Roman" w:hint="eastAsia"/>
        </w:rPr>
        <w:t>认识到</w:t>
      </w:r>
      <w:r>
        <w:rPr>
          <w:rFonts w:hint="eastAsia"/>
        </w:rPr>
        <w:t>气候变化和环境退化对索马里的影响以及造成伤害的可能性是巨大的和结构性的，这种弱势处境是脆弱性、冲突和人道主义需要的驱动因素；</w:t>
      </w:r>
    </w:p>
    <w:p w:rsidR="001242E4" w:rsidRDefault="001242E4" w:rsidP="00491DF5">
      <w:pPr>
        <w:pStyle w:val="SingleTxtGC"/>
        <w:ind w:firstLine="431"/>
        <w:rPr>
          <w:rFonts w:hint="eastAsia"/>
        </w:rPr>
      </w:pPr>
      <w:r>
        <w:rPr>
          <w:rFonts w:hint="eastAsia"/>
        </w:rPr>
        <w:t>7.</w:t>
      </w:r>
      <w:r>
        <w:rPr>
          <w:rFonts w:hint="eastAsia"/>
        </w:rPr>
        <w:tab/>
      </w:r>
      <w:r w:rsidRPr="00F85B0B">
        <w:rPr>
          <w:rFonts w:ascii="Time New Roman" w:eastAsia="楷体" w:hAnsi="Time New Roman" w:hint="eastAsia"/>
        </w:rPr>
        <w:t>又认识到</w:t>
      </w:r>
      <w:r>
        <w:rPr>
          <w:rFonts w:hint="eastAsia"/>
        </w:rPr>
        <w:t>收容索马里难民的各国</w:t>
      </w:r>
      <w:proofErr w:type="gramStart"/>
      <w:r>
        <w:rPr>
          <w:rFonts w:hint="eastAsia"/>
        </w:rPr>
        <w:t>作出</w:t>
      </w:r>
      <w:proofErr w:type="gramEnd"/>
      <w:r>
        <w:rPr>
          <w:rFonts w:hint="eastAsia"/>
        </w:rPr>
        <w:t>的努力，促请所有收容国履行与难民有关的国际法义务，并促请国际社会继续提供财政支助，使收容国能够满足该地区索马里难民的人道主义需求，支持那些在条件适宜的情况下返回索马里的人重新融入社会，并支持索马里的境内流离失所者；</w:t>
      </w:r>
    </w:p>
    <w:p w:rsidR="001242E4" w:rsidRDefault="001242E4" w:rsidP="00491DF5">
      <w:pPr>
        <w:pStyle w:val="SingleTxtGC"/>
        <w:ind w:firstLine="431"/>
        <w:rPr>
          <w:rFonts w:hint="eastAsia"/>
        </w:rPr>
      </w:pPr>
      <w:r>
        <w:rPr>
          <w:rFonts w:hint="eastAsia"/>
        </w:rPr>
        <w:t>8.</w:t>
      </w:r>
      <w:r>
        <w:rPr>
          <w:rFonts w:hint="eastAsia"/>
        </w:rPr>
        <w:tab/>
      </w:r>
      <w:r w:rsidRPr="00F85B0B">
        <w:rPr>
          <w:rFonts w:ascii="Time New Roman" w:eastAsia="楷体" w:hAnsi="Time New Roman" w:hint="eastAsia"/>
        </w:rPr>
        <w:t>还认识到</w:t>
      </w:r>
      <w:r>
        <w:rPr>
          <w:rFonts w:hint="eastAsia"/>
        </w:rPr>
        <w:t>索马里尽管自身面临困难，但努力接纳来自该区域其他国家的难民，而不是将他们拒之门外；</w:t>
      </w:r>
    </w:p>
    <w:p w:rsidR="001242E4" w:rsidRDefault="001242E4" w:rsidP="00491DF5">
      <w:pPr>
        <w:pStyle w:val="SingleTxtGC"/>
        <w:ind w:firstLine="431"/>
        <w:rPr>
          <w:rFonts w:hint="eastAsia"/>
        </w:rPr>
      </w:pPr>
      <w:r>
        <w:rPr>
          <w:rFonts w:hint="eastAsia"/>
        </w:rPr>
        <w:t>9.</w:t>
      </w:r>
      <w:r>
        <w:rPr>
          <w:rFonts w:hint="eastAsia"/>
        </w:rPr>
        <w:tab/>
      </w:r>
      <w:r w:rsidRPr="00F85B0B">
        <w:rPr>
          <w:rFonts w:ascii="Time New Roman" w:eastAsia="楷体" w:hAnsi="Time New Roman" w:hint="eastAsia"/>
        </w:rPr>
        <w:t>呼吁</w:t>
      </w:r>
      <w:r>
        <w:rPr>
          <w:rFonts w:hint="eastAsia"/>
        </w:rPr>
        <w:t>索马里联邦政府在国际社会支持下：</w:t>
      </w:r>
    </w:p>
    <w:p w:rsidR="001242E4" w:rsidRDefault="001242E4" w:rsidP="00491DF5">
      <w:pPr>
        <w:pStyle w:val="SingleTxtGC"/>
        <w:ind w:firstLine="431"/>
        <w:rPr>
          <w:rFonts w:hint="eastAsia"/>
        </w:rPr>
      </w:pPr>
      <w:r>
        <w:rPr>
          <w:rFonts w:hint="eastAsia"/>
        </w:rPr>
        <w:t>(a)</w:t>
      </w:r>
      <w:r>
        <w:rPr>
          <w:rFonts w:hint="eastAsia"/>
        </w:rPr>
        <w:tab/>
      </w:r>
      <w:r>
        <w:rPr>
          <w:rFonts w:hint="eastAsia"/>
        </w:rPr>
        <w:t>紧急取得进展，解决悬而未决的宪法问题，采取包容性方式完成宪法审查工作，这部宪法要促进和平建设与法治，保障表达自由和结社自由，纳入有针对性的条款，促使和推动在诉诸司法、教育、卫生、水、安全和经济复苏方</w:t>
      </w:r>
      <w:r>
        <w:rPr>
          <w:rFonts w:hint="eastAsia"/>
        </w:rPr>
        <w:lastRenderedPageBreak/>
        <w:t>面，提高妇女、儿童、青年、残疾人、少数群体和所有弱势群体成员的地位，包括他们在</w:t>
      </w:r>
      <w:r>
        <w:rPr>
          <w:rFonts w:hint="eastAsia"/>
        </w:rPr>
        <w:t>2020</w:t>
      </w:r>
      <w:r>
        <w:rPr>
          <w:rFonts w:hint="eastAsia"/>
        </w:rPr>
        <w:t>和</w:t>
      </w:r>
      <w:r>
        <w:rPr>
          <w:rFonts w:hint="eastAsia"/>
        </w:rPr>
        <w:t>2021</w:t>
      </w:r>
      <w:r>
        <w:rPr>
          <w:rFonts w:hint="eastAsia"/>
        </w:rPr>
        <w:t>年选举中的代表性和参与权；</w:t>
      </w:r>
    </w:p>
    <w:p w:rsidR="001242E4" w:rsidRDefault="001242E4" w:rsidP="00491DF5">
      <w:pPr>
        <w:pStyle w:val="SingleTxtGC"/>
        <w:ind w:firstLine="431"/>
        <w:rPr>
          <w:rFonts w:hint="eastAsia"/>
        </w:rPr>
      </w:pPr>
      <w:r>
        <w:rPr>
          <w:rFonts w:hint="eastAsia"/>
        </w:rPr>
        <w:t>(b)</w:t>
      </w:r>
      <w:r>
        <w:rPr>
          <w:rFonts w:hint="eastAsia"/>
        </w:rPr>
        <w:tab/>
      </w:r>
      <w:r>
        <w:rPr>
          <w:rFonts w:hint="eastAsia"/>
        </w:rPr>
        <w:t>加快设立国家人权委员会，为其提供充足的资源，监测侵犯和践踏人权行为并追究责任，包括规定保障妇女、边缘化群体和残疾人代表性的招聘流程；</w:t>
      </w:r>
    </w:p>
    <w:p w:rsidR="001242E4" w:rsidRDefault="001242E4" w:rsidP="00491DF5">
      <w:pPr>
        <w:pStyle w:val="SingleTxtGC"/>
        <w:ind w:firstLine="431"/>
        <w:rPr>
          <w:rFonts w:hint="eastAsia"/>
        </w:rPr>
      </w:pPr>
      <w:r>
        <w:rPr>
          <w:rFonts w:hint="eastAsia"/>
        </w:rPr>
        <w:t>(c)</w:t>
      </w:r>
      <w:r>
        <w:rPr>
          <w:rFonts w:hint="eastAsia"/>
        </w:rPr>
        <w:tab/>
      </w:r>
      <w:r>
        <w:rPr>
          <w:rFonts w:hint="eastAsia"/>
        </w:rPr>
        <w:t>加快政府主导和包容各方的政治解决办法，在联邦政府和联邦成员州之间的定期高级别对话中重新让议会参与进来；</w:t>
      </w:r>
    </w:p>
    <w:p w:rsidR="001242E4" w:rsidRDefault="001242E4" w:rsidP="00491DF5">
      <w:pPr>
        <w:pStyle w:val="SingleTxtGC"/>
        <w:ind w:firstLine="431"/>
        <w:rPr>
          <w:rFonts w:hint="eastAsia"/>
        </w:rPr>
      </w:pPr>
      <w:r>
        <w:rPr>
          <w:rFonts w:hint="eastAsia"/>
        </w:rPr>
        <w:t>(d)</w:t>
      </w:r>
      <w:r>
        <w:rPr>
          <w:rFonts w:hint="eastAsia"/>
        </w:rPr>
        <w:tab/>
      </w:r>
      <w:r>
        <w:rPr>
          <w:rFonts w:hint="eastAsia"/>
        </w:rPr>
        <w:t>努力完成选举法，并强调必须在重要优先事项方面取得进展，这些优先事项包括权力分享和资源分享、宪法审查、财政联邦制以及制定和实施选举法律框架等，这些都需要达成政治协议，能够构成联邦议会立法的基础；</w:t>
      </w:r>
    </w:p>
    <w:p w:rsidR="001242E4" w:rsidRDefault="001242E4" w:rsidP="00491DF5">
      <w:pPr>
        <w:pStyle w:val="SingleTxtGC"/>
        <w:ind w:firstLine="431"/>
        <w:rPr>
          <w:rFonts w:hint="eastAsia"/>
        </w:rPr>
      </w:pPr>
      <w:r>
        <w:rPr>
          <w:rFonts w:hint="eastAsia"/>
        </w:rPr>
        <w:t>(e)</w:t>
      </w:r>
      <w:r>
        <w:rPr>
          <w:rFonts w:hint="eastAsia"/>
        </w:rPr>
        <w:tab/>
      </w:r>
      <w:r>
        <w:rPr>
          <w:rFonts w:hint="eastAsia"/>
        </w:rPr>
        <w:t>继续与负责索马里问题的秘书长特别代表进行合作</w:t>
      </w:r>
      <w:r w:rsidR="00D90E21">
        <w:rPr>
          <w:rFonts w:hint="eastAsia"/>
        </w:rPr>
        <w:t>；</w:t>
      </w:r>
    </w:p>
    <w:p w:rsidR="001242E4" w:rsidRDefault="001242E4" w:rsidP="00491DF5">
      <w:pPr>
        <w:pStyle w:val="SingleTxtGC"/>
        <w:ind w:firstLine="431"/>
        <w:rPr>
          <w:rFonts w:hint="eastAsia"/>
        </w:rPr>
      </w:pPr>
      <w:r>
        <w:rPr>
          <w:rFonts w:hint="eastAsia"/>
        </w:rPr>
        <w:t>(f)</w:t>
      </w:r>
      <w:r>
        <w:rPr>
          <w:rFonts w:hint="eastAsia"/>
        </w:rPr>
        <w:tab/>
      </w:r>
      <w:r>
        <w:rPr>
          <w:rFonts w:hint="eastAsia"/>
        </w:rPr>
        <w:t>通过宪法审查和其他正在开展的政治和立法进程，确保宪法条款促进妇女的平等代表性、参与和融入，特别是在公共和民选机构以及公务员队伍中的领导和决策职位上；</w:t>
      </w:r>
    </w:p>
    <w:p w:rsidR="001242E4" w:rsidRDefault="001242E4" w:rsidP="00491DF5">
      <w:pPr>
        <w:pStyle w:val="SingleTxtGC"/>
        <w:ind w:firstLine="431"/>
        <w:rPr>
          <w:rFonts w:hint="eastAsia"/>
        </w:rPr>
      </w:pPr>
      <w:r>
        <w:rPr>
          <w:rFonts w:hint="eastAsia"/>
        </w:rPr>
        <w:t>(g)</w:t>
      </w:r>
      <w:r>
        <w:rPr>
          <w:rFonts w:hint="eastAsia"/>
        </w:rPr>
        <w:tab/>
      </w:r>
      <w:r>
        <w:rPr>
          <w:rFonts w:hint="eastAsia"/>
        </w:rPr>
        <w:t>在</w:t>
      </w:r>
      <w:r>
        <w:rPr>
          <w:rFonts w:hint="eastAsia"/>
        </w:rPr>
        <w:t>2020</w:t>
      </w:r>
      <w:r>
        <w:rPr>
          <w:rFonts w:hint="eastAsia"/>
        </w:rPr>
        <w:t>和</w:t>
      </w:r>
      <w:r>
        <w:rPr>
          <w:rFonts w:hint="eastAsia"/>
        </w:rPr>
        <w:t>2021</w:t>
      </w:r>
      <w:r>
        <w:rPr>
          <w:rFonts w:hint="eastAsia"/>
        </w:rPr>
        <w:t>年选举前通过《选举法》以及关于政党的立法的修正案，并确保这些措施和其他措施促进选举的包容性，特别是确保妇女在决策和领导职位方面的平等参与和代表性以及国内流离失所者、青年、残疾人、少数群体和所有弱势群体成员在选举周期各个阶段的平等参与和代表性；</w:t>
      </w:r>
    </w:p>
    <w:p w:rsidR="001242E4" w:rsidRDefault="001242E4" w:rsidP="00491DF5">
      <w:pPr>
        <w:pStyle w:val="SingleTxtGC"/>
        <w:ind w:firstLine="431"/>
        <w:rPr>
          <w:rFonts w:hint="eastAsia"/>
        </w:rPr>
      </w:pPr>
      <w:r>
        <w:rPr>
          <w:rFonts w:hint="eastAsia"/>
        </w:rPr>
        <w:t>(h)</w:t>
      </w:r>
      <w:r>
        <w:rPr>
          <w:rFonts w:hint="eastAsia"/>
        </w:rPr>
        <w:tab/>
      </w:r>
      <w:r>
        <w:rPr>
          <w:rFonts w:hint="eastAsia"/>
        </w:rPr>
        <w:t>履行改革安全部门的承诺，包括确保妇女积极参与落实国家安全架构，保证索马里安全部队和机构遵守适用的国内和国际法以及国际人权法，包括关于保护个人免受性暴力和性别暴力等侵害以及防止法外处决的法律，加强对所有相关安全部队和机构的内部和外部问责；</w:t>
      </w:r>
    </w:p>
    <w:p w:rsidR="001242E4" w:rsidRDefault="001242E4" w:rsidP="00491DF5">
      <w:pPr>
        <w:pStyle w:val="SingleTxtGC"/>
        <w:ind w:firstLine="431"/>
        <w:rPr>
          <w:rFonts w:hint="eastAsia"/>
        </w:rPr>
      </w:pPr>
      <w:r>
        <w:rPr>
          <w:rFonts w:hint="eastAsia"/>
        </w:rPr>
        <w:t>(</w:t>
      </w:r>
      <w:proofErr w:type="spellStart"/>
      <w:r>
        <w:rPr>
          <w:rFonts w:hint="eastAsia"/>
        </w:rPr>
        <w:t>i</w:t>
      </w:r>
      <w:proofErr w:type="spellEnd"/>
      <w:r>
        <w:rPr>
          <w:rFonts w:hint="eastAsia"/>
        </w:rPr>
        <w:t>)</w:t>
      </w:r>
      <w:r>
        <w:rPr>
          <w:rFonts w:hint="eastAsia"/>
        </w:rPr>
        <w:tab/>
      </w:r>
      <w:r>
        <w:rPr>
          <w:rFonts w:hint="eastAsia"/>
        </w:rPr>
        <w:t>继续采取措施，执行防止非法招募和在国家武装部队中使用儿童的行动计划，并与联合国儿童基金会等专门机构合作，确保前儿童兵和在武装冲突中使用的</w:t>
      </w:r>
      <w:r>
        <w:rPr>
          <w:rFonts w:hint="eastAsia"/>
        </w:rPr>
        <w:t>18</w:t>
      </w:r>
      <w:r>
        <w:rPr>
          <w:rFonts w:hint="eastAsia"/>
        </w:rPr>
        <w:t>岁以下儿童按照国际标准被视为受害者并得到康复；</w:t>
      </w:r>
    </w:p>
    <w:p w:rsidR="001242E4" w:rsidRDefault="001242E4" w:rsidP="00491DF5">
      <w:pPr>
        <w:pStyle w:val="SingleTxtGC"/>
        <w:ind w:firstLine="431"/>
        <w:rPr>
          <w:rFonts w:hint="eastAsia"/>
        </w:rPr>
      </w:pPr>
      <w:r>
        <w:rPr>
          <w:rFonts w:hint="eastAsia"/>
        </w:rPr>
        <w:t>(j)</w:t>
      </w:r>
      <w:r>
        <w:rPr>
          <w:rFonts w:hint="eastAsia"/>
        </w:rPr>
        <w:tab/>
      </w:r>
      <w:r>
        <w:rPr>
          <w:rFonts w:hint="eastAsia"/>
        </w:rPr>
        <w:t>履行承诺，结束普遍存在的有罪不罚文化，追究侵犯和践踏人权者的责任，确保迅速、独立、公正、彻底和有效地调查侵犯人权行为，为此应立即建立资源充足和独立的国家人权委员会，改革国家和传统司法机制，以增进妇女在司法机构中的代表性，并改善妇女和儿童诉诸司法的机会；</w:t>
      </w:r>
    </w:p>
    <w:p w:rsidR="001242E4" w:rsidRDefault="001242E4" w:rsidP="00491DF5">
      <w:pPr>
        <w:pStyle w:val="SingleTxtGC"/>
        <w:ind w:firstLine="431"/>
        <w:rPr>
          <w:rFonts w:hint="eastAsia"/>
        </w:rPr>
      </w:pPr>
      <w:r>
        <w:rPr>
          <w:rFonts w:hint="eastAsia"/>
        </w:rPr>
        <w:t>(k)</w:t>
      </w:r>
      <w:r>
        <w:rPr>
          <w:rFonts w:hint="eastAsia"/>
        </w:rPr>
        <w:tab/>
      </w:r>
      <w:r>
        <w:rPr>
          <w:rFonts w:hint="eastAsia"/>
        </w:rPr>
        <w:t>将颁布立法列为当务之急并进行改革，改革应尊重、保护和促进妇女和女童对所有人权的充分享有，有助于应对、预防和消除对妇女和女童的一切形式的暴力和歧视，包括为此对性暴力和性别暴力、童婚、早婚和强迫婚姻以及一切形式的切割女性生殖器采取零容忍态度，确保追究那些对性暴力和性别暴力、剥削和虐待负有责任者的罪责，无论其地位或等级如何；</w:t>
      </w:r>
    </w:p>
    <w:p w:rsidR="001242E4" w:rsidRDefault="001242E4" w:rsidP="00491DF5">
      <w:pPr>
        <w:pStyle w:val="SingleTxtGC"/>
        <w:ind w:firstLine="431"/>
        <w:rPr>
          <w:rFonts w:hint="eastAsia"/>
        </w:rPr>
      </w:pPr>
      <w:r>
        <w:rPr>
          <w:rFonts w:hint="eastAsia"/>
        </w:rPr>
        <w:t>(l)</w:t>
      </w:r>
      <w:r>
        <w:rPr>
          <w:rFonts w:hint="eastAsia"/>
        </w:rPr>
        <w:tab/>
      </w:r>
      <w:r>
        <w:rPr>
          <w:rFonts w:hint="eastAsia"/>
        </w:rPr>
        <w:t>在地方、区域和国家各级进行和解会谈，肯定在最终确定民族和解框架方面取得进展，并敦促联邦政府与索马里兰当局恢复对话，同时强调需要在全国各地实现和解，包括部族间和解和部族内和解，以此作为实现稳定的长期办法的基础；</w:t>
      </w:r>
    </w:p>
    <w:p w:rsidR="001242E4" w:rsidRDefault="001242E4" w:rsidP="00491DF5">
      <w:pPr>
        <w:pStyle w:val="SingleTxtGC"/>
        <w:ind w:firstLine="431"/>
        <w:rPr>
          <w:rFonts w:hint="eastAsia"/>
        </w:rPr>
      </w:pPr>
      <w:r>
        <w:rPr>
          <w:rFonts w:hint="eastAsia"/>
        </w:rPr>
        <w:lastRenderedPageBreak/>
        <w:t>(m)</w:t>
      </w:r>
      <w:r>
        <w:rPr>
          <w:rFonts w:hint="eastAsia"/>
        </w:rPr>
        <w:tab/>
      </w:r>
      <w:r>
        <w:rPr>
          <w:rFonts w:hint="eastAsia"/>
        </w:rPr>
        <w:t>增加分配给负责司法和保护人权的部委和机构的支助和资源，特别是联邦和州一级的妇女和人权发展部、司法部门、警察和惩教机构，包括为人权联合方案提供充足资金，该方案是履行索马里人权承诺的重要手段；</w:t>
      </w:r>
    </w:p>
    <w:p w:rsidR="001242E4" w:rsidRDefault="001242E4" w:rsidP="00491DF5">
      <w:pPr>
        <w:pStyle w:val="SingleTxtGC"/>
        <w:ind w:firstLine="431"/>
        <w:rPr>
          <w:rFonts w:hint="eastAsia"/>
        </w:rPr>
      </w:pPr>
      <w:r>
        <w:rPr>
          <w:rFonts w:hint="eastAsia"/>
        </w:rPr>
        <w:t>(n)</w:t>
      </w:r>
      <w:r>
        <w:rPr>
          <w:rFonts w:hint="eastAsia"/>
        </w:rPr>
        <w:tab/>
      </w:r>
      <w:r>
        <w:rPr>
          <w:rFonts w:hint="eastAsia"/>
        </w:rPr>
        <w:t>充分落实媒体保护法，保护和支持表达自由和自由的媒体，创造一个安全和宽松的环境，使新闻记者和人权维护者能够不受阻碍、安全地开展工作；继续当前的努力，禁止和防止对新闻记者的各种绑架、杀戮、攻击、恫吓和骚扰行为，并对他们给予保护；对杀害新闻记者案进行及时、有效、公正和透明的调查，并以符合媒体保护法规定且与其他适用的国内和国际法律义务相一致的方式，起诉所有非法行为的责任人；</w:t>
      </w:r>
    </w:p>
    <w:p w:rsidR="001242E4" w:rsidRDefault="001242E4" w:rsidP="00491DF5">
      <w:pPr>
        <w:pStyle w:val="SingleTxtGC"/>
        <w:ind w:firstLine="431"/>
        <w:rPr>
          <w:rFonts w:hint="eastAsia"/>
        </w:rPr>
      </w:pPr>
      <w:r>
        <w:rPr>
          <w:rFonts w:hint="eastAsia"/>
        </w:rPr>
        <w:t>(o)</w:t>
      </w:r>
      <w:r>
        <w:rPr>
          <w:rFonts w:hint="eastAsia"/>
        </w:rPr>
        <w:tab/>
      </w:r>
      <w:r>
        <w:rPr>
          <w:rFonts w:hint="eastAsia"/>
        </w:rPr>
        <w:t>考虑加入和批准《消除对妇女一切形式歧视公约》和《防止及惩治灭绝种族罪公约》；</w:t>
      </w:r>
    </w:p>
    <w:p w:rsidR="001242E4" w:rsidRDefault="001242E4" w:rsidP="00491DF5">
      <w:pPr>
        <w:pStyle w:val="SingleTxtGC"/>
        <w:ind w:firstLine="431"/>
        <w:rPr>
          <w:rFonts w:hint="eastAsia"/>
        </w:rPr>
      </w:pPr>
      <w:r>
        <w:rPr>
          <w:rFonts w:hint="eastAsia"/>
        </w:rPr>
        <w:t>(p)</w:t>
      </w:r>
      <w:r>
        <w:rPr>
          <w:rFonts w:hint="eastAsia"/>
        </w:rPr>
        <w:tab/>
      </w:r>
      <w:r>
        <w:rPr>
          <w:rFonts w:hint="eastAsia"/>
        </w:rPr>
        <w:t>履行在全球残疾问题峰会上</w:t>
      </w:r>
      <w:proofErr w:type="gramStart"/>
      <w:r>
        <w:rPr>
          <w:rFonts w:hint="eastAsia"/>
        </w:rPr>
        <w:t>作出</w:t>
      </w:r>
      <w:proofErr w:type="gramEnd"/>
      <w:r>
        <w:rPr>
          <w:rFonts w:hint="eastAsia"/>
        </w:rPr>
        <w:t>的承诺，特别是根据《残疾人权利公约》并与残疾人组织协商颁布国家残疾法案，同时最终完成国家残疾人机构的设立工作；</w:t>
      </w:r>
    </w:p>
    <w:p w:rsidR="001242E4" w:rsidRDefault="001242E4" w:rsidP="00491DF5">
      <w:pPr>
        <w:pStyle w:val="SingleTxtGC"/>
        <w:ind w:firstLine="431"/>
        <w:rPr>
          <w:rFonts w:hint="eastAsia"/>
        </w:rPr>
      </w:pPr>
      <w:r>
        <w:rPr>
          <w:rFonts w:hint="eastAsia"/>
        </w:rPr>
        <w:t>(q)</w:t>
      </w:r>
      <w:r>
        <w:rPr>
          <w:rFonts w:hint="eastAsia"/>
        </w:rPr>
        <w:tab/>
      </w:r>
      <w:r>
        <w:rPr>
          <w:rFonts w:hint="eastAsia"/>
        </w:rPr>
        <w:t>完成对新的性犯罪法案的审查并进行宣传，确保任何通过后成为法律的法案能够体现保护儿童、妇女和女童的国际义务和承诺，并执行这项法律和其他必要的法律，以防止性暴力和性别暴力；</w:t>
      </w:r>
    </w:p>
    <w:p w:rsidR="001242E4" w:rsidRDefault="001242E4" w:rsidP="00491DF5">
      <w:pPr>
        <w:pStyle w:val="SingleTxtGC"/>
        <w:ind w:firstLine="431"/>
        <w:rPr>
          <w:rFonts w:hint="eastAsia"/>
        </w:rPr>
      </w:pPr>
      <w:r>
        <w:rPr>
          <w:rFonts w:hint="eastAsia"/>
        </w:rPr>
        <w:t>(r)</w:t>
      </w:r>
      <w:r>
        <w:rPr>
          <w:rFonts w:hint="eastAsia"/>
        </w:rPr>
        <w:tab/>
      </w:r>
      <w:r>
        <w:rPr>
          <w:rFonts w:hint="eastAsia"/>
        </w:rPr>
        <w:t>使国家和联邦成员州一级的政治政策和法律框架与适用的人权义务和其他承诺保持一致；</w:t>
      </w:r>
    </w:p>
    <w:p w:rsidR="001242E4" w:rsidRDefault="001242E4" w:rsidP="00491DF5">
      <w:pPr>
        <w:pStyle w:val="SingleTxtGC"/>
        <w:ind w:firstLine="431"/>
        <w:rPr>
          <w:rFonts w:hint="eastAsia"/>
        </w:rPr>
      </w:pPr>
      <w:r>
        <w:rPr>
          <w:rFonts w:hint="eastAsia"/>
        </w:rPr>
        <w:t>(s)</w:t>
      </w:r>
      <w:r>
        <w:rPr>
          <w:rFonts w:hint="eastAsia"/>
        </w:rPr>
        <w:tab/>
      </w:r>
      <w:r>
        <w:rPr>
          <w:rFonts w:hint="eastAsia"/>
        </w:rPr>
        <w:t>按照国内法和国际法，特别是国际人权法和国际人道法规定的适用义务，对待前战斗人员；</w:t>
      </w:r>
    </w:p>
    <w:p w:rsidR="001242E4" w:rsidRDefault="001242E4" w:rsidP="00491DF5">
      <w:pPr>
        <w:pStyle w:val="SingleTxtGC"/>
        <w:ind w:firstLine="431"/>
        <w:rPr>
          <w:rFonts w:hint="eastAsia"/>
        </w:rPr>
      </w:pPr>
      <w:r>
        <w:rPr>
          <w:rFonts w:hint="eastAsia"/>
        </w:rPr>
        <w:t>(t)</w:t>
      </w:r>
      <w:r>
        <w:rPr>
          <w:rFonts w:hint="eastAsia"/>
        </w:rPr>
        <w:tab/>
      </w:r>
      <w:r>
        <w:rPr>
          <w:rFonts w:hint="eastAsia"/>
        </w:rPr>
        <w:t>执行</w:t>
      </w:r>
      <w:r>
        <w:rPr>
          <w:rFonts w:hint="eastAsia"/>
        </w:rPr>
        <w:t>2017</w:t>
      </w:r>
      <w:r>
        <w:rPr>
          <w:rFonts w:hint="eastAsia"/>
        </w:rPr>
        <w:t>年</w:t>
      </w:r>
      <w:r>
        <w:rPr>
          <w:rFonts w:hint="eastAsia"/>
        </w:rPr>
        <w:t>3</w:t>
      </w:r>
      <w:r>
        <w:rPr>
          <w:rFonts w:hint="eastAsia"/>
        </w:rPr>
        <w:t>月</w:t>
      </w:r>
      <w:r>
        <w:rPr>
          <w:rFonts w:hint="eastAsia"/>
        </w:rPr>
        <w:t>25</w:t>
      </w:r>
      <w:r>
        <w:rPr>
          <w:rFonts w:hint="eastAsia"/>
        </w:rPr>
        <w:t>日在内罗毕通过的《关于索马里难民的持久解决办法和回返者融入索马里社会的宣言》；</w:t>
      </w:r>
    </w:p>
    <w:p w:rsidR="001242E4" w:rsidRDefault="001242E4" w:rsidP="00491DF5">
      <w:pPr>
        <w:pStyle w:val="SingleTxtGC"/>
        <w:ind w:firstLine="431"/>
        <w:rPr>
          <w:rFonts w:hint="eastAsia"/>
        </w:rPr>
      </w:pPr>
      <w:r>
        <w:rPr>
          <w:rFonts w:hint="eastAsia"/>
        </w:rPr>
        <w:t>(u)</w:t>
      </w:r>
      <w:r>
        <w:rPr>
          <w:rFonts w:hint="eastAsia"/>
        </w:rPr>
        <w:tab/>
      </w:r>
      <w:r>
        <w:rPr>
          <w:rFonts w:hint="eastAsia"/>
        </w:rPr>
        <w:t>促进所有境内流离失所者的福祉和保护，包括使其免遭性暴力和性别暴力，并免遭国家或国际军事或文职人员的剥削和虐待；促进所有境内流离失所者，包括处于最弱势地位的境内流离失所者安全和有尊严地自愿重新融入社会或返回；确保推进充分的协商进程并采取最佳重新安置办法；提供安全地点以获取基本食物和饮用水、基本庇护所和住房、适当的衣服以及基本医疗服务和卫生设施；</w:t>
      </w:r>
    </w:p>
    <w:p w:rsidR="001242E4" w:rsidRDefault="001242E4" w:rsidP="00491DF5">
      <w:pPr>
        <w:pStyle w:val="SingleTxtGC"/>
        <w:ind w:firstLine="431"/>
        <w:rPr>
          <w:rFonts w:hint="eastAsia"/>
        </w:rPr>
      </w:pPr>
      <w:r>
        <w:rPr>
          <w:rFonts w:hint="eastAsia"/>
        </w:rPr>
        <w:t>(v)</w:t>
      </w:r>
      <w:r>
        <w:rPr>
          <w:rFonts w:hint="eastAsia"/>
        </w:rPr>
        <w:tab/>
      </w:r>
      <w:r>
        <w:rPr>
          <w:rFonts w:hint="eastAsia"/>
        </w:rPr>
        <w:t>确保人道主义组织能安全、及时、持续和不受阻碍地进入；承认境内流离失所者处于极度弱势；促进安全、及时、持续和无障碍地向有需要者提供人道主义援助，无论他们身在索马里何处；捍卫人道主义行为方的中立、公正、独立，免遭政治、经济和军事干涉，同时继续关注需要人道主义援助的少数族裔群体成员的需求；</w:t>
      </w:r>
    </w:p>
    <w:p w:rsidR="001242E4" w:rsidRDefault="001242E4" w:rsidP="00491DF5">
      <w:pPr>
        <w:pStyle w:val="SingleTxtGC"/>
        <w:ind w:firstLine="431"/>
        <w:rPr>
          <w:rFonts w:hint="eastAsia"/>
        </w:rPr>
      </w:pPr>
      <w:r>
        <w:rPr>
          <w:rFonts w:hint="eastAsia"/>
        </w:rPr>
        <w:t>10.</w:t>
      </w:r>
      <w:r>
        <w:rPr>
          <w:rFonts w:hint="eastAsia"/>
        </w:rPr>
        <w:tab/>
      </w:r>
      <w:r w:rsidRPr="00F85B0B">
        <w:rPr>
          <w:rFonts w:ascii="Time New Roman" w:eastAsia="楷体" w:hAnsi="Time New Roman" w:hint="eastAsia"/>
        </w:rPr>
        <w:t>强调</w:t>
      </w:r>
      <w:r>
        <w:rPr>
          <w:rFonts w:hint="eastAsia"/>
        </w:rPr>
        <w:t>国内和国际专家与联邦政府联合监测和报告索马里人权状况的重要作用，监测人权状况者可以在评估和确保技术援助项目的成功方面发挥必不可少的作用，而这些项目必须造福于所有索马里人；</w:t>
      </w:r>
    </w:p>
    <w:p w:rsidR="001242E4" w:rsidRDefault="001242E4" w:rsidP="00491DF5">
      <w:pPr>
        <w:pStyle w:val="SingleTxtGC"/>
        <w:ind w:firstLine="431"/>
        <w:rPr>
          <w:rFonts w:hint="eastAsia"/>
        </w:rPr>
      </w:pPr>
      <w:r>
        <w:rPr>
          <w:rFonts w:hint="eastAsia"/>
        </w:rPr>
        <w:lastRenderedPageBreak/>
        <w:t>11.</w:t>
      </w:r>
      <w:r>
        <w:rPr>
          <w:rFonts w:hint="eastAsia"/>
        </w:rPr>
        <w:tab/>
      </w:r>
      <w:r w:rsidRPr="00A969D1">
        <w:rPr>
          <w:rFonts w:ascii="Time New Roman" w:eastAsia="楷体" w:hAnsi="Time New Roman" w:hint="eastAsia"/>
        </w:rPr>
        <w:t>强调</w:t>
      </w:r>
      <w:r>
        <w:rPr>
          <w:rFonts w:hint="eastAsia"/>
        </w:rPr>
        <w:t>联合国索马里援助团在索马里全境完成任务的重要性，以及需要加强其与联合国人权事务高级专员办事处工作的协同作用；</w:t>
      </w:r>
    </w:p>
    <w:p w:rsidR="001242E4" w:rsidRDefault="001242E4" w:rsidP="00491DF5">
      <w:pPr>
        <w:pStyle w:val="SingleTxtGC"/>
        <w:ind w:firstLine="431"/>
        <w:rPr>
          <w:rFonts w:hint="eastAsia"/>
        </w:rPr>
      </w:pPr>
      <w:r>
        <w:rPr>
          <w:rFonts w:hint="eastAsia"/>
        </w:rPr>
        <w:t>12.</w:t>
      </w:r>
      <w:r>
        <w:rPr>
          <w:rFonts w:hint="eastAsia"/>
        </w:rPr>
        <w:tab/>
      </w:r>
      <w:r w:rsidRPr="00A969D1">
        <w:rPr>
          <w:rFonts w:ascii="Time New Roman" w:eastAsia="楷体" w:hAnsi="Time New Roman" w:hint="eastAsia"/>
        </w:rPr>
        <w:t>称赞</w:t>
      </w:r>
      <w:r>
        <w:rPr>
          <w:rFonts w:hint="eastAsia"/>
        </w:rPr>
        <w:t>索马里人权状况独立专家的参与；</w:t>
      </w:r>
      <w:r>
        <w:rPr>
          <w:rStyle w:val="a8"/>
        </w:rPr>
        <w:footnoteReference w:id="2"/>
      </w:r>
    </w:p>
    <w:p w:rsidR="001242E4" w:rsidRDefault="001242E4" w:rsidP="00491DF5">
      <w:pPr>
        <w:pStyle w:val="SingleTxtGC"/>
        <w:ind w:firstLine="431"/>
        <w:rPr>
          <w:rFonts w:hint="eastAsia"/>
        </w:rPr>
      </w:pPr>
      <w:r>
        <w:rPr>
          <w:rFonts w:hint="eastAsia"/>
        </w:rPr>
        <w:t>13.</w:t>
      </w:r>
      <w:r>
        <w:rPr>
          <w:rFonts w:hint="eastAsia"/>
        </w:rPr>
        <w:tab/>
      </w:r>
      <w:r w:rsidRPr="00A969D1">
        <w:rPr>
          <w:rFonts w:ascii="Time New Roman" w:eastAsia="楷体" w:hAnsi="Time New Roman" w:hint="eastAsia"/>
        </w:rPr>
        <w:t>决定</w:t>
      </w:r>
      <w:r>
        <w:rPr>
          <w:rFonts w:hint="eastAsia"/>
        </w:rPr>
        <w:t>在议程项目</w:t>
      </w:r>
      <w:r>
        <w:rPr>
          <w:rFonts w:hint="eastAsia"/>
        </w:rPr>
        <w:t>10</w:t>
      </w:r>
      <w:r>
        <w:rPr>
          <w:rFonts w:hint="eastAsia"/>
        </w:rPr>
        <w:t>下将索马里人权状况独立专家的任务延长一年，以评估、监测和报告索马里人权状况，进而就人权领域的技术援助和能力建设问题提出建议；</w:t>
      </w:r>
    </w:p>
    <w:p w:rsidR="001242E4" w:rsidRDefault="001242E4" w:rsidP="00491DF5">
      <w:pPr>
        <w:pStyle w:val="SingleTxtGC"/>
        <w:ind w:firstLine="431"/>
        <w:rPr>
          <w:rFonts w:hint="eastAsia"/>
        </w:rPr>
      </w:pPr>
      <w:r>
        <w:rPr>
          <w:rFonts w:hint="eastAsia"/>
        </w:rPr>
        <w:t>14.</w:t>
      </w:r>
      <w:r>
        <w:rPr>
          <w:rFonts w:hint="eastAsia"/>
        </w:rPr>
        <w:tab/>
      </w:r>
      <w:r w:rsidRPr="00A969D1">
        <w:rPr>
          <w:rFonts w:ascii="Time New Roman" w:eastAsia="楷体" w:hAnsi="Time New Roman" w:hint="eastAsia"/>
        </w:rPr>
        <w:t>肯定</w:t>
      </w:r>
      <w:r>
        <w:rPr>
          <w:rFonts w:hint="eastAsia"/>
        </w:rPr>
        <w:t>索马里取得的进展及其与联合国各机构、高级专员办事处和独立专家任务</w:t>
      </w:r>
      <w:r>
        <w:rPr>
          <w:rFonts w:hint="eastAsia"/>
        </w:rPr>
        <w:t>(1993</w:t>
      </w:r>
      <w:r>
        <w:rPr>
          <w:rFonts w:hint="eastAsia"/>
        </w:rPr>
        <w:t>年设立以来</w:t>
      </w:r>
      <w:r>
        <w:rPr>
          <w:rFonts w:hint="eastAsia"/>
        </w:rPr>
        <w:t>)</w:t>
      </w:r>
      <w:r>
        <w:rPr>
          <w:rFonts w:hint="eastAsia"/>
        </w:rPr>
        <w:t>的合作，承认索马里的人权状况决定了理事会最适合采取的行动，在这方面，</w:t>
      </w:r>
      <w:proofErr w:type="gramStart"/>
      <w:r>
        <w:rPr>
          <w:rFonts w:hint="eastAsia"/>
        </w:rPr>
        <w:t>请独立</w:t>
      </w:r>
      <w:proofErr w:type="gramEnd"/>
      <w:r>
        <w:rPr>
          <w:rFonts w:hint="eastAsia"/>
        </w:rPr>
        <w:t>专家与索马里联邦政府合作，提出一个与各特别程序和其他专家，包括高级专员办事处深入进行主题接触的过渡期计划，该计划应包括明确的步骤和基准，为人权理事会在考虑到独立专家的建议和索马里的人权承诺的同时采取适当后续行动提供资料；</w:t>
      </w:r>
    </w:p>
    <w:p w:rsidR="001242E4" w:rsidRDefault="001242E4" w:rsidP="00491DF5">
      <w:pPr>
        <w:pStyle w:val="SingleTxtGC"/>
        <w:ind w:firstLine="431"/>
        <w:rPr>
          <w:rFonts w:hint="eastAsia"/>
        </w:rPr>
      </w:pPr>
      <w:r>
        <w:rPr>
          <w:rFonts w:hint="eastAsia"/>
        </w:rPr>
        <w:t>15.</w:t>
      </w:r>
      <w:r>
        <w:rPr>
          <w:rFonts w:hint="eastAsia"/>
        </w:rPr>
        <w:tab/>
      </w:r>
      <w:proofErr w:type="gramStart"/>
      <w:r w:rsidRPr="00A969D1">
        <w:rPr>
          <w:rFonts w:ascii="Time New Roman" w:eastAsia="楷体" w:hAnsi="Time New Roman" w:hint="eastAsia"/>
        </w:rPr>
        <w:t>请</w:t>
      </w:r>
      <w:r>
        <w:rPr>
          <w:rFonts w:hint="eastAsia"/>
        </w:rPr>
        <w:t>独立</w:t>
      </w:r>
      <w:proofErr w:type="gramEnd"/>
      <w:r>
        <w:rPr>
          <w:rFonts w:hint="eastAsia"/>
        </w:rPr>
        <w:t>专家继续与索马里联邦政府在国家和国家以下各级密切合作，与包括联合国索马里援助团在内的联合国所有机构、非洲联盟、政府间发展组织和其他有关国际组织、民间社会和所有相关人权机制密切合作，并协助索马里：</w:t>
      </w:r>
    </w:p>
    <w:p w:rsidR="001242E4" w:rsidRDefault="001242E4" w:rsidP="00491DF5">
      <w:pPr>
        <w:pStyle w:val="SingleTxtGC"/>
        <w:ind w:firstLine="431"/>
        <w:rPr>
          <w:rFonts w:hint="eastAsia"/>
        </w:rPr>
      </w:pPr>
      <w:r>
        <w:rPr>
          <w:rFonts w:hint="eastAsia"/>
        </w:rPr>
        <w:t>(a)</w:t>
      </w:r>
      <w:r>
        <w:rPr>
          <w:rFonts w:hint="eastAsia"/>
        </w:rPr>
        <w:tab/>
      </w:r>
      <w:r>
        <w:rPr>
          <w:rFonts w:hint="eastAsia"/>
        </w:rPr>
        <w:t>履行其国内和国际人权义务；</w:t>
      </w:r>
    </w:p>
    <w:p w:rsidR="001242E4" w:rsidRDefault="001242E4" w:rsidP="00491DF5">
      <w:pPr>
        <w:pStyle w:val="SingleTxtGC"/>
        <w:ind w:firstLine="431"/>
        <w:rPr>
          <w:rFonts w:hint="eastAsia"/>
        </w:rPr>
      </w:pPr>
      <w:r>
        <w:rPr>
          <w:rFonts w:hint="eastAsia"/>
        </w:rPr>
        <w:t>(b)</w:t>
      </w:r>
      <w:r>
        <w:rPr>
          <w:rFonts w:hint="eastAsia"/>
        </w:rPr>
        <w:tab/>
      </w:r>
      <w:r>
        <w:rPr>
          <w:rFonts w:hint="eastAsia"/>
        </w:rPr>
        <w:t>执行人权理事会的决议和其他人权文书，包括进行有关的例行报告；</w:t>
      </w:r>
    </w:p>
    <w:p w:rsidR="001242E4" w:rsidRDefault="001242E4" w:rsidP="00491DF5">
      <w:pPr>
        <w:pStyle w:val="SingleTxtGC"/>
        <w:ind w:firstLine="431"/>
        <w:rPr>
          <w:rFonts w:hint="eastAsia"/>
        </w:rPr>
      </w:pPr>
      <w:r>
        <w:rPr>
          <w:rFonts w:hint="eastAsia"/>
        </w:rPr>
        <w:t>(c)</w:t>
      </w:r>
      <w:r>
        <w:rPr>
          <w:rFonts w:hint="eastAsia"/>
        </w:rPr>
        <w:tab/>
      </w:r>
      <w:r>
        <w:rPr>
          <w:rFonts w:hint="eastAsia"/>
        </w:rPr>
        <w:t>落实在普遍定期审议下接受的各项建议；</w:t>
      </w:r>
    </w:p>
    <w:p w:rsidR="001242E4" w:rsidRDefault="001242E4" w:rsidP="00491DF5">
      <w:pPr>
        <w:pStyle w:val="SingleTxtGC"/>
        <w:ind w:firstLine="431"/>
        <w:rPr>
          <w:rFonts w:hint="eastAsia"/>
        </w:rPr>
      </w:pPr>
      <w:r>
        <w:rPr>
          <w:rFonts w:hint="eastAsia"/>
        </w:rPr>
        <w:t>(d)</w:t>
      </w:r>
      <w:r>
        <w:rPr>
          <w:rFonts w:hint="eastAsia"/>
        </w:rPr>
        <w:tab/>
      </w:r>
      <w:r>
        <w:rPr>
          <w:rFonts w:hint="eastAsia"/>
        </w:rPr>
        <w:t>落实其他人权承诺、政策和立法，以促进对妇女、青年和边缘化群体的赋权，实现表达自由和集会自由，保护媒体，保证妇女可以诉诸司法，并加强负责司法和保护人权的部委和机构的能力；</w:t>
      </w:r>
    </w:p>
    <w:p w:rsidR="001242E4" w:rsidRDefault="001242E4" w:rsidP="00491DF5">
      <w:pPr>
        <w:pStyle w:val="SingleTxtGC"/>
        <w:ind w:firstLine="431"/>
        <w:rPr>
          <w:rFonts w:hint="eastAsia"/>
        </w:rPr>
      </w:pPr>
      <w:r>
        <w:rPr>
          <w:rFonts w:hint="eastAsia"/>
        </w:rPr>
        <w:t>16.</w:t>
      </w:r>
      <w:r>
        <w:rPr>
          <w:rFonts w:hint="eastAsia"/>
        </w:rPr>
        <w:tab/>
      </w:r>
      <w:r w:rsidRPr="00A969D1">
        <w:rPr>
          <w:rFonts w:ascii="Time New Roman" w:eastAsia="楷体" w:hAnsi="Time New Roman" w:hint="eastAsia"/>
        </w:rPr>
        <w:t>又</w:t>
      </w:r>
      <w:proofErr w:type="gramStart"/>
      <w:r w:rsidRPr="00A969D1">
        <w:rPr>
          <w:rFonts w:ascii="Time New Roman" w:eastAsia="楷体" w:hAnsi="Time New Roman" w:hint="eastAsia"/>
        </w:rPr>
        <w:t>请</w:t>
      </w:r>
      <w:r>
        <w:rPr>
          <w:rFonts w:hint="eastAsia"/>
        </w:rPr>
        <w:t>独立</w:t>
      </w:r>
      <w:proofErr w:type="gramEnd"/>
      <w:r>
        <w:rPr>
          <w:rFonts w:hint="eastAsia"/>
        </w:rPr>
        <w:t>专家向人权理事会第四十五届会议和大会第七十五届会议</w:t>
      </w:r>
      <w:proofErr w:type="gramStart"/>
      <w:r>
        <w:rPr>
          <w:rFonts w:hint="eastAsia"/>
        </w:rPr>
        <w:t>作出</w:t>
      </w:r>
      <w:proofErr w:type="gramEnd"/>
      <w:r>
        <w:rPr>
          <w:rFonts w:hint="eastAsia"/>
        </w:rPr>
        <w:t>报告；</w:t>
      </w:r>
    </w:p>
    <w:p w:rsidR="001242E4" w:rsidRDefault="001242E4" w:rsidP="00491DF5">
      <w:pPr>
        <w:pStyle w:val="SingleTxtGC"/>
        <w:ind w:firstLine="431"/>
        <w:rPr>
          <w:rFonts w:hint="eastAsia"/>
        </w:rPr>
      </w:pPr>
      <w:r>
        <w:rPr>
          <w:rFonts w:hint="eastAsia"/>
        </w:rPr>
        <w:t>17.</w:t>
      </w:r>
      <w:r>
        <w:rPr>
          <w:rFonts w:hint="eastAsia"/>
        </w:rPr>
        <w:tab/>
      </w:r>
      <w:r w:rsidRPr="00A969D1">
        <w:rPr>
          <w:rFonts w:ascii="Time New Roman" w:eastAsia="楷体" w:hAnsi="Time New Roman" w:hint="eastAsia"/>
        </w:rPr>
        <w:t>请</w:t>
      </w:r>
      <w:r>
        <w:rPr>
          <w:rFonts w:hint="eastAsia"/>
        </w:rPr>
        <w:t>高级专员办事处和联合国其他有关机构向独立专家提供全面履行任务所需的一切人力、技术和财政援助；</w:t>
      </w:r>
    </w:p>
    <w:p w:rsidR="001242E4" w:rsidRDefault="001242E4" w:rsidP="00491DF5">
      <w:pPr>
        <w:pStyle w:val="SingleTxtGC"/>
        <w:ind w:firstLine="431"/>
        <w:rPr>
          <w:rFonts w:hint="eastAsia"/>
        </w:rPr>
      </w:pPr>
      <w:r>
        <w:rPr>
          <w:rFonts w:hint="eastAsia"/>
        </w:rPr>
        <w:t>18.</w:t>
      </w:r>
      <w:r>
        <w:rPr>
          <w:rFonts w:hint="eastAsia"/>
        </w:rPr>
        <w:tab/>
      </w:r>
      <w:r w:rsidRPr="00A969D1">
        <w:rPr>
          <w:rFonts w:ascii="Time New Roman" w:eastAsia="楷体" w:hAnsi="Time New Roman" w:hint="eastAsia"/>
        </w:rPr>
        <w:t>决定</w:t>
      </w:r>
      <w:r>
        <w:rPr>
          <w:rFonts w:hint="eastAsia"/>
        </w:rPr>
        <w:t>继续积极处理此事。</w:t>
      </w:r>
    </w:p>
    <w:p w:rsidR="001242E4" w:rsidRPr="00D93DDC" w:rsidRDefault="001200F1" w:rsidP="00D93DDC">
      <w:pPr>
        <w:pStyle w:val="SingleTxtGC"/>
        <w:jc w:val="right"/>
        <w:rPr>
          <w:rFonts w:ascii="Time New Roman" w:eastAsia="楷体" w:hAnsi="Time New Roman" w:hint="eastAsia"/>
        </w:rPr>
      </w:pPr>
      <w:r w:rsidRPr="00D93DDC">
        <w:rPr>
          <w:rFonts w:ascii="Time New Roman" w:eastAsia="楷体" w:hAnsi="Time New Roman" w:hint="eastAsia"/>
        </w:rPr>
        <w:t>2019</w:t>
      </w:r>
      <w:r w:rsidRPr="00D93DDC">
        <w:rPr>
          <w:rFonts w:ascii="Time New Roman" w:eastAsia="楷体" w:hAnsi="Time New Roman" w:hint="eastAsia"/>
        </w:rPr>
        <w:t>年</w:t>
      </w:r>
      <w:r w:rsidRPr="00D93DDC">
        <w:rPr>
          <w:rFonts w:ascii="Time New Roman" w:eastAsia="楷体" w:hAnsi="Time New Roman" w:hint="eastAsia"/>
        </w:rPr>
        <w:t>9</w:t>
      </w:r>
      <w:r w:rsidRPr="00D93DDC">
        <w:rPr>
          <w:rFonts w:ascii="Time New Roman" w:eastAsia="楷体" w:hAnsi="Time New Roman" w:hint="eastAsia"/>
        </w:rPr>
        <w:t>月</w:t>
      </w:r>
      <w:r w:rsidRPr="00D93DDC">
        <w:rPr>
          <w:rFonts w:ascii="Time New Roman" w:eastAsia="楷体" w:hAnsi="Time New Roman" w:hint="eastAsia"/>
        </w:rPr>
        <w:t>27</w:t>
      </w:r>
      <w:r w:rsidRPr="00D93DDC">
        <w:rPr>
          <w:rFonts w:ascii="Time New Roman" w:eastAsia="楷体" w:hAnsi="Time New Roman" w:hint="eastAsia"/>
        </w:rPr>
        <w:t>日</w:t>
      </w:r>
      <w:r w:rsidR="00D93DDC" w:rsidRPr="00D93DDC">
        <w:rPr>
          <w:rFonts w:ascii="Time New Roman" w:eastAsia="楷体" w:hAnsi="Time New Roman"/>
        </w:rPr>
        <w:br/>
      </w:r>
      <w:r w:rsidRPr="00D93DDC">
        <w:rPr>
          <w:rFonts w:ascii="Time New Roman" w:eastAsia="楷体" w:hAnsi="Time New Roman" w:hint="eastAsia"/>
        </w:rPr>
        <w:t>第</w:t>
      </w:r>
      <w:r w:rsidRPr="00D93DDC">
        <w:rPr>
          <w:rFonts w:ascii="Time New Roman" w:eastAsia="楷体" w:hAnsi="Time New Roman" w:hint="eastAsia"/>
        </w:rPr>
        <w:t>42</w:t>
      </w:r>
      <w:r w:rsidRPr="00D93DDC">
        <w:rPr>
          <w:rFonts w:ascii="Time New Roman" w:eastAsia="楷体" w:hAnsi="Time New Roman" w:hint="eastAsia"/>
        </w:rPr>
        <w:t>次会议</w:t>
      </w:r>
    </w:p>
    <w:p w:rsidR="001242E4" w:rsidRDefault="001242E4" w:rsidP="001242E4">
      <w:pPr>
        <w:pStyle w:val="SingleTxtGC"/>
      </w:pPr>
      <w:r>
        <w:rPr>
          <w:rFonts w:hint="eastAsia"/>
        </w:rPr>
        <w:t>[</w:t>
      </w:r>
      <w:r>
        <w:rPr>
          <w:rFonts w:hint="eastAsia"/>
        </w:rPr>
        <w:t>未经表决获得通过。</w:t>
      </w:r>
      <w:r>
        <w:rPr>
          <w:rFonts w:hint="eastAsia"/>
        </w:rPr>
        <w:t>]</w:t>
      </w:r>
    </w:p>
    <w:p w:rsidR="001242E4" w:rsidRDefault="001242E4" w:rsidP="001242E4">
      <w:pPr>
        <w:pStyle w:val="SingleTxtGC"/>
      </w:pPr>
    </w:p>
    <w:p w:rsidR="001242E4" w:rsidRPr="002D6A9C" w:rsidRDefault="001242E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242E4" w:rsidRPr="001242E4" w:rsidRDefault="001242E4" w:rsidP="001242E4">
      <w:pPr>
        <w:pStyle w:val="SingleTxtGC"/>
        <w:rPr>
          <w:rFonts w:hint="eastAsia"/>
        </w:rPr>
      </w:pPr>
    </w:p>
    <w:sectPr w:rsidR="001242E4" w:rsidRPr="001242E4"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4011" w:rsidRPr="000D319F" w:rsidRDefault="00804011" w:rsidP="000D319F">
      <w:pPr>
        <w:pStyle w:val="af0"/>
        <w:spacing w:after="240"/>
        <w:ind w:left="907"/>
        <w:rPr>
          <w:rFonts w:asciiTheme="majorBidi" w:eastAsia="宋体" w:hAnsiTheme="majorBidi" w:cstheme="majorBidi"/>
          <w:sz w:val="21"/>
          <w:szCs w:val="21"/>
          <w:lang w:val="en-US"/>
        </w:rPr>
      </w:pPr>
    </w:p>
    <w:p w:rsidR="00804011" w:rsidRPr="000D319F" w:rsidRDefault="0080401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04011" w:rsidRPr="000D319F" w:rsidRDefault="00804011" w:rsidP="000D319F">
      <w:pPr>
        <w:pStyle w:val="af0"/>
      </w:pPr>
    </w:p>
  </w:endnote>
  <w:endnote w:type="continuationNotice" w:id="1">
    <w:p w:rsidR="00804011" w:rsidRDefault="008040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42E4" w:rsidRPr="001242E4" w:rsidRDefault="001242E4" w:rsidP="001242E4">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242E4">
      <w:rPr>
        <w:rStyle w:val="af2"/>
        <w:b w:val="0"/>
        <w:snapToGrid w:val="0"/>
        <w:sz w:val="16"/>
      </w:rPr>
      <w:t>GE.19</w:t>
    </w:r>
    <w:proofErr w:type="spellEnd"/>
    <w:r w:rsidRPr="001242E4">
      <w:rPr>
        <w:rStyle w:val="af2"/>
        <w:b w:val="0"/>
        <w:snapToGrid w:val="0"/>
        <w:sz w:val="16"/>
      </w:rPr>
      <w:t>-16902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42E4" w:rsidRPr="001242E4" w:rsidRDefault="001242E4" w:rsidP="001242E4">
    <w:pPr>
      <w:pStyle w:val="af0"/>
      <w:tabs>
        <w:tab w:val="right" w:pos="9638"/>
      </w:tabs>
      <w:rPr>
        <w:rStyle w:val="af2"/>
      </w:rPr>
    </w:pPr>
    <w:proofErr w:type="spellStart"/>
    <w:r>
      <w:t>GE.19</w:t>
    </w:r>
    <w:proofErr w:type="spellEnd"/>
    <w:r>
      <w:t>-16902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1242E4"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-16902</w:t>
    </w:r>
    <w:r w:rsidR="00731A42" w:rsidRPr="00EE277A">
      <w:rPr>
        <w:sz w:val="20"/>
        <w:lang w:eastAsia="zh-CN"/>
      </w:rPr>
      <w:t xml:space="preserve"> (C)</w:t>
    </w:r>
    <w:r w:rsidR="008B4347">
      <w:rPr>
        <w:sz w:val="20"/>
        <w:lang w:eastAsia="zh-CN"/>
      </w:rPr>
      <w:tab/>
      <w:t>0</w:t>
    </w:r>
    <w:r w:rsidR="00F85BA2">
      <w:rPr>
        <w:sz w:val="20"/>
        <w:lang w:eastAsia="zh-CN"/>
      </w:rPr>
      <w:t>81</w:t>
    </w:r>
    <w:r w:rsidR="008B4347">
      <w:rPr>
        <w:sz w:val="20"/>
        <w:lang w:eastAsia="zh-CN"/>
      </w:rPr>
      <w:t>01</w:t>
    </w:r>
    <w:r w:rsidR="00623FC4">
      <w:rPr>
        <w:sz w:val="20"/>
        <w:lang w:eastAsia="zh-CN"/>
      </w:rPr>
      <w:t>9</w:t>
    </w:r>
    <w:r w:rsidR="00731A42">
      <w:rPr>
        <w:sz w:val="20"/>
        <w:lang w:eastAsia="zh-CN"/>
      </w:rPr>
      <w:tab/>
    </w:r>
    <w:r w:rsidR="00731A42" w:rsidRPr="00EE277A">
      <w:rPr>
        <w:sz w:val="20"/>
        <w:lang w:eastAsia="zh-CN"/>
      </w:rPr>
      <w:t>0</w:t>
    </w:r>
    <w:r w:rsidR="00F85BA2">
      <w:rPr>
        <w:sz w:val="20"/>
        <w:lang w:eastAsia="zh-CN"/>
      </w:rPr>
      <w:t>81</w:t>
    </w:r>
    <w:r w:rsidR="00731A42">
      <w:rPr>
        <w:sz w:val="20"/>
        <w:lang w:eastAsia="zh-CN"/>
      </w:rPr>
      <w:t>01</w:t>
    </w:r>
    <w:r w:rsidR="00623FC4">
      <w:rPr>
        <w:sz w:val="20"/>
        <w:lang w:eastAsia="zh-CN"/>
      </w:rPr>
      <w:t>9</w:t>
    </w:r>
  </w:p>
  <w:p w:rsidR="00056632" w:rsidRPr="00487939" w:rsidRDefault="001242E4"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2/3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4011" w:rsidRPr="000157B1" w:rsidRDefault="00804011"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804011" w:rsidRPr="000157B1" w:rsidRDefault="00804011"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804011" w:rsidRDefault="00804011"/>
  </w:footnote>
  <w:footnote w:id="2">
    <w:p w:rsidR="001242E4" w:rsidRDefault="001242E4">
      <w:pPr>
        <w:pStyle w:val="a6"/>
      </w:pPr>
      <w:r>
        <w:tab/>
      </w:r>
      <w:r>
        <w:rPr>
          <w:rStyle w:val="a8"/>
        </w:rPr>
        <w:footnoteRef/>
      </w:r>
      <w:r>
        <w:tab/>
      </w:r>
      <w:r w:rsidRPr="001242E4">
        <w:rPr>
          <w:rFonts w:hint="eastAsia"/>
        </w:rPr>
        <w:t>见</w:t>
      </w:r>
      <w:r w:rsidRPr="001242E4">
        <w:rPr>
          <w:rFonts w:hint="eastAsia"/>
        </w:rPr>
        <w:t>A/</w:t>
      </w:r>
      <w:proofErr w:type="spellStart"/>
      <w:r w:rsidRPr="001242E4">
        <w:rPr>
          <w:rFonts w:hint="eastAsia"/>
        </w:rPr>
        <w:t>HRC</w:t>
      </w:r>
      <w:proofErr w:type="spellEnd"/>
      <w:r w:rsidRPr="001242E4">
        <w:rPr>
          <w:rFonts w:hint="eastAsia"/>
        </w:rPr>
        <w:t>/39/72</w:t>
      </w:r>
      <w:r w:rsidRPr="001242E4">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1242E4" w:rsidP="001242E4">
    <w:pPr>
      <w:pStyle w:val="af3"/>
    </w:pPr>
    <w:r>
      <w:t>A/</w:t>
    </w:r>
    <w:proofErr w:type="spellStart"/>
    <w:r>
      <w:t>HRC</w:t>
    </w:r>
    <w:proofErr w:type="spellEnd"/>
    <w:r>
      <w:t>/RES/42/33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1242E4" w:rsidP="001242E4">
    <w:pPr>
      <w:pStyle w:val="af3"/>
      <w:jc w:val="right"/>
    </w:pPr>
    <w:r>
      <w:t>A/</w:t>
    </w:r>
    <w:proofErr w:type="spellStart"/>
    <w:r>
      <w:t>HRC</w:t>
    </w:r>
    <w:proofErr w:type="spellEnd"/>
    <w:r>
      <w:t>/RES/42/33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04011"/>
    <w:rsid w:val="00011483"/>
    <w:rsid w:val="00054E5E"/>
    <w:rsid w:val="000A5DC4"/>
    <w:rsid w:val="000D319F"/>
    <w:rsid w:val="000D6BBD"/>
    <w:rsid w:val="000E4D0E"/>
    <w:rsid w:val="000E62AA"/>
    <w:rsid w:val="00106F9C"/>
    <w:rsid w:val="001200F1"/>
    <w:rsid w:val="001242E4"/>
    <w:rsid w:val="00144B69"/>
    <w:rsid w:val="00151193"/>
    <w:rsid w:val="00152D5C"/>
    <w:rsid w:val="00153E86"/>
    <w:rsid w:val="001561EB"/>
    <w:rsid w:val="00186C47"/>
    <w:rsid w:val="001877BA"/>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1DF5"/>
    <w:rsid w:val="004972E2"/>
    <w:rsid w:val="00497BE4"/>
    <w:rsid w:val="004C4A0A"/>
    <w:rsid w:val="00557D9A"/>
    <w:rsid w:val="005C00B0"/>
    <w:rsid w:val="005E01D9"/>
    <w:rsid w:val="005E3084"/>
    <w:rsid w:val="005E3A08"/>
    <w:rsid w:val="005E403A"/>
    <w:rsid w:val="00623FC4"/>
    <w:rsid w:val="00680656"/>
    <w:rsid w:val="006B1119"/>
    <w:rsid w:val="006B7A8F"/>
    <w:rsid w:val="006C65D8"/>
    <w:rsid w:val="006E3E46"/>
    <w:rsid w:val="006E41E9"/>
    <w:rsid w:val="006E71B1"/>
    <w:rsid w:val="00705D89"/>
    <w:rsid w:val="00731A42"/>
    <w:rsid w:val="00767E69"/>
    <w:rsid w:val="0077079A"/>
    <w:rsid w:val="007A5599"/>
    <w:rsid w:val="007C0CAE"/>
    <w:rsid w:val="007E5DAD"/>
    <w:rsid w:val="00804011"/>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969D1"/>
    <w:rsid w:val="00B16570"/>
    <w:rsid w:val="00B423E7"/>
    <w:rsid w:val="00B53320"/>
    <w:rsid w:val="00BC6522"/>
    <w:rsid w:val="00BF6D17"/>
    <w:rsid w:val="00C121D5"/>
    <w:rsid w:val="00C17349"/>
    <w:rsid w:val="00C351AA"/>
    <w:rsid w:val="00C52236"/>
    <w:rsid w:val="00C7253F"/>
    <w:rsid w:val="00C7577A"/>
    <w:rsid w:val="00C760F9"/>
    <w:rsid w:val="00D26A05"/>
    <w:rsid w:val="00D45C65"/>
    <w:rsid w:val="00D67E3B"/>
    <w:rsid w:val="00D85827"/>
    <w:rsid w:val="00D90E21"/>
    <w:rsid w:val="00D93DDC"/>
    <w:rsid w:val="00D93FA6"/>
    <w:rsid w:val="00D97B98"/>
    <w:rsid w:val="00DC671F"/>
    <w:rsid w:val="00DE4DA7"/>
    <w:rsid w:val="00E33B38"/>
    <w:rsid w:val="00E47FE5"/>
    <w:rsid w:val="00E574AF"/>
    <w:rsid w:val="00E71878"/>
    <w:rsid w:val="00E845B2"/>
    <w:rsid w:val="00F00D09"/>
    <w:rsid w:val="00F664DD"/>
    <w:rsid w:val="00F714DA"/>
    <w:rsid w:val="00F75B02"/>
    <w:rsid w:val="00F85B0B"/>
    <w:rsid w:val="00F85BA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44C6DF"/>
  <w15:docId w15:val="{C71164CB-FE76-4B51-8C63-C09F21EB3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61F86-4727-41C7-921E-3626EA8EE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5668</Words>
  <Characters>5902</Characters>
  <Application>Microsoft Office Word</Application>
  <DocSecurity>0</DocSecurity>
  <Lines>220</Lines>
  <Paragraphs>83</Paragraphs>
  <ScaleCrop>false</ScaleCrop>
  <Company>DCM</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A/HRC/RES/42/33</dc:title>
  <dc:subject>1916902</dc:subject>
  <dc:creator>Xin</dc:creator>
  <cp:keywords/>
  <dc:description/>
  <cp:lastModifiedBy>Xin Wang</cp:lastModifiedBy>
  <cp:revision>2</cp:revision>
  <cp:lastPrinted>2014-05-09T11:28:00Z</cp:lastPrinted>
  <dcterms:created xsi:type="dcterms:W3CDTF">2019-10-08T14:21:00Z</dcterms:created>
  <dcterms:modified xsi:type="dcterms:W3CDTF">2019-10-08T14:21:00Z</dcterms:modified>
</cp:coreProperties>
</file>